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黑体"/>
          <w:color w:val="0000FF"/>
          <w:sz w:val="72"/>
        </w:rPr>
      </w:pPr>
      <w:r>
        <w:rPr>
          <w:rFonts w:hint="eastAsia" w:eastAsia="黑体"/>
          <w:color w:val="0000FF"/>
          <w:sz w:val="72"/>
        </w:rPr>
        <w:t xml:space="preserve">  </w:t>
      </w:r>
    </w:p>
    <w:p>
      <w:pPr>
        <w:jc w:val="center"/>
        <w:rPr>
          <w:rFonts w:eastAsia="黑体"/>
          <w:sz w:val="72"/>
        </w:rPr>
      </w:pPr>
    </w:p>
    <w:p>
      <w:pPr>
        <w:ind w:firstLine="180" w:firstLineChars="25"/>
        <w:jc w:val="center"/>
        <w:rPr>
          <w:rFonts w:eastAsia="黑体"/>
          <w:sz w:val="72"/>
        </w:rPr>
      </w:pPr>
      <w:r>
        <w:rPr>
          <w:rFonts w:hint="eastAsia" w:eastAsia="黑体"/>
          <w:sz w:val="72"/>
        </w:rPr>
        <w:t>建设项目环境影响报告表</w:t>
      </w:r>
    </w:p>
    <w:p>
      <w:pPr>
        <w:rPr>
          <w:sz w:val="28"/>
        </w:rPr>
      </w:pPr>
    </w:p>
    <w:p>
      <w:pPr>
        <w:rPr>
          <w:sz w:val="28"/>
        </w:rPr>
      </w:pPr>
    </w:p>
    <w:p>
      <w:pPr>
        <w:rPr>
          <w:sz w:val="28"/>
        </w:rPr>
      </w:pPr>
    </w:p>
    <w:p>
      <w:pPr>
        <w:rPr>
          <w:sz w:val="28"/>
        </w:rPr>
      </w:pPr>
      <w:r>
        <w:rPr>
          <w:rFonts w:hint="eastAsia"/>
          <w:sz w:val="28"/>
        </w:rPr>
        <w:t xml:space="preserve"> </w:t>
      </w:r>
    </w:p>
    <w:p>
      <w:pPr>
        <w:rPr>
          <w:sz w:val="28"/>
        </w:rPr>
      </w:pPr>
    </w:p>
    <w:p>
      <w:pPr>
        <w:rPr>
          <w:sz w:val="28"/>
        </w:rPr>
      </w:pPr>
    </w:p>
    <w:p>
      <w:pPr>
        <w:rPr>
          <w:sz w:val="28"/>
        </w:rPr>
      </w:pPr>
    </w:p>
    <w:p>
      <w:pPr>
        <w:kinsoku w:val="0"/>
        <w:wordWrap w:val="0"/>
        <w:topLinePunct/>
        <w:ind w:firstLine="960" w:firstLineChars="300"/>
        <w:rPr>
          <w:b/>
          <w:sz w:val="32"/>
          <w:u w:val="single"/>
        </w:rPr>
      </w:pPr>
      <w:r>
        <w:rPr>
          <w:rFonts w:hint="eastAsia"/>
          <w:b/>
          <w:sz w:val="32"/>
        </w:rPr>
        <w:t>项目名称：</w:t>
      </w:r>
      <w:r>
        <w:rPr>
          <w:rFonts w:hint="eastAsia"/>
          <w:b/>
          <w:sz w:val="32"/>
          <w:u w:val="single"/>
        </w:rPr>
        <w:t>CFG</w:t>
      </w:r>
      <w:commentRangeStart w:id="0"/>
      <w:r>
        <w:rPr>
          <w:rFonts w:hint="eastAsia"/>
          <w:b/>
          <w:sz w:val="32"/>
          <w:u w:val="single"/>
        </w:rPr>
        <w:t>螺旋钻机扩建技术改造项目</w:t>
      </w:r>
      <w:commentRangeEnd w:id="0"/>
      <w:r>
        <w:rPr>
          <w:rStyle w:val="45"/>
        </w:rPr>
        <w:commentReference w:id="0"/>
      </w:r>
      <w:r>
        <w:rPr>
          <w:rFonts w:hint="eastAsia"/>
          <w:b/>
          <w:sz w:val="32"/>
          <w:u w:val="single"/>
        </w:rPr>
        <w:t xml:space="preserve"> </w:t>
      </w:r>
    </w:p>
    <w:p>
      <w:pPr>
        <w:spacing w:line="720" w:lineRule="auto"/>
        <w:ind w:firstLine="944" w:firstLineChars="295"/>
        <w:rPr>
          <w:b/>
          <w:sz w:val="32"/>
        </w:rPr>
      </w:pPr>
    </w:p>
    <w:p>
      <w:pPr>
        <w:spacing w:line="720" w:lineRule="auto"/>
        <w:ind w:firstLine="944" w:firstLineChars="295"/>
        <w:rPr>
          <w:b/>
          <w:bCs/>
          <w:sz w:val="32"/>
          <w:u w:val="single"/>
        </w:rPr>
      </w:pPr>
      <w:r>
        <w:rPr>
          <w:rFonts w:hint="eastAsia"/>
          <w:b/>
          <w:sz w:val="32"/>
        </w:rPr>
        <w:t>建设单位</w:t>
      </w:r>
      <w:r>
        <w:rPr>
          <w:rFonts w:hint="eastAsia" w:ascii="宋体" w:hAnsi="宋体"/>
          <w:b/>
          <w:sz w:val="32"/>
        </w:rPr>
        <w:t>(盖章)</w:t>
      </w:r>
      <w:r>
        <w:rPr>
          <w:rFonts w:hint="eastAsia"/>
          <w:b/>
          <w:sz w:val="32"/>
        </w:rPr>
        <w:t>：</w:t>
      </w:r>
      <w:commentRangeStart w:id="1"/>
      <w:r>
        <w:rPr>
          <w:rFonts w:hint="eastAsia"/>
          <w:b/>
          <w:sz w:val="32"/>
          <w:u w:val="single"/>
        </w:rPr>
        <w:t>新河县雄飞桩工机械厂</w:t>
      </w:r>
      <w:commentRangeEnd w:id="1"/>
      <w:r>
        <w:rPr>
          <w:rStyle w:val="45"/>
        </w:rPr>
        <w:commentReference w:id="1"/>
      </w:r>
      <w:r>
        <w:rPr>
          <w:rFonts w:hint="eastAsia"/>
          <w:b/>
          <w:sz w:val="32"/>
          <w:u w:val="single"/>
        </w:rPr>
        <w:t xml:space="preserve">   </w:t>
      </w:r>
    </w:p>
    <w:p>
      <w:pPr>
        <w:spacing w:line="480" w:lineRule="auto"/>
        <w:rPr>
          <w:sz w:val="32"/>
        </w:rPr>
      </w:pPr>
    </w:p>
    <w:p>
      <w:pPr>
        <w:spacing w:line="480" w:lineRule="auto"/>
        <w:rPr>
          <w:sz w:val="32"/>
        </w:rPr>
      </w:pPr>
    </w:p>
    <w:p>
      <w:pPr>
        <w:spacing w:line="480" w:lineRule="auto"/>
        <w:jc w:val="center"/>
        <w:rPr>
          <w:b/>
          <w:bCs/>
          <w:sz w:val="32"/>
        </w:rPr>
      </w:pPr>
    </w:p>
    <w:p>
      <w:pPr>
        <w:spacing w:line="480" w:lineRule="auto"/>
        <w:jc w:val="center"/>
        <w:rPr>
          <w:b/>
          <w:bCs/>
          <w:sz w:val="32"/>
        </w:rPr>
      </w:pPr>
    </w:p>
    <w:p>
      <w:pPr>
        <w:spacing w:line="480" w:lineRule="auto"/>
        <w:jc w:val="center"/>
        <w:rPr>
          <w:b/>
          <w:bCs/>
          <w:sz w:val="32"/>
        </w:rPr>
      </w:pPr>
      <w:r>
        <w:rPr>
          <w:rFonts w:hint="eastAsia"/>
          <w:b/>
          <w:bCs/>
          <w:sz w:val="32"/>
        </w:rPr>
        <w:t>编制日期：2018年5月</w:t>
      </w:r>
    </w:p>
    <w:p>
      <w:pPr>
        <w:spacing w:line="480" w:lineRule="auto"/>
        <w:jc w:val="center"/>
        <w:rPr>
          <w:b/>
          <w:bCs/>
          <w:sz w:val="32"/>
        </w:rPr>
      </w:pPr>
      <w:r>
        <w:rPr>
          <w:rFonts w:hint="eastAsia"/>
          <w:b/>
          <w:bCs/>
          <w:sz w:val="32"/>
        </w:rPr>
        <w:t>中华人民共和国环境保护部制</w:t>
      </w:r>
    </w:p>
    <w:p>
      <w:pPr>
        <w:rPr>
          <w:bCs/>
          <w:color w:val="0000FF"/>
          <w:sz w:val="32"/>
        </w:rPr>
      </w:pPr>
    </w:p>
    <w:p>
      <w:pPr>
        <w:outlineLvl w:val="0"/>
        <w:rPr>
          <w:bCs/>
          <w:color w:val="0000FF"/>
          <w:sz w:val="32"/>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588" w:header="1134" w:footer="902" w:gutter="0"/>
          <w:pgNumType w:start="1"/>
          <w:cols w:space="720" w:num="1"/>
          <w:titlePg/>
          <w:docGrid w:type="linesAndChars" w:linePitch="312" w:charSpace="0"/>
        </w:sectPr>
      </w:pPr>
    </w:p>
    <w:p>
      <w:pPr>
        <w:rPr>
          <w:rFonts w:ascii="宋体" w:hAnsi="宋体"/>
          <w:color w:val="0000FF"/>
          <w:sz w:val="24"/>
          <w:szCs w:val="24"/>
        </w:rPr>
      </w:pPr>
    </w:p>
    <w:p>
      <w:pPr>
        <w:rPr>
          <w:bCs/>
          <w:color w:val="0000FF"/>
          <w:sz w:val="32"/>
        </w:rPr>
      </w:pPr>
    </w:p>
    <w:p>
      <w:pPr>
        <w:jc w:val="center"/>
        <w:rPr>
          <w:rFonts w:ascii="宋体" w:hAnsi="宋体"/>
          <w:b/>
          <w:bCs/>
          <w:sz w:val="28"/>
          <w:szCs w:val="18"/>
        </w:rPr>
      </w:pPr>
      <w:r>
        <w:rPr>
          <w:rFonts w:hint="eastAsia" w:ascii="宋体" w:hAnsi="宋体"/>
          <w:b/>
          <w:bCs/>
          <w:sz w:val="28"/>
          <w:szCs w:val="18"/>
        </w:rPr>
        <w:t>《建设项目环境影响报告表》编制说明</w:t>
      </w:r>
    </w:p>
    <w:p>
      <w:pPr>
        <w:ind w:firstLine="573"/>
        <w:rPr>
          <w:rFonts w:ascii="宋体" w:hAnsi="宋体"/>
          <w:bCs/>
          <w:sz w:val="28"/>
        </w:rPr>
      </w:pPr>
    </w:p>
    <w:p>
      <w:pPr>
        <w:spacing w:line="360" w:lineRule="auto"/>
        <w:ind w:firstLine="570"/>
        <w:rPr>
          <w:bCs/>
          <w:sz w:val="28"/>
        </w:rPr>
      </w:pPr>
      <w:r>
        <w:rPr>
          <w:rFonts w:hAnsi="宋体"/>
          <w:bCs/>
          <w:sz w:val="28"/>
        </w:rPr>
        <w:t>《建设项目环境影响报告表》由具有从事环境影响评价工作资质的单位编制。</w:t>
      </w:r>
    </w:p>
    <w:p>
      <w:pPr>
        <w:spacing w:line="360" w:lineRule="auto"/>
        <w:ind w:firstLine="560" w:firstLineChars="200"/>
        <w:rPr>
          <w:bCs/>
          <w:sz w:val="28"/>
        </w:rPr>
      </w:pPr>
      <w:r>
        <w:rPr>
          <w:bCs/>
          <w:sz w:val="28"/>
        </w:rPr>
        <w:t>1</w:t>
      </w:r>
      <w:r>
        <w:rPr>
          <w:rFonts w:hAnsi="宋体"/>
          <w:bCs/>
          <w:sz w:val="28"/>
        </w:rPr>
        <w:t>、项目名称</w:t>
      </w:r>
      <w:r>
        <w:rPr>
          <w:bCs/>
          <w:sz w:val="28"/>
        </w:rPr>
        <w:t>——</w:t>
      </w:r>
      <w:r>
        <w:rPr>
          <w:rFonts w:hAnsi="宋体"/>
          <w:bCs/>
          <w:sz w:val="28"/>
        </w:rPr>
        <w:t>指项目立项批复时的名称，应不超过</w:t>
      </w:r>
      <w:r>
        <w:rPr>
          <w:bCs/>
          <w:sz w:val="28"/>
        </w:rPr>
        <w:t>30</w:t>
      </w:r>
      <w:r>
        <w:rPr>
          <w:rFonts w:hAnsi="宋体"/>
          <w:bCs/>
          <w:sz w:val="28"/>
        </w:rPr>
        <w:t>个字</w:t>
      </w:r>
      <w:r>
        <w:rPr>
          <w:rFonts w:hint="eastAsia" w:hAnsi="宋体"/>
          <w:bCs/>
          <w:sz w:val="28"/>
        </w:rPr>
        <w:t>(</w:t>
      </w:r>
      <w:r>
        <w:rPr>
          <w:rFonts w:hAnsi="宋体"/>
          <w:bCs/>
          <w:sz w:val="28"/>
        </w:rPr>
        <w:t>两个英文字段作一个汉字</w:t>
      </w:r>
      <w:r>
        <w:rPr>
          <w:rFonts w:hint="eastAsia" w:hAnsi="宋体"/>
          <w:bCs/>
          <w:sz w:val="28"/>
        </w:rPr>
        <w:t>)</w:t>
      </w:r>
      <w:r>
        <w:rPr>
          <w:rFonts w:hAnsi="宋体"/>
          <w:bCs/>
          <w:sz w:val="28"/>
        </w:rPr>
        <w:t>。</w:t>
      </w:r>
    </w:p>
    <w:p>
      <w:pPr>
        <w:spacing w:line="360" w:lineRule="auto"/>
        <w:ind w:firstLine="560" w:firstLineChars="200"/>
        <w:rPr>
          <w:bCs/>
          <w:sz w:val="28"/>
        </w:rPr>
      </w:pPr>
      <w:r>
        <w:rPr>
          <w:bCs/>
          <w:sz w:val="28"/>
        </w:rPr>
        <w:t>2</w:t>
      </w:r>
      <w:r>
        <w:rPr>
          <w:rFonts w:hAnsi="宋体"/>
          <w:bCs/>
          <w:sz w:val="28"/>
        </w:rPr>
        <w:t>、建设地点</w:t>
      </w:r>
      <w:r>
        <w:rPr>
          <w:bCs/>
          <w:sz w:val="28"/>
        </w:rPr>
        <w:t>——</w:t>
      </w:r>
      <w:r>
        <w:rPr>
          <w:rFonts w:hAnsi="宋体"/>
          <w:bCs/>
          <w:sz w:val="28"/>
        </w:rPr>
        <w:t>指项目所在地详细地址，公路、铁路应填写起止地点。</w:t>
      </w:r>
    </w:p>
    <w:p>
      <w:pPr>
        <w:spacing w:line="360" w:lineRule="auto"/>
        <w:ind w:firstLine="560" w:firstLineChars="200"/>
        <w:rPr>
          <w:bCs/>
          <w:sz w:val="28"/>
        </w:rPr>
      </w:pPr>
      <w:r>
        <w:rPr>
          <w:bCs/>
          <w:sz w:val="28"/>
        </w:rPr>
        <w:t>3</w:t>
      </w:r>
      <w:r>
        <w:rPr>
          <w:rFonts w:hAnsi="宋体"/>
          <w:bCs/>
          <w:sz w:val="28"/>
        </w:rPr>
        <w:t>、行业类别</w:t>
      </w:r>
      <w:r>
        <w:rPr>
          <w:bCs/>
          <w:sz w:val="28"/>
        </w:rPr>
        <w:t>——</w:t>
      </w:r>
      <w:r>
        <w:rPr>
          <w:rFonts w:hAnsi="宋体"/>
          <w:bCs/>
          <w:sz w:val="28"/>
        </w:rPr>
        <w:t>按国标填写。</w:t>
      </w:r>
    </w:p>
    <w:p>
      <w:pPr>
        <w:spacing w:line="360" w:lineRule="auto"/>
        <w:ind w:firstLine="560" w:firstLineChars="200"/>
        <w:rPr>
          <w:bCs/>
          <w:sz w:val="28"/>
        </w:rPr>
      </w:pPr>
      <w:r>
        <w:rPr>
          <w:bCs/>
          <w:sz w:val="28"/>
        </w:rPr>
        <w:t>4</w:t>
      </w:r>
      <w:r>
        <w:rPr>
          <w:rFonts w:hAnsi="宋体"/>
          <w:bCs/>
          <w:sz w:val="28"/>
        </w:rPr>
        <w:t>、总投资</w:t>
      </w:r>
      <w:r>
        <w:rPr>
          <w:bCs/>
          <w:sz w:val="28"/>
        </w:rPr>
        <w:t>——</w:t>
      </w:r>
      <w:r>
        <w:rPr>
          <w:rFonts w:hAnsi="宋体"/>
          <w:bCs/>
          <w:sz w:val="28"/>
        </w:rPr>
        <w:t>指项目投资总额。</w:t>
      </w:r>
    </w:p>
    <w:p>
      <w:pPr>
        <w:spacing w:line="360" w:lineRule="auto"/>
        <w:ind w:firstLine="560" w:firstLineChars="200"/>
        <w:rPr>
          <w:bCs/>
          <w:sz w:val="28"/>
        </w:rPr>
      </w:pPr>
      <w:r>
        <w:rPr>
          <w:bCs/>
          <w:sz w:val="28"/>
        </w:rPr>
        <w:t>5</w:t>
      </w:r>
      <w:r>
        <w:rPr>
          <w:rFonts w:hAnsi="宋体"/>
          <w:bCs/>
          <w:sz w:val="28"/>
        </w:rPr>
        <w:t>、主要环境保护目标</w:t>
      </w:r>
      <w:r>
        <w:rPr>
          <w:bCs/>
          <w:sz w:val="28"/>
        </w:rPr>
        <w:t>——</w:t>
      </w:r>
      <w:r>
        <w:rPr>
          <w:rFonts w:hAnsi="宋体"/>
          <w:bCs/>
          <w:sz w:val="28"/>
        </w:rPr>
        <w:t>指项目区周围一定范围内集中居民住宅区、学校、医院、保护文物、风景名胜区、水源地和生态敏感点等，应尽可能给出保护目标、性质、规模和距厂界距离等。</w:t>
      </w:r>
      <w:r>
        <w:rPr>
          <w:rFonts w:hint="eastAsia" w:hAnsi="宋体"/>
          <w:bCs/>
          <w:sz w:val="28"/>
        </w:rPr>
        <w:t xml:space="preserve"> </w:t>
      </w:r>
    </w:p>
    <w:p>
      <w:pPr>
        <w:spacing w:line="360" w:lineRule="auto"/>
        <w:ind w:firstLine="560" w:firstLineChars="200"/>
        <w:rPr>
          <w:bCs/>
          <w:sz w:val="28"/>
        </w:rPr>
      </w:pPr>
      <w:r>
        <w:rPr>
          <w:bCs/>
          <w:sz w:val="28"/>
        </w:rPr>
        <w:t>6</w:t>
      </w:r>
      <w:r>
        <w:rPr>
          <w:rFonts w:hAnsi="宋体"/>
          <w:bCs/>
          <w:sz w:val="28"/>
        </w:rPr>
        <w:t>、结论与建议</w:t>
      </w:r>
      <w:r>
        <w:rPr>
          <w:bCs/>
          <w:sz w:val="28"/>
        </w:rPr>
        <w:t>——</w:t>
      </w:r>
      <w:r>
        <w:rPr>
          <w:rFonts w:hint="eastAsia"/>
          <w:bCs/>
          <w:sz w:val="28"/>
        </w:rPr>
        <w:t>对建设项目的建设概况、环境质量现状、污染物排放情况、主要环境影响、等内容进行概括总结，结合环境质量目标要求，明确给出建设项目的环境影响可行性结论。</w:t>
      </w:r>
    </w:p>
    <w:p>
      <w:pPr>
        <w:spacing w:line="360" w:lineRule="auto"/>
        <w:ind w:firstLine="560" w:firstLineChars="200"/>
        <w:rPr>
          <w:bCs/>
          <w:sz w:val="28"/>
        </w:rPr>
      </w:pPr>
      <w:r>
        <w:rPr>
          <w:bCs/>
          <w:sz w:val="28"/>
        </w:rPr>
        <w:t>7</w:t>
      </w:r>
      <w:r>
        <w:rPr>
          <w:rFonts w:hAnsi="宋体"/>
          <w:bCs/>
          <w:sz w:val="28"/>
        </w:rPr>
        <w:t>、预审意见</w:t>
      </w:r>
      <w:r>
        <w:rPr>
          <w:bCs/>
          <w:sz w:val="28"/>
        </w:rPr>
        <w:t>——</w:t>
      </w:r>
      <w:r>
        <w:rPr>
          <w:rFonts w:hAnsi="宋体"/>
          <w:bCs/>
          <w:sz w:val="28"/>
        </w:rPr>
        <w:t>由行业主管部门填写答复意见，无主管部门项目，可不填。</w:t>
      </w:r>
    </w:p>
    <w:p>
      <w:pPr>
        <w:spacing w:line="360" w:lineRule="auto"/>
        <w:ind w:firstLine="560" w:firstLineChars="200"/>
        <w:jc w:val="center"/>
        <w:rPr>
          <w:rFonts w:ascii="宋体" w:hAnsi="宋体"/>
          <w:sz w:val="48"/>
          <w:szCs w:val="48"/>
        </w:rPr>
      </w:pPr>
      <w:r>
        <w:rPr>
          <w:rFonts w:hint="eastAsia"/>
          <w:bCs/>
          <w:sz w:val="28"/>
        </w:rPr>
        <w:t>8、</w:t>
      </w:r>
      <w:r>
        <w:rPr>
          <w:rFonts w:hint="eastAsia" w:ascii="宋体" w:hAnsi="宋体"/>
          <w:bCs/>
          <w:sz w:val="28"/>
        </w:rPr>
        <w:t>审批意见——由负责审批本项目的环境保护行政主管部门批复。</w:t>
      </w:r>
    </w:p>
    <w:p>
      <w:pPr>
        <w:outlineLvl w:val="0"/>
        <w:rPr>
          <w:rFonts w:eastAsia="黑体"/>
          <w:b/>
          <w:bCs/>
          <w:sz w:val="32"/>
        </w:rPr>
        <w:sectPr>
          <w:pgSz w:w="11906" w:h="16838"/>
          <w:pgMar w:top="1418" w:right="1418" w:bottom="1418" w:left="1588" w:header="1134" w:footer="902" w:gutter="0"/>
          <w:pgNumType w:start="1"/>
          <w:cols w:space="720" w:num="1"/>
          <w:titlePg/>
          <w:docGrid w:type="linesAndChars" w:linePitch="312" w:charSpace="0"/>
        </w:sectPr>
      </w:pPr>
    </w:p>
    <w:p>
      <w:pPr>
        <w:outlineLvl w:val="0"/>
        <w:rPr>
          <w:rFonts w:eastAsia="黑体"/>
          <w:b/>
          <w:bCs/>
          <w:sz w:val="32"/>
        </w:rPr>
      </w:pPr>
      <w:r>
        <w:rPr>
          <w:rFonts w:hint="eastAsia" w:eastAsia="黑体"/>
          <w:b/>
          <w:bCs/>
          <w:sz w:val="32"/>
        </w:rPr>
        <w:t>建设项目</w:t>
      </w:r>
      <w:r>
        <w:rPr>
          <w:rFonts w:eastAsia="黑体"/>
          <w:b/>
          <w:bCs/>
          <w:sz w:val="32"/>
        </w:rPr>
        <w:t>基本情况</w:t>
      </w:r>
    </w:p>
    <w:tbl>
      <w:tblPr>
        <w:tblStyle w:val="31"/>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1207"/>
        <w:gridCol w:w="490"/>
        <w:gridCol w:w="1049"/>
        <w:gridCol w:w="1571"/>
        <w:gridCol w:w="6"/>
        <w:gridCol w:w="1541"/>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tcBorders>
              <w:top w:val="single" w:color="auto" w:sz="8" w:space="0"/>
              <w:left w:val="single" w:color="auto" w:sz="8" w:space="0"/>
              <w:bottom w:val="single" w:color="auto" w:sz="6" w:space="0"/>
              <w:right w:val="single" w:color="auto" w:sz="6" w:space="0"/>
            </w:tcBorders>
            <w:vAlign w:val="center"/>
          </w:tcPr>
          <w:p>
            <w:pPr>
              <w:spacing w:line="360" w:lineRule="exact"/>
              <w:jc w:val="center"/>
              <w:rPr>
                <w:b/>
                <w:sz w:val="28"/>
              </w:rPr>
            </w:pPr>
            <w:r>
              <w:rPr>
                <w:b/>
                <w:sz w:val="28"/>
              </w:rPr>
              <w:t>项目名称</w:t>
            </w:r>
          </w:p>
        </w:tc>
        <w:tc>
          <w:tcPr>
            <w:tcW w:w="6983" w:type="dxa"/>
            <w:gridSpan w:val="7"/>
            <w:tcBorders>
              <w:top w:val="single" w:color="auto" w:sz="8" w:space="0"/>
              <w:left w:val="single" w:color="auto" w:sz="6" w:space="0"/>
              <w:bottom w:val="single" w:color="auto" w:sz="6" w:space="0"/>
              <w:right w:val="single" w:color="auto" w:sz="8" w:space="0"/>
            </w:tcBorders>
            <w:vAlign w:val="center"/>
          </w:tcPr>
          <w:p>
            <w:pPr>
              <w:snapToGrid w:val="0"/>
              <w:spacing w:line="360" w:lineRule="exact"/>
              <w:jc w:val="center"/>
              <w:rPr>
                <w:sz w:val="24"/>
              </w:rPr>
            </w:pPr>
            <w:r>
              <w:rPr>
                <w:rFonts w:hint="eastAsia"/>
                <w:sz w:val="24"/>
              </w:rPr>
              <w:t>CFG螺旋钻机扩建技术改造项目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tcBorders>
              <w:top w:val="single" w:color="auto" w:sz="6" w:space="0"/>
              <w:left w:val="single" w:color="auto" w:sz="8" w:space="0"/>
              <w:bottom w:val="single" w:color="auto" w:sz="6" w:space="0"/>
              <w:right w:val="single" w:color="auto" w:sz="6" w:space="0"/>
            </w:tcBorders>
            <w:vAlign w:val="center"/>
          </w:tcPr>
          <w:p>
            <w:pPr>
              <w:spacing w:line="360" w:lineRule="exact"/>
              <w:jc w:val="center"/>
              <w:rPr>
                <w:b/>
                <w:sz w:val="28"/>
              </w:rPr>
            </w:pPr>
            <w:r>
              <w:rPr>
                <w:b/>
                <w:sz w:val="28"/>
              </w:rPr>
              <w:t>建设单位</w:t>
            </w:r>
          </w:p>
        </w:tc>
        <w:tc>
          <w:tcPr>
            <w:tcW w:w="6983" w:type="dxa"/>
            <w:gridSpan w:val="7"/>
            <w:tcBorders>
              <w:top w:val="single" w:color="auto" w:sz="6" w:space="0"/>
              <w:left w:val="single" w:color="auto" w:sz="6" w:space="0"/>
              <w:bottom w:val="single" w:color="auto" w:sz="6" w:space="0"/>
              <w:right w:val="single" w:color="auto" w:sz="8" w:space="0"/>
            </w:tcBorders>
            <w:vAlign w:val="center"/>
          </w:tcPr>
          <w:p>
            <w:pPr>
              <w:snapToGrid w:val="0"/>
              <w:spacing w:line="360" w:lineRule="exact"/>
              <w:jc w:val="center"/>
              <w:rPr>
                <w:sz w:val="24"/>
                <w:szCs w:val="24"/>
              </w:rPr>
            </w:pPr>
            <w:r>
              <w:rPr>
                <w:rFonts w:hint="eastAsia"/>
                <w:sz w:val="24"/>
                <w:szCs w:val="24"/>
              </w:rPr>
              <w:t>新河县雄飞桩工机械厂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020" w:type="dxa"/>
            <w:tcBorders>
              <w:top w:val="single" w:color="auto" w:sz="6" w:space="0"/>
              <w:left w:val="single" w:color="auto" w:sz="8" w:space="0"/>
              <w:bottom w:val="single" w:color="auto" w:sz="6" w:space="0"/>
              <w:right w:val="single" w:color="auto" w:sz="6" w:space="0"/>
            </w:tcBorders>
            <w:vAlign w:val="center"/>
          </w:tcPr>
          <w:p>
            <w:pPr>
              <w:spacing w:line="360" w:lineRule="exact"/>
              <w:jc w:val="center"/>
              <w:rPr>
                <w:b/>
                <w:sz w:val="28"/>
              </w:rPr>
            </w:pPr>
            <w:r>
              <w:rPr>
                <w:b/>
                <w:sz w:val="28"/>
              </w:rPr>
              <w:t>法人代表</w:t>
            </w:r>
          </w:p>
        </w:tc>
        <w:tc>
          <w:tcPr>
            <w:tcW w:w="2746" w:type="dxa"/>
            <w:gridSpan w:val="3"/>
            <w:tcBorders>
              <w:top w:val="single" w:color="auto" w:sz="6" w:space="0"/>
              <w:left w:val="single" w:color="auto" w:sz="6" w:space="0"/>
              <w:bottom w:val="single" w:color="auto" w:sz="6" w:space="0"/>
              <w:right w:val="single" w:color="auto" w:sz="6" w:space="0"/>
            </w:tcBorders>
            <w:vAlign w:val="center"/>
          </w:tcPr>
          <w:p>
            <w:pPr>
              <w:snapToGrid w:val="0"/>
              <w:spacing w:line="360" w:lineRule="exact"/>
              <w:jc w:val="center"/>
              <w:rPr>
                <w:sz w:val="24"/>
                <w:szCs w:val="24"/>
              </w:rPr>
            </w:pPr>
            <w:r>
              <w:rPr>
                <w:rFonts w:hint="eastAsia"/>
                <w:sz w:val="24"/>
                <w:szCs w:val="24"/>
              </w:rPr>
              <w:t>李会敏</w:t>
            </w:r>
          </w:p>
        </w:tc>
        <w:tc>
          <w:tcPr>
            <w:tcW w:w="1577"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b/>
                <w:sz w:val="28"/>
              </w:rPr>
            </w:pPr>
            <w:r>
              <w:rPr>
                <w:b/>
                <w:sz w:val="28"/>
              </w:rPr>
              <w:t>联系人</w:t>
            </w:r>
          </w:p>
        </w:tc>
        <w:tc>
          <w:tcPr>
            <w:tcW w:w="2660" w:type="dxa"/>
            <w:gridSpan w:val="2"/>
            <w:tcBorders>
              <w:top w:val="single" w:color="auto" w:sz="6" w:space="0"/>
              <w:left w:val="single" w:color="auto" w:sz="6" w:space="0"/>
              <w:bottom w:val="single" w:color="auto" w:sz="6" w:space="0"/>
              <w:right w:val="single" w:color="auto" w:sz="8" w:space="0"/>
            </w:tcBorders>
            <w:vAlign w:val="center"/>
          </w:tcPr>
          <w:p>
            <w:pPr>
              <w:snapToGrid w:val="0"/>
              <w:spacing w:line="360" w:lineRule="exact"/>
              <w:jc w:val="center"/>
              <w:rPr>
                <w:sz w:val="24"/>
              </w:rPr>
            </w:pPr>
            <w:r>
              <w:rPr>
                <w:rFonts w:hint="eastAsia"/>
                <w:sz w:val="24"/>
                <w:szCs w:val="24"/>
              </w:rPr>
              <w:t>李会敏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tcBorders>
              <w:top w:val="single" w:color="auto" w:sz="6" w:space="0"/>
              <w:left w:val="single" w:color="auto" w:sz="8" w:space="0"/>
              <w:bottom w:val="single" w:color="auto" w:sz="6" w:space="0"/>
              <w:right w:val="single" w:color="auto" w:sz="6" w:space="0"/>
            </w:tcBorders>
            <w:vAlign w:val="center"/>
          </w:tcPr>
          <w:p>
            <w:pPr>
              <w:spacing w:line="360" w:lineRule="exact"/>
              <w:jc w:val="center"/>
              <w:rPr>
                <w:b/>
                <w:sz w:val="28"/>
              </w:rPr>
            </w:pPr>
            <w:r>
              <w:rPr>
                <w:b/>
                <w:sz w:val="28"/>
              </w:rPr>
              <w:t>通讯地址</w:t>
            </w:r>
          </w:p>
        </w:tc>
        <w:tc>
          <w:tcPr>
            <w:tcW w:w="6983" w:type="dxa"/>
            <w:gridSpan w:val="7"/>
            <w:tcBorders>
              <w:top w:val="single" w:color="auto" w:sz="6" w:space="0"/>
              <w:left w:val="single" w:color="auto" w:sz="6" w:space="0"/>
              <w:bottom w:val="single" w:color="auto" w:sz="6" w:space="0"/>
              <w:right w:val="single" w:color="auto" w:sz="8" w:space="0"/>
            </w:tcBorders>
            <w:vAlign w:val="center"/>
          </w:tcPr>
          <w:p>
            <w:pPr>
              <w:snapToGrid w:val="0"/>
              <w:spacing w:line="360" w:lineRule="exact"/>
              <w:ind w:firstLine="235" w:firstLineChars="98"/>
              <w:jc w:val="center"/>
              <w:rPr>
                <w:sz w:val="24"/>
                <w:szCs w:val="24"/>
              </w:rPr>
            </w:pPr>
            <w:r>
              <w:rPr>
                <w:rFonts w:hint="eastAsia"/>
                <w:sz w:val="24"/>
                <w:szCs w:val="24"/>
              </w:rPr>
              <w:t>新河县工业区时代路西段路北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020" w:type="dxa"/>
            <w:tcBorders>
              <w:top w:val="single" w:color="auto" w:sz="6" w:space="0"/>
              <w:left w:val="single" w:color="auto" w:sz="8" w:space="0"/>
              <w:bottom w:val="single" w:color="auto" w:sz="6" w:space="0"/>
              <w:right w:val="single" w:color="auto" w:sz="6" w:space="0"/>
            </w:tcBorders>
            <w:vAlign w:val="center"/>
          </w:tcPr>
          <w:p>
            <w:pPr>
              <w:spacing w:line="360" w:lineRule="exact"/>
              <w:jc w:val="center"/>
              <w:rPr>
                <w:b/>
                <w:sz w:val="28"/>
                <w:highlight w:val="yellow"/>
              </w:rPr>
            </w:pPr>
            <w:r>
              <w:rPr>
                <w:b/>
                <w:sz w:val="28"/>
              </w:rPr>
              <w:t>联系电话</w:t>
            </w:r>
          </w:p>
        </w:tc>
        <w:tc>
          <w:tcPr>
            <w:tcW w:w="1697"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rPr>
            </w:pPr>
            <w:r>
              <w:rPr>
                <w:rFonts w:hint="eastAsia"/>
                <w:sz w:val="24"/>
              </w:rPr>
              <w:t>13503288226</w:t>
            </w:r>
          </w:p>
        </w:tc>
        <w:tc>
          <w:tcPr>
            <w:tcW w:w="104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b/>
                <w:sz w:val="28"/>
              </w:rPr>
            </w:pPr>
            <w:r>
              <w:rPr>
                <w:b/>
                <w:sz w:val="28"/>
              </w:rPr>
              <w:t>传 真</w:t>
            </w:r>
          </w:p>
        </w:tc>
        <w:tc>
          <w:tcPr>
            <w:tcW w:w="1577"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rPr>
            </w:pPr>
            <w:r>
              <w:rPr>
                <w:rFonts w:hint="eastAsia"/>
                <w:sz w:val="24"/>
              </w:rPr>
              <w:t>--</w:t>
            </w:r>
          </w:p>
        </w:tc>
        <w:tc>
          <w:tcPr>
            <w:tcW w:w="154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b/>
                <w:sz w:val="28"/>
              </w:rPr>
            </w:pPr>
            <w:r>
              <w:rPr>
                <w:b/>
                <w:sz w:val="28"/>
              </w:rPr>
              <w:t>邮政编码</w:t>
            </w:r>
          </w:p>
        </w:tc>
        <w:tc>
          <w:tcPr>
            <w:tcW w:w="1119" w:type="dxa"/>
            <w:tcBorders>
              <w:top w:val="single" w:color="auto" w:sz="6" w:space="0"/>
              <w:left w:val="single" w:color="auto" w:sz="6" w:space="0"/>
              <w:bottom w:val="single" w:color="auto" w:sz="6" w:space="0"/>
              <w:right w:val="single" w:color="auto" w:sz="8" w:space="0"/>
            </w:tcBorders>
            <w:vAlign w:val="center"/>
          </w:tcPr>
          <w:p>
            <w:pPr>
              <w:spacing w:line="360" w:lineRule="exact"/>
              <w:jc w:val="center"/>
              <w:rPr>
                <w:sz w:val="24"/>
                <w:highlight w:val="yellow"/>
              </w:rPr>
            </w:pPr>
            <w:r>
              <w:rPr>
                <w:rFonts w:hint="eastAsia"/>
                <w:sz w:val="24"/>
              </w:rPr>
              <w:t>055650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020" w:type="dxa"/>
            <w:tcBorders>
              <w:top w:val="single" w:color="auto" w:sz="6" w:space="0"/>
              <w:left w:val="single" w:color="auto" w:sz="8" w:space="0"/>
              <w:bottom w:val="single" w:color="auto" w:sz="6" w:space="0"/>
              <w:right w:val="single" w:color="auto" w:sz="6" w:space="0"/>
            </w:tcBorders>
            <w:vAlign w:val="center"/>
          </w:tcPr>
          <w:p>
            <w:pPr>
              <w:spacing w:line="360" w:lineRule="exact"/>
              <w:jc w:val="center"/>
              <w:rPr>
                <w:b/>
                <w:sz w:val="28"/>
              </w:rPr>
            </w:pPr>
            <w:r>
              <w:rPr>
                <w:b/>
                <w:sz w:val="28"/>
              </w:rPr>
              <w:t>建设地点</w:t>
            </w:r>
          </w:p>
        </w:tc>
        <w:tc>
          <w:tcPr>
            <w:tcW w:w="6983" w:type="dxa"/>
            <w:gridSpan w:val="7"/>
            <w:tcBorders>
              <w:top w:val="single" w:color="auto" w:sz="6" w:space="0"/>
              <w:left w:val="single" w:color="auto" w:sz="6" w:space="0"/>
              <w:bottom w:val="single" w:color="auto" w:sz="6" w:space="0"/>
              <w:right w:val="single" w:color="auto" w:sz="8" w:space="0"/>
            </w:tcBorders>
            <w:vAlign w:val="center"/>
          </w:tcPr>
          <w:p>
            <w:pPr>
              <w:snapToGrid w:val="0"/>
              <w:spacing w:line="360" w:lineRule="exact"/>
              <w:ind w:firstLine="235" w:firstLineChars="98"/>
              <w:jc w:val="center"/>
              <w:rPr>
                <w:sz w:val="24"/>
              </w:rPr>
            </w:pPr>
            <w:r>
              <w:rPr>
                <w:rFonts w:hint="eastAsia"/>
                <w:sz w:val="24"/>
                <w:szCs w:val="24"/>
              </w:rPr>
              <w:t>新河县工业区时代路西段路北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20" w:type="dxa"/>
            <w:tcBorders>
              <w:top w:val="single" w:color="auto" w:sz="6" w:space="0"/>
              <w:left w:val="single" w:color="auto" w:sz="8" w:space="0"/>
              <w:bottom w:val="single" w:color="auto" w:sz="6" w:space="0"/>
              <w:right w:val="single" w:color="auto" w:sz="6" w:space="0"/>
            </w:tcBorders>
            <w:vAlign w:val="center"/>
          </w:tcPr>
          <w:p>
            <w:pPr>
              <w:spacing w:line="360" w:lineRule="exact"/>
              <w:jc w:val="center"/>
              <w:rPr>
                <w:b/>
                <w:sz w:val="28"/>
              </w:rPr>
            </w:pPr>
            <w:r>
              <w:rPr>
                <w:b/>
                <w:sz w:val="28"/>
              </w:rPr>
              <w:t>立项审批部门</w:t>
            </w:r>
          </w:p>
        </w:tc>
        <w:tc>
          <w:tcPr>
            <w:tcW w:w="2746"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rPr>
            </w:pPr>
            <w:r>
              <w:rPr>
                <w:rFonts w:hint="eastAsia"/>
                <w:sz w:val="24"/>
              </w:rPr>
              <w:t>新河县工业和信息化局</w:t>
            </w:r>
          </w:p>
        </w:tc>
        <w:tc>
          <w:tcPr>
            <w:tcW w:w="157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b/>
                <w:sz w:val="28"/>
              </w:rPr>
            </w:pPr>
            <w:r>
              <w:rPr>
                <w:b/>
                <w:sz w:val="28"/>
              </w:rPr>
              <w:t>批准文号</w:t>
            </w:r>
          </w:p>
        </w:tc>
        <w:tc>
          <w:tcPr>
            <w:tcW w:w="2666" w:type="dxa"/>
            <w:gridSpan w:val="3"/>
            <w:tcBorders>
              <w:top w:val="single" w:color="auto" w:sz="6" w:space="0"/>
              <w:left w:val="single" w:color="auto" w:sz="6" w:space="0"/>
              <w:bottom w:val="single" w:color="auto" w:sz="6" w:space="0"/>
              <w:right w:val="single" w:color="auto" w:sz="8" w:space="0"/>
            </w:tcBorders>
            <w:vAlign w:val="center"/>
          </w:tcPr>
          <w:p>
            <w:pPr>
              <w:spacing w:line="360" w:lineRule="exact"/>
              <w:ind w:left="-105" w:leftChars="-51" w:right="-107" w:rightChars="-51" w:hanging="2"/>
              <w:jc w:val="center"/>
              <w:rPr>
                <w:sz w:val="24"/>
              </w:rPr>
            </w:pPr>
            <w:r>
              <w:rPr>
                <w:rFonts w:hint="eastAsia"/>
                <w:sz w:val="24"/>
              </w:rPr>
              <w:t>新工信备字[2017]8号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020" w:type="dxa"/>
            <w:tcBorders>
              <w:top w:val="single" w:color="auto" w:sz="6" w:space="0"/>
              <w:left w:val="single" w:color="auto" w:sz="8" w:space="0"/>
              <w:bottom w:val="single" w:color="auto" w:sz="6" w:space="0"/>
              <w:right w:val="single" w:color="auto" w:sz="6" w:space="0"/>
            </w:tcBorders>
            <w:vAlign w:val="center"/>
          </w:tcPr>
          <w:p>
            <w:pPr>
              <w:spacing w:line="360" w:lineRule="exact"/>
              <w:jc w:val="center"/>
              <w:rPr>
                <w:b/>
                <w:sz w:val="28"/>
              </w:rPr>
            </w:pPr>
            <w:r>
              <w:rPr>
                <w:b/>
                <w:sz w:val="28"/>
              </w:rPr>
              <w:t>建设性质</w:t>
            </w:r>
          </w:p>
        </w:tc>
        <w:tc>
          <w:tcPr>
            <w:tcW w:w="2746"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rPr>
            </w:pPr>
            <w:r>
              <w:rPr>
                <w:sz w:val="24"/>
              </w:rPr>
              <w:t>新建□改建□技改■</w:t>
            </w:r>
          </w:p>
        </w:tc>
        <w:tc>
          <w:tcPr>
            <w:tcW w:w="157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b/>
                <w:sz w:val="28"/>
              </w:rPr>
            </w:pPr>
            <w:r>
              <w:rPr>
                <w:b/>
                <w:sz w:val="28"/>
              </w:rPr>
              <w:t>行业类别</w:t>
            </w:r>
          </w:p>
          <w:p>
            <w:pPr>
              <w:spacing w:line="360" w:lineRule="exact"/>
              <w:jc w:val="center"/>
              <w:rPr>
                <w:b/>
                <w:sz w:val="28"/>
              </w:rPr>
            </w:pPr>
            <w:r>
              <w:rPr>
                <w:b/>
                <w:sz w:val="28"/>
              </w:rPr>
              <w:t>及代码</w:t>
            </w:r>
          </w:p>
        </w:tc>
        <w:tc>
          <w:tcPr>
            <w:tcW w:w="2666" w:type="dxa"/>
            <w:gridSpan w:val="3"/>
            <w:tcBorders>
              <w:top w:val="single" w:color="auto" w:sz="6" w:space="0"/>
              <w:left w:val="single" w:color="auto" w:sz="6" w:space="0"/>
              <w:bottom w:val="single" w:color="auto" w:sz="6" w:space="0"/>
              <w:right w:val="single" w:color="auto" w:sz="8" w:space="0"/>
            </w:tcBorders>
            <w:vAlign w:val="center"/>
          </w:tcPr>
          <w:p>
            <w:pPr>
              <w:spacing w:line="360" w:lineRule="exact"/>
              <w:ind w:left="-105" w:leftChars="-51" w:right="-107" w:rightChars="-51" w:hanging="2"/>
              <w:jc w:val="center"/>
              <w:rPr>
                <w:sz w:val="24"/>
              </w:rPr>
            </w:pPr>
            <w:r>
              <w:rPr>
                <w:sz w:val="24"/>
              </w:rPr>
              <w:t>采矿、冶金、建筑专用设备制造（</w:t>
            </w:r>
            <w:r>
              <w:rPr>
                <w:rFonts w:hint="eastAsia"/>
                <w:sz w:val="24"/>
              </w:rPr>
              <w:t>C351</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020" w:type="dxa"/>
            <w:tcBorders>
              <w:top w:val="single" w:color="auto" w:sz="6" w:space="0"/>
              <w:left w:val="single" w:color="auto" w:sz="8" w:space="0"/>
              <w:bottom w:val="single" w:color="auto" w:sz="6" w:space="0"/>
              <w:right w:val="single" w:color="auto" w:sz="6" w:space="0"/>
            </w:tcBorders>
            <w:vAlign w:val="center"/>
          </w:tcPr>
          <w:p>
            <w:pPr>
              <w:spacing w:line="360" w:lineRule="exact"/>
              <w:jc w:val="center"/>
              <w:rPr>
                <w:rFonts w:ascii="宋体" w:hAnsi="宋体"/>
                <w:b/>
                <w:sz w:val="28"/>
              </w:rPr>
            </w:pPr>
            <w:r>
              <w:rPr>
                <w:rFonts w:ascii="宋体" w:hAnsi="宋体"/>
                <w:b/>
                <w:sz w:val="28"/>
              </w:rPr>
              <w:t>占地面积</w:t>
            </w:r>
          </w:p>
          <w:p>
            <w:pPr>
              <w:spacing w:line="360" w:lineRule="exact"/>
              <w:jc w:val="center"/>
              <w:rPr>
                <w:rFonts w:ascii="宋体" w:hAnsi="宋体"/>
                <w:b/>
                <w:sz w:val="28"/>
              </w:rPr>
            </w:pPr>
            <w:r>
              <w:rPr>
                <w:rFonts w:hint="eastAsia" w:ascii="宋体" w:hAnsi="宋体"/>
                <w:b/>
                <w:sz w:val="28"/>
              </w:rPr>
              <w:t>(</w:t>
            </w:r>
            <w:r>
              <w:rPr>
                <w:rFonts w:ascii="宋体" w:hAnsi="宋体"/>
                <w:b/>
                <w:sz w:val="28"/>
              </w:rPr>
              <w:t>平方米</w:t>
            </w:r>
            <w:r>
              <w:rPr>
                <w:rFonts w:hint="eastAsia" w:ascii="宋体" w:hAnsi="宋体"/>
                <w:b/>
                <w:sz w:val="28"/>
              </w:rPr>
              <w:t>)</w:t>
            </w:r>
          </w:p>
        </w:tc>
        <w:tc>
          <w:tcPr>
            <w:tcW w:w="2746"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jc w:val="center"/>
              <w:rPr>
                <w:b/>
                <w:sz w:val="28"/>
                <w:szCs w:val="28"/>
              </w:rPr>
            </w:pPr>
            <w:r>
              <w:rPr>
                <w:rFonts w:hint="eastAsia"/>
                <w:sz w:val="24"/>
              </w:rPr>
              <w:t>30200</w:t>
            </w:r>
          </w:p>
        </w:tc>
        <w:tc>
          <w:tcPr>
            <w:tcW w:w="157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b/>
                <w:sz w:val="28"/>
              </w:rPr>
            </w:pPr>
            <w:r>
              <w:rPr>
                <w:rFonts w:ascii="宋体" w:hAnsi="宋体"/>
                <w:b/>
                <w:sz w:val="28"/>
              </w:rPr>
              <w:t>绿化面积</w:t>
            </w:r>
          </w:p>
          <w:p>
            <w:pPr>
              <w:spacing w:line="360" w:lineRule="exact"/>
              <w:jc w:val="center"/>
              <w:rPr>
                <w:b/>
                <w:sz w:val="28"/>
              </w:rPr>
            </w:pPr>
            <w:r>
              <w:rPr>
                <w:rFonts w:hint="eastAsia" w:ascii="宋体" w:hAnsi="宋体"/>
                <w:b/>
                <w:sz w:val="28"/>
              </w:rPr>
              <w:t>(</w:t>
            </w:r>
            <w:r>
              <w:rPr>
                <w:rFonts w:ascii="宋体" w:hAnsi="宋体"/>
                <w:b/>
                <w:sz w:val="28"/>
              </w:rPr>
              <w:t>平方米</w:t>
            </w:r>
            <w:r>
              <w:rPr>
                <w:rFonts w:hint="eastAsia" w:ascii="宋体" w:hAnsi="宋体"/>
                <w:b/>
                <w:sz w:val="28"/>
              </w:rPr>
              <w:t>)</w:t>
            </w:r>
          </w:p>
        </w:tc>
        <w:tc>
          <w:tcPr>
            <w:tcW w:w="2666" w:type="dxa"/>
            <w:gridSpan w:val="3"/>
            <w:tcBorders>
              <w:top w:val="single" w:color="auto" w:sz="6" w:space="0"/>
              <w:left w:val="single" w:color="auto" w:sz="6" w:space="0"/>
              <w:bottom w:val="single" w:color="auto" w:sz="6" w:space="0"/>
              <w:right w:val="single" w:color="auto" w:sz="8" w:space="0"/>
            </w:tcBorders>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020" w:type="dxa"/>
            <w:tcBorders>
              <w:top w:val="single" w:color="auto" w:sz="6" w:space="0"/>
              <w:left w:val="single" w:color="auto" w:sz="8" w:space="0"/>
              <w:bottom w:val="single" w:color="auto" w:sz="6" w:space="0"/>
              <w:right w:val="single" w:color="auto" w:sz="6" w:space="0"/>
            </w:tcBorders>
            <w:vAlign w:val="center"/>
          </w:tcPr>
          <w:p>
            <w:pPr>
              <w:spacing w:line="360" w:lineRule="exact"/>
              <w:jc w:val="center"/>
              <w:rPr>
                <w:rFonts w:ascii="宋体" w:hAnsi="宋体"/>
                <w:b/>
                <w:sz w:val="28"/>
              </w:rPr>
            </w:pPr>
            <w:r>
              <w:rPr>
                <w:rFonts w:ascii="宋体" w:hAnsi="宋体"/>
                <w:b/>
                <w:sz w:val="28"/>
              </w:rPr>
              <w:t>总投资</w:t>
            </w:r>
          </w:p>
          <w:p>
            <w:pPr>
              <w:spacing w:line="360" w:lineRule="exact"/>
              <w:jc w:val="center"/>
              <w:rPr>
                <w:rFonts w:ascii="宋体" w:hAnsi="宋体"/>
                <w:b/>
                <w:sz w:val="28"/>
              </w:rPr>
            </w:pPr>
            <w:r>
              <w:rPr>
                <w:rFonts w:hint="eastAsia" w:ascii="宋体" w:hAnsi="宋体"/>
                <w:b/>
                <w:sz w:val="28"/>
              </w:rPr>
              <w:t>(</w:t>
            </w:r>
            <w:r>
              <w:rPr>
                <w:rFonts w:ascii="宋体" w:hAnsi="宋体"/>
                <w:b/>
                <w:sz w:val="28"/>
              </w:rPr>
              <w:t>万元</w:t>
            </w:r>
            <w:r>
              <w:rPr>
                <w:rFonts w:hint="eastAsia" w:ascii="宋体" w:hAnsi="宋体"/>
                <w:b/>
                <w:sz w:val="28"/>
              </w:rPr>
              <w:t>)</w:t>
            </w:r>
          </w:p>
        </w:tc>
        <w:tc>
          <w:tcPr>
            <w:tcW w:w="120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rPr>
            </w:pPr>
            <w:r>
              <w:rPr>
                <w:rFonts w:hint="eastAsia"/>
                <w:sz w:val="24"/>
              </w:rPr>
              <w:t>160</w:t>
            </w:r>
          </w:p>
        </w:tc>
        <w:tc>
          <w:tcPr>
            <w:tcW w:w="1539"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ind w:left="-108" w:right="-85"/>
              <w:jc w:val="center"/>
              <w:rPr>
                <w:b/>
                <w:spacing w:val="-6"/>
                <w:sz w:val="28"/>
              </w:rPr>
            </w:pPr>
            <w:r>
              <w:rPr>
                <w:rFonts w:hint="eastAsia"/>
                <w:b/>
                <w:spacing w:val="-6"/>
                <w:sz w:val="28"/>
              </w:rPr>
              <w:t>其中：</w:t>
            </w:r>
            <w:r>
              <w:rPr>
                <w:b/>
                <w:spacing w:val="-6"/>
                <w:sz w:val="28"/>
              </w:rPr>
              <w:t>环保</w:t>
            </w:r>
          </w:p>
          <w:p>
            <w:pPr>
              <w:spacing w:line="360" w:lineRule="exact"/>
              <w:ind w:left="-108" w:right="-85"/>
              <w:jc w:val="center"/>
              <w:rPr>
                <w:b/>
                <w:spacing w:val="-6"/>
                <w:sz w:val="28"/>
              </w:rPr>
            </w:pPr>
            <w:r>
              <w:rPr>
                <w:b/>
                <w:spacing w:val="-6"/>
                <w:sz w:val="28"/>
              </w:rPr>
              <w:t>投资</w:t>
            </w:r>
            <w:r>
              <w:rPr>
                <w:rFonts w:hint="eastAsia" w:ascii="宋体" w:hAnsi="宋体"/>
                <w:b/>
                <w:sz w:val="28"/>
              </w:rPr>
              <w:t>(</w:t>
            </w:r>
            <w:r>
              <w:rPr>
                <w:rFonts w:ascii="宋体" w:hAnsi="宋体"/>
                <w:b/>
                <w:sz w:val="28"/>
              </w:rPr>
              <w:t>万元</w:t>
            </w:r>
            <w:r>
              <w:rPr>
                <w:rFonts w:hint="eastAsia" w:ascii="宋体" w:hAnsi="宋体"/>
                <w:b/>
                <w:sz w:val="28"/>
              </w:rPr>
              <w:t>)</w:t>
            </w:r>
          </w:p>
        </w:tc>
        <w:tc>
          <w:tcPr>
            <w:tcW w:w="1571"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sz w:val="24"/>
              </w:rPr>
            </w:pPr>
            <w:r>
              <w:rPr>
                <w:rFonts w:hint="eastAsia"/>
                <w:sz w:val="24"/>
              </w:rPr>
              <w:t>25</w:t>
            </w:r>
          </w:p>
        </w:tc>
        <w:tc>
          <w:tcPr>
            <w:tcW w:w="1547"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ind w:left="-126" w:leftChars="-60" w:right="-128" w:rightChars="-61"/>
              <w:jc w:val="center"/>
              <w:rPr>
                <w:b/>
                <w:sz w:val="28"/>
              </w:rPr>
            </w:pPr>
            <w:r>
              <w:rPr>
                <w:b/>
                <w:sz w:val="28"/>
              </w:rPr>
              <w:t>环保投资占</w:t>
            </w:r>
          </w:p>
          <w:p>
            <w:pPr>
              <w:spacing w:line="360" w:lineRule="exact"/>
              <w:ind w:left="-126" w:leftChars="-60" w:right="-128" w:rightChars="-61"/>
              <w:jc w:val="center"/>
              <w:rPr>
                <w:b/>
                <w:sz w:val="28"/>
              </w:rPr>
            </w:pPr>
            <w:r>
              <w:rPr>
                <w:b/>
                <w:sz w:val="28"/>
              </w:rPr>
              <w:t>总投资比例</w:t>
            </w:r>
          </w:p>
        </w:tc>
        <w:tc>
          <w:tcPr>
            <w:tcW w:w="1119" w:type="dxa"/>
            <w:tcBorders>
              <w:top w:val="single" w:color="auto" w:sz="6" w:space="0"/>
              <w:left w:val="single" w:color="auto" w:sz="6" w:space="0"/>
              <w:bottom w:val="single" w:color="auto" w:sz="6" w:space="0"/>
              <w:right w:val="single" w:color="auto" w:sz="8" w:space="0"/>
            </w:tcBorders>
            <w:vAlign w:val="center"/>
          </w:tcPr>
          <w:p>
            <w:pPr>
              <w:spacing w:line="360" w:lineRule="exact"/>
              <w:jc w:val="center"/>
              <w:rPr>
                <w:sz w:val="24"/>
              </w:rPr>
            </w:pPr>
            <w:r>
              <w:rPr>
                <w:rFonts w:hint="eastAsia"/>
                <w:sz w:val="24"/>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020" w:type="dxa"/>
            <w:tcBorders>
              <w:top w:val="single" w:color="auto" w:sz="6" w:space="0"/>
              <w:left w:val="single" w:color="auto" w:sz="8" w:space="0"/>
              <w:bottom w:val="single" w:color="auto" w:sz="6" w:space="0"/>
              <w:right w:val="single" w:color="auto" w:sz="6" w:space="0"/>
            </w:tcBorders>
            <w:vAlign w:val="center"/>
          </w:tcPr>
          <w:p>
            <w:pPr>
              <w:spacing w:line="360" w:lineRule="exact"/>
              <w:jc w:val="center"/>
              <w:rPr>
                <w:rFonts w:ascii="宋体" w:hAnsi="宋体"/>
                <w:b/>
                <w:sz w:val="28"/>
              </w:rPr>
            </w:pPr>
            <w:r>
              <w:rPr>
                <w:rFonts w:ascii="宋体" w:hAnsi="宋体"/>
                <w:b/>
                <w:sz w:val="28"/>
              </w:rPr>
              <w:t>评价经费</w:t>
            </w:r>
          </w:p>
          <w:p>
            <w:pPr>
              <w:spacing w:line="360" w:lineRule="exact"/>
              <w:jc w:val="center"/>
              <w:rPr>
                <w:rFonts w:ascii="宋体" w:hAnsi="宋体"/>
                <w:b/>
                <w:sz w:val="28"/>
              </w:rPr>
            </w:pPr>
            <w:r>
              <w:rPr>
                <w:rFonts w:hint="eastAsia" w:ascii="宋体" w:hAnsi="宋体"/>
                <w:b/>
                <w:sz w:val="28"/>
              </w:rPr>
              <w:t>(</w:t>
            </w:r>
            <w:r>
              <w:rPr>
                <w:rFonts w:ascii="宋体" w:hAnsi="宋体"/>
                <w:b/>
                <w:sz w:val="28"/>
              </w:rPr>
              <w:t>万元</w:t>
            </w:r>
            <w:r>
              <w:rPr>
                <w:rFonts w:hint="eastAsia" w:ascii="宋体" w:hAnsi="宋体"/>
                <w:b/>
                <w:sz w:val="28"/>
              </w:rPr>
              <w:t>)</w:t>
            </w:r>
          </w:p>
        </w:tc>
        <w:tc>
          <w:tcPr>
            <w:tcW w:w="2746"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jc w:val="center"/>
              <w:rPr>
                <w:b/>
                <w:sz w:val="28"/>
              </w:rPr>
            </w:pPr>
          </w:p>
        </w:tc>
        <w:tc>
          <w:tcPr>
            <w:tcW w:w="1571"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b/>
                <w:sz w:val="28"/>
              </w:rPr>
            </w:pPr>
            <w:r>
              <w:rPr>
                <w:b/>
                <w:sz w:val="28"/>
              </w:rPr>
              <w:t>预期</w:t>
            </w:r>
          </w:p>
          <w:p>
            <w:pPr>
              <w:spacing w:line="360" w:lineRule="exact"/>
              <w:jc w:val="center"/>
              <w:rPr>
                <w:sz w:val="24"/>
                <w:szCs w:val="24"/>
              </w:rPr>
            </w:pPr>
            <w:r>
              <w:rPr>
                <w:b/>
                <w:sz w:val="28"/>
              </w:rPr>
              <w:t>投产日期</w:t>
            </w:r>
          </w:p>
        </w:tc>
        <w:tc>
          <w:tcPr>
            <w:tcW w:w="2666" w:type="dxa"/>
            <w:gridSpan w:val="3"/>
            <w:tcBorders>
              <w:top w:val="single" w:color="auto" w:sz="6" w:space="0"/>
              <w:left w:val="single" w:color="auto" w:sz="4" w:space="0"/>
              <w:bottom w:val="single" w:color="auto" w:sz="6" w:space="0"/>
              <w:right w:val="single" w:color="auto" w:sz="8" w:space="0"/>
            </w:tcBorders>
            <w:vAlign w:val="center"/>
          </w:tcPr>
          <w:p>
            <w:pPr>
              <w:spacing w:line="360" w:lineRule="exact"/>
              <w:jc w:val="center"/>
              <w:rPr>
                <w:sz w:val="24"/>
                <w:szCs w:val="24"/>
              </w:rPr>
            </w:pPr>
            <w:r>
              <w:rPr>
                <w:rFonts w:hint="eastAsia"/>
                <w:sz w:val="24"/>
                <w:szCs w:val="24"/>
              </w:rPr>
              <w:t>2018年8月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3" w:type="dxa"/>
            <w:gridSpan w:val="8"/>
            <w:tcBorders>
              <w:top w:val="single" w:color="auto" w:sz="6" w:space="0"/>
              <w:left w:val="single" w:color="auto" w:sz="4" w:space="0"/>
              <w:bottom w:val="single" w:color="auto" w:sz="6" w:space="0"/>
              <w:right w:val="single" w:color="auto" w:sz="4" w:space="0"/>
            </w:tcBorders>
          </w:tcPr>
          <w:p>
            <w:pPr>
              <w:spacing w:line="520" w:lineRule="exact"/>
              <w:ind w:firstLine="98" w:firstLineChars="35"/>
              <w:rPr>
                <w:b/>
                <w:sz w:val="28"/>
              </w:rPr>
            </w:pPr>
            <w:r>
              <w:rPr>
                <w:b/>
                <w:sz w:val="28"/>
              </w:rPr>
              <w:t>工程内容及规模:</w:t>
            </w:r>
          </w:p>
          <w:p>
            <w:pPr>
              <w:spacing w:line="480" w:lineRule="exact"/>
              <w:ind w:firstLine="480" w:firstLineChars="200"/>
              <w:rPr>
                <w:rFonts w:hAnsi="宋体"/>
                <w:b/>
                <w:bCs/>
                <w:sz w:val="24"/>
                <w:lang w:val="en-GB"/>
              </w:rPr>
            </w:pPr>
            <w:r>
              <w:rPr>
                <w:rFonts w:hint="eastAsia" w:hAnsi="宋体"/>
                <w:b/>
                <w:bCs/>
                <w:sz w:val="24"/>
              </w:rPr>
              <w:t>1</w:t>
            </w:r>
            <w:r>
              <w:rPr>
                <w:rFonts w:hint="eastAsia" w:hAnsi="宋体"/>
                <w:b/>
                <w:bCs/>
                <w:sz w:val="24"/>
                <w:lang w:val="en-GB"/>
              </w:rPr>
              <w:t>、建设单位概况及任务由来</w:t>
            </w:r>
          </w:p>
          <w:p>
            <w:pPr>
              <w:spacing w:line="480" w:lineRule="exact"/>
              <w:ind w:firstLine="480" w:firstLineChars="200"/>
              <w:rPr>
                <w:color w:val="0000FF"/>
                <w:sz w:val="24"/>
              </w:rPr>
            </w:pPr>
            <w:r>
              <w:rPr>
                <w:rFonts w:hint="eastAsia"/>
                <w:sz w:val="24"/>
              </w:rPr>
              <w:t>新河县雄飞桩工机械厂于2011年7月委托河北奇正环境科技有限公司承担“</w:t>
            </w:r>
            <w:r>
              <w:rPr>
                <w:rFonts w:hint="eastAsia"/>
                <w:sz w:val="24"/>
                <w:szCs w:val="24"/>
              </w:rPr>
              <w:t>新河县雄飞桩工机械厂年产300台</w:t>
            </w:r>
            <w:r>
              <w:rPr>
                <w:rFonts w:hint="eastAsia"/>
                <w:sz w:val="24"/>
              </w:rPr>
              <w:t>CFG螺旋钻机建设项目”的环境影响报告表的编制工作，并于2011年9月28日通过新河县环境保护局审批，新环表[2011]44号（详见附件）；项目于2013年8月28日通过</w:t>
            </w:r>
            <w:bookmarkStart w:id="0" w:name="OLE_LINK2"/>
            <w:r>
              <w:rPr>
                <w:rFonts w:hint="eastAsia"/>
                <w:sz w:val="24"/>
              </w:rPr>
              <w:t>新河县环境保护局竣工环境保护验收</w:t>
            </w:r>
            <w:bookmarkEnd w:id="0"/>
            <w:r>
              <w:rPr>
                <w:rFonts w:hint="eastAsia"/>
                <w:sz w:val="24"/>
              </w:rPr>
              <w:t>（验收意见详见附件）。</w:t>
            </w:r>
          </w:p>
          <w:p>
            <w:pPr>
              <w:spacing w:line="480" w:lineRule="exact"/>
              <w:ind w:firstLine="480" w:firstLineChars="200"/>
              <w:rPr>
                <w:sz w:val="24"/>
              </w:rPr>
            </w:pPr>
            <w:r>
              <w:rPr>
                <w:rFonts w:hint="eastAsia"/>
                <w:sz w:val="24"/>
              </w:rPr>
              <w:t>为提高产品质量和改进加工工艺，新河县雄飞桩工机械厂在现有厂区内扩建生产车间，淘汰原有设备7台/套，新购置设备89台/套，新上喷涂生产线1条及配套设备</w:t>
            </w:r>
            <w:r>
              <w:rPr>
                <w:rFonts w:hint="eastAsia"/>
                <w:bCs/>
                <w:sz w:val="24"/>
              </w:rPr>
              <w:t>。现有的生产工艺为下料、机加工、焊接等，技改后增加回火处理和喷漆。</w:t>
            </w:r>
            <w:r>
              <w:rPr>
                <w:rFonts w:hint="eastAsia"/>
                <w:sz w:val="24"/>
              </w:rPr>
              <w:t>企业于2017年7月8日在新河县工业和信息化局进行备案，文号为新工信备字[2017]8号。</w:t>
            </w:r>
          </w:p>
          <w:p>
            <w:pPr>
              <w:spacing w:line="480" w:lineRule="exact"/>
              <w:ind w:firstLine="480" w:firstLineChars="200"/>
              <w:rPr>
                <w:sz w:val="24"/>
                <w:lang w:val="en-GB"/>
              </w:rPr>
            </w:pPr>
            <w:r>
              <w:rPr>
                <w:rFonts w:hint="eastAsia"/>
                <w:sz w:val="24"/>
              </w:rPr>
              <w:t>按照《中华人民共和国环境保护法》、《中华人民共和国环境影响评价法》及《建设项目环境保护管理条例》等相关法律法规的要求，本项目应进行环境影响评价工作，依据《建设项目环境影响评价分类管理名录》的规定，本次技改项目属于“二十三 通用设备制造业 69 通用设备制造及维修”，技改项目新增喷漆生产线，不涉及电镀工艺，且油漆年使用量不足10吨，因此确定本项目应编制环境影响报告表。新河县雄飞桩工机械厂委托北京尚世环境科技有限公司承担本项目的环境影响评价工作。我公司接受委托后，立即组织持证人员进行了现场踏勘、调查和资料收集工作，在此基础上编制了本项目环境影响报告表。</w:t>
            </w:r>
          </w:p>
          <w:p>
            <w:pPr>
              <w:spacing w:line="480" w:lineRule="exact"/>
              <w:ind w:firstLine="480" w:firstLineChars="200"/>
              <w:rPr>
                <w:b/>
                <w:bCs/>
                <w:sz w:val="24"/>
                <w:szCs w:val="24"/>
              </w:rPr>
            </w:pPr>
            <w:bookmarkStart w:id="1" w:name="_Toc127333648"/>
            <w:r>
              <w:rPr>
                <w:rFonts w:hint="eastAsia"/>
                <w:b/>
                <w:bCs/>
                <w:sz w:val="24"/>
                <w:szCs w:val="24"/>
              </w:rPr>
              <w:t>2、现有项目概况</w:t>
            </w:r>
          </w:p>
          <w:p>
            <w:pPr>
              <w:spacing w:line="480" w:lineRule="exact"/>
              <w:ind w:firstLine="480" w:firstLineChars="200"/>
              <w:rPr>
                <w:rFonts w:hAnsi="宋体"/>
                <w:sz w:val="24"/>
                <w:szCs w:val="22"/>
              </w:rPr>
            </w:pPr>
            <w:r>
              <w:rPr>
                <w:rFonts w:hint="eastAsia" w:hAnsi="宋体"/>
                <w:sz w:val="24"/>
                <w:szCs w:val="22"/>
              </w:rPr>
              <w:t>（1）项目名称</w:t>
            </w:r>
          </w:p>
          <w:p>
            <w:pPr>
              <w:spacing w:line="480" w:lineRule="exact"/>
              <w:ind w:firstLine="480" w:firstLineChars="200"/>
              <w:rPr>
                <w:sz w:val="24"/>
              </w:rPr>
            </w:pPr>
            <w:r>
              <w:rPr>
                <w:rFonts w:hint="eastAsia"/>
                <w:sz w:val="24"/>
                <w:szCs w:val="24"/>
              </w:rPr>
              <w:t>新河县雄飞桩工机械厂年产300台</w:t>
            </w:r>
            <w:r>
              <w:rPr>
                <w:rFonts w:hint="eastAsia"/>
                <w:sz w:val="24"/>
              </w:rPr>
              <w:t>CFG螺旋钻机建设项目</w:t>
            </w:r>
          </w:p>
          <w:p>
            <w:pPr>
              <w:spacing w:line="480" w:lineRule="exact"/>
              <w:ind w:firstLine="480" w:firstLineChars="200"/>
              <w:rPr>
                <w:rFonts w:hAnsi="宋体"/>
                <w:sz w:val="24"/>
              </w:rPr>
            </w:pPr>
            <w:r>
              <w:rPr>
                <w:rFonts w:hint="eastAsia" w:hAnsi="宋体"/>
                <w:sz w:val="24"/>
              </w:rPr>
              <w:t>（2）项目投资</w:t>
            </w:r>
          </w:p>
          <w:p>
            <w:pPr>
              <w:spacing w:line="480" w:lineRule="exact"/>
              <w:ind w:firstLine="480" w:firstLineChars="200"/>
              <w:rPr>
                <w:sz w:val="24"/>
                <w:szCs w:val="24"/>
              </w:rPr>
            </w:pPr>
            <w:r>
              <w:rPr>
                <w:rFonts w:hint="eastAsia"/>
                <w:sz w:val="24"/>
                <w:szCs w:val="24"/>
              </w:rPr>
              <w:t>现有项目总投资8000万元，其中环保投资45万元，占总投资的0.56%；</w:t>
            </w:r>
          </w:p>
          <w:p>
            <w:pPr>
              <w:numPr>
                <w:ilvl w:val="0"/>
                <w:numId w:val="1"/>
              </w:numPr>
              <w:spacing w:line="480" w:lineRule="exact"/>
              <w:ind w:firstLine="480" w:firstLineChars="200"/>
              <w:rPr>
                <w:sz w:val="24"/>
              </w:rPr>
            </w:pPr>
            <w:r>
              <w:rPr>
                <w:rFonts w:hint="eastAsia"/>
                <w:sz w:val="24"/>
              </w:rPr>
              <w:t>建设地点：项目位于</w:t>
            </w:r>
            <w:r>
              <w:rPr>
                <w:rFonts w:hint="eastAsia"/>
                <w:sz w:val="24"/>
                <w:szCs w:val="24"/>
              </w:rPr>
              <w:t>新河县工业园区时代路西段，</w:t>
            </w:r>
            <w:r>
              <w:rPr>
                <w:rFonts w:hint="eastAsia"/>
                <w:sz w:val="24"/>
              </w:rPr>
              <w:t>厂址中心坐标为北</w:t>
            </w:r>
            <w:r>
              <w:rPr>
                <w:sz w:val="24"/>
              </w:rPr>
              <w:t>纬37°3</w:t>
            </w:r>
            <w:r>
              <w:rPr>
                <w:rFonts w:hint="eastAsia"/>
                <w:sz w:val="24"/>
              </w:rPr>
              <w:t>1</w:t>
            </w:r>
            <w:r>
              <w:rPr>
                <w:sz w:val="24"/>
              </w:rPr>
              <w:t>′</w:t>
            </w:r>
            <w:r>
              <w:rPr>
                <w:rFonts w:hint="eastAsia"/>
                <w:sz w:val="24"/>
              </w:rPr>
              <w:t>2.27</w:t>
            </w:r>
            <w:r>
              <w:rPr>
                <w:sz w:val="24"/>
              </w:rPr>
              <w:t>″，东经115°1</w:t>
            </w:r>
            <w:r>
              <w:rPr>
                <w:rFonts w:hint="eastAsia"/>
                <w:sz w:val="24"/>
              </w:rPr>
              <w:t>2</w:t>
            </w:r>
            <w:r>
              <w:rPr>
                <w:sz w:val="24"/>
              </w:rPr>
              <w:t>′</w:t>
            </w:r>
            <w:r>
              <w:rPr>
                <w:rFonts w:hint="eastAsia"/>
                <w:sz w:val="24"/>
              </w:rPr>
              <w:t>35.12</w:t>
            </w:r>
            <w:r>
              <w:rPr>
                <w:sz w:val="24"/>
              </w:rPr>
              <w:t>″</w:t>
            </w:r>
            <w:r>
              <w:rPr>
                <w:rFonts w:hint="eastAsia"/>
                <w:sz w:val="24"/>
              </w:rPr>
              <w:t>。项目北侧为新河恒星钻机厂，西侧为益海粮油有限公司，东侧为新河金波绿泰科技有限公司，南侧为时代路，隔路为河北崇德电缆有限公司。</w:t>
            </w:r>
          </w:p>
          <w:p>
            <w:pPr>
              <w:spacing w:line="480" w:lineRule="exact"/>
              <w:ind w:firstLine="480" w:firstLineChars="200"/>
              <w:rPr>
                <w:sz w:val="24"/>
              </w:rPr>
            </w:pPr>
            <w:r>
              <w:rPr>
                <w:rFonts w:hint="eastAsia"/>
                <w:sz w:val="24"/>
              </w:rPr>
              <w:t>（4）产品方案</w:t>
            </w:r>
          </w:p>
          <w:p>
            <w:pPr>
              <w:spacing w:line="480" w:lineRule="exact"/>
              <w:ind w:firstLine="480" w:firstLineChars="200"/>
              <w:rPr>
                <w:sz w:val="24"/>
              </w:rPr>
            </w:pPr>
            <w:r>
              <w:rPr>
                <w:rFonts w:hint="eastAsia"/>
                <w:sz w:val="24"/>
              </w:rPr>
              <w:t>现有项目主要产品为年产</w:t>
            </w:r>
            <w:r>
              <w:rPr>
                <w:rFonts w:hint="eastAsia"/>
                <w:sz w:val="24"/>
                <w:szCs w:val="24"/>
              </w:rPr>
              <w:t>300台</w:t>
            </w:r>
            <w:r>
              <w:rPr>
                <w:rFonts w:hint="eastAsia"/>
                <w:sz w:val="24"/>
              </w:rPr>
              <w:t>CFG螺旋钻机。</w:t>
            </w:r>
          </w:p>
          <w:p>
            <w:pPr>
              <w:spacing w:line="480" w:lineRule="exact"/>
              <w:ind w:firstLine="480" w:firstLineChars="200"/>
              <w:rPr>
                <w:sz w:val="24"/>
              </w:rPr>
            </w:pPr>
            <w:r>
              <w:rPr>
                <w:rFonts w:hint="eastAsia"/>
                <w:sz w:val="24"/>
              </w:rPr>
              <w:t>（5）建设内容</w:t>
            </w:r>
          </w:p>
          <w:p>
            <w:pPr>
              <w:spacing w:line="480" w:lineRule="exact"/>
              <w:ind w:firstLine="480" w:firstLineChars="200"/>
              <w:rPr>
                <w:sz w:val="24"/>
              </w:rPr>
            </w:pPr>
            <w:r>
              <w:rPr>
                <w:rFonts w:hint="eastAsia"/>
                <w:sz w:val="24"/>
              </w:rPr>
              <w:t>本项目占地面积为30200m</w:t>
            </w:r>
            <w:r>
              <w:rPr>
                <w:rFonts w:hint="eastAsia"/>
                <w:sz w:val="24"/>
                <w:vertAlign w:val="superscript"/>
              </w:rPr>
              <w:t>2</w:t>
            </w:r>
            <w:r>
              <w:rPr>
                <w:rFonts w:hint="eastAsia"/>
                <w:sz w:val="24"/>
              </w:rPr>
              <w:t>，工程建设内容主要为生产车间、办公室、库房等。</w:t>
            </w:r>
          </w:p>
          <w:p>
            <w:pPr>
              <w:pStyle w:val="29"/>
              <w:tabs>
                <w:tab w:val="left" w:pos="3828"/>
              </w:tabs>
              <w:spacing w:line="480" w:lineRule="exact"/>
              <w:ind w:firstLine="0" w:firstLineChars="0"/>
              <w:jc w:val="center"/>
              <w:rPr>
                <w:b/>
                <w:bCs/>
                <w:szCs w:val="21"/>
              </w:rPr>
            </w:pPr>
            <w:r>
              <w:rPr>
                <w:rFonts w:hint="eastAsia"/>
                <w:b/>
                <w:bCs/>
                <w:szCs w:val="21"/>
              </w:rPr>
              <w:t>表1  现有项目工程内容组成表</w:t>
            </w:r>
          </w:p>
          <w:tbl>
            <w:tblPr>
              <w:tblStyle w:val="31"/>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860"/>
              <w:gridCol w:w="5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spacing w:line="280" w:lineRule="exact"/>
                    <w:jc w:val="center"/>
                    <w:rPr>
                      <w:b/>
                      <w:bCs/>
                      <w:szCs w:val="21"/>
                    </w:rPr>
                  </w:pPr>
                  <w:r>
                    <w:rPr>
                      <w:rFonts w:hint="eastAsia"/>
                      <w:b/>
                      <w:bCs/>
                      <w:szCs w:val="21"/>
                    </w:rPr>
                    <w:t>工程分类</w:t>
                  </w:r>
                </w:p>
              </w:tc>
              <w:tc>
                <w:tcPr>
                  <w:tcW w:w="1860" w:type="dxa"/>
                </w:tcPr>
                <w:p>
                  <w:pPr>
                    <w:spacing w:line="280" w:lineRule="exact"/>
                    <w:jc w:val="center"/>
                    <w:rPr>
                      <w:b/>
                      <w:bCs/>
                      <w:szCs w:val="21"/>
                    </w:rPr>
                  </w:pPr>
                  <w:r>
                    <w:rPr>
                      <w:rFonts w:hint="eastAsia"/>
                      <w:b/>
                      <w:bCs/>
                      <w:szCs w:val="21"/>
                    </w:rPr>
                    <w:t>项目名称</w:t>
                  </w:r>
                </w:p>
              </w:tc>
              <w:tc>
                <w:tcPr>
                  <w:tcW w:w="5745" w:type="dxa"/>
                </w:tcPr>
                <w:p>
                  <w:pPr>
                    <w:spacing w:line="280" w:lineRule="exact"/>
                    <w:jc w:val="center"/>
                    <w:rPr>
                      <w:b/>
                      <w:bCs/>
                      <w:szCs w:val="21"/>
                    </w:rPr>
                  </w:pPr>
                  <w:r>
                    <w:rPr>
                      <w:rFonts w:hint="eastAsia"/>
                      <w:b/>
                      <w:bCs/>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Align w:val="center"/>
                </w:tcPr>
                <w:p>
                  <w:pPr>
                    <w:spacing w:line="280" w:lineRule="exact"/>
                    <w:jc w:val="center"/>
                    <w:rPr>
                      <w:szCs w:val="21"/>
                    </w:rPr>
                  </w:pPr>
                  <w:r>
                    <w:rPr>
                      <w:rFonts w:hint="eastAsia"/>
                      <w:szCs w:val="21"/>
                    </w:rPr>
                    <w:t>主体工程</w:t>
                  </w:r>
                </w:p>
              </w:tc>
              <w:tc>
                <w:tcPr>
                  <w:tcW w:w="1860" w:type="dxa"/>
                  <w:vAlign w:val="center"/>
                </w:tcPr>
                <w:p>
                  <w:pPr>
                    <w:spacing w:line="280" w:lineRule="exact"/>
                    <w:jc w:val="center"/>
                    <w:rPr>
                      <w:szCs w:val="21"/>
                    </w:rPr>
                  </w:pPr>
                  <w:r>
                    <w:rPr>
                      <w:rFonts w:hint="eastAsia"/>
                      <w:szCs w:val="21"/>
                    </w:rPr>
                    <w:t>生产车间</w:t>
                  </w:r>
                </w:p>
              </w:tc>
              <w:tc>
                <w:tcPr>
                  <w:tcW w:w="5745" w:type="dxa"/>
                </w:tcPr>
                <w:p>
                  <w:pPr>
                    <w:spacing w:line="280" w:lineRule="exact"/>
                    <w:jc w:val="center"/>
                    <w:rPr>
                      <w:szCs w:val="21"/>
                    </w:rPr>
                  </w:pPr>
                  <w:r>
                    <w:rPr>
                      <w:rFonts w:hint="eastAsia"/>
                      <w:szCs w:val="21"/>
                    </w:rPr>
                    <w:t>设CFG螺旋钻机生产线一条，主要设备包括电焊机、切割机及车床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restart"/>
                  <w:vAlign w:val="center"/>
                </w:tcPr>
                <w:p>
                  <w:pPr>
                    <w:spacing w:line="280" w:lineRule="exact"/>
                    <w:jc w:val="center"/>
                    <w:rPr>
                      <w:szCs w:val="21"/>
                    </w:rPr>
                  </w:pPr>
                  <w:r>
                    <w:rPr>
                      <w:rFonts w:hint="eastAsia"/>
                      <w:szCs w:val="21"/>
                    </w:rPr>
                    <w:t>辅助工程</w:t>
                  </w:r>
                </w:p>
              </w:tc>
              <w:tc>
                <w:tcPr>
                  <w:tcW w:w="1860" w:type="dxa"/>
                  <w:vAlign w:val="center"/>
                </w:tcPr>
                <w:p>
                  <w:pPr>
                    <w:spacing w:line="280" w:lineRule="exact"/>
                    <w:jc w:val="center"/>
                    <w:rPr>
                      <w:szCs w:val="21"/>
                    </w:rPr>
                  </w:pPr>
                  <w:r>
                    <w:rPr>
                      <w:rFonts w:hint="eastAsia"/>
                      <w:szCs w:val="21"/>
                    </w:rPr>
                    <w:t>办公室</w:t>
                  </w:r>
                </w:p>
              </w:tc>
              <w:tc>
                <w:tcPr>
                  <w:tcW w:w="5745" w:type="dxa"/>
                </w:tcPr>
                <w:p>
                  <w:pPr>
                    <w:spacing w:line="280" w:lineRule="exact"/>
                    <w:jc w:val="left"/>
                    <w:rPr>
                      <w:szCs w:val="21"/>
                    </w:rPr>
                  </w:pPr>
                  <w:r>
                    <w:rPr>
                      <w:rFonts w:hint="eastAsia"/>
                      <w:szCs w:val="21"/>
                    </w:rPr>
                    <w:t>建筑面积为1400m</w:t>
                  </w:r>
                  <w:r>
                    <w:rPr>
                      <w:rFonts w:hint="eastAsia"/>
                      <w:szCs w:val="21"/>
                      <w:vertAlign w:val="superscript"/>
                    </w:rPr>
                    <w:t>2</w:t>
                  </w:r>
                  <w:r>
                    <w:rPr>
                      <w:rFonts w:hint="eastAsia"/>
                      <w:szCs w:val="21"/>
                    </w:rPr>
                    <w:t>，砖混结构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vMerge w:val="continue"/>
                  <w:vAlign w:val="center"/>
                </w:tcPr>
                <w:p>
                  <w:pPr>
                    <w:spacing w:line="280" w:lineRule="exact"/>
                    <w:jc w:val="center"/>
                    <w:rPr>
                      <w:szCs w:val="21"/>
                    </w:rPr>
                  </w:pPr>
                </w:p>
              </w:tc>
              <w:tc>
                <w:tcPr>
                  <w:tcW w:w="1860" w:type="dxa"/>
                  <w:vAlign w:val="center"/>
                </w:tcPr>
                <w:p>
                  <w:pPr>
                    <w:spacing w:line="280" w:lineRule="exact"/>
                    <w:jc w:val="center"/>
                    <w:rPr>
                      <w:szCs w:val="21"/>
                    </w:rPr>
                  </w:pPr>
                  <w:r>
                    <w:rPr>
                      <w:rFonts w:hint="eastAsia"/>
                      <w:szCs w:val="21"/>
                    </w:rPr>
                    <w:t>宿舍楼</w:t>
                  </w:r>
                </w:p>
              </w:tc>
              <w:tc>
                <w:tcPr>
                  <w:tcW w:w="5745" w:type="dxa"/>
                </w:tcPr>
                <w:p>
                  <w:pPr>
                    <w:spacing w:line="280" w:lineRule="exact"/>
                    <w:jc w:val="left"/>
                    <w:rPr>
                      <w:szCs w:val="21"/>
                    </w:rPr>
                  </w:pPr>
                  <w:r>
                    <w:rPr>
                      <w:rFonts w:hint="eastAsia"/>
                      <w:szCs w:val="21"/>
                    </w:rPr>
                    <w:t>建筑面积为800m</w:t>
                  </w:r>
                  <w:r>
                    <w:rPr>
                      <w:rFonts w:hint="eastAsia"/>
                      <w:szCs w:val="21"/>
                      <w:vertAlign w:val="superscript"/>
                    </w:rPr>
                    <w:t>2</w:t>
                  </w:r>
                  <w:r>
                    <w:rPr>
                      <w:rFonts w:hint="eastAsia"/>
                      <w:szCs w:val="21"/>
                    </w:rPr>
                    <w:t>，砖混结构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vAlign w:val="center"/>
                </w:tcPr>
                <w:p>
                  <w:pPr>
                    <w:spacing w:line="280" w:lineRule="exact"/>
                    <w:jc w:val="center"/>
                    <w:rPr>
                      <w:szCs w:val="21"/>
                    </w:rPr>
                  </w:pPr>
                </w:p>
              </w:tc>
              <w:tc>
                <w:tcPr>
                  <w:tcW w:w="1860" w:type="dxa"/>
                  <w:vAlign w:val="center"/>
                </w:tcPr>
                <w:p>
                  <w:pPr>
                    <w:spacing w:line="280" w:lineRule="exact"/>
                    <w:jc w:val="center"/>
                    <w:rPr>
                      <w:szCs w:val="21"/>
                    </w:rPr>
                  </w:pPr>
                  <w:r>
                    <w:rPr>
                      <w:rFonts w:hint="eastAsia"/>
                      <w:szCs w:val="21"/>
                    </w:rPr>
                    <w:t>库房</w:t>
                  </w:r>
                </w:p>
              </w:tc>
              <w:tc>
                <w:tcPr>
                  <w:tcW w:w="5745" w:type="dxa"/>
                </w:tcPr>
                <w:p>
                  <w:pPr>
                    <w:spacing w:line="280" w:lineRule="exact"/>
                    <w:jc w:val="left"/>
                    <w:rPr>
                      <w:szCs w:val="21"/>
                    </w:rPr>
                  </w:pPr>
                  <w:r>
                    <w:rPr>
                      <w:rFonts w:hint="eastAsia"/>
                      <w:szCs w:val="21"/>
                    </w:rPr>
                    <w:t>建筑面积为500m</w:t>
                  </w:r>
                  <w:r>
                    <w:rPr>
                      <w:rFonts w:hint="eastAsia"/>
                      <w:szCs w:val="21"/>
                      <w:vertAlign w:val="superscript"/>
                    </w:rPr>
                    <w:t>2</w:t>
                  </w:r>
                  <w:r>
                    <w:rPr>
                      <w:rFonts w:hint="eastAsia"/>
                      <w:szCs w:val="21"/>
                    </w:rPr>
                    <w:t>，彩钢结构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restart"/>
                  <w:vAlign w:val="center"/>
                </w:tcPr>
                <w:p>
                  <w:pPr>
                    <w:spacing w:line="280" w:lineRule="exact"/>
                    <w:jc w:val="center"/>
                    <w:rPr>
                      <w:szCs w:val="21"/>
                    </w:rPr>
                  </w:pPr>
                  <w:r>
                    <w:rPr>
                      <w:rFonts w:hint="eastAsia"/>
                      <w:szCs w:val="21"/>
                    </w:rPr>
                    <w:t>公用工程</w:t>
                  </w:r>
                </w:p>
              </w:tc>
              <w:tc>
                <w:tcPr>
                  <w:tcW w:w="1860" w:type="dxa"/>
                  <w:vAlign w:val="center"/>
                </w:tcPr>
                <w:p>
                  <w:pPr>
                    <w:spacing w:line="280" w:lineRule="exact"/>
                    <w:jc w:val="center"/>
                    <w:rPr>
                      <w:szCs w:val="21"/>
                    </w:rPr>
                  </w:pPr>
                  <w:r>
                    <w:rPr>
                      <w:rFonts w:hint="eastAsia"/>
                      <w:szCs w:val="21"/>
                    </w:rPr>
                    <w:t>供热</w:t>
                  </w:r>
                </w:p>
              </w:tc>
              <w:tc>
                <w:tcPr>
                  <w:tcW w:w="5745" w:type="dxa"/>
                </w:tcPr>
                <w:p>
                  <w:pPr>
                    <w:spacing w:line="280" w:lineRule="exact"/>
                    <w:jc w:val="left"/>
                    <w:rPr>
                      <w:szCs w:val="21"/>
                    </w:rPr>
                  </w:pPr>
                  <w:r>
                    <w:rPr>
                      <w:rFonts w:hint="eastAsia"/>
                      <w:szCs w:val="21"/>
                    </w:rPr>
                    <w:t>办公室冬季采暖由电暖气提供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vAlign w:val="center"/>
                </w:tcPr>
                <w:p>
                  <w:pPr>
                    <w:spacing w:line="280" w:lineRule="exact"/>
                    <w:jc w:val="center"/>
                    <w:rPr>
                      <w:szCs w:val="21"/>
                    </w:rPr>
                  </w:pPr>
                </w:p>
              </w:tc>
              <w:tc>
                <w:tcPr>
                  <w:tcW w:w="1860" w:type="dxa"/>
                  <w:vAlign w:val="center"/>
                </w:tcPr>
                <w:p>
                  <w:pPr>
                    <w:spacing w:line="280" w:lineRule="exact"/>
                    <w:jc w:val="center"/>
                    <w:rPr>
                      <w:szCs w:val="21"/>
                    </w:rPr>
                  </w:pPr>
                  <w:r>
                    <w:rPr>
                      <w:rFonts w:hint="eastAsia"/>
                      <w:szCs w:val="21"/>
                    </w:rPr>
                    <w:t>供电</w:t>
                  </w:r>
                </w:p>
              </w:tc>
              <w:tc>
                <w:tcPr>
                  <w:tcW w:w="5745" w:type="dxa"/>
                </w:tcPr>
                <w:p>
                  <w:pPr>
                    <w:spacing w:line="280" w:lineRule="exact"/>
                    <w:jc w:val="left"/>
                    <w:rPr>
                      <w:szCs w:val="21"/>
                    </w:rPr>
                  </w:pPr>
                  <w:r>
                    <w:rPr>
                      <w:rFonts w:hint="eastAsia"/>
                      <w:szCs w:val="21"/>
                    </w:rPr>
                    <w:t>项目用电由新河县供电网提供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vMerge w:val="continue"/>
                  <w:vAlign w:val="center"/>
                </w:tcPr>
                <w:p>
                  <w:pPr>
                    <w:spacing w:line="280" w:lineRule="exact"/>
                    <w:jc w:val="center"/>
                    <w:rPr>
                      <w:szCs w:val="21"/>
                    </w:rPr>
                  </w:pPr>
                </w:p>
              </w:tc>
              <w:tc>
                <w:tcPr>
                  <w:tcW w:w="1860" w:type="dxa"/>
                  <w:vAlign w:val="center"/>
                </w:tcPr>
                <w:p>
                  <w:pPr>
                    <w:spacing w:line="280" w:lineRule="exact"/>
                    <w:jc w:val="center"/>
                    <w:rPr>
                      <w:szCs w:val="21"/>
                    </w:rPr>
                  </w:pPr>
                  <w:r>
                    <w:rPr>
                      <w:rFonts w:hint="eastAsia"/>
                      <w:szCs w:val="21"/>
                    </w:rPr>
                    <w:t>供水</w:t>
                  </w:r>
                </w:p>
              </w:tc>
              <w:tc>
                <w:tcPr>
                  <w:tcW w:w="5745" w:type="dxa"/>
                </w:tcPr>
                <w:p>
                  <w:pPr>
                    <w:spacing w:line="280" w:lineRule="exact"/>
                    <w:jc w:val="left"/>
                    <w:rPr>
                      <w:szCs w:val="21"/>
                    </w:rPr>
                  </w:pPr>
                  <w:r>
                    <w:rPr>
                      <w:rFonts w:hint="eastAsia"/>
                      <w:szCs w:val="21"/>
                    </w:rPr>
                    <w:t>由园区自来水管网提供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restart"/>
                  <w:vAlign w:val="center"/>
                </w:tcPr>
                <w:p>
                  <w:pPr>
                    <w:spacing w:line="280" w:lineRule="exact"/>
                    <w:jc w:val="center"/>
                    <w:rPr>
                      <w:szCs w:val="21"/>
                    </w:rPr>
                  </w:pPr>
                  <w:r>
                    <w:rPr>
                      <w:rFonts w:hint="eastAsia"/>
                      <w:szCs w:val="21"/>
                    </w:rPr>
                    <w:t>环保工程</w:t>
                  </w:r>
                </w:p>
              </w:tc>
              <w:tc>
                <w:tcPr>
                  <w:tcW w:w="1860" w:type="dxa"/>
                  <w:vAlign w:val="center"/>
                </w:tcPr>
                <w:p>
                  <w:pPr>
                    <w:spacing w:line="280" w:lineRule="exact"/>
                    <w:jc w:val="center"/>
                    <w:rPr>
                      <w:szCs w:val="21"/>
                    </w:rPr>
                  </w:pPr>
                  <w:r>
                    <w:rPr>
                      <w:rFonts w:hint="eastAsia"/>
                      <w:szCs w:val="21"/>
                    </w:rPr>
                    <w:t>生活污水</w:t>
                  </w:r>
                </w:p>
              </w:tc>
              <w:tc>
                <w:tcPr>
                  <w:tcW w:w="5745" w:type="dxa"/>
                </w:tcPr>
                <w:p>
                  <w:pPr>
                    <w:spacing w:line="280" w:lineRule="exact"/>
                    <w:jc w:val="left"/>
                    <w:rPr>
                      <w:szCs w:val="21"/>
                    </w:rPr>
                  </w:pPr>
                  <w:r>
                    <w:rPr>
                      <w:rFonts w:hint="eastAsia"/>
                      <w:szCs w:val="21"/>
                    </w:rPr>
                    <w:t>经化粪池处理后排入园区污水管网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vAlign w:val="center"/>
                </w:tcPr>
                <w:p>
                  <w:pPr>
                    <w:spacing w:line="280" w:lineRule="exact"/>
                    <w:jc w:val="center"/>
                    <w:rPr>
                      <w:szCs w:val="21"/>
                    </w:rPr>
                  </w:pPr>
                </w:p>
              </w:tc>
              <w:tc>
                <w:tcPr>
                  <w:tcW w:w="1860" w:type="dxa"/>
                  <w:vAlign w:val="center"/>
                </w:tcPr>
                <w:p>
                  <w:pPr>
                    <w:spacing w:line="280" w:lineRule="exact"/>
                    <w:jc w:val="center"/>
                    <w:rPr>
                      <w:szCs w:val="21"/>
                    </w:rPr>
                  </w:pPr>
                  <w:r>
                    <w:rPr>
                      <w:rFonts w:hint="eastAsia"/>
                      <w:szCs w:val="21"/>
                    </w:rPr>
                    <w:t>绿化</w:t>
                  </w:r>
                </w:p>
              </w:tc>
              <w:tc>
                <w:tcPr>
                  <w:tcW w:w="5745" w:type="dxa"/>
                  <w:vAlign w:val="center"/>
                </w:tcPr>
                <w:p>
                  <w:pPr>
                    <w:spacing w:line="280" w:lineRule="exact"/>
                    <w:jc w:val="left"/>
                    <w:rPr>
                      <w:szCs w:val="21"/>
                    </w:rPr>
                  </w:pPr>
                  <w:r>
                    <w:rPr>
                      <w:rFonts w:hint="eastAsia"/>
                      <w:szCs w:val="21"/>
                    </w:rPr>
                    <w:t>3000m</w:t>
                  </w:r>
                  <w:r>
                    <w:rPr>
                      <w:rFonts w:hint="eastAsia"/>
                      <w:szCs w:val="21"/>
                      <w:vertAlign w:val="superscript"/>
                    </w:rPr>
                    <w:t>2</w:t>
                  </w:r>
                </w:p>
              </w:tc>
            </w:tr>
          </w:tbl>
          <w:p>
            <w:pPr>
              <w:pStyle w:val="48"/>
              <w:spacing w:line="480" w:lineRule="exact"/>
            </w:pPr>
            <w:r>
              <w:rPr>
                <w:rFonts w:hint="eastAsia"/>
              </w:rPr>
              <w:t>（6）平面布置</w:t>
            </w:r>
          </w:p>
          <w:p>
            <w:pPr>
              <w:pStyle w:val="48"/>
              <w:spacing w:line="480" w:lineRule="exact"/>
            </w:pPr>
            <w:r>
              <w:rPr>
                <w:rFonts w:hint="eastAsia"/>
              </w:rPr>
              <w:t>本项目大门位于厂区南部，紧挨时代路，方便货物的运输。生产车间位于厂区北部，库房位于厂区中部，办公楼、宿舍楼位于厂区南部。整个厂区构建筑物布局合理，有利于生产。</w:t>
            </w:r>
          </w:p>
          <w:p>
            <w:pPr>
              <w:pStyle w:val="48"/>
              <w:spacing w:line="480" w:lineRule="exact"/>
            </w:pPr>
            <w:r>
              <w:rPr>
                <w:rFonts w:hint="eastAsia"/>
              </w:rPr>
              <w:t>（7）主要原辅材料及能源消耗</w:t>
            </w:r>
          </w:p>
          <w:p>
            <w:pPr>
              <w:pStyle w:val="49"/>
              <w:snapToGrid w:val="0"/>
              <w:spacing w:line="480" w:lineRule="exact"/>
              <w:ind w:firstLine="480" w:firstLineChars="200"/>
              <w:rPr>
                <w:kern w:val="2"/>
                <w:sz w:val="24"/>
                <w:szCs w:val="24"/>
              </w:rPr>
            </w:pPr>
            <w:r>
              <w:rPr>
                <w:rFonts w:hint="eastAsia"/>
                <w:kern w:val="2"/>
                <w:sz w:val="24"/>
                <w:szCs w:val="24"/>
              </w:rPr>
              <w:t>现有项目</w:t>
            </w:r>
            <w:r>
              <w:rPr>
                <w:kern w:val="2"/>
                <w:sz w:val="24"/>
                <w:szCs w:val="24"/>
              </w:rPr>
              <w:t>原辅材料消耗情况见表</w:t>
            </w:r>
            <w:r>
              <w:rPr>
                <w:rFonts w:hint="eastAsia"/>
                <w:kern w:val="2"/>
                <w:sz w:val="24"/>
                <w:szCs w:val="24"/>
              </w:rPr>
              <w:t>2</w:t>
            </w:r>
            <w:r>
              <w:rPr>
                <w:kern w:val="2"/>
                <w:sz w:val="24"/>
                <w:szCs w:val="24"/>
              </w:rPr>
              <w:t>。</w:t>
            </w:r>
          </w:p>
          <w:p>
            <w:pPr>
              <w:pStyle w:val="29"/>
              <w:tabs>
                <w:tab w:val="left" w:pos="3828"/>
              </w:tabs>
              <w:spacing w:line="480" w:lineRule="exact"/>
              <w:ind w:firstLine="0" w:firstLineChars="0"/>
              <w:jc w:val="center"/>
              <w:rPr>
                <w:b/>
                <w:bCs/>
                <w:szCs w:val="21"/>
              </w:rPr>
            </w:pPr>
            <w:r>
              <w:rPr>
                <w:rFonts w:hint="eastAsia"/>
                <w:b/>
                <w:bCs/>
                <w:szCs w:val="21"/>
              </w:rPr>
              <w:t>表2     现有项目原辅材料一览表</w:t>
            </w:r>
          </w:p>
          <w:tbl>
            <w:tblPr>
              <w:tblStyle w:val="32"/>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2801"/>
              <w:gridCol w:w="2197"/>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92" w:type="dxa"/>
                  <w:vAlign w:val="center"/>
                </w:tcPr>
                <w:p>
                  <w:pPr>
                    <w:pStyle w:val="48"/>
                    <w:spacing w:line="240" w:lineRule="auto"/>
                    <w:ind w:firstLine="0" w:firstLineChars="0"/>
                    <w:jc w:val="center"/>
                    <w:rPr>
                      <w:b/>
                      <w:bCs/>
                      <w:sz w:val="21"/>
                      <w:szCs w:val="21"/>
                    </w:rPr>
                  </w:pPr>
                  <w:r>
                    <w:rPr>
                      <w:rFonts w:hint="eastAsia"/>
                      <w:b/>
                      <w:bCs/>
                      <w:sz w:val="21"/>
                      <w:szCs w:val="21"/>
                    </w:rPr>
                    <w:t>序号</w:t>
                  </w:r>
                </w:p>
              </w:tc>
              <w:tc>
                <w:tcPr>
                  <w:tcW w:w="2801" w:type="dxa"/>
                  <w:vAlign w:val="center"/>
                </w:tcPr>
                <w:p>
                  <w:pPr>
                    <w:pStyle w:val="48"/>
                    <w:spacing w:line="240" w:lineRule="auto"/>
                    <w:ind w:firstLine="0" w:firstLineChars="0"/>
                    <w:jc w:val="center"/>
                    <w:rPr>
                      <w:b/>
                      <w:bCs/>
                      <w:sz w:val="21"/>
                      <w:szCs w:val="21"/>
                    </w:rPr>
                  </w:pPr>
                  <w:r>
                    <w:rPr>
                      <w:rFonts w:hint="eastAsia"/>
                      <w:b/>
                      <w:bCs/>
                      <w:sz w:val="21"/>
                      <w:szCs w:val="21"/>
                    </w:rPr>
                    <w:t>名称</w:t>
                  </w:r>
                </w:p>
              </w:tc>
              <w:tc>
                <w:tcPr>
                  <w:tcW w:w="2197" w:type="dxa"/>
                  <w:vAlign w:val="center"/>
                </w:tcPr>
                <w:p>
                  <w:pPr>
                    <w:pStyle w:val="48"/>
                    <w:spacing w:line="240" w:lineRule="auto"/>
                    <w:ind w:firstLine="0" w:firstLineChars="0"/>
                    <w:jc w:val="center"/>
                    <w:rPr>
                      <w:b/>
                      <w:bCs/>
                      <w:sz w:val="21"/>
                      <w:szCs w:val="21"/>
                    </w:rPr>
                  </w:pPr>
                  <w:r>
                    <w:rPr>
                      <w:rFonts w:hint="eastAsia"/>
                      <w:b/>
                      <w:bCs/>
                      <w:sz w:val="21"/>
                      <w:szCs w:val="21"/>
                    </w:rPr>
                    <w:t>单位</w:t>
                  </w:r>
                </w:p>
              </w:tc>
              <w:tc>
                <w:tcPr>
                  <w:tcW w:w="2197" w:type="dxa"/>
                  <w:vAlign w:val="center"/>
                </w:tcPr>
                <w:p>
                  <w:pPr>
                    <w:pStyle w:val="48"/>
                    <w:spacing w:line="240" w:lineRule="auto"/>
                    <w:ind w:firstLine="0" w:firstLineChars="0"/>
                    <w:jc w:val="center"/>
                    <w:rPr>
                      <w:b/>
                      <w:bCs/>
                      <w:sz w:val="21"/>
                      <w:szCs w:val="21"/>
                    </w:rPr>
                  </w:pPr>
                  <w:r>
                    <w:rPr>
                      <w:rFonts w:hint="eastAsia"/>
                      <w:b/>
                      <w:bCs/>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92" w:type="dxa"/>
                  <w:vAlign w:val="center"/>
                </w:tcPr>
                <w:p>
                  <w:pPr>
                    <w:pStyle w:val="48"/>
                    <w:spacing w:line="240" w:lineRule="auto"/>
                    <w:ind w:firstLine="0" w:firstLineChars="0"/>
                    <w:jc w:val="center"/>
                    <w:rPr>
                      <w:sz w:val="21"/>
                      <w:szCs w:val="21"/>
                    </w:rPr>
                  </w:pPr>
                  <w:r>
                    <w:rPr>
                      <w:rFonts w:hint="eastAsia"/>
                      <w:sz w:val="21"/>
                      <w:szCs w:val="21"/>
                    </w:rPr>
                    <w:t>1</w:t>
                  </w:r>
                </w:p>
              </w:tc>
              <w:tc>
                <w:tcPr>
                  <w:tcW w:w="2801" w:type="dxa"/>
                  <w:vAlign w:val="center"/>
                </w:tcPr>
                <w:p>
                  <w:pPr>
                    <w:pStyle w:val="48"/>
                    <w:spacing w:line="240" w:lineRule="auto"/>
                    <w:ind w:firstLine="0" w:firstLineChars="0"/>
                    <w:jc w:val="center"/>
                    <w:rPr>
                      <w:sz w:val="21"/>
                      <w:szCs w:val="21"/>
                    </w:rPr>
                  </w:pPr>
                  <w:r>
                    <w:rPr>
                      <w:rFonts w:hint="eastAsia"/>
                      <w:sz w:val="21"/>
                      <w:szCs w:val="21"/>
                    </w:rPr>
                    <w:t>钢材</w:t>
                  </w:r>
                </w:p>
              </w:tc>
              <w:tc>
                <w:tcPr>
                  <w:tcW w:w="2197" w:type="dxa"/>
                  <w:vAlign w:val="center"/>
                </w:tcPr>
                <w:p>
                  <w:pPr>
                    <w:pStyle w:val="48"/>
                    <w:spacing w:line="240" w:lineRule="auto"/>
                    <w:ind w:firstLine="0" w:firstLineChars="0"/>
                    <w:jc w:val="center"/>
                    <w:rPr>
                      <w:sz w:val="21"/>
                      <w:szCs w:val="21"/>
                    </w:rPr>
                  </w:pPr>
                  <w:r>
                    <w:rPr>
                      <w:rFonts w:hint="eastAsia"/>
                      <w:sz w:val="21"/>
                      <w:szCs w:val="21"/>
                    </w:rPr>
                    <w:t>t/a</w:t>
                  </w:r>
                </w:p>
              </w:tc>
              <w:tc>
                <w:tcPr>
                  <w:tcW w:w="2197" w:type="dxa"/>
                  <w:vAlign w:val="center"/>
                </w:tcPr>
                <w:p>
                  <w:pPr>
                    <w:pStyle w:val="48"/>
                    <w:spacing w:line="240" w:lineRule="auto"/>
                    <w:ind w:firstLine="0" w:firstLineChars="0"/>
                    <w:jc w:val="center"/>
                    <w:rPr>
                      <w:sz w:val="21"/>
                      <w:szCs w:val="21"/>
                    </w:rPr>
                  </w:pPr>
                  <w:r>
                    <w:rPr>
                      <w:rFonts w:hint="eastAsia"/>
                      <w:sz w:val="21"/>
                      <w:szCs w:val="21"/>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92" w:type="dxa"/>
                  <w:vAlign w:val="center"/>
                </w:tcPr>
                <w:p>
                  <w:pPr>
                    <w:pStyle w:val="48"/>
                    <w:spacing w:line="240" w:lineRule="auto"/>
                    <w:ind w:firstLine="0" w:firstLineChars="0"/>
                    <w:jc w:val="center"/>
                    <w:rPr>
                      <w:sz w:val="21"/>
                      <w:szCs w:val="21"/>
                    </w:rPr>
                  </w:pPr>
                  <w:r>
                    <w:rPr>
                      <w:rFonts w:hint="eastAsia"/>
                      <w:sz w:val="21"/>
                      <w:szCs w:val="21"/>
                    </w:rPr>
                    <w:t>2</w:t>
                  </w:r>
                </w:p>
              </w:tc>
              <w:tc>
                <w:tcPr>
                  <w:tcW w:w="2801" w:type="dxa"/>
                  <w:vAlign w:val="center"/>
                </w:tcPr>
                <w:p>
                  <w:pPr>
                    <w:pStyle w:val="48"/>
                    <w:spacing w:line="240" w:lineRule="auto"/>
                    <w:ind w:firstLine="0" w:firstLineChars="0"/>
                    <w:jc w:val="center"/>
                    <w:rPr>
                      <w:sz w:val="21"/>
                      <w:szCs w:val="21"/>
                    </w:rPr>
                  </w:pPr>
                  <w:r>
                    <w:rPr>
                      <w:rFonts w:hint="eastAsia"/>
                      <w:sz w:val="21"/>
                      <w:szCs w:val="21"/>
                    </w:rPr>
                    <w:t>电机</w:t>
                  </w:r>
                </w:p>
              </w:tc>
              <w:tc>
                <w:tcPr>
                  <w:tcW w:w="2197" w:type="dxa"/>
                  <w:vAlign w:val="center"/>
                </w:tcPr>
                <w:p>
                  <w:pPr>
                    <w:pStyle w:val="48"/>
                    <w:spacing w:line="240" w:lineRule="auto"/>
                    <w:ind w:firstLine="0" w:firstLineChars="0"/>
                    <w:jc w:val="center"/>
                    <w:rPr>
                      <w:sz w:val="21"/>
                      <w:szCs w:val="21"/>
                    </w:rPr>
                  </w:pPr>
                  <w:r>
                    <w:rPr>
                      <w:rFonts w:hint="eastAsia"/>
                      <w:sz w:val="21"/>
                      <w:szCs w:val="21"/>
                    </w:rPr>
                    <w:t>台/a</w:t>
                  </w:r>
                </w:p>
              </w:tc>
              <w:tc>
                <w:tcPr>
                  <w:tcW w:w="2197" w:type="dxa"/>
                  <w:vAlign w:val="center"/>
                </w:tcPr>
                <w:p>
                  <w:pPr>
                    <w:pStyle w:val="48"/>
                    <w:spacing w:line="240" w:lineRule="auto"/>
                    <w:ind w:firstLine="0" w:firstLineChars="0"/>
                    <w:jc w:val="center"/>
                    <w:rPr>
                      <w:sz w:val="21"/>
                      <w:szCs w:val="21"/>
                    </w:rPr>
                  </w:pPr>
                  <w:r>
                    <w:rPr>
                      <w:rFonts w:hint="eastAsia"/>
                      <w:sz w:val="21"/>
                      <w:szCs w:val="21"/>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92" w:type="dxa"/>
                  <w:vAlign w:val="center"/>
                </w:tcPr>
                <w:p>
                  <w:pPr>
                    <w:pStyle w:val="48"/>
                    <w:spacing w:line="240" w:lineRule="auto"/>
                    <w:ind w:firstLine="0" w:firstLineChars="0"/>
                    <w:jc w:val="center"/>
                    <w:rPr>
                      <w:sz w:val="21"/>
                      <w:szCs w:val="21"/>
                    </w:rPr>
                  </w:pPr>
                  <w:r>
                    <w:rPr>
                      <w:rFonts w:hint="eastAsia"/>
                      <w:sz w:val="21"/>
                      <w:szCs w:val="21"/>
                    </w:rPr>
                    <w:t>3</w:t>
                  </w:r>
                </w:p>
              </w:tc>
              <w:tc>
                <w:tcPr>
                  <w:tcW w:w="2801" w:type="dxa"/>
                  <w:vAlign w:val="center"/>
                </w:tcPr>
                <w:p>
                  <w:pPr>
                    <w:pStyle w:val="48"/>
                    <w:spacing w:line="240" w:lineRule="auto"/>
                    <w:ind w:firstLine="0" w:firstLineChars="0"/>
                    <w:jc w:val="center"/>
                    <w:rPr>
                      <w:sz w:val="21"/>
                      <w:szCs w:val="21"/>
                    </w:rPr>
                  </w:pPr>
                  <w:r>
                    <w:rPr>
                      <w:rFonts w:hint="eastAsia"/>
                      <w:sz w:val="21"/>
                      <w:szCs w:val="21"/>
                    </w:rPr>
                    <w:t>减速机</w:t>
                  </w:r>
                </w:p>
              </w:tc>
              <w:tc>
                <w:tcPr>
                  <w:tcW w:w="2197" w:type="dxa"/>
                  <w:vAlign w:val="center"/>
                </w:tcPr>
                <w:p>
                  <w:pPr>
                    <w:pStyle w:val="48"/>
                    <w:spacing w:line="240" w:lineRule="auto"/>
                    <w:ind w:firstLine="0" w:firstLineChars="0"/>
                    <w:jc w:val="center"/>
                    <w:rPr>
                      <w:sz w:val="21"/>
                      <w:szCs w:val="21"/>
                    </w:rPr>
                  </w:pPr>
                  <w:r>
                    <w:rPr>
                      <w:rFonts w:hint="eastAsia"/>
                      <w:sz w:val="21"/>
                      <w:szCs w:val="21"/>
                    </w:rPr>
                    <w:t>台/a</w:t>
                  </w:r>
                </w:p>
              </w:tc>
              <w:tc>
                <w:tcPr>
                  <w:tcW w:w="2197" w:type="dxa"/>
                  <w:vAlign w:val="center"/>
                </w:tcPr>
                <w:p>
                  <w:pPr>
                    <w:pStyle w:val="48"/>
                    <w:spacing w:line="240" w:lineRule="auto"/>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92" w:type="dxa"/>
                  <w:vAlign w:val="center"/>
                </w:tcPr>
                <w:p>
                  <w:pPr>
                    <w:pStyle w:val="48"/>
                    <w:spacing w:line="240" w:lineRule="auto"/>
                    <w:ind w:firstLine="0" w:firstLineChars="0"/>
                    <w:jc w:val="center"/>
                    <w:rPr>
                      <w:sz w:val="21"/>
                      <w:szCs w:val="21"/>
                    </w:rPr>
                  </w:pPr>
                  <w:r>
                    <w:rPr>
                      <w:rFonts w:hint="eastAsia"/>
                      <w:sz w:val="21"/>
                      <w:szCs w:val="21"/>
                    </w:rPr>
                    <w:t>4</w:t>
                  </w:r>
                </w:p>
              </w:tc>
              <w:tc>
                <w:tcPr>
                  <w:tcW w:w="2801" w:type="dxa"/>
                  <w:vAlign w:val="center"/>
                </w:tcPr>
                <w:p>
                  <w:pPr>
                    <w:pStyle w:val="48"/>
                    <w:spacing w:line="240" w:lineRule="auto"/>
                    <w:ind w:firstLine="0" w:firstLineChars="0"/>
                    <w:jc w:val="center"/>
                    <w:rPr>
                      <w:sz w:val="21"/>
                      <w:szCs w:val="21"/>
                    </w:rPr>
                  </w:pPr>
                  <w:r>
                    <w:rPr>
                      <w:rFonts w:hint="eastAsia"/>
                      <w:sz w:val="21"/>
                      <w:szCs w:val="21"/>
                    </w:rPr>
                    <w:t>配件</w:t>
                  </w:r>
                </w:p>
              </w:tc>
              <w:tc>
                <w:tcPr>
                  <w:tcW w:w="2197" w:type="dxa"/>
                  <w:vAlign w:val="center"/>
                </w:tcPr>
                <w:p>
                  <w:pPr>
                    <w:pStyle w:val="48"/>
                    <w:spacing w:line="240" w:lineRule="auto"/>
                    <w:ind w:firstLine="0" w:firstLineChars="0"/>
                    <w:jc w:val="center"/>
                    <w:rPr>
                      <w:sz w:val="21"/>
                      <w:szCs w:val="21"/>
                    </w:rPr>
                  </w:pPr>
                  <w:r>
                    <w:rPr>
                      <w:rFonts w:hint="eastAsia"/>
                      <w:sz w:val="21"/>
                      <w:szCs w:val="21"/>
                    </w:rPr>
                    <w:t>套/a</w:t>
                  </w:r>
                </w:p>
              </w:tc>
              <w:tc>
                <w:tcPr>
                  <w:tcW w:w="2197" w:type="dxa"/>
                  <w:vAlign w:val="center"/>
                </w:tcPr>
                <w:p>
                  <w:pPr>
                    <w:pStyle w:val="48"/>
                    <w:spacing w:line="240" w:lineRule="auto"/>
                    <w:ind w:firstLine="0" w:firstLineChars="0"/>
                    <w:jc w:val="center"/>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92" w:type="dxa"/>
                  <w:vAlign w:val="center"/>
                </w:tcPr>
                <w:p>
                  <w:pPr>
                    <w:pStyle w:val="48"/>
                    <w:spacing w:line="240" w:lineRule="auto"/>
                    <w:ind w:firstLine="0" w:firstLineChars="0"/>
                    <w:jc w:val="center"/>
                    <w:rPr>
                      <w:sz w:val="21"/>
                      <w:szCs w:val="21"/>
                    </w:rPr>
                  </w:pPr>
                  <w:r>
                    <w:rPr>
                      <w:rFonts w:hint="eastAsia"/>
                      <w:sz w:val="21"/>
                      <w:szCs w:val="21"/>
                    </w:rPr>
                    <w:t>5</w:t>
                  </w:r>
                </w:p>
              </w:tc>
              <w:tc>
                <w:tcPr>
                  <w:tcW w:w="2801" w:type="dxa"/>
                  <w:vAlign w:val="center"/>
                </w:tcPr>
                <w:p>
                  <w:pPr>
                    <w:pStyle w:val="48"/>
                    <w:spacing w:line="240" w:lineRule="auto"/>
                    <w:ind w:firstLine="0" w:firstLineChars="0"/>
                    <w:jc w:val="center"/>
                    <w:rPr>
                      <w:sz w:val="21"/>
                      <w:szCs w:val="21"/>
                    </w:rPr>
                  </w:pPr>
                  <w:r>
                    <w:rPr>
                      <w:rFonts w:hint="eastAsia"/>
                      <w:sz w:val="21"/>
                      <w:szCs w:val="21"/>
                    </w:rPr>
                    <w:t>电焊条</w:t>
                  </w:r>
                </w:p>
              </w:tc>
              <w:tc>
                <w:tcPr>
                  <w:tcW w:w="2197" w:type="dxa"/>
                  <w:vAlign w:val="center"/>
                </w:tcPr>
                <w:p>
                  <w:pPr>
                    <w:pStyle w:val="48"/>
                    <w:spacing w:line="240" w:lineRule="auto"/>
                    <w:ind w:firstLine="0" w:firstLineChars="0"/>
                    <w:jc w:val="center"/>
                    <w:rPr>
                      <w:sz w:val="21"/>
                      <w:szCs w:val="21"/>
                    </w:rPr>
                  </w:pPr>
                  <w:r>
                    <w:rPr>
                      <w:rFonts w:hint="eastAsia"/>
                      <w:sz w:val="21"/>
                      <w:szCs w:val="21"/>
                    </w:rPr>
                    <w:t>t/a</w:t>
                  </w:r>
                </w:p>
              </w:tc>
              <w:tc>
                <w:tcPr>
                  <w:tcW w:w="2197" w:type="dxa"/>
                  <w:vAlign w:val="center"/>
                </w:tcPr>
                <w:p>
                  <w:pPr>
                    <w:pStyle w:val="48"/>
                    <w:spacing w:line="240" w:lineRule="auto"/>
                    <w:ind w:firstLine="0" w:firstLineChars="0"/>
                    <w:jc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92" w:type="dxa"/>
                  <w:vAlign w:val="center"/>
                </w:tcPr>
                <w:p>
                  <w:pPr>
                    <w:pStyle w:val="48"/>
                    <w:spacing w:line="240" w:lineRule="auto"/>
                    <w:ind w:firstLine="0" w:firstLineChars="0"/>
                    <w:jc w:val="center"/>
                    <w:rPr>
                      <w:sz w:val="21"/>
                      <w:szCs w:val="21"/>
                    </w:rPr>
                  </w:pPr>
                  <w:r>
                    <w:rPr>
                      <w:rFonts w:hint="eastAsia"/>
                      <w:sz w:val="21"/>
                      <w:szCs w:val="21"/>
                    </w:rPr>
                    <w:t>6</w:t>
                  </w:r>
                </w:p>
              </w:tc>
              <w:tc>
                <w:tcPr>
                  <w:tcW w:w="2801" w:type="dxa"/>
                  <w:vAlign w:val="center"/>
                </w:tcPr>
                <w:p>
                  <w:pPr>
                    <w:pStyle w:val="48"/>
                    <w:spacing w:line="240" w:lineRule="auto"/>
                    <w:ind w:firstLine="0" w:firstLineChars="0"/>
                    <w:jc w:val="center"/>
                    <w:rPr>
                      <w:sz w:val="21"/>
                      <w:szCs w:val="21"/>
                    </w:rPr>
                  </w:pPr>
                  <w:r>
                    <w:rPr>
                      <w:rFonts w:hint="eastAsia"/>
                      <w:sz w:val="21"/>
                      <w:szCs w:val="21"/>
                    </w:rPr>
                    <w:t>电</w:t>
                  </w:r>
                </w:p>
              </w:tc>
              <w:tc>
                <w:tcPr>
                  <w:tcW w:w="2197" w:type="dxa"/>
                  <w:vAlign w:val="center"/>
                </w:tcPr>
                <w:p>
                  <w:pPr>
                    <w:pStyle w:val="48"/>
                    <w:spacing w:line="240" w:lineRule="auto"/>
                    <w:ind w:firstLine="0" w:firstLineChars="0"/>
                    <w:jc w:val="center"/>
                    <w:rPr>
                      <w:sz w:val="21"/>
                      <w:szCs w:val="21"/>
                    </w:rPr>
                  </w:pPr>
                  <w:r>
                    <w:rPr>
                      <w:rFonts w:hint="eastAsia"/>
                      <w:sz w:val="21"/>
                      <w:szCs w:val="21"/>
                    </w:rPr>
                    <w:t>万KWh/a</w:t>
                  </w:r>
                </w:p>
              </w:tc>
              <w:tc>
                <w:tcPr>
                  <w:tcW w:w="2197" w:type="dxa"/>
                  <w:vAlign w:val="center"/>
                </w:tcPr>
                <w:p>
                  <w:pPr>
                    <w:pStyle w:val="48"/>
                    <w:spacing w:line="240" w:lineRule="auto"/>
                    <w:ind w:firstLine="0" w:firstLineChars="0"/>
                    <w:jc w:val="center"/>
                    <w:rPr>
                      <w:sz w:val="21"/>
                      <w:szCs w:val="21"/>
                    </w:rPr>
                  </w:pPr>
                  <w:r>
                    <w:rPr>
                      <w:rFonts w:hint="eastAsia"/>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92" w:type="dxa"/>
                  <w:vAlign w:val="center"/>
                </w:tcPr>
                <w:p>
                  <w:pPr>
                    <w:pStyle w:val="48"/>
                    <w:spacing w:line="240" w:lineRule="auto"/>
                    <w:ind w:firstLine="0" w:firstLineChars="0"/>
                    <w:jc w:val="center"/>
                    <w:rPr>
                      <w:sz w:val="21"/>
                      <w:szCs w:val="21"/>
                    </w:rPr>
                  </w:pPr>
                  <w:r>
                    <w:rPr>
                      <w:rFonts w:hint="eastAsia"/>
                      <w:sz w:val="21"/>
                      <w:szCs w:val="21"/>
                    </w:rPr>
                    <w:t>7</w:t>
                  </w:r>
                </w:p>
              </w:tc>
              <w:tc>
                <w:tcPr>
                  <w:tcW w:w="2801" w:type="dxa"/>
                  <w:vAlign w:val="center"/>
                </w:tcPr>
                <w:p>
                  <w:pPr>
                    <w:pStyle w:val="48"/>
                    <w:spacing w:line="240" w:lineRule="auto"/>
                    <w:ind w:firstLine="0" w:firstLineChars="0"/>
                    <w:jc w:val="center"/>
                    <w:rPr>
                      <w:sz w:val="21"/>
                      <w:szCs w:val="21"/>
                    </w:rPr>
                  </w:pPr>
                  <w:r>
                    <w:rPr>
                      <w:rFonts w:hint="eastAsia"/>
                      <w:sz w:val="21"/>
                      <w:szCs w:val="21"/>
                    </w:rPr>
                    <w:t>水</w:t>
                  </w:r>
                </w:p>
              </w:tc>
              <w:tc>
                <w:tcPr>
                  <w:tcW w:w="2197" w:type="dxa"/>
                  <w:vAlign w:val="center"/>
                </w:tcPr>
                <w:p>
                  <w:pPr>
                    <w:pStyle w:val="48"/>
                    <w:spacing w:line="240" w:lineRule="auto"/>
                    <w:ind w:firstLine="0" w:firstLineChars="0"/>
                    <w:jc w:val="center"/>
                    <w:rPr>
                      <w:sz w:val="21"/>
                      <w:szCs w:val="21"/>
                    </w:rPr>
                  </w:pPr>
                  <w:r>
                    <w:rPr>
                      <w:rFonts w:hint="eastAsia"/>
                      <w:sz w:val="21"/>
                      <w:szCs w:val="21"/>
                    </w:rPr>
                    <w:t>m</w:t>
                  </w:r>
                  <w:r>
                    <w:rPr>
                      <w:rFonts w:hint="eastAsia"/>
                      <w:sz w:val="21"/>
                      <w:szCs w:val="21"/>
                      <w:vertAlign w:val="superscript"/>
                    </w:rPr>
                    <w:t>3</w:t>
                  </w:r>
                  <w:r>
                    <w:rPr>
                      <w:rFonts w:hint="eastAsia"/>
                      <w:sz w:val="21"/>
                      <w:szCs w:val="21"/>
                    </w:rPr>
                    <w:t>/a</w:t>
                  </w:r>
                </w:p>
              </w:tc>
              <w:tc>
                <w:tcPr>
                  <w:tcW w:w="2197" w:type="dxa"/>
                  <w:vAlign w:val="center"/>
                </w:tcPr>
                <w:p>
                  <w:pPr>
                    <w:pStyle w:val="48"/>
                    <w:spacing w:line="240" w:lineRule="auto"/>
                    <w:ind w:firstLine="0" w:firstLineChars="0"/>
                    <w:jc w:val="center"/>
                    <w:rPr>
                      <w:sz w:val="21"/>
                      <w:szCs w:val="21"/>
                    </w:rPr>
                  </w:pPr>
                  <w:r>
                    <w:rPr>
                      <w:rFonts w:hint="eastAsia"/>
                      <w:sz w:val="21"/>
                      <w:szCs w:val="21"/>
                    </w:rPr>
                    <w:t>2208</w:t>
                  </w:r>
                </w:p>
              </w:tc>
            </w:tr>
          </w:tbl>
          <w:p>
            <w:pPr>
              <w:pStyle w:val="48"/>
              <w:spacing w:line="480" w:lineRule="exact"/>
            </w:pPr>
            <w:r>
              <w:rPr>
                <w:rFonts w:hint="eastAsia"/>
              </w:rPr>
              <w:t>（8）</w:t>
            </w:r>
            <w:r>
              <w:rPr>
                <w:rFonts w:hint="eastAsia"/>
                <w:szCs w:val="24"/>
              </w:rPr>
              <w:t>生产设备</w:t>
            </w:r>
          </w:p>
          <w:p>
            <w:pPr>
              <w:tabs>
                <w:tab w:val="left" w:pos="3828"/>
              </w:tabs>
              <w:spacing w:line="480" w:lineRule="exact"/>
              <w:ind w:firstLine="480" w:firstLineChars="200"/>
              <w:rPr>
                <w:sz w:val="24"/>
                <w:szCs w:val="24"/>
              </w:rPr>
            </w:pPr>
            <w:r>
              <w:rPr>
                <w:sz w:val="24"/>
                <w:szCs w:val="24"/>
              </w:rPr>
              <w:t>现有项目中的主要设备见表</w:t>
            </w:r>
            <w:r>
              <w:rPr>
                <w:rFonts w:hint="eastAsia"/>
                <w:sz w:val="24"/>
                <w:szCs w:val="24"/>
              </w:rPr>
              <w:t>3</w:t>
            </w:r>
            <w:r>
              <w:rPr>
                <w:rFonts w:hint="eastAsia"/>
                <w:sz w:val="24"/>
              </w:rPr>
              <w:t>。</w:t>
            </w:r>
          </w:p>
          <w:p>
            <w:pPr>
              <w:pStyle w:val="29"/>
              <w:tabs>
                <w:tab w:val="left" w:pos="3828"/>
              </w:tabs>
              <w:spacing w:line="480" w:lineRule="exact"/>
              <w:ind w:firstLine="0" w:firstLineChars="0"/>
              <w:jc w:val="center"/>
              <w:rPr>
                <w:b/>
                <w:bCs/>
                <w:szCs w:val="21"/>
              </w:rPr>
            </w:pPr>
            <w:r>
              <w:rPr>
                <w:rFonts w:hint="eastAsia"/>
                <w:b/>
                <w:bCs/>
                <w:szCs w:val="21"/>
              </w:rPr>
              <w:t>表3   现有项目主要生产设备一览表</w:t>
            </w:r>
          </w:p>
          <w:tbl>
            <w:tblPr>
              <w:tblStyle w:val="31"/>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83"/>
              <w:gridCol w:w="1902"/>
              <w:gridCol w:w="1730"/>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cs="宋体"/>
                      <w:b/>
                      <w:bCs/>
                    </w:rPr>
                  </w:pPr>
                  <w:r>
                    <w:rPr>
                      <w:rFonts w:hint="eastAsia" w:cs="宋体"/>
                      <w:b/>
                      <w:bCs/>
                    </w:rPr>
                    <w:t>序号</w:t>
                  </w: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cs="宋体"/>
                      <w:b/>
                      <w:bCs/>
                    </w:rPr>
                  </w:pPr>
                  <w:r>
                    <w:rPr>
                      <w:rFonts w:hint="eastAsia" w:cs="宋体"/>
                      <w:b/>
                      <w:bCs/>
                    </w:rPr>
                    <w:t>名称</w:t>
                  </w:r>
                </w:p>
              </w:tc>
              <w:tc>
                <w:tcPr>
                  <w:tcW w:w="1902" w:type="dxa"/>
                  <w:tcBorders>
                    <w:top w:val="single" w:color="auto" w:sz="4" w:space="0"/>
                    <w:left w:val="single" w:color="auto" w:sz="4" w:space="0"/>
                    <w:bottom w:val="single" w:color="auto" w:sz="4" w:space="0"/>
                    <w:right w:val="single" w:color="auto" w:sz="4" w:space="0"/>
                  </w:tcBorders>
                  <w:vAlign w:val="center"/>
                </w:tcPr>
                <w:p>
                  <w:pPr>
                    <w:jc w:val="center"/>
                    <w:rPr>
                      <w:rFonts w:cs="宋体"/>
                      <w:b/>
                      <w:bCs/>
                    </w:rPr>
                  </w:pPr>
                  <w:r>
                    <w:rPr>
                      <w:rFonts w:hint="eastAsia" w:cs="宋体"/>
                      <w:b/>
                      <w:bCs/>
                    </w:rPr>
                    <w:t>单位</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cs="宋体"/>
                      <w:b/>
                      <w:bCs/>
                    </w:rPr>
                  </w:pPr>
                  <w:r>
                    <w:rPr>
                      <w:rFonts w:hint="eastAsia" w:cs="宋体"/>
                      <w:b/>
                      <w:bCs/>
                    </w:rPr>
                    <w:t>数量</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cs="宋体"/>
                      <w:b/>
                      <w:bCs/>
                    </w:rPr>
                  </w:pPr>
                  <w:r>
                    <w:rPr>
                      <w:rFonts w:hint="eastAsia" w:cs="宋体"/>
                      <w:b/>
                      <w:bCs/>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cs="宋体"/>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数控切割机</w:t>
                  </w:r>
                </w:p>
              </w:tc>
              <w:tc>
                <w:tcPr>
                  <w:tcW w:w="1902"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台</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szCs w:val="21"/>
                    </w:rPr>
                    <w:t>10</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cs="宋体"/>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火焰切割机</w:t>
                  </w:r>
                </w:p>
              </w:tc>
              <w:tc>
                <w:tcPr>
                  <w:tcW w:w="1902"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台</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szCs w:val="21"/>
                    </w:rPr>
                    <w:t>2</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cs="宋体"/>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等离子切割机</w:t>
                  </w:r>
                </w:p>
              </w:tc>
              <w:tc>
                <w:tcPr>
                  <w:tcW w:w="1902"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台</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szCs w:val="21"/>
                    </w:rPr>
                    <w:t>3</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cs="宋体"/>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二氧化碳保护焊机</w:t>
                  </w:r>
                </w:p>
              </w:tc>
              <w:tc>
                <w:tcPr>
                  <w:tcW w:w="1902"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台</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szCs w:val="21"/>
                    </w:rPr>
                    <w:t>4</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成都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cs="宋体"/>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锯床</w:t>
                  </w:r>
                </w:p>
              </w:tc>
              <w:tc>
                <w:tcPr>
                  <w:tcW w:w="1902"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台</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szCs w:val="21"/>
                    </w:rPr>
                    <w:t>3</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cs="宋体"/>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普通车床</w:t>
                  </w:r>
                </w:p>
              </w:tc>
              <w:tc>
                <w:tcPr>
                  <w:tcW w:w="1902"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台</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szCs w:val="21"/>
                    </w:rPr>
                    <w:t>2</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大连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cs="宋体"/>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摇臂钻床</w:t>
                  </w:r>
                </w:p>
              </w:tc>
              <w:tc>
                <w:tcPr>
                  <w:tcW w:w="1902"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台</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szCs w:val="21"/>
                    </w:rPr>
                    <w:t>1</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cs="宋体"/>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铣床</w:t>
                  </w:r>
                </w:p>
              </w:tc>
              <w:tc>
                <w:tcPr>
                  <w:tcW w:w="1902"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台</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szCs w:val="21"/>
                    </w:rPr>
                    <w:t>2</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沈阳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cs="宋体"/>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刨床</w:t>
                  </w:r>
                </w:p>
              </w:tc>
              <w:tc>
                <w:tcPr>
                  <w:tcW w:w="1902"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台</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szCs w:val="21"/>
                    </w:rPr>
                    <w:t>1</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rFonts w:cs="宋体"/>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桥式起重机</w:t>
                  </w:r>
                </w:p>
              </w:tc>
              <w:tc>
                <w:tcPr>
                  <w:tcW w:w="1902"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台</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szCs w:val="21"/>
                    </w:rPr>
                    <w:t>4</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河南</w:t>
                  </w:r>
                </w:p>
              </w:tc>
            </w:tr>
          </w:tbl>
          <w:p>
            <w:pPr>
              <w:spacing w:line="480" w:lineRule="exact"/>
              <w:ind w:firstLine="480" w:firstLineChars="200"/>
              <w:rPr>
                <w:sz w:val="24"/>
              </w:rPr>
            </w:pPr>
            <w:r>
              <w:rPr>
                <w:rFonts w:hint="eastAsia"/>
                <w:sz w:val="24"/>
              </w:rPr>
              <w:t>（9）劳动定员及工作制度：本项目定员184人，其中管理人员24人。执行白班8小时工作制度，年工作300天。</w:t>
            </w:r>
          </w:p>
          <w:p>
            <w:pPr>
              <w:spacing w:line="480" w:lineRule="exact"/>
              <w:ind w:firstLine="480" w:firstLineChars="200"/>
              <w:rPr>
                <w:sz w:val="24"/>
              </w:rPr>
            </w:pPr>
            <w:r>
              <w:rPr>
                <w:rFonts w:hint="eastAsia"/>
                <w:sz w:val="24"/>
              </w:rPr>
              <w:t>（10）公用工程</w:t>
            </w:r>
          </w:p>
          <w:p>
            <w:pPr>
              <w:spacing w:line="480" w:lineRule="exact"/>
              <w:ind w:firstLine="480" w:firstLineChars="200"/>
              <w:rPr>
                <w:sz w:val="24"/>
              </w:rPr>
            </w:pPr>
            <w:r>
              <w:rPr>
                <w:rFonts w:hint="eastAsia"/>
                <w:sz w:val="24"/>
              </w:rPr>
              <w:t>①给排水</w:t>
            </w:r>
          </w:p>
          <w:p>
            <w:pPr>
              <w:spacing w:line="480" w:lineRule="exact"/>
              <w:ind w:firstLine="480" w:firstLineChars="200"/>
              <w:rPr>
                <w:sz w:val="24"/>
              </w:rPr>
            </w:pPr>
            <w:r>
              <w:rPr>
                <w:rFonts w:hint="eastAsia"/>
                <w:sz w:val="24"/>
              </w:rPr>
              <w:t>给水：</w:t>
            </w:r>
            <w:bookmarkStart w:id="2" w:name="OLE_LINK1"/>
            <w:r>
              <w:rPr>
                <w:rFonts w:hint="eastAsia"/>
                <w:sz w:val="24"/>
              </w:rPr>
              <w:t>本项目用水由园区自来水管网提供，总用水量为7.36m</w:t>
            </w:r>
            <w:r>
              <w:rPr>
                <w:rFonts w:hint="eastAsia"/>
                <w:sz w:val="24"/>
                <w:vertAlign w:val="superscript"/>
              </w:rPr>
              <w:t>3</w:t>
            </w:r>
            <w:r>
              <w:rPr>
                <w:rFonts w:hint="eastAsia"/>
                <w:sz w:val="24"/>
              </w:rPr>
              <w:t>/d。本项目无生产用水；项目劳动定员184人，用水量按每人每天40L计算，则生活用水量为7.36m</w:t>
            </w:r>
            <w:r>
              <w:rPr>
                <w:rFonts w:hint="eastAsia"/>
                <w:sz w:val="24"/>
                <w:vertAlign w:val="superscript"/>
              </w:rPr>
              <w:t>3</w:t>
            </w:r>
            <w:r>
              <w:rPr>
                <w:rFonts w:hint="eastAsia"/>
                <w:sz w:val="24"/>
              </w:rPr>
              <w:t>/d。</w:t>
            </w:r>
          </w:p>
          <w:p>
            <w:pPr>
              <w:pStyle w:val="48"/>
            </w:pPr>
            <w:r>
              <w:rPr>
                <w:rFonts w:hint="eastAsia"/>
              </w:rPr>
              <w:t>项目无生产废水排放，项目废水主要为职工的盥洗废水，生活废水产生量按用水量的80%计算，则废水产生量为5.89m</w:t>
            </w:r>
            <w:r>
              <w:rPr>
                <w:rFonts w:hint="eastAsia"/>
                <w:vertAlign w:val="superscript"/>
              </w:rPr>
              <w:t>3</w:t>
            </w:r>
            <w:r>
              <w:rPr>
                <w:rFonts w:hint="eastAsia"/>
              </w:rPr>
              <w:t>/d，经化粪池处理后排入园区污水管网，送新河县污水处理厂处理。</w:t>
            </w:r>
          </w:p>
          <w:bookmarkEnd w:id="2"/>
          <w:p>
            <w:pPr>
              <w:tabs>
                <w:tab w:val="left" w:pos="3828"/>
              </w:tabs>
              <w:spacing w:line="480" w:lineRule="exact"/>
              <w:ind w:firstLine="480" w:firstLineChars="200"/>
              <w:rPr>
                <w:sz w:val="24"/>
                <w:szCs w:val="24"/>
              </w:rPr>
            </w:pPr>
            <w:r>
              <w:rPr>
                <w:rFonts w:hint="eastAsia"/>
                <w:sz w:val="24"/>
                <w:szCs w:val="24"/>
              </w:rPr>
              <w:t>②供电</w:t>
            </w:r>
          </w:p>
          <w:p>
            <w:pPr>
              <w:tabs>
                <w:tab w:val="left" w:pos="3828"/>
              </w:tabs>
              <w:spacing w:line="480" w:lineRule="exact"/>
              <w:ind w:firstLine="480" w:firstLineChars="200"/>
              <w:rPr>
                <w:sz w:val="24"/>
                <w:szCs w:val="24"/>
              </w:rPr>
            </w:pPr>
            <w:r>
              <w:rPr>
                <w:rFonts w:hint="eastAsia"/>
                <w:sz w:val="24"/>
                <w:szCs w:val="24"/>
              </w:rPr>
              <w:t>本项目用电由新河县供电管网提供，项目年用电量为15万</w:t>
            </w:r>
            <w:r>
              <w:rPr>
                <w:sz w:val="24"/>
                <w:szCs w:val="24"/>
              </w:rPr>
              <w:t>kW·h</w:t>
            </w:r>
            <w:r>
              <w:rPr>
                <w:rFonts w:hint="eastAsia"/>
                <w:sz w:val="24"/>
                <w:szCs w:val="24"/>
              </w:rPr>
              <w:t>。</w:t>
            </w:r>
          </w:p>
          <w:p>
            <w:pPr>
              <w:tabs>
                <w:tab w:val="left" w:pos="3828"/>
              </w:tabs>
              <w:spacing w:line="480" w:lineRule="exact"/>
              <w:ind w:firstLine="480" w:firstLineChars="200"/>
              <w:rPr>
                <w:sz w:val="24"/>
                <w:szCs w:val="24"/>
              </w:rPr>
            </w:pPr>
            <w:r>
              <w:rPr>
                <w:rFonts w:hint="eastAsia"/>
                <w:sz w:val="24"/>
                <w:szCs w:val="24"/>
              </w:rPr>
              <w:t>③供热</w:t>
            </w:r>
          </w:p>
          <w:p>
            <w:pPr>
              <w:tabs>
                <w:tab w:val="left" w:pos="3828"/>
              </w:tabs>
              <w:spacing w:line="480" w:lineRule="exact"/>
              <w:ind w:firstLine="480" w:firstLineChars="200"/>
              <w:rPr>
                <w:sz w:val="24"/>
                <w:szCs w:val="24"/>
              </w:rPr>
            </w:pPr>
            <w:r>
              <w:rPr>
                <w:rFonts w:hint="eastAsia"/>
                <w:sz w:val="24"/>
                <w:szCs w:val="24"/>
              </w:rPr>
              <w:t>本项目办公室冬季取暖由电暖气提供。</w:t>
            </w:r>
          </w:p>
          <w:p>
            <w:pPr>
              <w:tabs>
                <w:tab w:val="left" w:pos="3828"/>
              </w:tabs>
              <w:spacing w:line="480" w:lineRule="exact"/>
              <w:ind w:firstLine="480" w:firstLineChars="200"/>
              <w:rPr>
                <w:b/>
                <w:sz w:val="24"/>
                <w:szCs w:val="24"/>
              </w:rPr>
            </w:pPr>
            <w:r>
              <w:rPr>
                <w:rFonts w:hint="eastAsia"/>
                <w:b/>
                <w:sz w:val="24"/>
                <w:szCs w:val="24"/>
              </w:rPr>
              <w:t>4</w:t>
            </w:r>
            <w:r>
              <w:rPr>
                <w:b/>
                <w:sz w:val="24"/>
                <w:szCs w:val="24"/>
              </w:rPr>
              <w:t>、技改项目基本情况</w:t>
            </w:r>
          </w:p>
          <w:p>
            <w:pPr>
              <w:tabs>
                <w:tab w:val="left" w:pos="3828"/>
              </w:tabs>
              <w:spacing w:line="480" w:lineRule="exact"/>
              <w:ind w:firstLine="480" w:firstLineChars="200"/>
              <w:rPr>
                <w:sz w:val="24"/>
                <w:szCs w:val="24"/>
              </w:rPr>
            </w:pPr>
            <w:r>
              <w:rPr>
                <w:rFonts w:hint="eastAsia"/>
                <w:sz w:val="24"/>
                <w:szCs w:val="24"/>
              </w:rPr>
              <w:t>（1）项目名称</w:t>
            </w:r>
          </w:p>
          <w:p>
            <w:pPr>
              <w:tabs>
                <w:tab w:val="left" w:pos="3828"/>
              </w:tabs>
              <w:spacing w:line="480" w:lineRule="exact"/>
              <w:ind w:firstLine="480" w:firstLineChars="200"/>
              <w:rPr>
                <w:sz w:val="24"/>
                <w:szCs w:val="24"/>
              </w:rPr>
            </w:pPr>
            <w:r>
              <w:rPr>
                <w:rFonts w:hint="eastAsia"/>
                <w:sz w:val="24"/>
              </w:rPr>
              <w:t>CFG螺旋钻机扩建技术改造项目</w:t>
            </w:r>
          </w:p>
          <w:p>
            <w:pPr>
              <w:tabs>
                <w:tab w:val="left" w:pos="3828"/>
              </w:tabs>
              <w:spacing w:line="480" w:lineRule="exact"/>
              <w:ind w:firstLine="480" w:firstLineChars="200"/>
              <w:rPr>
                <w:sz w:val="24"/>
                <w:szCs w:val="24"/>
              </w:rPr>
            </w:pPr>
            <w:r>
              <w:rPr>
                <w:rFonts w:hint="eastAsia"/>
                <w:sz w:val="24"/>
                <w:szCs w:val="24"/>
              </w:rPr>
              <w:t>（2）项目投资</w:t>
            </w:r>
          </w:p>
          <w:p>
            <w:pPr>
              <w:tabs>
                <w:tab w:val="left" w:pos="3828"/>
              </w:tabs>
              <w:spacing w:line="480" w:lineRule="exact"/>
              <w:ind w:firstLine="480" w:firstLineChars="200"/>
              <w:rPr>
                <w:color w:val="0000FF"/>
                <w:sz w:val="24"/>
                <w:szCs w:val="24"/>
              </w:rPr>
            </w:pPr>
            <w:r>
              <w:rPr>
                <w:rFonts w:hint="eastAsia"/>
                <w:sz w:val="24"/>
                <w:szCs w:val="24"/>
              </w:rPr>
              <w:t>技改项目总投资160万元，其中环保投资25万元，占总投资比例为15.6%。</w:t>
            </w:r>
          </w:p>
          <w:p>
            <w:pPr>
              <w:tabs>
                <w:tab w:val="left" w:pos="3828"/>
              </w:tabs>
              <w:spacing w:line="480" w:lineRule="exact"/>
              <w:ind w:firstLine="480" w:firstLineChars="200"/>
              <w:rPr>
                <w:sz w:val="24"/>
                <w:szCs w:val="24"/>
              </w:rPr>
            </w:pPr>
            <w:r>
              <w:rPr>
                <w:rFonts w:hint="eastAsia"/>
                <w:sz w:val="24"/>
                <w:szCs w:val="24"/>
              </w:rPr>
              <w:t>（3）建设地点</w:t>
            </w:r>
          </w:p>
          <w:p>
            <w:pPr>
              <w:tabs>
                <w:tab w:val="left" w:pos="3828"/>
              </w:tabs>
              <w:spacing w:line="480" w:lineRule="exact"/>
              <w:ind w:firstLine="480" w:firstLineChars="200"/>
              <w:rPr>
                <w:sz w:val="24"/>
                <w:szCs w:val="24"/>
              </w:rPr>
            </w:pPr>
            <w:r>
              <w:rPr>
                <w:rFonts w:hint="eastAsia"/>
                <w:sz w:val="24"/>
              </w:rPr>
              <w:t>项目位于</w:t>
            </w:r>
            <w:r>
              <w:rPr>
                <w:rFonts w:hint="eastAsia"/>
                <w:sz w:val="24"/>
                <w:szCs w:val="24"/>
              </w:rPr>
              <w:t>新河县工业区时代路西段路北</w:t>
            </w:r>
            <w:r>
              <w:rPr>
                <w:rFonts w:hint="eastAsia"/>
                <w:sz w:val="24"/>
              </w:rPr>
              <w:t>，厂址中心坐标为北</w:t>
            </w:r>
            <w:r>
              <w:rPr>
                <w:sz w:val="24"/>
              </w:rPr>
              <w:t>纬37°3</w:t>
            </w:r>
            <w:r>
              <w:rPr>
                <w:rFonts w:hint="eastAsia"/>
                <w:sz w:val="24"/>
              </w:rPr>
              <w:t>1</w:t>
            </w:r>
            <w:r>
              <w:rPr>
                <w:sz w:val="24"/>
              </w:rPr>
              <w:t>′</w:t>
            </w:r>
            <w:r>
              <w:rPr>
                <w:rFonts w:hint="eastAsia"/>
                <w:sz w:val="24"/>
              </w:rPr>
              <w:t>2.27</w:t>
            </w:r>
            <w:r>
              <w:rPr>
                <w:sz w:val="24"/>
              </w:rPr>
              <w:t>″，东经115°1</w:t>
            </w:r>
            <w:r>
              <w:rPr>
                <w:rFonts w:hint="eastAsia"/>
                <w:sz w:val="24"/>
              </w:rPr>
              <w:t>2</w:t>
            </w:r>
            <w:r>
              <w:rPr>
                <w:sz w:val="24"/>
              </w:rPr>
              <w:t>′</w:t>
            </w:r>
            <w:r>
              <w:rPr>
                <w:rFonts w:hint="eastAsia"/>
                <w:sz w:val="24"/>
              </w:rPr>
              <w:t>35.12</w:t>
            </w:r>
            <w:r>
              <w:rPr>
                <w:sz w:val="24"/>
              </w:rPr>
              <w:t>″</w:t>
            </w:r>
            <w:r>
              <w:rPr>
                <w:rFonts w:hint="eastAsia"/>
                <w:sz w:val="24"/>
              </w:rPr>
              <w:t>。</w:t>
            </w:r>
            <w:r>
              <w:rPr>
                <w:sz w:val="24"/>
                <w:szCs w:val="24"/>
              </w:rPr>
              <w:t>本次技改项目在</w:t>
            </w:r>
            <w:r>
              <w:rPr>
                <w:rFonts w:hint="eastAsia"/>
                <w:sz w:val="24"/>
                <w:szCs w:val="24"/>
              </w:rPr>
              <w:t>新河县雄飞桩工机械厂现有厂区内扩建生产车间进行</w:t>
            </w:r>
            <w:r>
              <w:rPr>
                <w:sz w:val="24"/>
                <w:szCs w:val="24"/>
              </w:rPr>
              <w:t>。</w:t>
            </w:r>
          </w:p>
          <w:p>
            <w:pPr>
              <w:spacing w:line="480" w:lineRule="exact"/>
              <w:ind w:firstLine="480" w:firstLineChars="200"/>
              <w:rPr>
                <w:sz w:val="24"/>
              </w:rPr>
            </w:pPr>
            <w:r>
              <w:rPr>
                <w:rFonts w:hint="eastAsia"/>
                <w:sz w:val="24"/>
              </w:rPr>
              <w:t>（4）产品方案</w:t>
            </w:r>
          </w:p>
          <w:p>
            <w:pPr>
              <w:pStyle w:val="48"/>
              <w:spacing w:line="480" w:lineRule="exact"/>
            </w:pPr>
            <w:r>
              <w:rPr>
                <w:rFonts w:hint="eastAsia"/>
              </w:rPr>
              <w:t>技改项目主要产品仍为</w:t>
            </w:r>
            <w:r>
              <w:rPr>
                <w:rFonts w:hint="eastAsia"/>
                <w:szCs w:val="24"/>
              </w:rPr>
              <w:t>年产300台</w:t>
            </w:r>
            <w:r>
              <w:rPr>
                <w:rFonts w:hint="eastAsia"/>
              </w:rPr>
              <w:t>CFG螺旋钻机。</w:t>
            </w:r>
          </w:p>
          <w:p>
            <w:pPr>
              <w:spacing w:line="480" w:lineRule="exact"/>
              <w:ind w:firstLine="480" w:firstLineChars="200"/>
              <w:rPr>
                <w:sz w:val="24"/>
              </w:rPr>
            </w:pPr>
            <w:r>
              <w:rPr>
                <w:rFonts w:hint="eastAsia"/>
                <w:sz w:val="24"/>
              </w:rPr>
              <w:t>（5）平面布置</w:t>
            </w:r>
          </w:p>
          <w:p>
            <w:pPr>
              <w:spacing w:line="480" w:lineRule="exact"/>
              <w:ind w:firstLine="480" w:firstLineChars="200"/>
              <w:rPr>
                <w:sz w:val="24"/>
              </w:rPr>
            </w:pPr>
            <w:r>
              <w:rPr>
                <w:rFonts w:hint="eastAsia"/>
                <w:sz w:val="24"/>
              </w:rPr>
              <w:t>出入口位于厂区东南侧，办公楼位于厂区南侧，宿舍楼位于办公楼西侧，仓库位于厂区西北侧，二车间位于厂区北侧，装配车间、一车间位于厂区西侧，金工车间位于厂区东侧。根据工艺流程，生产车间位于厂区西侧、原料库位于北侧。厂区布局紧凑，原料区及生产区转移畅通。</w:t>
            </w:r>
          </w:p>
          <w:p>
            <w:pPr>
              <w:spacing w:line="480" w:lineRule="exact"/>
              <w:ind w:firstLine="480" w:firstLineChars="200"/>
              <w:rPr>
                <w:sz w:val="24"/>
              </w:rPr>
            </w:pPr>
            <w:r>
              <w:rPr>
                <w:rFonts w:hint="eastAsia"/>
                <w:sz w:val="24"/>
              </w:rPr>
              <w:t>技改项目固定式喷砂喷漆两用房位于一车间东北角。</w:t>
            </w:r>
          </w:p>
          <w:p>
            <w:pPr>
              <w:tabs>
                <w:tab w:val="left" w:pos="3828"/>
              </w:tabs>
              <w:spacing w:line="480" w:lineRule="exact"/>
              <w:ind w:firstLine="480" w:firstLineChars="200"/>
              <w:rPr>
                <w:sz w:val="24"/>
                <w:szCs w:val="24"/>
              </w:rPr>
            </w:pPr>
            <w:r>
              <w:rPr>
                <w:rFonts w:hint="eastAsia"/>
                <w:sz w:val="24"/>
                <w:szCs w:val="24"/>
              </w:rPr>
              <w:t>（6）技改建设内容</w:t>
            </w:r>
          </w:p>
          <w:p>
            <w:pPr>
              <w:pStyle w:val="48"/>
              <w:spacing w:line="480" w:lineRule="exact"/>
            </w:pPr>
            <w:r>
              <w:rPr>
                <w:rFonts w:hint="eastAsia"/>
              </w:rPr>
              <w:t>在现有厂区内扩建生产车间等1638平米，其中：生产车间1434平米，固定式喷漆房、晾干房168平米，原料储存库36平米，淘汰原有设备7台套，新购设备89台套，新上喷涂生产线1条及配套设备。</w:t>
            </w:r>
          </w:p>
          <w:p>
            <w:pPr>
              <w:pStyle w:val="29"/>
              <w:spacing w:line="360" w:lineRule="auto"/>
              <w:ind w:firstLine="0" w:firstLineChars="0"/>
              <w:jc w:val="center"/>
              <w:rPr>
                <w:b/>
                <w:bCs/>
                <w:color w:val="0000FF"/>
                <w:szCs w:val="21"/>
              </w:rPr>
            </w:pPr>
          </w:p>
          <w:p>
            <w:pPr>
              <w:pStyle w:val="29"/>
              <w:spacing w:line="360" w:lineRule="auto"/>
              <w:ind w:firstLine="0" w:firstLineChars="0"/>
              <w:jc w:val="center"/>
              <w:rPr>
                <w:b/>
                <w:bCs/>
                <w:color w:val="0000FF"/>
                <w:szCs w:val="21"/>
              </w:rPr>
            </w:pPr>
          </w:p>
          <w:p>
            <w:pPr>
              <w:pStyle w:val="29"/>
              <w:spacing w:line="360" w:lineRule="auto"/>
              <w:ind w:firstLine="0" w:firstLineChars="0"/>
              <w:jc w:val="center"/>
              <w:rPr>
                <w:b/>
                <w:bCs/>
                <w:color w:val="0000FF"/>
                <w:szCs w:val="21"/>
              </w:rPr>
            </w:pPr>
          </w:p>
          <w:p>
            <w:pPr>
              <w:pStyle w:val="29"/>
              <w:spacing w:line="360" w:lineRule="auto"/>
              <w:ind w:firstLine="0" w:firstLineChars="0"/>
              <w:jc w:val="center"/>
              <w:rPr>
                <w:b/>
                <w:bCs/>
                <w:szCs w:val="21"/>
              </w:rPr>
            </w:pPr>
          </w:p>
          <w:p>
            <w:pPr>
              <w:pStyle w:val="29"/>
              <w:spacing w:line="360" w:lineRule="auto"/>
              <w:ind w:firstLine="0" w:firstLineChars="0"/>
              <w:jc w:val="center"/>
              <w:rPr>
                <w:b/>
                <w:bCs/>
                <w:szCs w:val="21"/>
              </w:rPr>
            </w:pPr>
            <w:r>
              <w:rPr>
                <w:rFonts w:hint="eastAsia"/>
                <w:b/>
                <w:bCs/>
                <w:szCs w:val="21"/>
              </w:rPr>
              <w:t xml:space="preserve">表4 </w:t>
            </w:r>
            <w:r>
              <w:rPr>
                <w:b/>
                <w:bCs/>
                <w:szCs w:val="21"/>
              </w:rPr>
              <w:t xml:space="preserve"> </w:t>
            </w:r>
            <w:r>
              <w:rPr>
                <w:rFonts w:hint="eastAsia"/>
                <w:b/>
                <w:bCs/>
                <w:szCs w:val="21"/>
              </w:rPr>
              <w:t>技改后项目组成及工程内容一览表</w:t>
            </w:r>
          </w:p>
          <w:tbl>
            <w:tblPr>
              <w:tblStyle w:val="31"/>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302"/>
              <w:gridCol w:w="6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pStyle w:val="29"/>
                    <w:ind w:firstLine="0" w:firstLineChars="0"/>
                    <w:jc w:val="center"/>
                    <w:rPr>
                      <w:rFonts w:ascii="宋体" w:hAnsi="宋体"/>
                      <w:b/>
                      <w:bCs/>
                      <w:szCs w:val="21"/>
                    </w:rPr>
                  </w:pPr>
                  <w:r>
                    <w:rPr>
                      <w:rFonts w:ascii="宋体" w:hAnsi="宋体"/>
                      <w:b/>
                      <w:bCs/>
                      <w:szCs w:val="21"/>
                    </w:rPr>
                    <w:t>序号</w:t>
                  </w:r>
                </w:p>
              </w:tc>
              <w:tc>
                <w:tcPr>
                  <w:tcW w:w="1302" w:type="dxa"/>
                  <w:vAlign w:val="center"/>
                </w:tcPr>
                <w:p>
                  <w:pPr>
                    <w:pStyle w:val="29"/>
                    <w:ind w:firstLine="0" w:firstLineChars="0"/>
                    <w:jc w:val="center"/>
                    <w:rPr>
                      <w:rFonts w:ascii="宋体" w:hAnsi="宋体"/>
                      <w:b/>
                      <w:bCs/>
                      <w:szCs w:val="21"/>
                    </w:rPr>
                  </w:pPr>
                  <w:r>
                    <w:rPr>
                      <w:rFonts w:ascii="宋体" w:hAnsi="宋体"/>
                      <w:b/>
                      <w:bCs/>
                      <w:szCs w:val="21"/>
                    </w:rPr>
                    <w:t>项目组成</w:t>
                  </w:r>
                </w:p>
              </w:tc>
              <w:tc>
                <w:tcPr>
                  <w:tcW w:w="6541" w:type="dxa"/>
                  <w:vAlign w:val="center"/>
                </w:tcPr>
                <w:p>
                  <w:pPr>
                    <w:pStyle w:val="29"/>
                    <w:ind w:firstLine="0" w:firstLineChars="0"/>
                    <w:jc w:val="center"/>
                    <w:rPr>
                      <w:rFonts w:ascii="宋体" w:hAnsi="宋体"/>
                      <w:b/>
                      <w:bCs/>
                      <w:szCs w:val="21"/>
                    </w:rPr>
                  </w:pPr>
                  <w:r>
                    <w:rPr>
                      <w:rFonts w:ascii="宋体" w:hAnsi="宋体"/>
                      <w:b/>
                      <w:bCs/>
                      <w:szCs w:val="21"/>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pStyle w:val="29"/>
                    <w:ind w:firstLine="0" w:firstLineChars="0"/>
                    <w:jc w:val="center"/>
                    <w:rPr>
                      <w:szCs w:val="21"/>
                    </w:rPr>
                  </w:pPr>
                  <w:r>
                    <w:rPr>
                      <w:szCs w:val="21"/>
                    </w:rPr>
                    <w:t>1</w:t>
                  </w:r>
                </w:p>
              </w:tc>
              <w:tc>
                <w:tcPr>
                  <w:tcW w:w="1302" w:type="dxa"/>
                  <w:vAlign w:val="center"/>
                </w:tcPr>
                <w:p>
                  <w:pPr>
                    <w:pStyle w:val="29"/>
                    <w:ind w:firstLine="0" w:firstLineChars="0"/>
                    <w:jc w:val="center"/>
                    <w:rPr>
                      <w:rFonts w:ascii="宋体" w:hAnsi="宋体"/>
                      <w:szCs w:val="21"/>
                    </w:rPr>
                  </w:pPr>
                  <w:r>
                    <w:rPr>
                      <w:rFonts w:ascii="宋体" w:hAnsi="宋体"/>
                      <w:szCs w:val="21"/>
                    </w:rPr>
                    <w:t>主体工程</w:t>
                  </w:r>
                </w:p>
              </w:tc>
              <w:tc>
                <w:tcPr>
                  <w:tcW w:w="6541" w:type="dxa"/>
                  <w:vAlign w:val="center"/>
                </w:tcPr>
                <w:p>
                  <w:pPr>
                    <w:pStyle w:val="29"/>
                    <w:snapToGrid w:val="0"/>
                    <w:ind w:firstLine="0" w:firstLineChars="0"/>
                    <w:jc w:val="center"/>
                    <w:rPr>
                      <w:szCs w:val="21"/>
                    </w:rPr>
                  </w:pPr>
                  <w:r>
                    <w:rPr>
                      <w:rFonts w:hint="eastAsia"/>
                      <w:szCs w:val="21"/>
                    </w:rPr>
                    <w:t>新建生产车间1座，建筑面积1434m</w:t>
                  </w:r>
                  <w:r>
                    <w:rPr>
                      <w:rFonts w:hint="eastAsia"/>
                      <w:szCs w:val="21"/>
                      <w:vertAlign w:val="superscript"/>
                    </w:rPr>
                    <w:t>2</w:t>
                  </w:r>
                  <w:r>
                    <w:rPr>
                      <w:rFonts w:hint="eastAsia"/>
                      <w:szCs w:val="21"/>
                    </w:rPr>
                    <w:t>；新建</w:t>
                  </w:r>
                  <w:r>
                    <w:rPr>
                      <w:rFonts w:hint="eastAsia"/>
                    </w:rPr>
                    <w:t>固定式喷漆房、晾干房1座，</w:t>
                  </w:r>
                  <w:r>
                    <w:rPr>
                      <w:rFonts w:hint="eastAsia"/>
                      <w:szCs w:val="21"/>
                    </w:rPr>
                    <w:t>建筑面积168m</w:t>
                  </w:r>
                  <w:r>
                    <w:rPr>
                      <w:rFonts w:hint="eastAsia"/>
                      <w:szCs w:val="21"/>
                      <w:vertAlign w:val="superscript"/>
                    </w:rPr>
                    <w:t>2</w:t>
                  </w:r>
                  <w:r>
                    <w:rPr>
                      <w:rFonts w:hint="eastAsia"/>
                      <w:szCs w:val="21"/>
                    </w:rPr>
                    <w:t>；</w:t>
                  </w:r>
                  <w:r>
                    <w:rPr>
                      <w:rFonts w:hint="eastAsia"/>
                    </w:rPr>
                    <w:t>淘汰原有设备7台套，新购设备89台套，新上喷涂生产线1条及配套设备</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pStyle w:val="29"/>
                    <w:ind w:firstLine="0" w:firstLineChars="0"/>
                    <w:jc w:val="center"/>
                    <w:rPr>
                      <w:szCs w:val="21"/>
                    </w:rPr>
                  </w:pPr>
                  <w:r>
                    <w:rPr>
                      <w:rFonts w:hint="eastAsia"/>
                      <w:szCs w:val="21"/>
                    </w:rPr>
                    <w:t>2</w:t>
                  </w:r>
                </w:p>
              </w:tc>
              <w:tc>
                <w:tcPr>
                  <w:tcW w:w="1302" w:type="dxa"/>
                  <w:vAlign w:val="center"/>
                </w:tcPr>
                <w:p>
                  <w:pPr>
                    <w:pStyle w:val="29"/>
                    <w:ind w:firstLine="0" w:firstLineChars="0"/>
                    <w:jc w:val="center"/>
                    <w:rPr>
                      <w:rFonts w:ascii="宋体" w:hAnsi="宋体"/>
                      <w:szCs w:val="21"/>
                    </w:rPr>
                  </w:pPr>
                  <w:r>
                    <w:rPr>
                      <w:rFonts w:hint="eastAsia" w:ascii="宋体" w:hAnsi="宋体"/>
                      <w:szCs w:val="21"/>
                    </w:rPr>
                    <w:t>辅助工程</w:t>
                  </w:r>
                </w:p>
              </w:tc>
              <w:tc>
                <w:tcPr>
                  <w:tcW w:w="6541" w:type="dxa"/>
                  <w:vAlign w:val="center"/>
                </w:tcPr>
                <w:p>
                  <w:pPr>
                    <w:pStyle w:val="29"/>
                    <w:snapToGrid w:val="0"/>
                    <w:ind w:firstLine="0" w:firstLineChars="0"/>
                    <w:jc w:val="center"/>
                    <w:rPr>
                      <w:szCs w:val="21"/>
                    </w:rPr>
                  </w:pPr>
                  <w:r>
                    <w:rPr>
                      <w:rFonts w:hint="eastAsia"/>
                      <w:szCs w:val="21"/>
                    </w:rPr>
                    <w:t>新建</w:t>
                  </w:r>
                  <w:r>
                    <w:rPr>
                      <w:rFonts w:hint="eastAsia"/>
                    </w:rPr>
                    <w:t>原料储存库</w:t>
                  </w:r>
                  <w:r>
                    <w:rPr>
                      <w:rFonts w:hint="eastAsia"/>
                      <w:szCs w:val="21"/>
                    </w:rPr>
                    <w:t>一座，建筑面积36m</w:t>
                  </w:r>
                  <w:r>
                    <w:rPr>
                      <w:rFonts w:hint="eastAsia"/>
                      <w:szCs w:val="21"/>
                      <w:vertAlign w:val="superscript"/>
                    </w:rPr>
                    <w:t>2</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4" w:type="dxa"/>
                  <w:vMerge w:val="restart"/>
                  <w:vAlign w:val="center"/>
                </w:tcPr>
                <w:p>
                  <w:pPr>
                    <w:pStyle w:val="29"/>
                    <w:snapToGrid w:val="0"/>
                    <w:ind w:firstLine="0" w:firstLineChars="0"/>
                    <w:jc w:val="center"/>
                    <w:rPr>
                      <w:szCs w:val="21"/>
                    </w:rPr>
                  </w:pPr>
                  <w:r>
                    <w:rPr>
                      <w:rFonts w:hint="eastAsia"/>
                      <w:szCs w:val="21"/>
                    </w:rPr>
                    <w:t>3</w:t>
                  </w:r>
                </w:p>
              </w:tc>
              <w:tc>
                <w:tcPr>
                  <w:tcW w:w="1302" w:type="dxa"/>
                  <w:vMerge w:val="restart"/>
                  <w:vAlign w:val="center"/>
                </w:tcPr>
                <w:p>
                  <w:pPr>
                    <w:pStyle w:val="29"/>
                    <w:snapToGrid w:val="0"/>
                    <w:ind w:firstLine="0" w:firstLineChars="0"/>
                    <w:jc w:val="center"/>
                    <w:rPr>
                      <w:szCs w:val="21"/>
                    </w:rPr>
                  </w:pPr>
                  <w:r>
                    <w:rPr>
                      <w:rFonts w:hint="eastAsia"/>
                      <w:szCs w:val="21"/>
                    </w:rPr>
                    <w:t>公用工程</w:t>
                  </w:r>
                </w:p>
              </w:tc>
              <w:tc>
                <w:tcPr>
                  <w:tcW w:w="6541" w:type="dxa"/>
                  <w:vAlign w:val="center"/>
                </w:tcPr>
                <w:p>
                  <w:pPr>
                    <w:pStyle w:val="29"/>
                    <w:snapToGrid w:val="0"/>
                    <w:ind w:firstLine="0" w:firstLineChars="0"/>
                    <w:jc w:val="center"/>
                    <w:rPr>
                      <w:szCs w:val="21"/>
                    </w:rPr>
                  </w:pPr>
                  <w:r>
                    <w:rPr>
                      <w:szCs w:val="21"/>
                    </w:rPr>
                    <w:t>给水</w:t>
                  </w:r>
                  <w:r>
                    <w:rPr>
                      <w:rFonts w:hint="eastAsia"/>
                      <w:szCs w:val="21"/>
                    </w:rPr>
                    <w:t>：本次技改项目不涉及用水；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Merge w:val="continue"/>
                  <w:vAlign w:val="center"/>
                </w:tcPr>
                <w:p>
                  <w:pPr>
                    <w:pStyle w:val="29"/>
                    <w:snapToGrid w:val="0"/>
                    <w:ind w:firstLine="0" w:firstLineChars="0"/>
                    <w:jc w:val="center"/>
                    <w:rPr>
                      <w:szCs w:val="21"/>
                    </w:rPr>
                  </w:pPr>
                </w:p>
              </w:tc>
              <w:tc>
                <w:tcPr>
                  <w:tcW w:w="1302" w:type="dxa"/>
                  <w:vMerge w:val="continue"/>
                  <w:vAlign w:val="center"/>
                </w:tcPr>
                <w:p>
                  <w:pPr>
                    <w:pStyle w:val="29"/>
                    <w:snapToGrid w:val="0"/>
                    <w:ind w:firstLine="0" w:firstLineChars="0"/>
                    <w:jc w:val="center"/>
                    <w:rPr>
                      <w:szCs w:val="21"/>
                    </w:rPr>
                  </w:pPr>
                </w:p>
              </w:tc>
              <w:tc>
                <w:tcPr>
                  <w:tcW w:w="6541" w:type="dxa"/>
                  <w:vAlign w:val="center"/>
                </w:tcPr>
                <w:p>
                  <w:pPr>
                    <w:pStyle w:val="29"/>
                    <w:snapToGrid w:val="0"/>
                    <w:ind w:firstLine="0" w:firstLineChars="0"/>
                    <w:jc w:val="center"/>
                    <w:rPr>
                      <w:szCs w:val="21"/>
                    </w:rPr>
                  </w:pPr>
                  <w:r>
                    <w:rPr>
                      <w:rFonts w:hint="eastAsia"/>
                      <w:szCs w:val="21"/>
                    </w:rPr>
                    <w:t>供电：依托现有工程；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Merge w:val="continue"/>
                  <w:vAlign w:val="center"/>
                </w:tcPr>
                <w:p>
                  <w:pPr>
                    <w:pStyle w:val="29"/>
                    <w:snapToGrid w:val="0"/>
                    <w:ind w:firstLine="0" w:firstLineChars="0"/>
                    <w:jc w:val="center"/>
                    <w:rPr>
                      <w:szCs w:val="21"/>
                    </w:rPr>
                  </w:pPr>
                </w:p>
              </w:tc>
              <w:tc>
                <w:tcPr>
                  <w:tcW w:w="1302" w:type="dxa"/>
                  <w:vMerge w:val="continue"/>
                  <w:vAlign w:val="center"/>
                </w:tcPr>
                <w:p>
                  <w:pPr>
                    <w:pStyle w:val="29"/>
                    <w:snapToGrid w:val="0"/>
                    <w:ind w:firstLine="0" w:firstLineChars="0"/>
                    <w:jc w:val="center"/>
                    <w:rPr>
                      <w:szCs w:val="21"/>
                    </w:rPr>
                  </w:pPr>
                </w:p>
              </w:tc>
              <w:tc>
                <w:tcPr>
                  <w:tcW w:w="6541" w:type="dxa"/>
                  <w:vAlign w:val="center"/>
                </w:tcPr>
                <w:p>
                  <w:pPr>
                    <w:pStyle w:val="29"/>
                    <w:snapToGrid w:val="0"/>
                    <w:ind w:firstLine="0" w:firstLineChars="0"/>
                    <w:jc w:val="center"/>
                    <w:rPr>
                      <w:szCs w:val="21"/>
                      <w:highlight w:val="green"/>
                    </w:rPr>
                  </w:pPr>
                  <w:r>
                    <w:rPr>
                      <w:rFonts w:hint="eastAsia"/>
                      <w:szCs w:val="21"/>
                    </w:rPr>
                    <w:t>供热及制冷：生产用热采用电加热；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Merge w:val="restart"/>
                  <w:vAlign w:val="center"/>
                </w:tcPr>
                <w:p>
                  <w:pPr>
                    <w:pStyle w:val="29"/>
                    <w:snapToGrid w:val="0"/>
                    <w:ind w:firstLine="0" w:firstLineChars="0"/>
                    <w:jc w:val="center"/>
                    <w:rPr>
                      <w:szCs w:val="21"/>
                    </w:rPr>
                  </w:pPr>
                  <w:r>
                    <w:rPr>
                      <w:rFonts w:hint="eastAsia"/>
                      <w:szCs w:val="21"/>
                    </w:rPr>
                    <w:t>4</w:t>
                  </w:r>
                </w:p>
              </w:tc>
              <w:tc>
                <w:tcPr>
                  <w:tcW w:w="1302" w:type="dxa"/>
                  <w:vMerge w:val="restart"/>
                  <w:vAlign w:val="center"/>
                </w:tcPr>
                <w:p>
                  <w:pPr>
                    <w:pStyle w:val="29"/>
                    <w:snapToGrid w:val="0"/>
                    <w:ind w:firstLine="0" w:firstLineChars="0"/>
                    <w:jc w:val="center"/>
                    <w:rPr>
                      <w:szCs w:val="21"/>
                    </w:rPr>
                  </w:pPr>
                  <w:r>
                    <w:rPr>
                      <w:rFonts w:hint="eastAsia"/>
                      <w:szCs w:val="21"/>
                    </w:rPr>
                    <w:t>环保工程</w:t>
                  </w:r>
                </w:p>
              </w:tc>
              <w:tc>
                <w:tcPr>
                  <w:tcW w:w="6541" w:type="dxa"/>
                  <w:vAlign w:val="center"/>
                </w:tcPr>
                <w:p>
                  <w:pPr>
                    <w:pStyle w:val="29"/>
                    <w:snapToGrid w:val="0"/>
                    <w:ind w:firstLine="0" w:firstLineChars="0"/>
                    <w:rPr>
                      <w:szCs w:val="21"/>
                      <w:highlight w:val="green"/>
                    </w:rPr>
                  </w:pPr>
                  <w:r>
                    <w:rPr>
                      <w:rFonts w:hint="eastAsia"/>
                      <w:szCs w:val="21"/>
                    </w:rPr>
                    <w:t>废气：切割粉尘经集气罩+布袋除尘器+15m排气筒排放；焊接烟尘经焊烟净化器处理后经车间无组织排放；喷晾漆废气经负压收集+干式过滤器+等离子光氧一体机+15m排气筒排放；回火炉废气经集气罩+等离子光氧一体机+15m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4" w:type="dxa"/>
                  <w:vMerge w:val="continue"/>
                  <w:vAlign w:val="center"/>
                </w:tcPr>
                <w:p>
                  <w:pPr>
                    <w:pStyle w:val="29"/>
                    <w:snapToGrid w:val="0"/>
                    <w:ind w:firstLine="0" w:firstLineChars="0"/>
                    <w:jc w:val="center"/>
                  </w:pPr>
                </w:p>
              </w:tc>
              <w:tc>
                <w:tcPr>
                  <w:tcW w:w="1302" w:type="dxa"/>
                  <w:vMerge w:val="continue"/>
                  <w:vAlign w:val="center"/>
                </w:tcPr>
                <w:p>
                  <w:pPr>
                    <w:pStyle w:val="29"/>
                    <w:snapToGrid w:val="0"/>
                    <w:ind w:firstLine="0" w:firstLineChars="0"/>
                    <w:jc w:val="center"/>
                  </w:pPr>
                </w:p>
              </w:tc>
              <w:tc>
                <w:tcPr>
                  <w:tcW w:w="6541" w:type="dxa"/>
                  <w:vAlign w:val="center"/>
                </w:tcPr>
                <w:p>
                  <w:pPr>
                    <w:pStyle w:val="29"/>
                    <w:snapToGrid w:val="0"/>
                    <w:ind w:firstLine="0" w:firstLineChars="0"/>
                    <w:jc w:val="center"/>
                    <w:rPr>
                      <w:szCs w:val="21"/>
                    </w:rPr>
                  </w:pPr>
                  <w:r>
                    <w:rPr>
                      <w:rFonts w:hint="eastAsia"/>
                      <w:szCs w:val="21"/>
                    </w:rPr>
                    <w:t>废水：本次技改不涉及用水；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Merge w:val="continue"/>
                  <w:vAlign w:val="center"/>
                </w:tcPr>
                <w:p>
                  <w:pPr>
                    <w:pStyle w:val="29"/>
                    <w:snapToGrid w:val="0"/>
                    <w:ind w:firstLine="0" w:firstLineChars="0"/>
                    <w:jc w:val="center"/>
                    <w:rPr>
                      <w:szCs w:val="21"/>
                    </w:rPr>
                  </w:pPr>
                </w:p>
              </w:tc>
              <w:tc>
                <w:tcPr>
                  <w:tcW w:w="1302" w:type="dxa"/>
                  <w:vMerge w:val="continue"/>
                  <w:vAlign w:val="center"/>
                </w:tcPr>
                <w:p>
                  <w:pPr>
                    <w:pStyle w:val="29"/>
                    <w:snapToGrid w:val="0"/>
                    <w:ind w:firstLine="0" w:firstLineChars="0"/>
                    <w:jc w:val="center"/>
                    <w:rPr>
                      <w:szCs w:val="21"/>
                    </w:rPr>
                  </w:pPr>
                </w:p>
              </w:tc>
              <w:tc>
                <w:tcPr>
                  <w:tcW w:w="6541" w:type="dxa"/>
                  <w:vAlign w:val="center"/>
                </w:tcPr>
                <w:p>
                  <w:pPr>
                    <w:pStyle w:val="29"/>
                    <w:snapToGrid w:val="0"/>
                    <w:ind w:firstLine="0" w:firstLineChars="0"/>
                    <w:jc w:val="center"/>
                    <w:rPr>
                      <w:szCs w:val="21"/>
                    </w:rPr>
                  </w:pPr>
                  <w:r>
                    <w:rPr>
                      <w:rFonts w:hint="eastAsia"/>
                      <w:szCs w:val="21"/>
                    </w:rPr>
                    <w:t>噪声：二保焊机、数控车床、钻床、铣床等设备安装时，加装减振装置等，并通过厂房隔声和距离衰减；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34" w:type="dxa"/>
                  <w:vMerge w:val="continue"/>
                  <w:vAlign w:val="center"/>
                </w:tcPr>
                <w:p>
                  <w:pPr>
                    <w:pStyle w:val="29"/>
                    <w:snapToGrid w:val="0"/>
                    <w:ind w:firstLine="0" w:firstLineChars="0"/>
                    <w:jc w:val="center"/>
                    <w:rPr>
                      <w:szCs w:val="21"/>
                    </w:rPr>
                  </w:pPr>
                </w:p>
              </w:tc>
              <w:tc>
                <w:tcPr>
                  <w:tcW w:w="1302" w:type="dxa"/>
                  <w:vMerge w:val="continue"/>
                  <w:vAlign w:val="center"/>
                </w:tcPr>
                <w:p>
                  <w:pPr>
                    <w:pStyle w:val="29"/>
                    <w:snapToGrid w:val="0"/>
                    <w:ind w:firstLine="0" w:firstLineChars="0"/>
                    <w:jc w:val="center"/>
                    <w:rPr>
                      <w:szCs w:val="21"/>
                    </w:rPr>
                  </w:pPr>
                </w:p>
              </w:tc>
              <w:tc>
                <w:tcPr>
                  <w:tcW w:w="6541" w:type="dxa"/>
                  <w:vAlign w:val="center"/>
                </w:tcPr>
                <w:p>
                  <w:pPr>
                    <w:pStyle w:val="29"/>
                    <w:snapToGrid w:val="0"/>
                    <w:ind w:firstLine="0" w:firstLineChars="0"/>
                    <w:jc w:val="center"/>
                    <w:rPr>
                      <w:szCs w:val="21"/>
                    </w:rPr>
                  </w:pPr>
                  <w:r>
                    <w:rPr>
                      <w:rFonts w:hint="eastAsia"/>
                      <w:szCs w:val="21"/>
                    </w:rPr>
                    <w:t>固废：废滤芯、废油漆桶、废机油委托有资质单位处理。</w:t>
                  </w:r>
                </w:p>
              </w:tc>
            </w:tr>
          </w:tbl>
          <w:p>
            <w:pPr>
              <w:pStyle w:val="48"/>
              <w:spacing w:line="480" w:lineRule="exact"/>
            </w:pPr>
            <w:r>
              <w:rPr>
                <w:rFonts w:hint="eastAsia"/>
              </w:rPr>
              <w:t>（7）技改项目原辅材料及能源消耗</w:t>
            </w:r>
          </w:p>
          <w:p>
            <w:pPr>
              <w:pStyle w:val="29"/>
              <w:tabs>
                <w:tab w:val="left" w:pos="3828"/>
              </w:tabs>
              <w:spacing w:line="480" w:lineRule="exact"/>
              <w:ind w:firstLine="0" w:firstLineChars="0"/>
              <w:jc w:val="center"/>
              <w:rPr>
                <w:b/>
                <w:bCs/>
                <w:szCs w:val="21"/>
              </w:rPr>
            </w:pPr>
            <w:r>
              <w:rPr>
                <w:rFonts w:hint="eastAsia"/>
                <w:b/>
                <w:bCs/>
                <w:szCs w:val="21"/>
              </w:rPr>
              <w:t>表5     技改项目原辅材料一览表</w:t>
            </w:r>
          </w:p>
          <w:tbl>
            <w:tblPr>
              <w:tblStyle w:val="32"/>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755"/>
              <w:gridCol w:w="1755"/>
              <w:gridCol w:w="1505"/>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pPr>
                    <w:jc w:val="center"/>
                    <w:rPr>
                      <w:b/>
                      <w:bCs/>
                      <w:szCs w:val="21"/>
                    </w:rPr>
                  </w:pPr>
                  <w:r>
                    <w:rPr>
                      <w:b/>
                      <w:bCs/>
                      <w:szCs w:val="21"/>
                    </w:rPr>
                    <w:t>序号</w:t>
                  </w:r>
                </w:p>
              </w:tc>
              <w:tc>
                <w:tcPr>
                  <w:tcW w:w="1755" w:type="dxa"/>
                  <w:vAlign w:val="center"/>
                </w:tcPr>
                <w:p>
                  <w:pPr>
                    <w:jc w:val="center"/>
                    <w:rPr>
                      <w:b/>
                      <w:bCs/>
                      <w:szCs w:val="21"/>
                    </w:rPr>
                  </w:pPr>
                  <w:r>
                    <w:rPr>
                      <w:b/>
                      <w:bCs/>
                      <w:szCs w:val="21"/>
                    </w:rPr>
                    <w:t>名称</w:t>
                  </w:r>
                </w:p>
              </w:tc>
              <w:tc>
                <w:tcPr>
                  <w:tcW w:w="1755" w:type="dxa"/>
                  <w:vAlign w:val="center"/>
                </w:tcPr>
                <w:p>
                  <w:pPr>
                    <w:jc w:val="center"/>
                    <w:rPr>
                      <w:b/>
                      <w:bCs/>
                      <w:szCs w:val="21"/>
                    </w:rPr>
                  </w:pPr>
                  <w:r>
                    <w:rPr>
                      <w:b/>
                      <w:bCs/>
                      <w:szCs w:val="21"/>
                    </w:rPr>
                    <w:t>用量</w:t>
                  </w:r>
                </w:p>
              </w:tc>
              <w:tc>
                <w:tcPr>
                  <w:tcW w:w="1505" w:type="dxa"/>
                  <w:vAlign w:val="center"/>
                </w:tcPr>
                <w:p>
                  <w:pPr>
                    <w:jc w:val="center"/>
                    <w:rPr>
                      <w:b/>
                      <w:bCs/>
                      <w:szCs w:val="21"/>
                    </w:rPr>
                  </w:pPr>
                  <w:r>
                    <w:rPr>
                      <w:b/>
                      <w:bCs/>
                      <w:szCs w:val="21"/>
                    </w:rPr>
                    <w:t>单位</w:t>
                  </w:r>
                </w:p>
              </w:tc>
              <w:tc>
                <w:tcPr>
                  <w:tcW w:w="2007" w:type="dxa"/>
                  <w:vAlign w:val="center"/>
                </w:tcPr>
                <w:p>
                  <w:pPr>
                    <w:jc w:val="center"/>
                    <w:rPr>
                      <w:b/>
                      <w:bCs/>
                      <w:szCs w:val="21"/>
                    </w:rPr>
                  </w:pPr>
                  <w:r>
                    <w:rPr>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pPr>
                    <w:jc w:val="center"/>
                    <w:rPr>
                      <w:szCs w:val="21"/>
                    </w:rPr>
                  </w:pPr>
                  <w:r>
                    <w:rPr>
                      <w:szCs w:val="21"/>
                    </w:rPr>
                    <w:t>1</w:t>
                  </w:r>
                </w:p>
              </w:tc>
              <w:tc>
                <w:tcPr>
                  <w:tcW w:w="1755" w:type="dxa"/>
                  <w:vAlign w:val="center"/>
                </w:tcPr>
                <w:p>
                  <w:pPr>
                    <w:jc w:val="center"/>
                    <w:rPr>
                      <w:szCs w:val="21"/>
                    </w:rPr>
                  </w:pPr>
                  <w:r>
                    <w:rPr>
                      <w:rFonts w:hint="eastAsia"/>
                      <w:szCs w:val="21"/>
                    </w:rPr>
                    <w:t>焊丝</w:t>
                  </w:r>
                </w:p>
              </w:tc>
              <w:tc>
                <w:tcPr>
                  <w:tcW w:w="1755" w:type="dxa"/>
                  <w:vAlign w:val="center"/>
                </w:tcPr>
                <w:p>
                  <w:pPr>
                    <w:jc w:val="center"/>
                    <w:rPr>
                      <w:szCs w:val="21"/>
                    </w:rPr>
                  </w:pPr>
                  <w:r>
                    <w:rPr>
                      <w:rFonts w:hint="eastAsia"/>
                      <w:szCs w:val="21"/>
                    </w:rPr>
                    <w:t>5</w:t>
                  </w:r>
                </w:p>
              </w:tc>
              <w:tc>
                <w:tcPr>
                  <w:tcW w:w="1505" w:type="dxa"/>
                  <w:vAlign w:val="center"/>
                </w:tcPr>
                <w:p>
                  <w:pPr>
                    <w:jc w:val="center"/>
                    <w:rPr>
                      <w:szCs w:val="21"/>
                    </w:rPr>
                  </w:pPr>
                  <w:r>
                    <w:rPr>
                      <w:szCs w:val="21"/>
                    </w:rPr>
                    <w:t>t/a</w:t>
                  </w:r>
                </w:p>
              </w:tc>
              <w:tc>
                <w:tcPr>
                  <w:tcW w:w="200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pPr>
                    <w:jc w:val="center"/>
                    <w:rPr>
                      <w:szCs w:val="21"/>
                    </w:rPr>
                  </w:pPr>
                  <w:r>
                    <w:rPr>
                      <w:szCs w:val="21"/>
                    </w:rPr>
                    <w:t>2</w:t>
                  </w:r>
                </w:p>
              </w:tc>
              <w:tc>
                <w:tcPr>
                  <w:tcW w:w="1755" w:type="dxa"/>
                  <w:vAlign w:val="center"/>
                </w:tcPr>
                <w:p>
                  <w:pPr>
                    <w:jc w:val="center"/>
                    <w:rPr>
                      <w:szCs w:val="21"/>
                    </w:rPr>
                  </w:pPr>
                  <w:r>
                    <w:rPr>
                      <w:rFonts w:hint="eastAsia"/>
                      <w:szCs w:val="21"/>
                    </w:rPr>
                    <w:t>钢材</w:t>
                  </w:r>
                </w:p>
              </w:tc>
              <w:tc>
                <w:tcPr>
                  <w:tcW w:w="1755" w:type="dxa"/>
                  <w:vAlign w:val="center"/>
                </w:tcPr>
                <w:p>
                  <w:pPr>
                    <w:jc w:val="center"/>
                    <w:rPr>
                      <w:szCs w:val="21"/>
                    </w:rPr>
                  </w:pPr>
                  <w:r>
                    <w:rPr>
                      <w:rFonts w:hint="eastAsia"/>
                      <w:szCs w:val="21"/>
                    </w:rPr>
                    <w:t>150</w:t>
                  </w:r>
                </w:p>
              </w:tc>
              <w:tc>
                <w:tcPr>
                  <w:tcW w:w="1505" w:type="dxa"/>
                  <w:vAlign w:val="center"/>
                </w:tcPr>
                <w:p>
                  <w:pPr>
                    <w:jc w:val="center"/>
                    <w:rPr>
                      <w:szCs w:val="21"/>
                    </w:rPr>
                  </w:pPr>
                  <w:r>
                    <w:rPr>
                      <w:szCs w:val="21"/>
                    </w:rPr>
                    <w:t>t/a</w:t>
                  </w:r>
                </w:p>
              </w:tc>
              <w:tc>
                <w:tcPr>
                  <w:tcW w:w="200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5" w:type="dxa"/>
                  <w:vAlign w:val="center"/>
                </w:tcPr>
                <w:p>
                  <w:pPr>
                    <w:jc w:val="center"/>
                    <w:rPr>
                      <w:szCs w:val="21"/>
                    </w:rPr>
                  </w:pPr>
                  <w:r>
                    <w:rPr>
                      <w:szCs w:val="21"/>
                    </w:rPr>
                    <w:t>3</w:t>
                  </w:r>
                </w:p>
              </w:tc>
              <w:tc>
                <w:tcPr>
                  <w:tcW w:w="1755" w:type="dxa"/>
                  <w:vAlign w:val="center"/>
                </w:tcPr>
                <w:p>
                  <w:pPr>
                    <w:jc w:val="center"/>
                    <w:rPr>
                      <w:szCs w:val="21"/>
                    </w:rPr>
                  </w:pPr>
                  <w:r>
                    <w:rPr>
                      <w:szCs w:val="21"/>
                    </w:rPr>
                    <w:t>丙烯酸磁漆</w:t>
                  </w:r>
                </w:p>
              </w:tc>
              <w:tc>
                <w:tcPr>
                  <w:tcW w:w="1755" w:type="dxa"/>
                  <w:vAlign w:val="center"/>
                </w:tcPr>
                <w:p>
                  <w:pPr>
                    <w:jc w:val="center"/>
                    <w:rPr>
                      <w:szCs w:val="21"/>
                    </w:rPr>
                  </w:pPr>
                  <w:r>
                    <w:rPr>
                      <w:szCs w:val="21"/>
                    </w:rPr>
                    <w:t>2.25</w:t>
                  </w:r>
                </w:p>
              </w:tc>
              <w:tc>
                <w:tcPr>
                  <w:tcW w:w="1505" w:type="dxa"/>
                  <w:vAlign w:val="center"/>
                </w:tcPr>
                <w:p>
                  <w:pPr>
                    <w:jc w:val="center"/>
                    <w:rPr>
                      <w:szCs w:val="21"/>
                    </w:rPr>
                  </w:pPr>
                  <w:r>
                    <w:rPr>
                      <w:szCs w:val="21"/>
                    </w:rPr>
                    <w:t>t/a</w:t>
                  </w:r>
                </w:p>
              </w:tc>
              <w:tc>
                <w:tcPr>
                  <w:tcW w:w="2007" w:type="dxa"/>
                  <w:vAlign w:val="center"/>
                </w:tcPr>
                <w:p>
                  <w:pPr>
                    <w:jc w:val="center"/>
                    <w:rPr>
                      <w:szCs w:val="21"/>
                    </w:rPr>
                  </w:pPr>
                  <w:r>
                    <w:rPr>
                      <w:rFonts w:hint="eastAsia"/>
                      <w:szCs w:val="21"/>
                    </w:rPr>
                    <w:t>25kg/桶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pPr>
                    <w:jc w:val="center"/>
                    <w:rPr>
                      <w:szCs w:val="21"/>
                    </w:rPr>
                  </w:pPr>
                  <w:r>
                    <w:rPr>
                      <w:rFonts w:hint="eastAsia"/>
                      <w:szCs w:val="21"/>
                    </w:rPr>
                    <w:t>4</w:t>
                  </w:r>
                </w:p>
              </w:tc>
              <w:tc>
                <w:tcPr>
                  <w:tcW w:w="1755" w:type="dxa"/>
                  <w:vAlign w:val="center"/>
                </w:tcPr>
                <w:p>
                  <w:pPr>
                    <w:jc w:val="center"/>
                    <w:rPr>
                      <w:szCs w:val="21"/>
                    </w:rPr>
                  </w:pPr>
                  <w:r>
                    <w:rPr>
                      <w:szCs w:val="21"/>
                    </w:rPr>
                    <w:t>丙烯酸稀释剂</w:t>
                  </w:r>
                </w:p>
              </w:tc>
              <w:tc>
                <w:tcPr>
                  <w:tcW w:w="1755" w:type="dxa"/>
                  <w:vAlign w:val="center"/>
                </w:tcPr>
                <w:p>
                  <w:pPr>
                    <w:jc w:val="center"/>
                    <w:rPr>
                      <w:szCs w:val="21"/>
                    </w:rPr>
                  </w:pPr>
                  <w:r>
                    <w:rPr>
                      <w:szCs w:val="21"/>
                    </w:rPr>
                    <w:t>1</w:t>
                  </w:r>
                </w:p>
              </w:tc>
              <w:tc>
                <w:tcPr>
                  <w:tcW w:w="1505" w:type="dxa"/>
                  <w:vAlign w:val="center"/>
                </w:tcPr>
                <w:p>
                  <w:pPr>
                    <w:jc w:val="center"/>
                    <w:rPr>
                      <w:szCs w:val="21"/>
                    </w:rPr>
                  </w:pPr>
                  <w:r>
                    <w:rPr>
                      <w:szCs w:val="21"/>
                    </w:rPr>
                    <w:t>t/a</w:t>
                  </w:r>
                </w:p>
              </w:tc>
              <w:tc>
                <w:tcPr>
                  <w:tcW w:w="200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pPr>
                    <w:jc w:val="center"/>
                    <w:rPr>
                      <w:szCs w:val="21"/>
                    </w:rPr>
                  </w:pPr>
                  <w:r>
                    <w:rPr>
                      <w:rFonts w:hint="eastAsia"/>
                      <w:szCs w:val="21"/>
                    </w:rPr>
                    <w:t>5</w:t>
                  </w:r>
                </w:p>
              </w:tc>
              <w:tc>
                <w:tcPr>
                  <w:tcW w:w="1755" w:type="dxa"/>
                  <w:vAlign w:val="center"/>
                </w:tcPr>
                <w:p>
                  <w:pPr>
                    <w:jc w:val="center"/>
                    <w:rPr>
                      <w:szCs w:val="21"/>
                    </w:rPr>
                  </w:pPr>
                  <w:r>
                    <w:rPr>
                      <w:rFonts w:hint="eastAsia"/>
                      <w:szCs w:val="21"/>
                    </w:rPr>
                    <w:t>机油</w:t>
                  </w:r>
                </w:p>
              </w:tc>
              <w:tc>
                <w:tcPr>
                  <w:tcW w:w="1755" w:type="dxa"/>
                  <w:vAlign w:val="center"/>
                </w:tcPr>
                <w:p>
                  <w:pPr>
                    <w:jc w:val="center"/>
                    <w:rPr>
                      <w:szCs w:val="21"/>
                    </w:rPr>
                  </w:pPr>
                  <w:r>
                    <w:rPr>
                      <w:rFonts w:hint="eastAsia"/>
                      <w:szCs w:val="21"/>
                    </w:rPr>
                    <w:t>0.85</w:t>
                  </w:r>
                </w:p>
              </w:tc>
              <w:tc>
                <w:tcPr>
                  <w:tcW w:w="1505" w:type="dxa"/>
                  <w:vAlign w:val="center"/>
                </w:tcPr>
                <w:p>
                  <w:pPr>
                    <w:jc w:val="center"/>
                    <w:rPr>
                      <w:szCs w:val="21"/>
                    </w:rPr>
                  </w:pPr>
                  <w:r>
                    <w:rPr>
                      <w:szCs w:val="21"/>
                    </w:rPr>
                    <w:t>t/a</w:t>
                  </w:r>
                </w:p>
              </w:tc>
              <w:tc>
                <w:tcPr>
                  <w:tcW w:w="2007" w:type="dxa"/>
                  <w:vAlign w:val="center"/>
                </w:tcPr>
                <w:p>
                  <w:pPr>
                    <w:jc w:val="center"/>
                    <w:rPr>
                      <w:szCs w:val="21"/>
                    </w:rPr>
                  </w:pPr>
                  <w:r>
                    <w:rPr>
                      <w:rFonts w:hint="eastAsia"/>
                      <w:szCs w:val="21"/>
                    </w:rPr>
                    <w:t>桶装</w:t>
                  </w:r>
                </w:p>
              </w:tc>
            </w:tr>
          </w:tbl>
          <w:p>
            <w:pPr>
              <w:spacing w:line="360" w:lineRule="auto"/>
              <w:ind w:firstLine="480" w:firstLineChars="200"/>
              <w:rPr>
                <w:sz w:val="24"/>
              </w:rPr>
            </w:pPr>
            <w:r>
              <w:rPr>
                <w:sz w:val="24"/>
              </w:rPr>
              <w:t>原材料理化性质见表5。</w:t>
            </w:r>
          </w:p>
          <w:p>
            <w:pPr>
              <w:pStyle w:val="6"/>
              <w:jc w:val="center"/>
              <w:rPr>
                <w:b/>
                <w:bCs/>
                <w:szCs w:val="21"/>
              </w:rPr>
            </w:pPr>
            <w:r>
              <w:rPr>
                <w:b/>
                <w:bCs/>
                <w:szCs w:val="21"/>
              </w:rPr>
              <w:t>表</w:t>
            </w:r>
            <w:r>
              <w:rPr>
                <w:rFonts w:hint="eastAsia"/>
                <w:b/>
                <w:bCs/>
                <w:szCs w:val="21"/>
              </w:rPr>
              <w:t>6</w:t>
            </w:r>
            <w:r>
              <w:rPr>
                <w:b/>
                <w:bCs/>
                <w:szCs w:val="21"/>
              </w:rPr>
              <w:t xml:space="preserve">  原材料理化性质</w:t>
            </w:r>
          </w:p>
          <w:tbl>
            <w:tblPr>
              <w:tblStyle w:val="31"/>
              <w:tblW w:w="87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76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vAlign w:val="center"/>
                </w:tcPr>
                <w:p>
                  <w:pPr>
                    <w:widowControl/>
                    <w:snapToGrid w:val="0"/>
                    <w:jc w:val="center"/>
                    <w:rPr>
                      <w:b/>
                      <w:bCs/>
                      <w:szCs w:val="21"/>
                    </w:rPr>
                  </w:pPr>
                  <w:r>
                    <w:rPr>
                      <w:b/>
                      <w:bCs/>
                      <w:szCs w:val="21"/>
                    </w:rPr>
                    <w:t>名称</w:t>
                  </w:r>
                </w:p>
              </w:tc>
              <w:tc>
                <w:tcPr>
                  <w:tcW w:w="7649" w:type="dxa"/>
                  <w:vAlign w:val="center"/>
                </w:tcPr>
                <w:p>
                  <w:pPr>
                    <w:widowControl/>
                    <w:snapToGrid w:val="0"/>
                    <w:jc w:val="center"/>
                    <w:rPr>
                      <w:b/>
                      <w:bCs/>
                      <w:szCs w:val="21"/>
                    </w:rPr>
                  </w:pPr>
                  <w:r>
                    <w:rPr>
                      <w:b/>
                      <w:bCs/>
                      <w:szCs w:val="21"/>
                    </w:rPr>
                    <w:t>理化性质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vAlign w:val="center"/>
                </w:tcPr>
                <w:p>
                  <w:pPr>
                    <w:adjustRightInd w:val="0"/>
                    <w:snapToGrid w:val="0"/>
                    <w:jc w:val="center"/>
                    <w:rPr>
                      <w:szCs w:val="21"/>
                    </w:rPr>
                  </w:pPr>
                  <w:r>
                    <w:rPr>
                      <w:szCs w:val="21"/>
                    </w:rPr>
                    <w:t>丙烯酸磁漆</w:t>
                  </w:r>
                </w:p>
              </w:tc>
              <w:tc>
                <w:tcPr>
                  <w:tcW w:w="7649" w:type="dxa"/>
                  <w:vAlign w:val="center"/>
                </w:tcPr>
                <w:p>
                  <w:pPr>
                    <w:rPr>
                      <w:szCs w:val="21"/>
                    </w:rPr>
                  </w:pPr>
                  <w:r>
                    <w:rPr>
                      <w:szCs w:val="21"/>
                    </w:rPr>
                    <w:t>丙烯酸磁漆由丙烯酸树脂、二甲苯、醋酸丁酯、着色颜料、助剂组成，与</w:t>
                  </w:r>
                  <w:r>
                    <w:rPr>
                      <w:rFonts w:hint="eastAsia"/>
                      <w:szCs w:val="21"/>
                    </w:rPr>
                    <w:t>稀释剂</w:t>
                  </w:r>
                  <w:r>
                    <w:rPr>
                      <w:szCs w:val="21"/>
                    </w:rPr>
                    <w:t>配套使用。特性：常温干燥，具有较高的附着力，优良的机械性能，耐汽油性、耐候性、耐水性、防霉、防盐雾、防湿热等性能好。可用于船壳、船舶上层建筑、电厂、机械、钢铁厂、化工厂、桥梁、集装箱、水工钢闸门、干式煤气钢结构表面作保护盒装饰面漆之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vAlign w:val="center"/>
                </w:tcPr>
                <w:p>
                  <w:pPr>
                    <w:adjustRightInd w:val="0"/>
                    <w:snapToGrid w:val="0"/>
                    <w:jc w:val="center"/>
                    <w:rPr>
                      <w:szCs w:val="21"/>
                    </w:rPr>
                  </w:pPr>
                  <w:r>
                    <w:rPr>
                      <w:szCs w:val="21"/>
                    </w:rPr>
                    <w:t>丙烯酸漆</w:t>
                  </w:r>
                  <w:r>
                    <w:rPr>
                      <w:rFonts w:hint="eastAsia"/>
                      <w:szCs w:val="21"/>
                    </w:rPr>
                    <w:t>稀释剂</w:t>
                  </w:r>
                </w:p>
              </w:tc>
              <w:tc>
                <w:tcPr>
                  <w:tcW w:w="7649" w:type="dxa"/>
                  <w:vAlign w:val="center"/>
                </w:tcPr>
                <w:p>
                  <w:pPr>
                    <w:rPr>
                      <w:szCs w:val="21"/>
                    </w:rPr>
                  </w:pPr>
                  <w:r>
                    <w:rPr>
                      <w:rFonts w:hint="eastAsia" w:ascii="Arial" w:hAnsi="Arial" w:cs="Arial"/>
                      <w:szCs w:val="21"/>
                      <w:shd w:val="clear" w:color="auto" w:fill="FFFFFF"/>
                    </w:rPr>
                    <w:t>由二甲苯、</w:t>
                  </w:r>
                  <w:r>
                    <w:rPr>
                      <w:szCs w:val="21"/>
                    </w:rPr>
                    <w:t>醋酸丁酯组成，与</w:t>
                  </w:r>
                  <w:r>
                    <w:rPr>
                      <w:rFonts w:hint="eastAsia"/>
                      <w:szCs w:val="21"/>
                    </w:rPr>
                    <w:t>丙烯酸漆</w:t>
                  </w:r>
                  <w:r>
                    <w:rPr>
                      <w:szCs w:val="21"/>
                    </w:rPr>
                    <w:t>配套使用。</w:t>
                  </w:r>
                  <w:r>
                    <w:rPr>
                      <w:rFonts w:hint="eastAsia"/>
                      <w:szCs w:val="21"/>
                    </w:rPr>
                    <w:t>特性：</w:t>
                  </w:r>
                  <w:r>
                    <w:rPr>
                      <w:rFonts w:hint="eastAsia" w:ascii="Arial" w:hAnsi="Arial" w:cs="Arial"/>
                      <w:szCs w:val="21"/>
                      <w:shd w:val="clear" w:color="auto" w:fill="FFFFFF"/>
                    </w:rPr>
                    <w:t>无色透明液体，有特殊芳香味。易燃易挥发的液体，能与多数</w:t>
                  </w:r>
                  <w:r>
                    <w:fldChar w:fldCharType="begin"/>
                  </w:r>
                  <w:r>
                    <w:instrText xml:space="preserve"> HYPERLINK "https://baike.baidu.com/item/%E6%9C%89%E6%9C%BA%E6%BA%B6%E5%89%82" \t "https://baike.baidu.com/item/%E4%B8%99%E7%83%AF%E9%85%B8%E6%BC%86%E7%A8%80%E9%87%8A%E5%89%82/_blank" </w:instrText>
                  </w:r>
                  <w:r>
                    <w:fldChar w:fldCharType="separate"/>
                  </w:r>
                  <w:r>
                    <w:rPr>
                      <w:rFonts w:hint="eastAsia" w:ascii="Arial" w:hAnsi="Arial" w:cs="Arial"/>
                      <w:szCs w:val="21"/>
                      <w:shd w:val="clear" w:color="auto" w:fill="FFFFFF"/>
                    </w:rPr>
                    <w:t>有机溶剂</w:t>
                  </w:r>
                  <w:r>
                    <w:rPr>
                      <w:rFonts w:hint="eastAsia" w:ascii="Arial" w:hAnsi="Arial" w:cs="Arial"/>
                      <w:szCs w:val="21"/>
                      <w:shd w:val="clear" w:color="auto" w:fill="FFFFFF"/>
                    </w:rPr>
                    <w:fldChar w:fldCharType="end"/>
                  </w:r>
                  <w:r>
                    <w:rPr>
                      <w:rFonts w:hint="eastAsia" w:ascii="Arial" w:hAnsi="Arial" w:cs="Arial"/>
                      <w:szCs w:val="21"/>
                      <w:shd w:val="clear" w:color="auto" w:fill="FFFFFF"/>
                    </w:rPr>
                    <w:t>混溶，具有良好的溶解性。沸点低、微溶于水。</w:t>
                  </w:r>
                </w:p>
              </w:tc>
            </w:tr>
          </w:tbl>
          <w:p>
            <w:pPr>
              <w:pStyle w:val="55"/>
              <w:jc w:val="center"/>
              <w:outlineLvl w:val="9"/>
            </w:pPr>
          </w:p>
          <w:p>
            <w:pPr>
              <w:pStyle w:val="55"/>
              <w:jc w:val="center"/>
              <w:outlineLvl w:val="9"/>
            </w:pPr>
          </w:p>
          <w:p>
            <w:pPr>
              <w:pStyle w:val="55"/>
              <w:jc w:val="center"/>
              <w:outlineLvl w:val="9"/>
            </w:pPr>
          </w:p>
          <w:p>
            <w:pPr>
              <w:pStyle w:val="55"/>
              <w:jc w:val="center"/>
              <w:outlineLvl w:val="9"/>
            </w:pPr>
          </w:p>
          <w:p>
            <w:pPr>
              <w:pStyle w:val="55"/>
              <w:jc w:val="center"/>
              <w:outlineLvl w:val="9"/>
            </w:pPr>
          </w:p>
          <w:p>
            <w:pPr>
              <w:pStyle w:val="55"/>
              <w:jc w:val="center"/>
              <w:outlineLvl w:val="9"/>
            </w:pPr>
            <w:r>
              <w:t>表</w:t>
            </w:r>
            <w:r>
              <w:rPr>
                <w:rFonts w:hint="eastAsia"/>
              </w:rPr>
              <w:t>7</w:t>
            </w:r>
            <w:r>
              <w:t xml:space="preserve">  原材料中各组分理化性质一览表</w:t>
            </w:r>
          </w:p>
          <w:tbl>
            <w:tblPr>
              <w:tblStyle w:val="31"/>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067"/>
              <w:gridCol w:w="3596"/>
              <w:gridCol w:w="1545"/>
              <w:gridCol w:w="35"/>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jc w:val="center"/>
                    <w:rPr>
                      <w:b/>
                      <w:bCs/>
                      <w:szCs w:val="21"/>
                    </w:rPr>
                  </w:pPr>
                  <w:r>
                    <w:rPr>
                      <w:b/>
                      <w:bCs/>
                      <w:szCs w:val="21"/>
                    </w:rPr>
                    <w:t>名称</w:t>
                  </w:r>
                </w:p>
              </w:tc>
              <w:tc>
                <w:tcPr>
                  <w:tcW w:w="1067" w:type="dxa"/>
                  <w:vAlign w:val="center"/>
                </w:tcPr>
                <w:p>
                  <w:pPr>
                    <w:jc w:val="center"/>
                    <w:rPr>
                      <w:b/>
                      <w:bCs/>
                      <w:szCs w:val="21"/>
                    </w:rPr>
                  </w:pPr>
                  <w:r>
                    <w:rPr>
                      <w:b/>
                      <w:bCs/>
                      <w:szCs w:val="21"/>
                    </w:rPr>
                    <w:t>分子式</w:t>
                  </w:r>
                </w:p>
              </w:tc>
              <w:tc>
                <w:tcPr>
                  <w:tcW w:w="3596" w:type="dxa"/>
                  <w:vAlign w:val="center"/>
                </w:tcPr>
                <w:p>
                  <w:pPr>
                    <w:jc w:val="center"/>
                    <w:rPr>
                      <w:b/>
                      <w:bCs/>
                      <w:szCs w:val="21"/>
                    </w:rPr>
                  </w:pPr>
                  <w:r>
                    <w:rPr>
                      <w:b/>
                      <w:bCs/>
                      <w:szCs w:val="21"/>
                    </w:rPr>
                    <w:t>理化特性</w:t>
                  </w:r>
                </w:p>
              </w:tc>
              <w:tc>
                <w:tcPr>
                  <w:tcW w:w="1545" w:type="dxa"/>
                  <w:vAlign w:val="center"/>
                </w:tcPr>
                <w:p>
                  <w:pPr>
                    <w:jc w:val="center"/>
                    <w:rPr>
                      <w:b/>
                      <w:bCs/>
                      <w:szCs w:val="21"/>
                    </w:rPr>
                  </w:pPr>
                  <w:r>
                    <w:rPr>
                      <w:b/>
                      <w:bCs/>
                      <w:szCs w:val="21"/>
                    </w:rPr>
                    <w:t>燃烧爆炸性</w:t>
                  </w:r>
                </w:p>
              </w:tc>
              <w:tc>
                <w:tcPr>
                  <w:tcW w:w="1734" w:type="dxa"/>
                  <w:gridSpan w:val="2"/>
                  <w:vAlign w:val="center"/>
                </w:tcPr>
                <w:p>
                  <w:pPr>
                    <w:jc w:val="center"/>
                    <w:rPr>
                      <w:b/>
                      <w:bCs/>
                      <w:szCs w:val="21"/>
                    </w:rPr>
                  </w:pPr>
                  <w:r>
                    <w:rPr>
                      <w:b/>
                      <w:bCs/>
                      <w:szCs w:val="21"/>
                    </w:rPr>
                    <w:t>毒性毒理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7" w:type="dxa"/>
                  <w:gridSpan w:val="6"/>
                  <w:vAlign w:val="center"/>
                </w:tcPr>
                <w:p>
                  <w:pPr>
                    <w:jc w:val="center"/>
                    <w:rPr>
                      <w:szCs w:val="21"/>
                    </w:rPr>
                  </w:pPr>
                  <w:r>
                    <w:rPr>
                      <w:szCs w:val="21"/>
                    </w:rPr>
                    <w:t>丙烯酸磁漆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widowControl/>
                    <w:jc w:val="center"/>
                    <w:rPr>
                      <w:kern w:val="0"/>
                      <w:szCs w:val="21"/>
                    </w:rPr>
                  </w:pPr>
                  <w:r>
                    <w:rPr>
                      <w:kern w:val="0"/>
                      <w:szCs w:val="21"/>
                    </w:rPr>
                    <w:t>丙烯酸树脂</w:t>
                  </w:r>
                </w:p>
              </w:tc>
              <w:tc>
                <w:tcPr>
                  <w:tcW w:w="1067" w:type="dxa"/>
                  <w:vAlign w:val="center"/>
                </w:tcPr>
                <w:p>
                  <w:pPr>
                    <w:jc w:val="center"/>
                    <w:rPr>
                      <w:szCs w:val="21"/>
                    </w:rPr>
                  </w:pPr>
                  <w:r>
                    <w:rPr>
                      <w:kern w:val="0"/>
                      <w:szCs w:val="21"/>
                    </w:rPr>
                    <w:t>（C</w:t>
                  </w:r>
                  <w:r>
                    <w:rPr>
                      <w:kern w:val="0"/>
                      <w:szCs w:val="21"/>
                      <w:vertAlign w:val="subscript"/>
                    </w:rPr>
                    <w:t>3</w:t>
                  </w:r>
                  <w:r>
                    <w:rPr>
                      <w:kern w:val="0"/>
                      <w:szCs w:val="21"/>
                    </w:rPr>
                    <w:t>H</w:t>
                  </w:r>
                  <w:r>
                    <w:rPr>
                      <w:kern w:val="0"/>
                      <w:szCs w:val="21"/>
                      <w:vertAlign w:val="subscript"/>
                    </w:rPr>
                    <w:t>4</w:t>
                  </w:r>
                  <w:r>
                    <w:rPr>
                      <w:kern w:val="0"/>
                      <w:szCs w:val="21"/>
                    </w:rPr>
                    <w:t>O</w:t>
                  </w:r>
                  <w:r>
                    <w:rPr>
                      <w:kern w:val="0"/>
                      <w:szCs w:val="21"/>
                      <w:vertAlign w:val="subscript"/>
                    </w:rPr>
                    <w:t>2</w:t>
                  </w:r>
                  <w:r>
                    <w:rPr>
                      <w:kern w:val="0"/>
                      <w:szCs w:val="21"/>
                    </w:rPr>
                    <w:t>）</w:t>
                  </w:r>
                  <w:r>
                    <w:rPr>
                      <w:kern w:val="0"/>
                      <w:szCs w:val="21"/>
                      <w:vertAlign w:val="subscript"/>
                    </w:rPr>
                    <w:t>n</w:t>
                  </w:r>
                </w:p>
              </w:tc>
              <w:tc>
                <w:tcPr>
                  <w:tcW w:w="3596" w:type="dxa"/>
                  <w:vAlign w:val="center"/>
                </w:tcPr>
                <w:p>
                  <w:pPr>
                    <w:jc w:val="center"/>
                    <w:rPr>
                      <w:szCs w:val="21"/>
                    </w:rPr>
                  </w:pPr>
                  <w:r>
                    <w:rPr>
                      <w:szCs w:val="21"/>
                    </w:rPr>
                    <w:t>高粘度产品，分子量72.06，相对密度1.09，具有良好的保光保色性、耐水耐化学性、干燥快，沸点116℃</w:t>
                  </w:r>
                </w:p>
              </w:tc>
              <w:tc>
                <w:tcPr>
                  <w:tcW w:w="1580" w:type="dxa"/>
                  <w:gridSpan w:val="2"/>
                  <w:vAlign w:val="center"/>
                </w:tcPr>
                <w:p>
                  <w:pPr>
                    <w:jc w:val="center"/>
                    <w:rPr>
                      <w:szCs w:val="21"/>
                    </w:rPr>
                  </w:pPr>
                  <w:r>
                    <w:rPr>
                      <w:szCs w:val="21"/>
                    </w:rPr>
                    <w:t>非易燃易爆物品</w:t>
                  </w:r>
                </w:p>
              </w:tc>
              <w:tc>
                <w:tcPr>
                  <w:tcW w:w="1699" w:type="dxa"/>
                  <w:vAlign w:val="center"/>
                </w:tcPr>
                <w:p>
                  <w:pPr>
                    <w:jc w:val="center"/>
                    <w:rPr>
                      <w:szCs w:val="21"/>
                    </w:rPr>
                  </w:pPr>
                  <w:r>
                    <w:rPr>
                      <w:szCs w:val="21"/>
                    </w:rPr>
                    <w:t>低毒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5" w:type="dxa"/>
                  <w:vAlign w:val="center"/>
                </w:tcPr>
                <w:p>
                  <w:pPr>
                    <w:widowControl/>
                    <w:jc w:val="center"/>
                    <w:rPr>
                      <w:kern w:val="0"/>
                      <w:szCs w:val="21"/>
                    </w:rPr>
                  </w:pPr>
                  <w:r>
                    <w:rPr>
                      <w:kern w:val="0"/>
                      <w:szCs w:val="21"/>
                    </w:rPr>
                    <w:t>醋酸丁酯</w:t>
                  </w:r>
                </w:p>
              </w:tc>
              <w:tc>
                <w:tcPr>
                  <w:tcW w:w="1067" w:type="dxa"/>
                  <w:vAlign w:val="center"/>
                </w:tcPr>
                <w:p>
                  <w:pPr>
                    <w:jc w:val="center"/>
                    <w:rPr>
                      <w:kern w:val="0"/>
                      <w:szCs w:val="21"/>
                    </w:rPr>
                  </w:pPr>
                  <w:r>
                    <w:rPr>
                      <w:kern w:val="0"/>
                      <w:szCs w:val="21"/>
                    </w:rPr>
                    <w:t>C</w:t>
                  </w:r>
                  <w:r>
                    <w:rPr>
                      <w:kern w:val="0"/>
                      <w:szCs w:val="21"/>
                      <w:vertAlign w:val="subscript"/>
                    </w:rPr>
                    <w:t>6</w:t>
                  </w:r>
                  <w:r>
                    <w:rPr>
                      <w:kern w:val="0"/>
                      <w:szCs w:val="21"/>
                    </w:rPr>
                    <w:t>H</w:t>
                  </w:r>
                  <w:r>
                    <w:rPr>
                      <w:kern w:val="0"/>
                      <w:szCs w:val="21"/>
                      <w:vertAlign w:val="subscript"/>
                    </w:rPr>
                    <w:t>12</w:t>
                  </w:r>
                  <w:r>
                    <w:rPr>
                      <w:kern w:val="0"/>
                      <w:szCs w:val="21"/>
                    </w:rPr>
                    <w:t>O</w:t>
                  </w:r>
                  <w:r>
                    <w:rPr>
                      <w:kern w:val="0"/>
                      <w:szCs w:val="21"/>
                      <w:vertAlign w:val="subscript"/>
                    </w:rPr>
                    <w:t>2</w:t>
                  </w:r>
                </w:p>
                <w:p>
                  <w:pPr>
                    <w:jc w:val="center"/>
                    <w:rPr>
                      <w:kern w:val="0"/>
                      <w:szCs w:val="21"/>
                    </w:rPr>
                  </w:pPr>
                </w:p>
              </w:tc>
              <w:tc>
                <w:tcPr>
                  <w:tcW w:w="3596" w:type="dxa"/>
                  <w:vAlign w:val="center"/>
                </w:tcPr>
                <w:p>
                  <w:pPr>
                    <w:rPr>
                      <w:szCs w:val="21"/>
                    </w:rPr>
                  </w:pPr>
                  <w:r>
                    <w:rPr>
                      <w:szCs w:val="21"/>
                    </w:rPr>
                    <w:t>无色液体，具有类似菠萝的香味；分子量</w:t>
                  </w:r>
                  <w:r>
                    <w:rPr>
                      <w:kern w:val="0"/>
                      <w:szCs w:val="21"/>
                    </w:rPr>
                    <w:t>116.16，</w:t>
                  </w:r>
                  <w:r>
                    <w:rPr>
                      <w:szCs w:val="21"/>
                    </w:rPr>
                    <w:t>沸点126.1℃，熔点-78℃，蒸气压11.5mmHg/25℃，相对密度：0.8826/20℃，辛醇/水分配系数logKow=1.78；溶于大多数的烃类溶剂中，溶于乙醇、乙醚及丙酮，水中溶解度14000mg/L/20℃，5000mg/L/25℃，蒸气相对密度4.0</w:t>
                  </w:r>
                </w:p>
              </w:tc>
              <w:tc>
                <w:tcPr>
                  <w:tcW w:w="1580" w:type="dxa"/>
                  <w:gridSpan w:val="2"/>
                  <w:vAlign w:val="center"/>
                </w:tcPr>
                <w:p>
                  <w:pPr>
                    <w:jc w:val="center"/>
                    <w:rPr>
                      <w:szCs w:val="21"/>
                    </w:rPr>
                  </w:pPr>
                  <w:r>
                    <w:rPr>
                      <w:szCs w:val="21"/>
                    </w:rPr>
                    <w:t>易燃液体。闪点22℃，自燃点425℃，爆炸极限1.4%～7.5%</w:t>
                  </w:r>
                </w:p>
              </w:tc>
              <w:tc>
                <w:tcPr>
                  <w:tcW w:w="1699" w:type="dxa"/>
                  <w:vAlign w:val="center"/>
                </w:tcPr>
                <w:p>
                  <w:pPr>
                    <w:jc w:val="center"/>
                    <w:rPr>
                      <w:szCs w:val="21"/>
                    </w:rPr>
                  </w:pPr>
                  <w:r>
                    <w:rPr>
                      <w:szCs w:val="21"/>
                    </w:rPr>
                    <w:t>LD</w:t>
                  </w:r>
                  <w:r>
                    <w:rPr>
                      <w:szCs w:val="21"/>
                      <w:vertAlign w:val="subscript"/>
                    </w:rPr>
                    <w:t>50</w:t>
                  </w:r>
                  <w:r>
                    <w:rPr>
                      <w:szCs w:val="21"/>
                    </w:rPr>
                    <w:t>：14130mg/kg（大鼠</w:t>
                  </w:r>
                </w:p>
                <w:p>
                  <w:pPr>
                    <w:jc w:val="center"/>
                    <w:rPr>
                      <w:szCs w:val="21"/>
                    </w:rPr>
                  </w:pPr>
                  <w:r>
                    <w:rPr>
                      <w:szCs w:val="21"/>
                    </w:rPr>
                    <w:t>经口）；LC</w:t>
                  </w:r>
                  <w:r>
                    <w:rPr>
                      <w:szCs w:val="21"/>
                      <w:vertAlign w:val="subscript"/>
                    </w:rPr>
                    <w:t>50</w:t>
                  </w:r>
                  <w:r>
                    <w:rPr>
                      <w:szCs w:val="21"/>
                    </w:rPr>
                    <w:t>：6000mg/m</w:t>
                  </w:r>
                  <w:r>
                    <w:rPr>
                      <w:szCs w:val="21"/>
                      <w:vertAlign w:val="superscript"/>
                    </w:rPr>
                    <w:t>3</w:t>
                  </w:r>
                  <w:r>
                    <w:rPr>
                      <w:szCs w:val="21"/>
                    </w:rPr>
                    <w:t>，</w:t>
                  </w:r>
                </w:p>
                <w:p>
                  <w:pPr>
                    <w:jc w:val="center"/>
                    <w:rPr>
                      <w:szCs w:val="21"/>
                    </w:rPr>
                  </w:pPr>
                  <w:r>
                    <w:rPr>
                      <w:szCs w:val="21"/>
                    </w:rPr>
                    <w:t>2小时（大鼠吸入）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widowControl/>
                    <w:jc w:val="center"/>
                    <w:rPr>
                      <w:kern w:val="0"/>
                      <w:szCs w:val="21"/>
                    </w:rPr>
                  </w:pPr>
                  <w:r>
                    <w:rPr>
                      <w:kern w:val="0"/>
                      <w:szCs w:val="21"/>
                    </w:rPr>
                    <w:t>二甲苯</w:t>
                  </w:r>
                </w:p>
              </w:tc>
              <w:tc>
                <w:tcPr>
                  <w:tcW w:w="1067" w:type="dxa"/>
                  <w:vAlign w:val="center"/>
                </w:tcPr>
                <w:p>
                  <w:pPr>
                    <w:pStyle w:val="65"/>
                    <w:spacing w:line="240" w:lineRule="auto"/>
                    <w:rPr>
                      <w:szCs w:val="21"/>
                    </w:rPr>
                  </w:pPr>
                  <w:r>
                    <w:rPr>
                      <w:szCs w:val="21"/>
                    </w:rPr>
                    <w:t>C</w:t>
                  </w:r>
                  <w:r>
                    <w:rPr>
                      <w:szCs w:val="21"/>
                      <w:vertAlign w:val="subscript"/>
                    </w:rPr>
                    <w:t>8</w:t>
                  </w:r>
                  <w:r>
                    <w:rPr>
                      <w:szCs w:val="21"/>
                    </w:rPr>
                    <w:t>H</w:t>
                  </w:r>
                  <w:r>
                    <w:rPr>
                      <w:szCs w:val="21"/>
                      <w:vertAlign w:val="subscript"/>
                    </w:rPr>
                    <w:t>10</w:t>
                  </w:r>
                </w:p>
                <w:p>
                  <w:pPr>
                    <w:pStyle w:val="65"/>
                    <w:spacing w:line="240" w:lineRule="auto"/>
                    <w:rPr>
                      <w:kern w:val="0"/>
                      <w:szCs w:val="21"/>
                    </w:rPr>
                  </w:pPr>
                </w:p>
              </w:tc>
              <w:tc>
                <w:tcPr>
                  <w:tcW w:w="3596" w:type="dxa"/>
                  <w:vAlign w:val="center"/>
                </w:tcPr>
                <w:p>
                  <w:pPr>
                    <w:jc w:val="center"/>
                    <w:rPr>
                      <w:szCs w:val="21"/>
                    </w:rPr>
                  </w:pPr>
                  <w:r>
                    <w:rPr>
                      <w:szCs w:val="21"/>
                    </w:rPr>
                    <w:t>无色透明液体，有类似甲苯的气味。原子量为106.17，熔点13.3℃，沸点138.4℃。相对密厦(水=1)0.86，相对密废(空气=1)：3.66，饱和蒸气压(kPa) 1.16(25C)。溶于水，可泥溶于乙醇、乙醚、氯仿等多数有机溶剂</w:t>
                  </w:r>
                </w:p>
              </w:tc>
              <w:tc>
                <w:tcPr>
                  <w:tcW w:w="1580" w:type="dxa"/>
                  <w:gridSpan w:val="2"/>
                  <w:vAlign w:val="center"/>
                </w:tcPr>
                <w:p>
                  <w:pPr>
                    <w:jc w:val="center"/>
                    <w:rPr>
                      <w:szCs w:val="21"/>
                    </w:rPr>
                  </w:pPr>
                  <w:r>
                    <w:rPr>
                      <w:szCs w:val="21"/>
                    </w:rPr>
                    <w:t>闪点：30℃，易燃，其蒸气与空气可形成爆炸性混合物。遇明火、高热能引起燃烧爆炸。与氧化剂能发生强烈反应。流速过快，容易产生和积聚静电</w:t>
                  </w:r>
                </w:p>
              </w:tc>
              <w:tc>
                <w:tcPr>
                  <w:tcW w:w="1699" w:type="dxa"/>
                  <w:vAlign w:val="center"/>
                </w:tcPr>
                <w:p>
                  <w:pPr>
                    <w:jc w:val="center"/>
                    <w:rPr>
                      <w:szCs w:val="21"/>
                    </w:rPr>
                  </w:pPr>
                  <w:r>
                    <w:rPr>
                      <w:szCs w:val="21"/>
                    </w:rPr>
                    <w:t>LD</w:t>
                  </w:r>
                  <w:r>
                    <w:rPr>
                      <w:szCs w:val="21"/>
                      <w:vertAlign w:val="subscript"/>
                    </w:rPr>
                    <w:t>50</w:t>
                  </w:r>
                  <w:r>
                    <w:rPr>
                      <w:szCs w:val="21"/>
                    </w:rPr>
                    <w:t>：5620mg/kg（大</w:t>
                  </w:r>
                </w:p>
                <w:p>
                  <w:pPr>
                    <w:jc w:val="center"/>
                    <w:rPr>
                      <w:szCs w:val="21"/>
                    </w:rPr>
                  </w:pPr>
                  <w:r>
                    <w:rPr>
                      <w:szCs w:val="21"/>
                    </w:rPr>
                    <w:t>鼠经口）；LC</w:t>
                  </w:r>
                  <w:r>
                    <w:rPr>
                      <w:szCs w:val="21"/>
                      <w:vertAlign w:val="subscript"/>
                    </w:rPr>
                    <w:t>50</w:t>
                  </w:r>
                  <w:r>
                    <w:rPr>
                      <w:szCs w:val="21"/>
                    </w:rPr>
                    <w:t>：19747mg/m</w:t>
                  </w:r>
                  <w:r>
                    <w:rPr>
                      <w:szCs w:val="21"/>
                      <w:vertAlign w:val="superscript"/>
                    </w:rPr>
                    <w:t>3</w:t>
                  </w:r>
                  <w:r>
                    <w:rPr>
                      <w:szCs w:val="21"/>
                    </w:rPr>
                    <w:t>，4小时(大鼠吸入)</w:t>
                  </w:r>
                </w:p>
              </w:tc>
            </w:tr>
          </w:tbl>
          <w:p>
            <w:pPr>
              <w:spacing w:line="360" w:lineRule="auto"/>
              <w:ind w:firstLine="480" w:firstLineChars="200"/>
              <w:rPr>
                <w:bCs/>
                <w:sz w:val="24"/>
              </w:rPr>
            </w:pPr>
            <w:r>
              <w:rPr>
                <w:bCs/>
                <w:sz w:val="24"/>
              </w:rPr>
              <w:t>根据企业提供原材料检验报告并查阅相关资料，丙烯酸磁漆属于丙烯酸树脂漆，由丙烯酸树脂、二甲苯、醋酸丁酯、着色颜料、助剂组成。本项目使用油漆的主要成分及使用量见表</w:t>
            </w:r>
            <w:r>
              <w:rPr>
                <w:rFonts w:hint="eastAsia"/>
                <w:bCs/>
                <w:sz w:val="24"/>
              </w:rPr>
              <w:t>8</w:t>
            </w:r>
            <w:r>
              <w:rPr>
                <w:bCs/>
                <w:sz w:val="24"/>
              </w:rPr>
              <w:t>，稀释剂中挥发组分见表</w:t>
            </w:r>
            <w:r>
              <w:rPr>
                <w:rFonts w:hint="eastAsia"/>
                <w:bCs/>
                <w:sz w:val="24"/>
              </w:rPr>
              <w:t>9</w:t>
            </w:r>
            <w:r>
              <w:rPr>
                <w:bCs/>
                <w:sz w:val="24"/>
              </w:rPr>
              <w:t>。</w:t>
            </w:r>
          </w:p>
          <w:p>
            <w:pPr>
              <w:pStyle w:val="6"/>
              <w:jc w:val="center"/>
              <w:rPr>
                <w:b/>
                <w:szCs w:val="21"/>
              </w:rPr>
            </w:pPr>
            <w:r>
              <w:rPr>
                <w:b/>
                <w:szCs w:val="21"/>
              </w:rPr>
              <w:t>表8   丙烯酸磁漆混合后成分表</w:t>
            </w:r>
          </w:p>
          <w:tbl>
            <w:tblPr>
              <w:tblStyle w:val="32"/>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464"/>
              <w:gridCol w:w="1466"/>
              <w:gridCol w:w="1465"/>
              <w:gridCol w:w="1464"/>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pStyle w:val="6"/>
                    <w:ind w:firstLine="0"/>
                    <w:jc w:val="center"/>
                    <w:rPr>
                      <w:b/>
                      <w:szCs w:val="21"/>
                    </w:rPr>
                  </w:pPr>
                  <w:r>
                    <w:rPr>
                      <w:b/>
                      <w:szCs w:val="21"/>
                    </w:rPr>
                    <w:t>名称</w:t>
                  </w:r>
                </w:p>
              </w:tc>
              <w:tc>
                <w:tcPr>
                  <w:tcW w:w="1464" w:type="dxa"/>
                  <w:vAlign w:val="center"/>
                </w:tcPr>
                <w:p>
                  <w:pPr>
                    <w:pStyle w:val="6"/>
                    <w:ind w:firstLine="0"/>
                    <w:jc w:val="center"/>
                    <w:rPr>
                      <w:b/>
                      <w:szCs w:val="21"/>
                    </w:rPr>
                  </w:pPr>
                  <w:r>
                    <w:rPr>
                      <w:b/>
                      <w:szCs w:val="21"/>
                    </w:rPr>
                    <w:t>使用量（t/a）</w:t>
                  </w:r>
                </w:p>
              </w:tc>
              <w:tc>
                <w:tcPr>
                  <w:tcW w:w="2931" w:type="dxa"/>
                  <w:gridSpan w:val="2"/>
                  <w:vAlign w:val="center"/>
                </w:tcPr>
                <w:p>
                  <w:pPr>
                    <w:pStyle w:val="6"/>
                    <w:ind w:firstLine="0"/>
                    <w:jc w:val="center"/>
                    <w:rPr>
                      <w:b/>
                      <w:szCs w:val="21"/>
                    </w:rPr>
                  </w:pPr>
                  <w:r>
                    <w:rPr>
                      <w:b/>
                      <w:szCs w:val="21"/>
                    </w:rPr>
                    <w:t>主要成分</w:t>
                  </w:r>
                </w:p>
              </w:tc>
              <w:tc>
                <w:tcPr>
                  <w:tcW w:w="1464" w:type="dxa"/>
                  <w:vAlign w:val="center"/>
                </w:tcPr>
                <w:p>
                  <w:pPr>
                    <w:jc w:val="center"/>
                    <w:rPr>
                      <w:b/>
                      <w:szCs w:val="21"/>
                    </w:rPr>
                  </w:pPr>
                  <w:r>
                    <w:rPr>
                      <w:b/>
                      <w:bCs/>
                      <w:szCs w:val="21"/>
                    </w:rPr>
                    <w:t>质量含量%</w:t>
                  </w:r>
                </w:p>
              </w:tc>
              <w:tc>
                <w:tcPr>
                  <w:tcW w:w="1454" w:type="dxa"/>
                  <w:vAlign w:val="center"/>
                </w:tcPr>
                <w:p>
                  <w:pPr>
                    <w:jc w:val="center"/>
                    <w:rPr>
                      <w:b/>
                      <w:szCs w:val="21"/>
                    </w:rPr>
                  </w:pPr>
                  <w:r>
                    <w:rPr>
                      <w:b/>
                      <w:bCs/>
                      <w:szCs w:val="21"/>
                    </w:rPr>
                    <w:t>各成分总量t/a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restart"/>
                  <w:vAlign w:val="center"/>
                </w:tcPr>
                <w:p>
                  <w:pPr>
                    <w:pStyle w:val="6"/>
                    <w:ind w:firstLine="0"/>
                    <w:jc w:val="center"/>
                    <w:rPr>
                      <w:bCs/>
                      <w:szCs w:val="21"/>
                    </w:rPr>
                  </w:pPr>
                  <w:r>
                    <w:rPr>
                      <w:bCs/>
                      <w:szCs w:val="21"/>
                    </w:rPr>
                    <w:t>丙烯酸磁漆（配比后）</w:t>
                  </w:r>
                </w:p>
              </w:tc>
              <w:tc>
                <w:tcPr>
                  <w:tcW w:w="1464" w:type="dxa"/>
                  <w:vMerge w:val="restart"/>
                  <w:vAlign w:val="center"/>
                </w:tcPr>
                <w:p>
                  <w:pPr>
                    <w:pStyle w:val="6"/>
                    <w:ind w:firstLine="0"/>
                    <w:jc w:val="center"/>
                    <w:rPr>
                      <w:bCs/>
                      <w:szCs w:val="21"/>
                    </w:rPr>
                  </w:pPr>
                  <w:r>
                    <w:rPr>
                      <w:bCs/>
                      <w:szCs w:val="21"/>
                    </w:rPr>
                    <w:t>3</w:t>
                  </w:r>
                  <w:r>
                    <w:rPr>
                      <w:rFonts w:hint="eastAsia"/>
                      <w:bCs/>
                      <w:szCs w:val="21"/>
                    </w:rPr>
                    <w:t>.25</w:t>
                  </w:r>
                </w:p>
              </w:tc>
              <w:tc>
                <w:tcPr>
                  <w:tcW w:w="1466" w:type="dxa"/>
                  <w:vMerge w:val="restart"/>
                  <w:vAlign w:val="center"/>
                </w:tcPr>
                <w:p>
                  <w:pPr>
                    <w:pStyle w:val="6"/>
                    <w:ind w:firstLine="0"/>
                    <w:jc w:val="center"/>
                    <w:rPr>
                      <w:bCs/>
                      <w:szCs w:val="21"/>
                    </w:rPr>
                  </w:pPr>
                  <w:r>
                    <w:rPr>
                      <w:bCs/>
                      <w:szCs w:val="21"/>
                    </w:rPr>
                    <w:t>挥发分</w:t>
                  </w:r>
                </w:p>
              </w:tc>
              <w:tc>
                <w:tcPr>
                  <w:tcW w:w="1465" w:type="dxa"/>
                  <w:vAlign w:val="center"/>
                </w:tcPr>
                <w:p>
                  <w:pPr>
                    <w:spacing w:line="240" w:lineRule="exact"/>
                    <w:jc w:val="center"/>
                    <w:rPr>
                      <w:bCs/>
                      <w:szCs w:val="21"/>
                    </w:rPr>
                  </w:pPr>
                  <w:r>
                    <w:rPr>
                      <w:bCs/>
                      <w:szCs w:val="21"/>
                    </w:rPr>
                    <w:t>二甲苯</w:t>
                  </w:r>
                </w:p>
              </w:tc>
              <w:tc>
                <w:tcPr>
                  <w:tcW w:w="1464" w:type="dxa"/>
                  <w:vAlign w:val="center"/>
                </w:tcPr>
                <w:p>
                  <w:pPr>
                    <w:spacing w:line="240" w:lineRule="exact"/>
                    <w:jc w:val="center"/>
                    <w:rPr>
                      <w:bCs/>
                      <w:szCs w:val="21"/>
                    </w:rPr>
                  </w:pPr>
                  <w:r>
                    <w:rPr>
                      <w:bCs/>
                      <w:szCs w:val="21"/>
                    </w:rPr>
                    <w:t>5</w:t>
                  </w:r>
                </w:p>
              </w:tc>
              <w:tc>
                <w:tcPr>
                  <w:tcW w:w="1454" w:type="dxa"/>
                  <w:vAlign w:val="center"/>
                </w:tcPr>
                <w:p>
                  <w:pPr>
                    <w:widowControl/>
                    <w:jc w:val="center"/>
                    <w:textAlignment w:val="center"/>
                    <w:rPr>
                      <w:bCs/>
                      <w:szCs w:val="21"/>
                    </w:rPr>
                  </w:pPr>
                  <w:r>
                    <w:rPr>
                      <w:color w:val="000000"/>
                      <w:kern w:val="0"/>
                      <w:szCs w:val="21"/>
                    </w:rPr>
                    <w:t xml:space="preserve">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pStyle w:val="6"/>
                    <w:ind w:firstLine="0"/>
                    <w:jc w:val="center"/>
                    <w:rPr>
                      <w:bCs/>
                      <w:szCs w:val="21"/>
                    </w:rPr>
                  </w:pPr>
                </w:p>
              </w:tc>
              <w:tc>
                <w:tcPr>
                  <w:tcW w:w="1464" w:type="dxa"/>
                  <w:vMerge w:val="continue"/>
                  <w:vAlign w:val="center"/>
                </w:tcPr>
                <w:p>
                  <w:pPr>
                    <w:pStyle w:val="6"/>
                    <w:ind w:firstLine="0"/>
                    <w:jc w:val="center"/>
                    <w:rPr>
                      <w:bCs/>
                      <w:szCs w:val="21"/>
                    </w:rPr>
                  </w:pPr>
                </w:p>
              </w:tc>
              <w:tc>
                <w:tcPr>
                  <w:tcW w:w="1466" w:type="dxa"/>
                  <w:vMerge w:val="continue"/>
                  <w:vAlign w:val="center"/>
                </w:tcPr>
                <w:p>
                  <w:pPr>
                    <w:pStyle w:val="6"/>
                    <w:ind w:firstLine="0"/>
                    <w:jc w:val="center"/>
                    <w:rPr>
                      <w:bCs/>
                      <w:szCs w:val="21"/>
                    </w:rPr>
                  </w:pPr>
                </w:p>
              </w:tc>
              <w:tc>
                <w:tcPr>
                  <w:tcW w:w="1465" w:type="dxa"/>
                  <w:vAlign w:val="center"/>
                </w:tcPr>
                <w:p>
                  <w:pPr>
                    <w:spacing w:line="240" w:lineRule="exact"/>
                    <w:jc w:val="center"/>
                    <w:rPr>
                      <w:bCs/>
                      <w:szCs w:val="21"/>
                    </w:rPr>
                  </w:pPr>
                  <w:r>
                    <w:rPr>
                      <w:bCs/>
                      <w:szCs w:val="21"/>
                    </w:rPr>
                    <w:t>醋酸丁酯</w:t>
                  </w:r>
                </w:p>
              </w:tc>
              <w:tc>
                <w:tcPr>
                  <w:tcW w:w="1464" w:type="dxa"/>
                  <w:vAlign w:val="center"/>
                </w:tcPr>
                <w:p>
                  <w:pPr>
                    <w:spacing w:line="240" w:lineRule="exact"/>
                    <w:jc w:val="center"/>
                    <w:rPr>
                      <w:bCs/>
                      <w:szCs w:val="21"/>
                    </w:rPr>
                  </w:pPr>
                  <w:r>
                    <w:rPr>
                      <w:bCs/>
                      <w:szCs w:val="21"/>
                    </w:rPr>
                    <w:t>4</w:t>
                  </w:r>
                </w:p>
              </w:tc>
              <w:tc>
                <w:tcPr>
                  <w:tcW w:w="1454" w:type="dxa"/>
                  <w:vAlign w:val="center"/>
                </w:tcPr>
                <w:p>
                  <w:pPr>
                    <w:widowControl/>
                    <w:jc w:val="center"/>
                    <w:textAlignment w:val="center"/>
                    <w:rPr>
                      <w:bCs/>
                      <w:szCs w:val="21"/>
                    </w:rPr>
                  </w:pPr>
                  <w:r>
                    <w:rPr>
                      <w:color w:val="000000"/>
                      <w:kern w:val="0"/>
                      <w:szCs w:val="21"/>
                    </w:rPr>
                    <w:t xml:space="preserve">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4" w:type="dxa"/>
                  <w:vMerge w:val="continue"/>
                  <w:vAlign w:val="center"/>
                </w:tcPr>
                <w:p>
                  <w:pPr>
                    <w:pStyle w:val="6"/>
                    <w:ind w:firstLine="0"/>
                    <w:jc w:val="center"/>
                    <w:rPr>
                      <w:bCs/>
                      <w:szCs w:val="21"/>
                    </w:rPr>
                  </w:pPr>
                </w:p>
              </w:tc>
              <w:tc>
                <w:tcPr>
                  <w:tcW w:w="1464" w:type="dxa"/>
                  <w:vMerge w:val="continue"/>
                  <w:vAlign w:val="center"/>
                </w:tcPr>
                <w:p>
                  <w:pPr>
                    <w:pStyle w:val="6"/>
                    <w:ind w:firstLine="0"/>
                    <w:jc w:val="center"/>
                    <w:rPr>
                      <w:bCs/>
                      <w:szCs w:val="21"/>
                    </w:rPr>
                  </w:pPr>
                </w:p>
              </w:tc>
              <w:tc>
                <w:tcPr>
                  <w:tcW w:w="1466" w:type="dxa"/>
                  <w:vMerge w:val="restart"/>
                  <w:vAlign w:val="center"/>
                </w:tcPr>
                <w:p>
                  <w:pPr>
                    <w:pStyle w:val="6"/>
                    <w:ind w:firstLine="0"/>
                    <w:jc w:val="center"/>
                    <w:rPr>
                      <w:bCs/>
                      <w:szCs w:val="21"/>
                    </w:rPr>
                  </w:pPr>
                  <w:r>
                    <w:rPr>
                      <w:bCs/>
                      <w:szCs w:val="21"/>
                    </w:rPr>
                    <w:t>固定分</w:t>
                  </w:r>
                </w:p>
              </w:tc>
              <w:tc>
                <w:tcPr>
                  <w:tcW w:w="1465" w:type="dxa"/>
                  <w:vAlign w:val="center"/>
                </w:tcPr>
                <w:p>
                  <w:pPr>
                    <w:spacing w:line="240" w:lineRule="exact"/>
                    <w:jc w:val="center"/>
                    <w:rPr>
                      <w:bCs/>
                      <w:szCs w:val="21"/>
                    </w:rPr>
                  </w:pPr>
                  <w:r>
                    <w:rPr>
                      <w:bCs/>
                      <w:szCs w:val="21"/>
                    </w:rPr>
                    <w:t>丙烯酸树脂</w:t>
                  </w:r>
                </w:p>
              </w:tc>
              <w:tc>
                <w:tcPr>
                  <w:tcW w:w="1464" w:type="dxa"/>
                  <w:vAlign w:val="center"/>
                </w:tcPr>
                <w:p>
                  <w:pPr>
                    <w:spacing w:line="240" w:lineRule="exact"/>
                    <w:jc w:val="center"/>
                    <w:rPr>
                      <w:bCs/>
                      <w:szCs w:val="21"/>
                    </w:rPr>
                  </w:pPr>
                  <w:r>
                    <w:rPr>
                      <w:bCs/>
                      <w:szCs w:val="21"/>
                    </w:rPr>
                    <w:t>5</w:t>
                  </w:r>
                  <w:r>
                    <w:rPr>
                      <w:rFonts w:hint="eastAsia"/>
                      <w:bCs/>
                      <w:szCs w:val="21"/>
                    </w:rPr>
                    <w:t>2</w:t>
                  </w:r>
                </w:p>
              </w:tc>
              <w:tc>
                <w:tcPr>
                  <w:tcW w:w="1454" w:type="dxa"/>
                  <w:vAlign w:val="center"/>
                </w:tcPr>
                <w:p>
                  <w:pPr>
                    <w:widowControl/>
                    <w:jc w:val="center"/>
                    <w:textAlignment w:val="center"/>
                    <w:rPr>
                      <w:bCs/>
                      <w:szCs w:val="21"/>
                    </w:rPr>
                  </w:pPr>
                  <w:r>
                    <w:rPr>
                      <w:color w:val="000000"/>
                      <w:kern w:val="0"/>
                      <w:szCs w:val="21"/>
                    </w:rPr>
                    <w:t xml:space="preserve">1.69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pStyle w:val="6"/>
                    <w:ind w:firstLine="0"/>
                    <w:jc w:val="center"/>
                    <w:rPr>
                      <w:bCs/>
                      <w:szCs w:val="21"/>
                    </w:rPr>
                  </w:pPr>
                </w:p>
              </w:tc>
              <w:tc>
                <w:tcPr>
                  <w:tcW w:w="1464" w:type="dxa"/>
                  <w:vMerge w:val="continue"/>
                  <w:vAlign w:val="center"/>
                </w:tcPr>
                <w:p>
                  <w:pPr>
                    <w:pStyle w:val="6"/>
                    <w:ind w:firstLine="0"/>
                    <w:jc w:val="center"/>
                    <w:rPr>
                      <w:bCs/>
                      <w:szCs w:val="21"/>
                    </w:rPr>
                  </w:pPr>
                </w:p>
              </w:tc>
              <w:tc>
                <w:tcPr>
                  <w:tcW w:w="1466" w:type="dxa"/>
                  <w:vMerge w:val="continue"/>
                  <w:vAlign w:val="center"/>
                </w:tcPr>
                <w:p>
                  <w:pPr>
                    <w:pStyle w:val="6"/>
                    <w:ind w:firstLine="0"/>
                    <w:jc w:val="center"/>
                    <w:rPr>
                      <w:bCs/>
                      <w:szCs w:val="21"/>
                    </w:rPr>
                  </w:pPr>
                </w:p>
              </w:tc>
              <w:tc>
                <w:tcPr>
                  <w:tcW w:w="1465" w:type="dxa"/>
                  <w:vAlign w:val="center"/>
                </w:tcPr>
                <w:p>
                  <w:pPr>
                    <w:spacing w:line="240" w:lineRule="exact"/>
                    <w:jc w:val="center"/>
                    <w:rPr>
                      <w:bCs/>
                      <w:szCs w:val="21"/>
                    </w:rPr>
                  </w:pPr>
                  <w:r>
                    <w:rPr>
                      <w:rFonts w:hint="eastAsia"/>
                      <w:bCs/>
                      <w:szCs w:val="21"/>
                    </w:rPr>
                    <w:t>颜填料</w:t>
                  </w:r>
                </w:p>
              </w:tc>
              <w:tc>
                <w:tcPr>
                  <w:tcW w:w="1464" w:type="dxa"/>
                  <w:vAlign w:val="center"/>
                </w:tcPr>
                <w:p>
                  <w:pPr>
                    <w:spacing w:line="240" w:lineRule="exact"/>
                    <w:jc w:val="center"/>
                    <w:rPr>
                      <w:bCs/>
                      <w:szCs w:val="21"/>
                    </w:rPr>
                  </w:pPr>
                  <w:r>
                    <w:rPr>
                      <w:bCs/>
                      <w:szCs w:val="21"/>
                    </w:rPr>
                    <w:t>3</w:t>
                  </w:r>
                  <w:r>
                    <w:rPr>
                      <w:rFonts w:hint="eastAsia"/>
                      <w:bCs/>
                      <w:szCs w:val="21"/>
                    </w:rPr>
                    <w:t>3</w:t>
                  </w:r>
                </w:p>
              </w:tc>
              <w:tc>
                <w:tcPr>
                  <w:tcW w:w="1454" w:type="dxa"/>
                  <w:vAlign w:val="center"/>
                </w:tcPr>
                <w:p>
                  <w:pPr>
                    <w:widowControl/>
                    <w:jc w:val="center"/>
                    <w:textAlignment w:val="center"/>
                    <w:rPr>
                      <w:bCs/>
                      <w:szCs w:val="21"/>
                    </w:rPr>
                  </w:pPr>
                  <w:r>
                    <w:rPr>
                      <w:color w:val="000000"/>
                      <w:kern w:val="0"/>
                      <w:szCs w:val="21"/>
                    </w:rPr>
                    <w:t xml:space="preserve">1.07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pStyle w:val="6"/>
                    <w:ind w:firstLine="0"/>
                    <w:jc w:val="center"/>
                    <w:rPr>
                      <w:bCs/>
                      <w:szCs w:val="21"/>
                    </w:rPr>
                  </w:pPr>
                </w:p>
              </w:tc>
              <w:tc>
                <w:tcPr>
                  <w:tcW w:w="1464" w:type="dxa"/>
                  <w:vMerge w:val="continue"/>
                  <w:vAlign w:val="center"/>
                </w:tcPr>
                <w:p>
                  <w:pPr>
                    <w:pStyle w:val="6"/>
                    <w:ind w:firstLine="0"/>
                    <w:jc w:val="center"/>
                    <w:rPr>
                      <w:bCs/>
                      <w:szCs w:val="21"/>
                    </w:rPr>
                  </w:pPr>
                </w:p>
              </w:tc>
              <w:tc>
                <w:tcPr>
                  <w:tcW w:w="1466" w:type="dxa"/>
                  <w:vMerge w:val="continue"/>
                  <w:vAlign w:val="center"/>
                </w:tcPr>
                <w:p>
                  <w:pPr>
                    <w:pStyle w:val="6"/>
                    <w:ind w:firstLine="0"/>
                    <w:jc w:val="center"/>
                    <w:rPr>
                      <w:bCs/>
                      <w:szCs w:val="21"/>
                    </w:rPr>
                  </w:pPr>
                </w:p>
              </w:tc>
              <w:tc>
                <w:tcPr>
                  <w:tcW w:w="1465" w:type="dxa"/>
                  <w:vAlign w:val="center"/>
                </w:tcPr>
                <w:p>
                  <w:pPr>
                    <w:spacing w:line="240" w:lineRule="exact"/>
                    <w:jc w:val="center"/>
                    <w:rPr>
                      <w:bCs/>
                      <w:szCs w:val="21"/>
                    </w:rPr>
                  </w:pPr>
                  <w:r>
                    <w:rPr>
                      <w:bCs/>
                      <w:szCs w:val="21"/>
                    </w:rPr>
                    <w:t>其他助剂</w:t>
                  </w:r>
                </w:p>
              </w:tc>
              <w:tc>
                <w:tcPr>
                  <w:tcW w:w="1464" w:type="dxa"/>
                  <w:vAlign w:val="center"/>
                </w:tcPr>
                <w:p>
                  <w:pPr>
                    <w:spacing w:line="240" w:lineRule="exact"/>
                    <w:jc w:val="center"/>
                    <w:rPr>
                      <w:bCs/>
                      <w:szCs w:val="21"/>
                    </w:rPr>
                  </w:pPr>
                  <w:r>
                    <w:rPr>
                      <w:bCs/>
                      <w:szCs w:val="21"/>
                    </w:rPr>
                    <w:t>6</w:t>
                  </w:r>
                </w:p>
              </w:tc>
              <w:tc>
                <w:tcPr>
                  <w:tcW w:w="1454" w:type="dxa"/>
                  <w:vAlign w:val="center"/>
                </w:tcPr>
                <w:p>
                  <w:pPr>
                    <w:widowControl/>
                    <w:jc w:val="center"/>
                    <w:textAlignment w:val="center"/>
                    <w:rPr>
                      <w:bCs/>
                      <w:szCs w:val="21"/>
                    </w:rPr>
                  </w:pPr>
                  <w:r>
                    <w:rPr>
                      <w:color w:val="000000"/>
                      <w:kern w:val="0"/>
                      <w:szCs w:val="21"/>
                    </w:rPr>
                    <w:t xml:space="preserve">0.20 </w:t>
                  </w:r>
                </w:p>
              </w:tc>
            </w:tr>
          </w:tbl>
          <w:p>
            <w:pPr>
              <w:spacing w:line="480" w:lineRule="exact"/>
              <w:ind w:firstLine="480" w:firstLineChars="200"/>
              <w:rPr>
                <w:sz w:val="24"/>
              </w:rPr>
            </w:pPr>
            <w:r>
              <w:rPr>
                <w:rFonts w:hint="eastAsia"/>
                <w:sz w:val="24"/>
              </w:rPr>
              <w:t>（8）</w:t>
            </w:r>
            <w:r>
              <w:rPr>
                <w:rFonts w:hint="eastAsia"/>
                <w:sz w:val="24"/>
                <w:szCs w:val="24"/>
              </w:rPr>
              <w:t>主要设备</w:t>
            </w:r>
          </w:p>
          <w:p>
            <w:pPr>
              <w:tabs>
                <w:tab w:val="left" w:pos="3828"/>
              </w:tabs>
              <w:spacing w:line="480" w:lineRule="exact"/>
              <w:ind w:firstLine="480" w:firstLineChars="200"/>
              <w:rPr>
                <w:b/>
                <w:bCs/>
                <w:color w:val="0000FF"/>
                <w:szCs w:val="21"/>
              </w:rPr>
            </w:pPr>
            <w:r>
              <w:rPr>
                <w:rFonts w:hint="eastAsia"/>
                <w:sz w:val="24"/>
                <w:szCs w:val="24"/>
              </w:rPr>
              <w:t>主要购置数控车床、液压机、工业电阻炉、天车和焊烟净化器等设备89台（套）。</w:t>
            </w:r>
          </w:p>
          <w:p>
            <w:pPr>
              <w:spacing w:line="360" w:lineRule="auto"/>
              <w:jc w:val="center"/>
              <w:rPr>
                <w:b/>
                <w:bCs/>
                <w:szCs w:val="21"/>
              </w:rPr>
            </w:pPr>
            <w:r>
              <w:rPr>
                <w:rFonts w:hint="eastAsia"/>
                <w:b/>
                <w:bCs/>
                <w:szCs w:val="21"/>
              </w:rPr>
              <w:t xml:space="preserve"> </w:t>
            </w:r>
          </w:p>
          <w:p>
            <w:pPr>
              <w:spacing w:line="360" w:lineRule="auto"/>
              <w:jc w:val="center"/>
              <w:rPr>
                <w:b/>
                <w:bCs/>
                <w:szCs w:val="21"/>
              </w:rPr>
            </w:pPr>
          </w:p>
          <w:p>
            <w:pPr>
              <w:spacing w:line="360" w:lineRule="auto"/>
              <w:jc w:val="center"/>
              <w:rPr>
                <w:b/>
                <w:bCs/>
                <w:szCs w:val="21"/>
              </w:rPr>
            </w:pPr>
            <w:r>
              <w:rPr>
                <w:rFonts w:hint="eastAsia"/>
                <w:b/>
                <w:bCs/>
                <w:szCs w:val="21"/>
              </w:rPr>
              <w:t>表9    技改项目主要设备一览表</w:t>
            </w:r>
          </w:p>
          <w:tbl>
            <w:tblPr>
              <w:tblStyle w:val="32"/>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6"/>
              <w:gridCol w:w="3271"/>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b/>
                      <w:bCs/>
                      <w:szCs w:val="21"/>
                    </w:rPr>
                  </w:pPr>
                  <w:r>
                    <w:rPr>
                      <w:rFonts w:hint="eastAsia"/>
                      <w:b/>
                      <w:bCs/>
                      <w:szCs w:val="21"/>
                    </w:rPr>
                    <w:t>设备名称</w:t>
                  </w:r>
                </w:p>
              </w:tc>
              <w:tc>
                <w:tcPr>
                  <w:tcW w:w="3271" w:type="dxa"/>
                  <w:vAlign w:val="center"/>
                </w:tcPr>
                <w:p>
                  <w:pPr>
                    <w:spacing w:line="320" w:lineRule="exact"/>
                    <w:jc w:val="center"/>
                    <w:rPr>
                      <w:b/>
                      <w:bCs/>
                      <w:szCs w:val="21"/>
                    </w:rPr>
                  </w:pPr>
                  <w:r>
                    <w:rPr>
                      <w:rFonts w:hint="eastAsia"/>
                      <w:b/>
                      <w:bCs/>
                      <w:szCs w:val="21"/>
                    </w:rPr>
                    <w:t>型号</w:t>
                  </w:r>
                </w:p>
              </w:tc>
              <w:tc>
                <w:tcPr>
                  <w:tcW w:w="1190" w:type="dxa"/>
                  <w:vAlign w:val="center"/>
                </w:tcPr>
                <w:p>
                  <w:pPr>
                    <w:spacing w:line="320" w:lineRule="exact"/>
                    <w:jc w:val="center"/>
                    <w:rPr>
                      <w:b/>
                      <w:bCs/>
                      <w:szCs w:val="21"/>
                    </w:rPr>
                  </w:pPr>
                  <w:r>
                    <w:rPr>
                      <w:rFonts w:hint="eastAsia"/>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Merge w:val="restart"/>
                  <w:vAlign w:val="center"/>
                </w:tcPr>
                <w:p>
                  <w:pPr>
                    <w:spacing w:line="320" w:lineRule="exact"/>
                    <w:jc w:val="center"/>
                    <w:rPr>
                      <w:szCs w:val="21"/>
                    </w:rPr>
                  </w:pPr>
                  <w:r>
                    <w:rPr>
                      <w:rFonts w:hint="eastAsia"/>
                      <w:szCs w:val="21"/>
                    </w:rPr>
                    <w:t>空气压缩机</w:t>
                  </w:r>
                </w:p>
              </w:tc>
              <w:tc>
                <w:tcPr>
                  <w:tcW w:w="3271" w:type="dxa"/>
                  <w:vAlign w:val="center"/>
                </w:tcPr>
                <w:p>
                  <w:pPr>
                    <w:spacing w:line="320" w:lineRule="exact"/>
                    <w:jc w:val="center"/>
                    <w:rPr>
                      <w:szCs w:val="21"/>
                    </w:rPr>
                  </w:pPr>
                  <w:r>
                    <w:rPr>
                      <w:rFonts w:hint="eastAsia"/>
                      <w:szCs w:val="21"/>
                    </w:rPr>
                    <w:t>SFF210EZ-A</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Merge w:val="continue"/>
                  <w:vAlign w:val="center"/>
                </w:tcPr>
                <w:p>
                  <w:pPr>
                    <w:spacing w:line="320" w:lineRule="exact"/>
                    <w:jc w:val="center"/>
                    <w:rPr>
                      <w:szCs w:val="21"/>
                    </w:rPr>
                  </w:pPr>
                </w:p>
              </w:tc>
              <w:tc>
                <w:tcPr>
                  <w:tcW w:w="3271" w:type="dxa"/>
                  <w:vAlign w:val="center"/>
                </w:tcPr>
                <w:p>
                  <w:pPr>
                    <w:spacing w:line="320" w:lineRule="exact"/>
                    <w:jc w:val="center"/>
                    <w:rPr>
                      <w:szCs w:val="21"/>
                    </w:rPr>
                  </w:pPr>
                  <w:r>
                    <w:rPr>
                      <w:rFonts w:hint="eastAsia"/>
                      <w:szCs w:val="21"/>
                    </w:rPr>
                    <w:t>SEF-5</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16" w:type="dxa"/>
                  <w:vAlign w:val="center"/>
                </w:tcPr>
                <w:p>
                  <w:pPr>
                    <w:spacing w:line="320" w:lineRule="exact"/>
                    <w:jc w:val="center"/>
                    <w:rPr>
                      <w:szCs w:val="21"/>
                    </w:rPr>
                  </w:pPr>
                  <w:r>
                    <w:rPr>
                      <w:rFonts w:hint="eastAsia"/>
                      <w:szCs w:val="21"/>
                    </w:rPr>
                    <w:t>液压折弯机</w:t>
                  </w:r>
                </w:p>
              </w:tc>
              <w:tc>
                <w:tcPr>
                  <w:tcW w:w="3271" w:type="dxa"/>
                  <w:vAlign w:val="center"/>
                </w:tcPr>
                <w:p>
                  <w:pPr>
                    <w:spacing w:line="320" w:lineRule="exact"/>
                    <w:jc w:val="center"/>
                    <w:rPr>
                      <w:szCs w:val="21"/>
                    </w:rPr>
                  </w:pPr>
                  <w:r>
                    <w:rPr>
                      <w:rFonts w:hint="eastAsia"/>
                      <w:szCs w:val="21"/>
                    </w:rPr>
                    <w:t>WC67Y-600/6200</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液压机</w:t>
                  </w:r>
                </w:p>
              </w:tc>
              <w:tc>
                <w:tcPr>
                  <w:tcW w:w="3271" w:type="dxa"/>
                  <w:vAlign w:val="center"/>
                </w:tcPr>
                <w:p>
                  <w:pPr>
                    <w:spacing w:line="320" w:lineRule="exact"/>
                    <w:jc w:val="center"/>
                    <w:rPr>
                      <w:szCs w:val="21"/>
                    </w:rPr>
                  </w:pPr>
                  <w:r>
                    <w:rPr>
                      <w:rFonts w:hint="eastAsia"/>
                      <w:szCs w:val="21"/>
                    </w:rPr>
                    <w:t>YA1-40T</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液压机</w:t>
                  </w:r>
                </w:p>
              </w:tc>
              <w:tc>
                <w:tcPr>
                  <w:tcW w:w="3271" w:type="dxa"/>
                  <w:vAlign w:val="center"/>
                </w:tcPr>
                <w:p>
                  <w:pPr>
                    <w:spacing w:line="320" w:lineRule="exact"/>
                    <w:jc w:val="center"/>
                    <w:rPr>
                      <w:szCs w:val="21"/>
                    </w:rPr>
                  </w:pPr>
                  <w:r>
                    <w:rPr>
                      <w:rFonts w:hint="eastAsia"/>
                      <w:szCs w:val="21"/>
                    </w:rPr>
                    <w:t>YA-100T</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单柱液压机</w:t>
                  </w:r>
                </w:p>
              </w:tc>
              <w:tc>
                <w:tcPr>
                  <w:tcW w:w="3271" w:type="dxa"/>
                  <w:vAlign w:val="center"/>
                </w:tcPr>
                <w:p>
                  <w:pPr>
                    <w:spacing w:line="320" w:lineRule="exact"/>
                    <w:jc w:val="center"/>
                    <w:rPr>
                      <w:szCs w:val="21"/>
                    </w:rPr>
                  </w:pPr>
                  <w:r>
                    <w:rPr>
                      <w:rFonts w:hint="eastAsia"/>
                      <w:szCs w:val="21"/>
                    </w:rPr>
                    <w:t>0112-100</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16" w:type="dxa"/>
                  <w:vAlign w:val="center"/>
                </w:tcPr>
                <w:p>
                  <w:pPr>
                    <w:spacing w:line="320" w:lineRule="exact"/>
                    <w:jc w:val="center"/>
                    <w:rPr>
                      <w:szCs w:val="21"/>
                    </w:rPr>
                  </w:pPr>
                  <w:r>
                    <w:rPr>
                      <w:rFonts w:hint="eastAsia"/>
                      <w:szCs w:val="21"/>
                    </w:rPr>
                    <w:t>油压机</w:t>
                  </w:r>
                </w:p>
              </w:tc>
              <w:tc>
                <w:tcPr>
                  <w:tcW w:w="3271" w:type="dxa"/>
                  <w:vAlign w:val="center"/>
                </w:tcPr>
                <w:p>
                  <w:pPr>
                    <w:spacing w:line="320" w:lineRule="exact"/>
                    <w:jc w:val="center"/>
                    <w:rPr>
                      <w:szCs w:val="21"/>
                    </w:rPr>
                  </w:pPr>
                  <w:r>
                    <w:rPr>
                      <w:rFonts w:hint="eastAsia"/>
                      <w:szCs w:val="21"/>
                    </w:rPr>
                    <w:t>YDK-300</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液压剪板机</w:t>
                  </w:r>
                </w:p>
              </w:tc>
              <w:tc>
                <w:tcPr>
                  <w:tcW w:w="3271" w:type="dxa"/>
                  <w:vAlign w:val="center"/>
                </w:tcPr>
                <w:p>
                  <w:pPr>
                    <w:spacing w:line="320" w:lineRule="exact"/>
                    <w:jc w:val="center"/>
                    <w:rPr>
                      <w:szCs w:val="21"/>
                    </w:rPr>
                  </w:pPr>
                  <w:r>
                    <w:rPr>
                      <w:rFonts w:hint="eastAsia"/>
                      <w:szCs w:val="21"/>
                    </w:rPr>
                    <w:t>QC11Y-20X4000</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二保焊机</w:t>
                  </w:r>
                </w:p>
              </w:tc>
              <w:tc>
                <w:tcPr>
                  <w:tcW w:w="3271" w:type="dxa"/>
                  <w:vAlign w:val="center"/>
                </w:tcPr>
                <w:p>
                  <w:pPr>
                    <w:spacing w:line="320" w:lineRule="exact"/>
                    <w:jc w:val="center"/>
                    <w:rPr>
                      <w:szCs w:val="21"/>
                    </w:rPr>
                  </w:pPr>
                  <w:r>
                    <w:rPr>
                      <w:rFonts w:hint="eastAsia"/>
                      <w:szCs w:val="21"/>
                    </w:rPr>
                    <w:t>NB(c)-500</w:t>
                  </w:r>
                </w:p>
              </w:tc>
              <w:tc>
                <w:tcPr>
                  <w:tcW w:w="1190" w:type="dxa"/>
                  <w:vAlign w:val="center"/>
                </w:tcPr>
                <w:p>
                  <w:pPr>
                    <w:spacing w:line="320" w:lineRule="exact"/>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自动龙门焊</w:t>
                  </w:r>
                </w:p>
              </w:tc>
              <w:tc>
                <w:tcPr>
                  <w:tcW w:w="3271" w:type="dxa"/>
                  <w:vAlign w:val="center"/>
                </w:tcPr>
                <w:p>
                  <w:pPr>
                    <w:spacing w:line="320" w:lineRule="exact"/>
                    <w:jc w:val="center"/>
                    <w:rPr>
                      <w:szCs w:val="21"/>
                    </w:rPr>
                  </w:pPr>
                  <w:r>
                    <w:rPr>
                      <w:rFonts w:hint="eastAsia"/>
                      <w:szCs w:val="21"/>
                    </w:rPr>
                    <w:t>自造</w:t>
                  </w:r>
                </w:p>
              </w:tc>
              <w:tc>
                <w:tcPr>
                  <w:tcW w:w="1190" w:type="dxa"/>
                  <w:vAlign w:val="center"/>
                </w:tcPr>
                <w:p>
                  <w:pPr>
                    <w:spacing w:line="320" w:lineRule="exact"/>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16" w:type="dxa"/>
                  <w:vAlign w:val="center"/>
                </w:tcPr>
                <w:p>
                  <w:pPr>
                    <w:spacing w:line="320" w:lineRule="exact"/>
                    <w:jc w:val="center"/>
                    <w:rPr>
                      <w:szCs w:val="21"/>
                    </w:rPr>
                  </w:pPr>
                  <w:r>
                    <w:rPr>
                      <w:rFonts w:hint="eastAsia"/>
                      <w:szCs w:val="21"/>
                    </w:rPr>
                    <w:t>油缸焊接机</w:t>
                  </w:r>
                </w:p>
              </w:tc>
              <w:tc>
                <w:tcPr>
                  <w:tcW w:w="3271" w:type="dxa"/>
                  <w:vAlign w:val="center"/>
                </w:tcPr>
                <w:p>
                  <w:pPr>
                    <w:spacing w:line="320" w:lineRule="exact"/>
                    <w:jc w:val="center"/>
                    <w:rPr>
                      <w:szCs w:val="21"/>
                    </w:rPr>
                  </w:pPr>
                  <w:r>
                    <w:rPr>
                      <w:rFonts w:hint="eastAsia"/>
                      <w:szCs w:val="21"/>
                    </w:rPr>
                    <w:t>NZC3-500H</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油嘴焊接</w:t>
                  </w:r>
                </w:p>
              </w:tc>
              <w:tc>
                <w:tcPr>
                  <w:tcW w:w="3271" w:type="dxa"/>
                  <w:vAlign w:val="center"/>
                </w:tcPr>
                <w:p>
                  <w:pPr>
                    <w:spacing w:line="320" w:lineRule="exact"/>
                    <w:jc w:val="center"/>
                    <w:rPr>
                      <w:szCs w:val="21"/>
                    </w:rPr>
                  </w:pPr>
                  <w:r>
                    <w:rPr>
                      <w:rFonts w:hint="eastAsia"/>
                      <w:szCs w:val="21"/>
                    </w:rPr>
                    <w:t>NZC3-350</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热循环干燥箱</w:t>
                  </w:r>
                </w:p>
              </w:tc>
              <w:tc>
                <w:tcPr>
                  <w:tcW w:w="3271" w:type="dxa"/>
                  <w:vAlign w:val="center"/>
                </w:tcPr>
                <w:p>
                  <w:pPr>
                    <w:spacing w:line="320" w:lineRule="exact"/>
                    <w:jc w:val="center"/>
                    <w:rPr>
                      <w:szCs w:val="21"/>
                    </w:rPr>
                  </w:pPr>
                  <w:r>
                    <w:rPr>
                      <w:rFonts w:hint="eastAsia"/>
                      <w:szCs w:val="21"/>
                    </w:rPr>
                    <w:t>YB81-TG</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恒温干燥箱</w:t>
                  </w:r>
                </w:p>
              </w:tc>
              <w:tc>
                <w:tcPr>
                  <w:tcW w:w="3271" w:type="dxa"/>
                  <w:vAlign w:val="center"/>
                </w:tcPr>
                <w:p>
                  <w:pPr>
                    <w:spacing w:line="320" w:lineRule="exact"/>
                    <w:jc w:val="center"/>
                    <w:rPr>
                      <w:szCs w:val="21"/>
                    </w:rPr>
                  </w:pPr>
                  <w:r>
                    <w:rPr>
                      <w:rFonts w:hint="eastAsia"/>
                      <w:szCs w:val="21"/>
                    </w:rPr>
                    <w:t>DGW-3T</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16" w:type="dxa"/>
                  <w:vAlign w:val="center"/>
                </w:tcPr>
                <w:p>
                  <w:pPr>
                    <w:spacing w:line="320" w:lineRule="exact"/>
                    <w:jc w:val="center"/>
                    <w:rPr>
                      <w:szCs w:val="21"/>
                    </w:rPr>
                  </w:pPr>
                  <w:r>
                    <w:rPr>
                      <w:rFonts w:hint="eastAsia"/>
                      <w:szCs w:val="21"/>
                    </w:rPr>
                    <w:t>管螺纹</w:t>
                  </w:r>
                </w:p>
              </w:tc>
              <w:tc>
                <w:tcPr>
                  <w:tcW w:w="3271" w:type="dxa"/>
                  <w:vAlign w:val="center"/>
                </w:tcPr>
                <w:p>
                  <w:pPr>
                    <w:spacing w:line="320" w:lineRule="exact"/>
                    <w:jc w:val="center"/>
                    <w:rPr>
                      <w:szCs w:val="21"/>
                    </w:rPr>
                  </w:pPr>
                  <w:r>
                    <w:rPr>
                      <w:rFonts w:hint="eastAsia"/>
                      <w:szCs w:val="21"/>
                    </w:rPr>
                    <w:t>S1-343B</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数控机床</w:t>
                  </w:r>
                </w:p>
              </w:tc>
              <w:tc>
                <w:tcPr>
                  <w:tcW w:w="3271" w:type="dxa"/>
                  <w:vAlign w:val="center"/>
                </w:tcPr>
                <w:p>
                  <w:pPr>
                    <w:spacing w:line="320" w:lineRule="exact"/>
                    <w:jc w:val="center"/>
                    <w:rPr>
                      <w:szCs w:val="21"/>
                    </w:rPr>
                  </w:pPr>
                  <w:r>
                    <w:rPr>
                      <w:rFonts w:hint="eastAsia"/>
                      <w:szCs w:val="21"/>
                    </w:rPr>
                    <w:t>CAK5085</w:t>
                  </w:r>
                </w:p>
              </w:tc>
              <w:tc>
                <w:tcPr>
                  <w:tcW w:w="1190" w:type="dxa"/>
                  <w:vAlign w:val="center"/>
                </w:tcPr>
                <w:p>
                  <w:pPr>
                    <w:spacing w:line="320" w:lineRule="exact"/>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数控机床</w:t>
                  </w:r>
                </w:p>
              </w:tc>
              <w:tc>
                <w:tcPr>
                  <w:tcW w:w="3271" w:type="dxa"/>
                  <w:vAlign w:val="center"/>
                </w:tcPr>
                <w:p>
                  <w:pPr>
                    <w:spacing w:line="320" w:lineRule="exact"/>
                    <w:jc w:val="center"/>
                    <w:rPr>
                      <w:szCs w:val="21"/>
                    </w:rPr>
                  </w:pPr>
                  <w:r>
                    <w:rPr>
                      <w:rFonts w:hint="eastAsia"/>
                      <w:szCs w:val="21"/>
                    </w:rPr>
                    <w:t>CAK6150D</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数控机床</w:t>
                  </w:r>
                </w:p>
              </w:tc>
              <w:tc>
                <w:tcPr>
                  <w:tcW w:w="3271" w:type="dxa"/>
                  <w:vAlign w:val="center"/>
                </w:tcPr>
                <w:p>
                  <w:pPr>
                    <w:spacing w:line="320" w:lineRule="exact"/>
                    <w:jc w:val="center"/>
                    <w:rPr>
                      <w:szCs w:val="21"/>
                    </w:rPr>
                  </w:pPr>
                  <w:r>
                    <w:rPr>
                      <w:rFonts w:hint="eastAsia"/>
                      <w:szCs w:val="21"/>
                    </w:rPr>
                    <w:t>CY-500</w:t>
                  </w:r>
                </w:p>
              </w:tc>
              <w:tc>
                <w:tcPr>
                  <w:tcW w:w="1190" w:type="dxa"/>
                  <w:vAlign w:val="center"/>
                </w:tcPr>
                <w:p>
                  <w:pPr>
                    <w:spacing w:line="320" w:lineRule="exact"/>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16" w:type="dxa"/>
                  <w:vAlign w:val="center"/>
                </w:tcPr>
                <w:p>
                  <w:pPr>
                    <w:spacing w:line="320" w:lineRule="exact"/>
                    <w:jc w:val="center"/>
                    <w:rPr>
                      <w:szCs w:val="21"/>
                    </w:rPr>
                  </w:pPr>
                  <w:r>
                    <w:rPr>
                      <w:rFonts w:hint="eastAsia"/>
                      <w:szCs w:val="21"/>
                    </w:rPr>
                    <w:t>数控机床</w:t>
                  </w:r>
                </w:p>
              </w:tc>
              <w:tc>
                <w:tcPr>
                  <w:tcW w:w="3271" w:type="dxa"/>
                  <w:vAlign w:val="center"/>
                </w:tcPr>
                <w:p>
                  <w:pPr>
                    <w:spacing w:line="320" w:lineRule="exact"/>
                    <w:jc w:val="center"/>
                    <w:rPr>
                      <w:szCs w:val="21"/>
                    </w:rPr>
                  </w:pPr>
                  <w:r>
                    <w:rPr>
                      <w:rFonts w:hint="eastAsia"/>
                      <w:szCs w:val="21"/>
                    </w:rPr>
                    <w:t>CDE6140A</w:t>
                  </w:r>
                </w:p>
              </w:tc>
              <w:tc>
                <w:tcPr>
                  <w:tcW w:w="1190" w:type="dxa"/>
                  <w:vAlign w:val="center"/>
                </w:tcPr>
                <w:p>
                  <w:pPr>
                    <w:spacing w:line="320" w:lineRule="exact"/>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数控机床</w:t>
                  </w:r>
                </w:p>
              </w:tc>
              <w:tc>
                <w:tcPr>
                  <w:tcW w:w="3271" w:type="dxa"/>
                  <w:vAlign w:val="center"/>
                </w:tcPr>
                <w:p>
                  <w:pPr>
                    <w:spacing w:line="320" w:lineRule="exact"/>
                    <w:jc w:val="center"/>
                    <w:rPr>
                      <w:szCs w:val="21"/>
                    </w:rPr>
                  </w:pPr>
                  <w:r>
                    <w:rPr>
                      <w:rFonts w:hint="eastAsia"/>
                      <w:szCs w:val="21"/>
                    </w:rPr>
                    <w:t>CFK6163B</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数控机床</w:t>
                  </w:r>
                </w:p>
              </w:tc>
              <w:tc>
                <w:tcPr>
                  <w:tcW w:w="3271" w:type="dxa"/>
                  <w:vAlign w:val="center"/>
                </w:tcPr>
                <w:p>
                  <w:pPr>
                    <w:spacing w:line="320" w:lineRule="exact"/>
                    <w:jc w:val="center"/>
                    <w:rPr>
                      <w:szCs w:val="21"/>
                    </w:rPr>
                  </w:pPr>
                  <w:r>
                    <w:rPr>
                      <w:rFonts w:hint="eastAsia"/>
                      <w:szCs w:val="21"/>
                    </w:rPr>
                    <w:t>CKNC-40T</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数控车床</w:t>
                  </w:r>
                </w:p>
              </w:tc>
              <w:tc>
                <w:tcPr>
                  <w:tcW w:w="3271" w:type="dxa"/>
                  <w:vAlign w:val="center"/>
                </w:tcPr>
                <w:p>
                  <w:pPr>
                    <w:spacing w:line="320" w:lineRule="exact"/>
                    <w:jc w:val="center"/>
                    <w:rPr>
                      <w:szCs w:val="21"/>
                    </w:rPr>
                  </w:pPr>
                  <w:r>
                    <w:rPr>
                      <w:rFonts w:hint="eastAsia"/>
                      <w:szCs w:val="21"/>
                    </w:rPr>
                    <w:t>CA6140A</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16" w:type="dxa"/>
                  <w:vAlign w:val="center"/>
                </w:tcPr>
                <w:p>
                  <w:pPr>
                    <w:spacing w:line="320" w:lineRule="exact"/>
                    <w:jc w:val="center"/>
                    <w:rPr>
                      <w:szCs w:val="21"/>
                    </w:rPr>
                  </w:pPr>
                  <w:r>
                    <w:rPr>
                      <w:rFonts w:hint="eastAsia"/>
                      <w:szCs w:val="21"/>
                    </w:rPr>
                    <w:t>数控加工中心</w:t>
                  </w:r>
                </w:p>
              </w:tc>
              <w:tc>
                <w:tcPr>
                  <w:tcW w:w="3271" w:type="dxa"/>
                  <w:vAlign w:val="center"/>
                </w:tcPr>
                <w:p>
                  <w:pPr>
                    <w:spacing w:line="320" w:lineRule="exact"/>
                    <w:jc w:val="center"/>
                    <w:rPr>
                      <w:szCs w:val="21"/>
                    </w:rPr>
                  </w:pPr>
                  <w:r>
                    <w:rPr>
                      <w:rFonts w:hint="eastAsia"/>
                      <w:szCs w:val="21"/>
                    </w:rPr>
                    <w:t>F10MYNX500</w:t>
                  </w:r>
                </w:p>
              </w:tc>
              <w:tc>
                <w:tcPr>
                  <w:tcW w:w="1190" w:type="dxa"/>
                  <w:vAlign w:val="center"/>
                </w:tcPr>
                <w:p>
                  <w:pPr>
                    <w:spacing w:line="320" w:lineRule="exact"/>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数控加工中心</w:t>
                  </w:r>
                </w:p>
              </w:tc>
              <w:tc>
                <w:tcPr>
                  <w:tcW w:w="3271" w:type="dxa"/>
                  <w:vAlign w:val="center"/>
                </w:tcPr>
                <w:p>
                  <w:pPr>
                    <w:spacing w:line="320" w:lineRule="exact"/>
                    <w:jc w:val="center"/>
                    <w:rPr>
                      <w:szCs w:val="21"/>
                    </w:rPr>
                  </w:pPr>
                  <w:r>
                    <w:rPr>
                      <w:rFonts w:hint="eastAsia"/>
                      <w:szCs w:val="21"/>
                    </w:rPr>
                    <w:t>KY-1000MC</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数控卧式车床</w:t>
                  </w:r>
                </w:p>
              </w:tc>
              <w:tc>
                <w:tcPr>
                  <w:tcW w:w="3271" w:type="dxa"/>
                  <w:vAlign w:val="center"/>
                </w:tcPr>
                <w:p>
                  <w:pPr>
                    <w:spacing w:line="320" w:lineRule="exact"/>
                    <w:jc w:val="center"/>
                    <w:rPr>
                      <w:szCs w:val="21"/>
                    </w:rPr>
                  </w:pPr>
                  <w:r>
                    <w:rPr>
                      <w:rFonts w:hint="eastAsia"/>
                      <w:szCs w:val="21"/>
                    </w:rPr>
                    <w:t>W802</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数控车床</w:t>
                  </w:r>
                </w:p>
              </w:tc>
              <w:tc>
                <w:tcPr>
                  <w:tcW w:w="3271" w:type="dxa"/>
                  <w:vAlign w:val="center"/>
                </w:tcPr>
                <w:p>
                  <w:pPr>
                    <w:spacing w:line="320" w:lineRule="exact"/>
                    <w:jc w:val="center"/>
                    <w:rPr>
                      <w:szCs w:val="21"/>
                    </w:rPr>
                  </w:pPr>
                  <w:r>
                    <w:rPr>
                      <w:rFonts w:hint="eastAsia"/>
                      <w:szCs w:val="21"/>
                    </w:rPr>
                    <w:t>CAK5013BJ</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16" w:type="dxa"/>
                  <w:vAlign w:val="center"/>
                </w:tcPr>
                <w:p>
                  <w:pPr>
                    <w:spacing w:line="320" w:lineRule="exact"/>
                    <w:jc w:val="center"/>
                    <w:rPr>
                      <w:szCs w:val="21"/>
                    </w:rPr>
                  </w:pPr>
                  <w:r>
                    <w:rPr>
                      <w:rFonts w:hint="eastAsia"/>
                      <w:szCs w:val="21"/>
                    </w:rPr>
                    <w:t>数控机床</w:t>
                  </w:r>
                </w:p>
              </w:tc>
              <w:tc>
                <w:tcPr>
                  <w:tcW w:w="3271" w:type="dxa"/>
                  <w:vAlign w:val="center"/>
                </w:tcPr>
                <w:p>
                  <w:pPr>
                    <w:spacing w:line="320" w:lineRule="exact"/>
                    <w:jc w:val="center"/>
                    <w:rPr>
                      <w:szCs w:val="21"/>
                    </w:rPr>
                  </w:pPr>
                  <w:r>
                    <w:rPr>
                      <w:rFonts w:hint="eastAsia"/>
                      <w:szCs w:val="21"/>
                    </w:rPr>
                    <w:t>CY-K6150</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普车</w:t>
                  </w:r>
                </w:p>
              </w:tc>
              <w:tc>
                <w:tcPr>
                  <w:tcW w:w="3271" w:type="dxa"/>
                  <w:vAlign w:val="center"/>
                </w:tcPr>
                <w:p>
                  <w:pPr>
                    <w:spacing w:line="320" w:lineRule="exact"/>
                    <w:jc w:val="center"/>
                    <w:rPr>
                      <w:szCs w:val="21"/>
                    </w:rPr>
                  </w:pPr>
                  <w:r>
                    <w:rPr>
                      <w:rFonts w:hint="eastAsia"/>
                      <w:szCs w:val="21"/>
                    </w:rPr>
                    <w:t>CW6180/6280</w:t>
                  </w:r>
                </w:p>
              </w:tc>
              <w:tc>
                <w:tcPr>
                  <w:tcW w:w="1190" w:type="dxa"/>
                  <w:vAlign w:val="center"/>
                </w:tcPr>
                <w:p>
                  <w:pPr>
                    <w:spacing w:line="320" w:lineRule="exact"/>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普车</w:t>
                  </w:r>
                </w:p>
              </w:tc>
              <w:tc>
                <w:tcPr>
                  <w:tcW w:w="3271" w:type="dxa"/>
                  <w:vAlign w:val="center"/>
                </w:tcPr>
                <w:p>
                  <w:pPr>
                    <w:spacing w:line="320" w:lineRule="exact"/>
                    <w:jc w:val="center"/>
                    <w:rPr>
                      <w:szCs w:val="21"/>
                    </w:rPr>
                  </w:pPr>
                  <w:r>
                    <w:rPr>
                      <w:rFonts w:hint="eastAsia"/>
                      <w:szCs w:val="21"/>
                    </w:rPr>
                    <w:t>CW6163</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电火花数控线切割机床</w:t>
                  </w:r>
                </w:p>
              </w:tc>
              <w:tc>
                <w:tcPr>
                  <w:tcW w:w="3271" w:type="dxa"/>
                  <w:vAlign w:val="center"/>
                </w:tcPr>
                <w:p>
                  <w:pPr>
                    <w:spacing w:line="320" w:lineRule="exact"/>
                    <w:jc w:val="center"/>
                    <w:rPr>
                      <w:szCs w:val="21"/>
                    </w:rPr>
                  </w:pPr>
                  <w:r>
                    <w:rPr>
                      <w:rFonts w:hint="eastAsia"/>
                      <w:szCs w:val="21"/>
                    </w:rPr>
                    <w:t>DK7750锥度</w:t>
                  </w:r>
                </w:p>
              </w:tc>
              <w:tc>
                <w:tcPr>
                  <w:tcW w:w="1190" w:type="dxa"/>
                  <w:vAlign w:val="center"/>
                </w:tcPr>
                <w:p>
                  <w:pPr>
                    <w:spacing w:line="320" w:lineRule="exact"/>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16" w:type="dxa"/>
                  <w:vAlign w:val="center"/>
                </w:tcPr>
                <w:p>
                  <w:pPr>
                    <w:spacing w:line="320" w:lineRule="exact"/>
                    <w:jc w:val="center"/>
                    <w:rPr>
                      <w:szCs w:val="21"/>
                    </w:rPr>
                  </w:pPr>
                  <w:r>
                    <w:rPr>
                      <w:rFonts w:hint="eastAsia"/>
                      <w:szCs w:val="21"/>
                    </w:rPr>
                    <w:t>半臂吊</w:t>
                  </w:r>
                </w:p>
              </w:tc>
              <w:tc>
                <w:tcPr>
                  <w:tcW w:w="3271" w:type="dxa"/>
                  <w:vAlign w:val="center"/>
                </w:tcPr>
                <w:p>
                  <w:pPr>
                    <w:spacing w:line="320" w:lineRule="exact"/>
                    <w:jc w:val="center"/>
                    <w:rPr>
                      <w:szCs w:val="21"/>
                    </w:rPr>
                  </w:pPr>
                  <w:r>
                    <w:rPr>
                      <w:rFonts w:hint="eastAsia"/>
                      <w:szCs w:val="21"/>
                    </w:rPr>
                    <w:t>PAJ</w:t>
                  </w:r>
                </w:p>
              </w:tc>
              <w:tc>
                <w:tcPr>
                  <w:tcW w:w="1190" w:type="dxa"/>
                  <w:vAlign w:val="center"/>
                </w:tcPr>
                <w:p>
                  <w:pPr>
                    <w:spacing w:line="320" w:lineRule="exact"/>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镗膜机床</w:t>
                  </w:r>
                </w:p>
              </w:tc>
              <w:tc>
                <w:tcPr>
                  <w:tcW w:w="3271" w:type="dxa"/>
                  <w:vAlign w:val="center"/>
                </w:tcPr>
                <w:p>
                  <w:pPr>
                    <w:spacing w:line="320" w:lineRule="exact"/>
                    <w:jc w:val="center"/>
                    <w:rPr>
                      <w:szCs w:val="21"/>
                    </w:rPr>
                  </w:pPr>
                  <w:r>
                    <w:rPr>
                      <w:rFonts w:hint="eastAsia"/>
                      <w:szCs w:val="21"/>
                    </w:rPr>
                    <w:t>C6136A</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镗膜机床</w:t>
                  </w:r>
                </w:p>
              </w:tc>
              <w:tc>
                <w:tcPr>
                  <w:tcW w:w="3271" w:type="dxa"/>
                  <w:vAlign w:val="center"/>
                </w:tcPr>
                <w:p>
                  <w:pPr>
                    <w:spacing w:line="320" w:lineRule="exact"/>
                    <w:jc w:val="center"/>
                    <w:rPr>
                      <w:szCs w:val="21"/>
                    </w:rPr>
                  </w:pPr>
                  <w:r>
                    <w:rPr>
                      <w:rFonts w:hint="eastAsia"/>
                      <w:szCs w:val="21"/>
                    </w:rPr>
                    <w:t>GTG2120</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卧式镗床</w:t>
                  </w:r>
                </w:p>
              </w:tc>
              <w:tc>
                <w:tcPr>
                  <w:tcW w:w="3271" w:type="dxa"/>
                  <w:vAlign w:val="center"/>
                </w:tcPr>
                <w:p>
                  <w:pPr>
                    <w:spacing w:line="320" w:lineRule="exact"/>
                    <w:jc w:val="center"/>
                    <w:rPr>
                      <w:szCs w:val="21"/>
                    </w:rPr>
                  </w:pPr>
                  <w:r>
                    <w:rPr>
                      <w:rFonts w:hint="eastAsia"/>
                      <w:szCs w:val="21"/>
                    </w:rPr>
                    <w:t>PX611B/3</w:t>
                  </w:r>
                </w:p>
              </w:tc>
              <w:tc>
                <w:tcPr>
                  <w:tcW w:w="1190" w:type="dxa"/>
                  <w:vAlign w:val="center"/>
                </w:tcPr>
                <w:p>
                  <w:pPr>
                    <w:spacing w:line="320" w:lineRule="exact"/>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16" w:type="dxa"/>
                  <w:vAlign w:val="center"/>
                </w:tcPr>
                <w:p>
                  <w:pPr>
                    <w:spacing w:line="320" w:lineRule="exact"/>
                    <w:jc w:val="center"/>
                    <w:rPr>
                      <w:szCs w:val="21"/>
                    </w:rPr>
                  </w:pPr>
                  <w:r>
                    <w:rPr>
                      <w:rFonts w:hint="eastAsia"/>
                      <w:szCs w:val="21"/>
                    </w:rPr>
                    <w:t>落地镗床</w:t>
                  </w:r>
                </w:p>
              </w:tc>
              <w:tc>
                <w:tcPr>
                  <w:tcW w:w="3271" w:type="dxa"/>
                  <w:vAlign w:val="center"/>
                </w:tcPr>
                <w:p>
                  <w:pPr>
                    <w:spacing w:line="320" w:lineRule="exact"/>
                    <w:jc w:val="center"/>
                    <w:rPr>
                      <w:szCs w:val="21"/>
                    </w:rPr>
                  </w:pPr>
                  <w:r>
                    <w:rPr>
                      <w:rFonts w:hint="eastAsia"/>
                      <w:szCs w:val="21"/>
                    </w:rPr>
                    <w:t>2B660</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滚齿机</w:t>
                  </w:r>
                </w:p>
              </w:tc>
              <w:tc>
                <w:tcPr>
                  <w:tcW w:w="3271" w:type="dxa"/>
                  <w:vAlign w:val="center"/>
                </w:tcPr>
                <w:p>
                  <w:pPr>
                    <w:spacing w:line="320" w:lineRule="exact"/>
                    <w:jc w:val="center"/>
                    <w:rPr>
                      <w:szCs w:val="21"/>
                    </w:rPr>
                  </w:pPr>
                  <w:r>
                    <w:rPr>
                      <w:rFonts w:hint="eastAsia"/>
                      <w:szCs w:val="21"/>
                    </w:rPr>
                    <w:t>Y31160H</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数控插齿机</w:t>
                  </w:r>
                </w:p>
              </w:tc>
              <w:tc>
                <w:tcPr>
                  <w:tcW w:w="3271" w:type="dxa"/>
                  <w:vAlign w:val="center"/>
                </w:tcPr>
                <w:p>
                  <w:pPr>
                    <w:spacing w:line="320" w:lineRule="exact"/>
                    <w:jc w:val="center"/>
                    <w:rPr>
                      <w:szCs w:val="21"/>
                    </w:rPr>
                  </w:pPr>
                  <w:r>
                    <w:rPr>
                      <w:rFonts w:hint="eastAsia"/>
                      <w:szCs w:val="21"/>
                    </w:rPr>
                    <w:t>YK51250CX3</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插床</w:t>
                  </w:r>
                </w:p>
              </w:tc>
              <w:tc>
                <w:tcPr>
                  <w:tcW w:w="3271" w:type="dxa"/>
                  <w:vAlign w:val="center"/>
                </w:tcPr>
                <w:p>
                  <w:pPr>
                    <w:spacing w:line="320" w:lineRule="exact"/>
                    <w:jc w:val="center"/>
                    <w:rPr>
                      <w:szCs w:val="21"/>
                    </w:rPr>
                  </w:pPr>
                  <w:r>
                    <w:rPr>
                      <w:rFonts w:hint="eastAsia"/>
                      <w:szCs w:val="21"/>
                    </w:rPr>
                    <w:t>B5032</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16" w:type="dxa"/>
                  <w:vAlign w:val="center"/>
                </w:tcPr>
                <w:p>
                  <w:pPr>
                    <w:spacing w:line="320" w:lineRule="exact"/>
                    <w:jc w:val="center"/>
                    <w:rPr>
                      <w:szCs w:val="21"/>
                    </w:rPr>
                  </w:pPr>
                  <w:r>
                    <w:rPr>
                      <w:rFonts w:hint="eastAsia"/>
                      <w:szCs w:val="21"/>
                    </w:rPr>
                    <w:t>工业电阻炉</w:t>
                  </w:r>
                </w:p>
              </w:tc>
              <w:tc>
                <w:tcPr>
                  <w:tcW w:w="3271" w:type="dxa"/>
                  <w:vAlign w:val="center"/>
                </w:tcPr>
                <w:p>
                  <w:pPr>
                    <w:spacing w:line="320" w:lineRule="exact"/>
                    <w:jc w:val="center"/>
                    <w:rPr>
                      <w:szCs w:val="21"/>
                    </w:rPr>
                  </w:pPr>
                  <w:r>
                    <w:rPr>
                      <w:rFonts w:hint="eastAsia"/>
                      <w:szCs w:val="21"/>
                    </w:rPr>
                    <w:t>RX2-60-9</w:t>
                  </w:r>
                </w:p>
              </w:tc>
              <w:tc>
                <w:tcPr>
                  <w:tcW w:w="1190" w:type="dxa"/>
                  <w:vAlign w:val="center"/>
                </w:tcPr>
                <w:p>
                  <w:pPr>
                    <w:spacing w:line="320" w:lineRule="exact"/>
                    <w:jc w:val="center"/>
                    <w:rPr>
                      <w:szCs w:val="21"/>
                    </w:rPr>
                  </w:pPr>
                  <w:r>
                    <w:rPr>
                      <w:rFonts w:hint="eastAsia"/>
                      <w:szCs w:val="21"/>
                    </w:rPr>
                    <w:t>1</w:t>
                  </w:r>
                </w:p>
              </w:tc>
            </w:tr>
          </w:tbl>
          <w:p>
            <w:pPr>
              <w:spacing w:line="360" w:lineRule="auto"/>
              <w:jc w:val="center"/>
              <w:rPr>
                <w:b/>
                <w:bCs/>
                <w:szCs w:val="21"/>
              </w:rPr>
            </w:pPr>
            <w:r>
              <w:rPr>
                <w:rFonts w:hint="eastAsia"/>
                <w:b/>
                <w:bCs/>
                <w:szCs w:val="21"/>
              </w:rPr>
              <w:t>续表9    技改项目主要设备一览表</w:t>
            </w:r>
          </w:p>
          <w:tbl>
            <w:tblPr>
              <w:tblStyle w:val="32"/>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6"/>
              <w:gridCol w:w="3271"/>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b/>
                      <w:bCs/>
                      <w:szCs w:val="21"/>
                    </w:rPr>
                  </w:pPr>
                  <w:r>
                    <w:rPr>
                      <w:rFonts w:hint="eastAsia"/>
                      <w:b/>
                      <w:bCs/>
                      <w:szCs w:val="21"/>
                    </w:rPr>
                    <w:t>设备名称</w:t>
                  </w:r>
                </w:p>
              </w:tc>
              <w:tc>
                <w:tcPr>
                  <w:tcW w:w="3271" w:type="dxa"/>
                  <w:vAlign w:val="center"/>
                </w:tcPr>
                <w:p>
                  <w:pPr>
                    <w:spacing w:line="320" w:lineRule="exact"/>
                    <w:jc w:val="center"/>
                    <w:rPr>
                      <w:b/>
                      <w:bCs/>
                      <w:szCs w:val="21"/>
                    </w:rPr>
                  </w:pPr>
                  <w:r>
                    <w:rPr>
                      <w:rFonts w:hint="eastAsia"/>
                      <w:b/>
                      <w:bCs/>
                      <w:szCs w:val="21"/>
                    </w:rPr>
                    <w:t>型号</w:t>
                  </w:r>
                </w:p>
              </w:tc>
              <w:tc>
                <w:tcPr>
                  <w:tcW w:w="1190" w:type="dxa"/>
                  <w:vAlign w:val="center"/>
                </w:tcPr>
                <w:p>
                  <w:pPr>
                    <w:spacing w:line="320" w:lineRule="exact"/>
                    <w:jc w:val="center"/>
                    <w:rPr>
                      <w:b/>
                      <w:bCs/>
                      <w:szCs w:val="21"/>
                    </w:rPr>
                  </w:pPr>
                  <w:r>
                    <w:rPr>
                      <w:rFonts w:hint="eastAsia"/>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工业台式炉</w:t>
                  </w:r>
                </w:p>
              </w:tc>
              <w:tc>
                <w:tcPr>
                  <w:tcW w:w="3271" w:type="dxa"/>
                  <w:vAlign w:val="center"/>
                </w:tcPr>
                <w:p>
                  <w:pPr>
                    <w:spacing w:line="320" w:lineRule="exact"/>
                    <w:jc w:val="center"/>
                    <w:rPr>
                      <w:szCs w:val="21"/>
                    </w:rPr>
                  </w:pPr>
                  <w:r>
                    <w:rPr>
                      <w:rFonts w:hint="eastAsia"/>
                      <w:szCs w:val="21"/>
                    </w:rPr>
                    <w:t>R12-350-9</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立钻</w:t>
                  </w:r>
                </w:p>
              </w:tc>
              <w:tc>
                <w:tcPr>
                  <w:tcW w:w="3271" w:type="dxa"/>
                  <w:vAlign w:val="center"/>
                </w:tcPr>
                <w:p>
                  <w:pPr>
                    <w:spacing w:line="320" w:lineRule="exact"/>
                    <w:jc w:val="center"/>
                    <w:rPr>
                      <w:szCs w:val="21"/>
                    </w:rPr>
                  </w:pPr>
                  <w:r>
                    <w:rPr>
                      <w:rFonts w:hint="eastAsia"/>
                      <w:szCs w:val="21"/>
                    </w:rPr>
                    <w:t>Z5Z50A</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16" w:type="dxa"/>
                  <w:vAlign w:val="center"/>
                </w:tcPr>
                <w:p>
                  <w:pPr>
                    <w:spacing w:line="320" w:lineRule="exact"/>
                    <w:jc w:val="center"/>
                    <w:rPr>
                      <w:szCs w:val="21"/>
                    </w:rPr>
                  </w:pPr>
                  <w:r>
                    <w:rPr>
                      <w:rFonts w:hint="eastAsia"/>
                      <w:szCs w:val="21"/>
                    </w:rPr>
                    <w:t>数控钻床</w:t>
                  </w:r>
                </w:p>
              </w:tc>
              <w:tc>
                <w:tcPr>
                  <w:tcW w:w="3271" w:type="dxa"/>
                  <w:vAlign w:val="center"/>
                </w:tcPr>
                <w:p>
                  <w:pPr>
                    <w:spacing w:line="320" w:lineRule="exact"/>
                    <w:jc w:val="center"/>
                    <w:rPr>
                      <w:szCs w:val="21"/>
                    </w:rPr>
                  </w:pPr>
                  <w:r>
                    <w:rPr>
                      <w:rFonts w:hint="eastAsia"/>
                      <w:szCs w:val="21"/>
                    </w:rPr>
                    <w:t>PMZ-2012</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摇臂钻床</w:t>
                  </w:r>
                </w:p>
              </w:tc>
              <w:tc>
                <w:tcPr>
                  <w:tcW w:w="3271" w:type="dxa"/>
                  <w:vAlign w:val="center"/>
                </w:tcPr>
                <w:p>
                  <w:pPr>
                    <w:spacing w:line="320" w:lineRule="exact"/>
                    <w:jc w:val="center"/>
                    <w:rPr>
                      <w:szCs w:val="21"/>
                    </w:rPr>
                  </w:pPr>
                  <w:r>
                    <w:rPr>
                      <w:rFonts w:hint="eastAsia"/>
                      <w:szCs w:val="21"/>
                    </w:rPr>
                    <w:t>Z3050</w:t>
                  </w:r>
                </w:p>
              </w:tc>
              <w:tc>
                <w:tcPr>
                  <w:tcW w:w="1190" w:type="dxa"/>
                  <w:vAlign w:val="center"/>
                </w:tcPr>
                <w:p>
                  <w:pPr>
                    <w:spacing w:line="320" w:lineRule="exact"/>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摇臂钻</w:t>
                  </w:r>
                </w:p>
              </w:tc>
              <w:tc>
                <w:tcPr>
                  <w:tcW w:w="3271" w:type="dxa"/>
                  <w:vAlign w:val="center"/>
                </w:tcPr>
                <w:p>
                  <w:pPr>
                    <w:spacing w:line="320" w:lineRule="exact"/>
                    <w:jc w:val="center"/>
                    <w:rPr>
                      <w:szCs w:val="21"/>
                    </w:rPr>
                  </w:pPr>
                  <w:r>
                    <w:rPr>
                      <w:rFonts w:hint="eastAsia"/>
                      <w:szCs w:val="21"/>
                    </w:rPr>
                    <w:t>Z2032*10/1</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群钻</w:t>
                  </w:r>
                </w:p>
              </w:tc>
              <w:tc>
                <w:tcPr>
                  <w:tcW w:w="3271" w:type="dxa"/>
                  <w:vAlign w:val="center"/>
                </w:tcPr>
                <w:p>
                  <w:pPr>
                    <w:spacing w:line="320" w:lineRule="exact"/>
                    <w:jc w:val="center"/>
                    <w:rPr>
                      <w:szCs w:val="21"/>
                    </w:rPr>
                  </w:pPr>
                  <w:r>
                    <w:rPr>
                      <w:rFonts w:hint="eastAsia"/>
                      <w:szCs w:val="21"/>
                    </w:rPr>
                    <w:t>XF-019</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16" w:type="dxa"/>
                  <w:vAlign w:val="center"/>
                </w:tcPr>
                <w:p>
                  <w:pPr>
                    <w:spacing w:line="320" w:lineRule="exact"/>
                    <w:jc w:val="center"/>
                    <w:rPr>
                      <w:szCs w:val="21"/>
                    </w:rPr>
                  </w:pPr>
                  <w:r>
                    <w:rPr>
                      <w:rFonts w:hint="eastAsia"/>
                      <w:szCs w:val="21"/>
                    </w:rPr>
                    <w:t>卷板机</w:t>
                  </w:r>
                </w:p>
              </w:tc>
              <w:tc>
                <w:tcPr>
                  <w:tcW w:w="3271" w:type="dxa"/>
                  <w:vAlign w:val="center"/>
                </w:tcPr>
                <w:p>
                  <w:pPr>
                    <w:spacing w:line="320" w:lineRule="exact"/>
                    <w:jc w:val="center"/>
                    <w:rPr>
                      <w:szCs w:val="21"/>
                    </w:rPr>
                  </w:pPr>
                  <w:r>
                    <w:rPr>
                      <w:rFonts w:hint="eastAsia"/>
                      <w:szCs w:val="21"/>
                    </w:rPr>
                    <w:t>XF-20A</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龙门铣床</w:t>
                  </w:r>
                </w:p>
              </w:tc>
              <w:tc>
                <w:tcPr>
                  <w:tcW w:w="3271" w:type="dxa"/>
                  <w:vAlign w:val="center"/>
                </w:tcPr>
                <w:p>
                  <w:pPr>
                    <w:spacing w:line="320" w:lineRule="exact"/>
                    <w:jc w:val="center"/>
                    <w:rPr>
                      <w:szCs w:val="21"/>
                    </w:rPr>
                  </w:pPr>
                  <w:r>
                    <w:rPr>
                      <w:rFonts w:hint="eastAsia"/>
                      <w:szCs w:val="21"/>
                    </w:rPr>
                    <w:t>CY-4-2B</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Merge w:val="restart"/>
                  <w:vAlign w:val="center"/>
                </w:tcPr>
                <w:p>
                  <w:pPr>
                    <w:spacing w:line="320" w:lineRule="exact"/>
                    <w:jc w:val="center"/>
                    <w:rPr>
                      <w:szCs w:val="21"/>
                    </w:rPr>
                  </w:pPr>
                  <w:r>
                    <w:rPr>
                      <w:rFonts w:hint="eastAsia"/>
                      <w:szCs w:val="21"/>
                    </w:rPr>
                    <w:t>金属带锯床</w:t>
                  </w:r>
                </w:p>
              </w:tc>
              <w:tc>
                <w:tcPr>
                  <w:tcW w:w="3271" w:type="dxa"/>
                  <w:vAlign w:val="center"/>
                </w:tcPr>
                <w:p>
                  <w:pPr>
                    <w:spacing w:line="320" w:lineRule="exact"/>
                    <w:jc w:val="center"/>
                    <w:rPr>
                      <w:szCs w:val="21"/>
                    </w:rPr>
                  </w:pPr>
                  <w:r>
                    <w:rPr>
                      <w:rFonts w:hint="eastAsia"/>
                      <w:szCs w:val="21"/>
                    </w:rPr>
                    <w:t>GZ4232A</w:t>
                  </w:r>
                </w:p>
              </w:tc>
              <w:tc>
                <w:tcPr>
                  <w:tcW w:w="1190" w:type="dxa"/>
                  <w:vAlign w:val="center"/>
                </w:tcPr>
                <w:p>
                  <w:pPr>
                    <w:spacing w:line="320" w:lineRule="exact"/>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Merge w:val="continue"/>
                  <w:vAlign w:val="center"/>
                </w:tcPr>
                <w:p>
                  <w:pPr>
                    <w:spacing w:line="320" w:lineRule="exact"/>
                    <w:jc w:val="center"/>
                    <w:rPr>
                      <w:szCs w:val="21"/>
                    </w:rPr>
                  </w:pPr>
                </w:p>
              </w:tc>
              <w:tc>
                <w:tcPr>
                  <w:tcW w:w="3271" w:type="dxa"/>
                  <w:vAlign w:val="center"/>
                </w:tcPr>
                <w:p>
                  <w:pPr>
                    <w:spacing w:line="320" w:lineRule="exact"/>
                    <w:jc w:val="center"/>
                    <w:rPr>
                      <w:szCs w:val="21"/>
                    </w:rPr>
                  </w:pPr>
                  <w:r>
                    <w:rPr>
                      <w:rFonts w:hint="eastAsia"/>
                      <w:szCs w:val="21"/>
                    </w:rPr>
                    <w:t>FS4230GNC</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16" w:type="dxa"/>
                  <w:vAlign w:val="center"/>
                </w:tcPr>
                <w:p>
                  <w:pPr>
                    <w:spacing w:line="320" w:lineRule="exact"/>
                    <w:jc w:val="center"/>
                    <w:rPr>
                      <w:szCs w:val="21"/>
                    </w:rPr>
                  </w:pPr>
                  <w:r>
                    <w:rPr>
                      <w:rFonts w:hint="eastAsia"/>
                      <w:szCs w:val="21"/>
                    </w:rPr>
                    <w:t>拉叶片设备</w:t>
                  </w:r>
                </w:p>
              </w:tc>
              <w:tc>
                <w:tcPr>
                  <w:tcW w:w="3271" w:type="dxa"/>
                  <w:vAlign w:val="center"/>
                </w:tcPr>
                <w:p>
                  <w:pPr>
                    <w:spacing w:line="320" w:lineRule="exact"/>
                    <w:jc w:val="center"/>
                    <w:rPr>
                      <w:szCs w:val="21"/>
                    </w:rPr>
                  </w:pPr>
                  <w:r>
                    <w:rPr>
                      <w:rFonts w:hint="eastAsia"/>
                      <w:szCs w:val="21"/>
                    </w:rPr>
                    <w:t>XF-LYP</w:t>
                  </w:r>
                </w:p>
              </w:tc>
              <w:tc>
                <w:tcPr>
                  <w:tcW w:w="1190" w:type="dxa"/>
                  <w:vAlign w:val="center"/>
                </w:tcPr>
                <w:p>
                  <w:pPr>
                    <w:spacing w:line="320" w:lineRule="exact"/>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滚轮式变位机</w:t>
                  </w:r>
                </w:p>
              </w:tc>
              <w:tc>
                <w:tcPr>
                  <w:tcW w:w="3271" w:type="dxa"/>
                  <w:vAlign w:val="center"/>
                </w:tcPr>
                <w:p>
                  <w:pPr>
                    <w:spacing w:line="320" w:lineRule="exact"/>
                    <w:jc w:val="center"/>
                    <w:rPr>
                      <w:szCs w:val="21"/>
                    </w:rPr>
                  </w:pPr>
                </w:p>
              </w:tc>
              <w:tc>
                <w:tcPr>
                  <w:tcW w:w="1190" w:type="dxa"/>
                  <w:vAlign w:val="center"/>
                </w:tcPr>
                <w:p>
                  <w:pPr>
                    <w:spacing w:line="320" w:lineRule="exact"/>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5T天车</w:t>
                  </w:r>
                </w:p>
              </w:tc>
              <w:tc>
                <w:tcPr>
                  <w:tcW w:w="3271" w:type="dxa"/>
                  <w:vAlign w:val="center"/>
                </w:tcPr>
                <w:p>
                  <w:pPr>
                    <w:spacing w:line="320" w:lineRule="exact"/>
                    <w:jc w:val="center"/>
                    <w:rPr>
                      <w:szCs w:val="21"/>
                    </w:rPr>
                  </w:pPr>
                  <w:r>
                    <w:rPr>
                      <w:rFonts w:hint="eastAsia"/>
                      <w:szCs w:val="21"/>
                    </w:rPr>
                    <w:t>5T</w:t>
                  </w:r>
                </w:p>
              </w:tc>
              <w:tc>
                <w:tcPr>
                  <w:tcW w:w="1190" w:type="dxa"/>
                  <w:vAlign w:val="center"/>
                </w:tcPr>
                <w:p>
                  <w:pPr>
                    <w:spacing w:line="320" w:lineRule="exact"/>
                    <w:jc w:val="center"/>
                    <w:rPr>
                      <w:szCs w:val="21"/>
                    </w:rPr>
                  </w:pPr>
                  <w:r>
                    <w:rPr>
                      <w:rFonts w:hint="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vAlign w:val="center"/>
                </w:tcPr>
                <w:p>
                  <w:pPr>
                    <w:spacing w:line="320" w:lineRule="exact"/>
                    <w:jc w:val="center"/>
                    <w:rPr>
                      <w:szCs w:val="21"/>
                    </w:rPr>
                  </w:pPr>
                  <w:r>
                    <w:rPr>
                      <w:rFonts w:hint="eastAsia"/>
                      <w:szCs w:val="21"/>
                    </w:rPr>
                    <w:t>室外5T天车</w:t>
                  </w:r>
                </w:p>
              </w:tc>
              <w:tc>
                <w:tcPr>
                  <w:tcW w:w="3271" w:type="dxa"/>
                  <w:vAlign w:val="center"/>
                </w:tcPr>
                <w:p>
                  <w:pPr>
                    <w:spacing w:line="320" w:lineRule="exact"/>
                    <w:jc w:val="center"/>
                    <w:rPr>
                      <w:szCs w:val="21"/>
                    </w:rPr>
                  </w:pPr>
                  <w:r>
                    <w:rPr>
                      <w:rFonts w:hint="eastAsia"/>
                      <w:szCs w:val="21"/>
                    </w:rPr>
                    <w:t>5T</w:t>
                  </w:r>
                </w:p>
              </w:tc>
              <w:tc>
                <w:tcPr>
                  <w:tcW w:w="1190" w:type="dxa"/>
                  <w:vAlign w:val="center"/>
                </w:tcPr>
                <w:p>
                  <w:pPr>
                    <w:spacing w:line="32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16" w:type="dxa"/>
                  <w:vAlign w:val="center"/>
                </w:tcPr>
                <w:p>
                  <w:pPr>
                    <w:spacing w:line="320" w:lineRule="exact"/>
                    <w:jc w:val="center"/>
                    <w:rPr>
                      <w:szCs w:val="21"/>
                    </w:rPr>
                  </w:pPr>
                  <w:r>
                    <w:rPr>
                      <w:rFonts w:hint="eastAsia"/>
                      <w:szCs w:val="21"/>
                    </w:rPr>
                    <w:t>3T天车</w:t>
                  </w:r>
                </w:p>
              </w:tc>
              <w:tc>
                <w:tcPr>
                  <w:tcW w:w="3271" w:type="dxa"/>
                  <w:vAlign w:val="center"/>
                </w:tcPr>
                <w:p>
                  <w:pPr>
                    <w:spacing w:line="320" w:lineRule="exact"/>
                    <w:jc w:val="center"/>
                    <w:rPr>
                      <w:szCs w:val="21"/>
                    </w:rPr>
                  </w:pPr>
                  <w:r>
                    <w:rPr>
                      <w:rFonts w:hint="eastAsia"/>
                      <w:szCs w:val="21"/>
                    </w:rPr>
                    <w:t>3T</w:t>
                  </w:r>
                </w:p>
              </w:tc>
              <w:tc>
                <w:tcPr>
                  <w:tcW w:w="1190" w:type="dxa"/>
                  <w:vAlign w:val="center"/>
                </w:tcPr>
                <w:p>
                  <w:pPr>
                    <w:spacing w:line="320" w:lineRule="exact"/>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7" w:type="dxa"/>
                  <w:gridSpan w:val="2"/>
                  <w:vAlign w:val="center"/>
                </w:tcPr>
                <w:p>
                  <w:pPr>
                    <w:spacing w:line="320" w:lineRule="exact"/>
                    <w:jc w:val="center"/>
                    <w:rPr>
                      <w:szCs w:val="21"/>
                    </w:rPr>
                  </w:pPr>
                  <w:r>
                    <w:rPr>
                      <w:rFonts w:hint="eastAsia"/>
                      <w:szCs w:val="21"/>
                    </w:rPr>
                    <w:t>合计</w:t>
                  </w:r>
                </w:p>
              </w:tc>
              <w:tc>
                <w:tcPr>
                  <w:tcW w:w="1190" w:type="dxa"/>
                  <w:vAlign w:val="center"/>
                </w:tcPr>
                <w:p>
                  <w:pPr>
                    <w:spacing w:line="320" w:lineRule="exact"/>
                    <w:jc w:val="center"/>
                    <w:rPr>
                      <w:szCs w:val="21"/>
                    </w:rPr>
                  </w:pPr>
                  <w:r>
                    <w:rPr>
                      <w:rFonts w:hint="eastAsia"/>
                      <w:szCs w:val="21"/>
                    </w:rPr>
                    <w:t>89</w:t>
                  </w:r>
                </w:p>
              </w:tc>
            </w:tr>
          </w:tbl>
          <w:p>
            <w:pPr>
              <w:spacing w:line="480" w:lineRule="exact"/>
              <w:ind w:firstLine="420" w:firstLineChars="200"/>
              <w:jc w:val="center"/>
              <w:rPr>
                <w:rFonts w:hint="eastAsia"/>
                <w:b/>
                <w:bCs/>
                <w:color w:val="FF0000"/>
                <w:sz w:val="21"/>
                <w:szCs w:val="21"/>
                <w:lang w:val="en-US" w:eastAsia="zh-CN"/>
              </w:rPr>
            </w:pPr>
            <w:r>
              <w:rPr>
                <w:rFonts w:hint="eastAsia"/>
                <w:b/>
                <w:bCs/>
                <w:color w:val="FF0000"/>
                <w:sz w:val="21"/>
                <w:szCs w:val="21"/>
                <w:lang w:eastAsia="zh-CN"/>
              </w:rPr>
              <w:t>表</w:t>
            </w:r>
            <w:r>
              <w:rPr>
                <w:rFonts w:hint="eastAsia"/>
                <w:b/>
                <w:bCs/>
                <w:color w:val="FF0000"/>
                <w:sz w:val="21"/>
                <w:szCs w:val="21"/>
                <w:lang w:val="en-US" w:eastAsia="zh-CN"/>
              </w:rPr>
              <w:t>10   技改后项目主要生产设备一览表</w:t>
            </w:r>
          </w:p>
          <w:tbl>
            <w:tblPr>
              <w:tblStyle w:val="32"/>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2682"/>
              <w:gridCol w:w="1827"/>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b/>
                      <w:bCs/>
                      <w:color w:val="FF0000"/>
                      <w:sz w:val="21"/>
                      <w:szCs w:val="21"/>
                      <w:vertAlign w:val="baseline"/>
                      <w:lang w:eastAsia="zh-CN"/>
                    </w:rPr>
                  </w:pPr>
                  <w:r>
                    <w:rPr>
                      <w:rFonts w:hint="default" w:ascii="Times New Roman" w:hAnsi="Times New Roman" w:eastAsia="宋体" w:cs="Times New Roman"/>
                      <w:b/>
                      <w:bCs/>
                      <w:color w:val="FF0000"/>
                      <w:sz w:val="21"/>
                      <w:szCs w:val="21"/>
                      <w:vertAlign w:val="baseline"/>
                      <w:lang w:eastAsia="zh-CN"/>
                    </w:rPr>
                    <w:t>设备名称</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b/>
                      <w:bCs/>
                      <w:color w:val="FF0000"/>
                      <w:sz w:val="21"/>
                      <w:szCs w:val="21"/>
                      <w:vertAlign w:val="baseline"/>
                      <w:lang w:eastAsia="zh-CN"/>
                    </w:rPr>
                  </w:pPr>
                  <w:r>
                    <w:rPr>
                      <w:rFonts w:hint="default" w:ascii="Times New Roman" w:hAnsi="Times New Roman" w:eastAsia="宋体" w:cs="Times New Roman"/>
                      <w:b/>
                      <w:bCs/>
                      <w:color w:val="FF0000"/>
                      <w:sz w:val="21"/>
                      <w:szCs w:val="21"/>
                      <w:vertAlign w:val="baseline"/>
                      <w:lang w:eastAsia="zh-CN"/>
                    </w:rPr>
                    <w:t>型号</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b/>
                      <w:bCs/>
                      <w:color w:val="FF0000"/>
                      <w:sz w:val="21"/>
                      <w:szCs w:val="21"/>
                      <w:vertAlign w:val="baseline"/>
                      <w:lang w:eastAsia="zh-CN"/>
                    </w:rPr>
                  </w:pPr>
                  <w:r>
                    <w:rPr>
                      <w:rFonts w:hint="default" w:ascii="Times New Roman" w:hAnsi="Times New Roman" w:eastAsia="宋体" w:cs="Times New Roman"/>
                      <w:b/>
                      <w:bCs/>
                      <w:color w:val="FF0000"/>
                      <w:sz w:val="21"/>
                      <w:szCs w:val="21"/>
                      <w:vertAlign w:val="baseline"/>
                      <w:lang w:eastAsia="zh-CN"/>
                    </w:rPr>
                    <w:t>原有项目数量（台</w:t>
                  </w:r>
                  <w:r>
                    <w:rPr>
                      <w:rFonts w:hint="default" w:ascii="Times New Roman" w:hAnsi="Times New Roman" w:eastAsia="宋体" w:cs="Times New Roman"/>
                      <w:b/>
                      <w:bCs/>
                      <w:color w:val="FF0000"/>
                      <w:sz w:val="21"/>
                      <w:szCs w:val="21"/>
                      <w:vertAlign w:val="baseline"/>
                      <w:lang w:val="en-US" w:eastAsia="zh-CN"/>
                    </w:rPr>
                    <w:t>/套</w:t>
                  </w:r>
                  <w:r>
                    <w:rPr>
                      <w:rFonts w:hint="default" w:ascii="Times New Roman" w:hAnsi="Times New Roman" w:eastAsia="宋体" w:cs="Times New Roman"/>
                      <w:b/>
                      <w:bCs/>
                      <w:color w:val="FF0000"/>
                      <w:sz w:val="21"/>
                      <w:szCs w:val="21"/>
                      <w:vertAlign w:val="baseline"/>
                      <w:lang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b/>
                      <w:bCs/>
                      <w:color w:val="FF0000"/>
                      <w:sz w:val="21"/>
                      <w:szCs w:val="21"/>
                      <w:vertAlign w:val="baseline"/>
                      <w:lang w:eastAsia="zh-CN"/>
                    </w:rPr>
                  </w:pPr>
                  <w:r>
                    <w:rPr>
                      <w:rFonts w:hint="default" w:ascii="Times New Roman" w:hAnsi="Times New Roman" w:eastAsia="宋体" w:cs="Times New Roman"/>
                      <w:b/>
                      <w:bCs/>
                      <w:color w:val="FF0000"/>
                      <w:sz w:val="21"/>
                      <w:szCs w:val="21"/>
                      <w:vertAlign w:val="baseline"/>
                      <w:lang w:eastAsia="zh-CN"/>
                    </w:rPr>
                    <w:t>技改项目（台</w:t>
                  </w:r>
                  <w:r>
                    <w:rPr>
                      <w:rFonts w:hint="default" w:ascii="Times New Roman" w:hAnsi="Times New Roman" w:eastAsia="宋体" w:cs="Times New Roman"/>
                      <w:b/>
                      <w:bCs/>
                      <w:color w:val="FF0000"/>
                      <w:sz w:val="21"/>
                      <w:szCs w:val="21"/>
                      <w:vertAlign w:val="baseline"/>
                      <w:lang w:val="en-US" w:eastAsia="zh-CN"/>
                    </w:rPr>
                    <w:t>/套</w:t>
                  </w:r>
                  <w:r>
                    <w:rPr>
                      <w:rFonts w:hint="default" w:ascii="Times New Roman" w:hAnsi="Times New Roman" w:eastAsia="宋体" w:cs="Times New Roman"/>
                      <w:b/>
                      <w:bCs/>
                      <w:color w:val="FF0000"/>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空气压缩机</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SFF210EZ-A</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SEF-5</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火焰切割机</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2</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等离子切割机</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2</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液压折弯机</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WC67Y-600/6200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液压机</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YA1-40T</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液压机</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YA-100T</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单柱液压机</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0112-100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油压机</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YDK-300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液压剪板机</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QC11Y-20X4000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二保焊机</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NB(c)-500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34</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自动龙门焊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自造</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油缸焊接机</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NZC3-500H</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油嘴焊接</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NZC3-350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热循环干燥箱</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YB81-TG</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恒温干燥箱</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DGW-3T</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管螺纹</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S1-343B</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数控</w:t>
                  </w:r>
                  <w:r>
                    <w:rPr>
                      <w:rFonts w:hint="eastAsia"/>
                      <w:color w:val="FF0000"/>
                      <w:szCs w:val="21"/>
                    </w:rPr>
                    <w:t>机床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CAK5085</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数控</w:t>
                  </w:r>
                  <w:r>
                    <w:rPr>
                      <w:rFonts w:hint="eastAsia"/>
                      <w:color w:val="FF0000"/>
                      <w:szCs w:val="21"/>
                    </w:rPr>
                    <w:t>机床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CAK6150D</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数控</w:t>
                  </w:r>
                  <w:r>
                    <w:rPr>
                      <w:rFonts w:hint="eastAsia"/>
                      <w:color w:val="FF0000"/>
                      <w:szCs w:val="21"/>
                    </w:rPr>
                    <w:t>机床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CY-500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数控</w:t>
                  </w:r>
                  <w:r>
                    <w:rPr>
                      <w:rFonts w:hint="eastAsia"/>
                      <w:color w:val="FF0000"/>
                      <w:szCs w:val="21"/>
                    </w:rPr>
                    <w:t>机床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CDE6140A</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数控机床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CFK6163B</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数控机床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CKNC-40T</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数控车床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CA6140A</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数控加工中心</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F10MYNX500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数控加工中心</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KY-1000MC</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数控卧式车床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W802</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数控车床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CAK5013BJ</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数控机床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CY-K6150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立式车床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CX5126A</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1</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普车</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CW6163</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2</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普车</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CFW6163B</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1</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普车</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CA6140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1</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普车</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CW6180/6280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普车</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CW6163</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电火花数控线切割机床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DK7750锥度</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半臂吊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PAJ</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镗膜机床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C6136A</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镗膜机床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GTG2120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卧式镗床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PX611B/3</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落地镗床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2B660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滚齿机</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Y31160H</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数控插齿机</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YK51250CX3</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插床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B5032</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牛头刨床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3AB0A</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1</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牛头刨床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BY60100C</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1</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工业电阻炉</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RX2-60-9</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工业台式炉</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R12-350-9</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立钻</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Z5Z50A</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数控钻床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PMZ-2012</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摇臂钻床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Z3050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万向摇臂钻</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Z3732X8</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1</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摇臂钻</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Z2032*10/1</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群钻</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XF-019</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卷板机</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XF-20A</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数控铣床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X52K</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1</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普铣床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X5032A</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1</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龙门铣床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CY-4-2B</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侧面铣</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CY-2A</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1</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金属带锯床</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GZ4232A</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FS4230GNC</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G4230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1</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GZ4232</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1</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GZ4265A</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1</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拉叶片设备</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XF-LYP</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滚轮式变位机</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10T天车</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10T</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3</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5T天车</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5T</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eastAsia="zh-CN"/>
                    </w:rPr>
                    <w:t>室外</w:t>
                  </w:r>
                  <w:r>
                    <w:rPr>
                      <w:rFonts w:hint="default" w:ascii="Times New Roman" w:hAnsi="Times New Roman" w:eastAsia="宋体" w:cs="Times New Roman"/>
                      <w:color w:val="FF0000"/>
                      <w:sz w:val="21"/>
                      <w:szCs w:val="21"/>
                      <w:vertAlign w:val="baseline"/>
                      <w:lang w:val="en-US" w:eastAsia="zh-CN"/>
                    </w:rPr>
                    <w:t>5T天车</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5T</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1</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3T天车</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3T</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宋体" w:cs="Times New Roman"/>
                      <w:color w:val="FF0000"/>
                      <w:sz w:val="21"/>
                      <w:szCs w:val="21"/>
                      <w:vertAlign w:val="baseline"/>
                      <w:lang w:eastAsia="zh-CN"/>
                    </w:rPr>
                  </w:pPr>
                  <w:r>
                    <w:rPr>
                      <w:rFonts w:hint="default" w:ascii="Times New Roman" w:hAnsi="Times New Roman" w:eastAsia="宋体" w:cs="Times New Roman"/>
                      <w:color w:val="FF0000"/>
                      <w:sz w:val="21"/>
                      <w:szCs w:val="21"/>
                      <w:vertAlign w:val="baseline"/>
                      <w:lang w:val="en-US" w:eastAsia="zh-CN"/>
                    </w:rPr>
                    <w:t>2</w:t>
                  </w:r>
                </w:p>
              </w:tc>
            </w:tr>
          </w:tbl>
          <w:p>
            <w:pPr>
              <w:spacing w:line="480" w:lineRule="exact"/>
              <w:ind w:firstLine="480" w:firstLineChars="200"/>
              <w:rPr>
                <w:sz w:val="24"/>
              </w:rPr>
            </w:pPr>
            <w:r>
              <w:rPr>
                <w:rFonts w:hint="eastAsia"/>
                <w:sz w:val="24"/>
              </w:rPr>
              <w:t>（10）公用工程</w:t>
            </w:r>
          </w:p>
          <w:p>
            <w:pPr>
              <w:spacing w:line="480" w:lineRule="exact"/>
              <w:ind w:firstLine="480" w:firstLineChars="200"/>
              <w:rPr>
                <w:sz w:val="24"/>
              </w:rPr>
            </w:pPr>
            <w:r>
              <w:rPr>
                <w:rFonts w:hint="eastAsia"/>
                <w:sz w:val="24"/>
              </w:rPr>
              <w:t>①给排水</w:t>
            </w:r>
          </w:p>
          <w:p>
            <w:pPr>
              <w:tabs>
                <w:tab w:val="left" w:pos="3828"/>
              </w:tabs>
              <w:spacing w:line="480" w:lineRule="exact"/>
              <w:ind w:firstLine="480" w:firstLineChars="200"/>
              <w:rPr>
                <w:sz w:val="24"/>
                <w:szCs w:val="24"/>
              </w:rPr>
            </w:pPr>
            <w:r>
              <w:rPr>
                <w:sz w:val="24"/>
                <w:szCs w:val="24"/>
              </w:rPr>
              <w:t>本次技</w:t>
            </w:r>
            <w:r>
              <w:rPr>
                <w:rFonts w:hint="eastAsia"/>
                <w:sz w:val="24"/>
                <w:szCs w:val="24"/>
              </w:rPr>
              <w:t>项目</w:t>
            </w:r>
            <w:r>
              <w:rPr>
                <w:sz w:val="24"/>
                <w:szCs w:val="24"/>
              </w:rPr>
              <w:t>改</w:t>
            </w:r>
            <w:r>
              <w:rPr>
                <w:rFonts w:hint="eastAsia"/>
                <w:sz w:val="24"/>
                <w:szCs w:val="24"/>
              </w:rPr>
              <w:t>不涉及给排水。</w:t>
            </w:r>
          </w:p>
          <w:p>
            <w:pPr>
              <w:tabs>
                <w:tab w:val="left" w:pos="3828"/>
              </w:tabs>
              <w:spacing w:line="480" w:lineRule="exact"/>
              <w:ind w:firstLine="480" w:firstLineChars="200"/>
              <w:rPr>
                <w:sz w:val="24"/>
                <w:szCs w:val="24"/>
              </w:rPr>
            </w:pPr>
            <w:r>
              <w:rPr>
                <w:rFonts w:hint="eastAsia"/>
                <w:sz w:val="24"/>
                <w:szCs w:val="24"/>
              </w:rPr>
              <w:t>②供电</w:t>
            </w:r>
          </w:p>
          <w:p>
            <w:pPr>
              <w:tabs>
                <w:tab w:val="left" w:pos="3828"/>
              </w:tabs>
              <w:spacing w:line="480" w:lineRule="exact"/>
              <w:ind w:firstLine="480" w:firstLineChars="200"/>
              <w:rPr>
                <w:sz w:val="24"/>
                <w:szCs w:val="24"/>
              </w:rPr>
            </w:pPr>
            <w:r>
              <w:rPr>
                <w:sz w:val="24"/>
                <w:szCs w:val="24"/>
              </w:rPr>
              <w:t>供电来源于厂区现有配电设施，技改</w:t>
            </w:r>
            <w:r>
              <w:rPr>
                <w:rFonts w:hint="eastAsia"/>
                <w:sz w:val="24"/>
                <w:szCs w:val="24"/>
              </w:rPr>
              <w:t>项目</w:t>
            </w:r>
            <w:r>
              <w:rPr>
                <w:sz w:val="24"/>
                <w:szCs w:val="24"/>
              </w:rPr>
              <w:t>用电量为</w:t>
            </w:r>
            <w:r>
              <w:rPr>
                <w:rFonts w:hint="eastAsia"/>
                <w:sz w:val="24"/>
                <w:szCs w:val="24"/>
              </w:rPr>
              <w:t>8</w:t>
            </w:r>
            <w:r>
              <w:rPr>
                <w:sz w:val="24"/>
                <w:szCs w:val="24"/>
              </w:rPr>
              <w:t>万kW·h</w:t>
            </w:r>
            <w:r>
              <w:rPr>
                <w:rFonts w:hint="eastAsia"/>
                <w:sz w:val="24"/>
                <w:szCs w:val="24"/>
              </w:rPr>
              <w:t>。</w:t>
            </w:r>
          </w:p>
          <w:p>
            <w:pPr>
              <w:tabs>
                <w:tab w:val="left" w:pos="3828"/>
              </w:tabs>
              <w:spacing w:line="480" w:lineRule="exact"/>
              <w:ind w:firstLine="480" w:firstLineChars="200"/>
              <w:rPr>
                <w:sz w:val="24"/>
                <w:szCs w:val="24"/>
              </w:rPr>
            </w:pPr>
            <w:r>
              <w:rPr>
                <w:rFonts w:hint="eastAsia"/>
                <w:sz w:val="24"/>
                <w:szCs w:val="24"/>
              </w:rPr>
              <w:t>③供热</w:t>
            </w:r>
          </w:p>
          <w:p>
            <w:pPr>
              <w:spacing w:line="480" w:lineRule="exact"/>
              <w:ind w:firstLine="480" w:firstLineChars="200"/>
              <w:rPr>
                <w:sz w:val="24"/>
                <w:szCs w:val="24"/>
              </w:rPr>
            </w:pPr>
            <w:r>
              <w:rPr>
                <w:rFonts w:hint="eastAsia"/>
                <w:sz w:val="24"/>
              </w:rPr>
              <w:t>技改项目不新增用热工序，用热不发生变化</w:t>
            </w:r>
            <w:r>
              <w:rPr>
                <w:rFonts w:hint="eastAsia"/>
                <w:sz w:val="24"/>
                <w:szCs w:val="24"/>
              </w:rPr>
              <w:t>。</w:t>
            </w:r>
          </w:p>
          <w:p>
            <w:pPr>
              <w:spacing w:line="480" w:lineRule="exact"/>
              <w:ind w:firstLine="480" w:firstLineChars="200"/>
              <w:rPr>
                <w:sz w:val="24"/>
              </w:rPr>
            </w:pPr>
            <w:r>
              <w:rPr>
                <w:rFonts w:hint="eastAsia"/>
                <w:sz w:val="24"/>
              </w:rPr>
              <w:t>（9）产业政策</w:t>
            </w:r>
          </w:p>
          <w:p>
            <w:pPr>
              <w:spacing w:line="480" w:lineRule="exact"/>
              <w:ind w:firstLine="480" w:firstLineChars="200"/>
              <w:rPr>
                <w:sz w:val="24"/>
              </w:rPr>
            </w:pPr>
            <w:r>
              <w:rPr>
                <w:rFonts w:hint="eastAsia"/>
                <w:sz w:val="24"/>
              </w:rPr>
              <w:t>本项目为CFG螺旋钻机扩建技术改造项目，</w:t>
            </w:r>
            <w:r>
              <w:rPr>
                <w:rFonts w:hint="eastAsia"/>
                <w:sz w:val="24"/>
                <w:lang w:val="en-GB"/>
              </w:rPr>
              <w:t>根据《产业结构调整指导目录（2011年）（修正）》（中华人民共和国国家发展和改革委员会令第21号）和</w:t>
            </w:r>
            <w:r>
              <w:rPr>
                <w:sz w:val="24"/>
              </w:rPr>
              <w:t>《河北省新增限制和淘汰类产业目录(2015年版)》</w:t>
            </w:r>
            <w:r>
              <w:rPr>
                <w:rFonts w:hint="eastAsia"/>
                <w:sz w:val="24"/>
                <w:lang w:val="en-GB"/>
              </w:rPr>
              <w:t>，本项目不属于鼓励类、限制类和淘汰类项目，属于允许类建设项目；且不在河北省人民政府文件冀政[2009]89号文《关于河北省区域禁（限）批建设项目的实施意见（试行）》中禁（限）批建设项目之列</w:t>
            </w:r>
            <w:r>
              <w:rPr>
                <w:sz w:val="24"/>
              </w:rPr>
              <w:t>，</w:t>
            </w:r>
            <w:r>
              <w:rPr>
                <w:rFonts w:hint="eastAsia"/>
                <w:sz w:val="24"/>
              </w:rPr>
              <w:t>新河县工业和信息化局为本项目出具了“关于</w:t>
            </w:r>
            <w:r>
              <w:rPr>
                <w:rFonts w:hint="eastAsia"/>
                <w:sz w:val="24"/>
                <w:szCs w:val="24"/>
              </w:rPr>
              <w:t>新河县雄飞桩工机械厂</w:t>
            </w:r>
            <w:r>
              <w:rPr>
                <w:rFonts w:hint="eastAsia"/>
                <w:sz w:val="24"/>
              </w:rPr>
              <w:t>CFG螺旋钻机扩建技术改造项目”的备案通知书，备案编号：新工信备[2017]8号，本项目</w:t>
            </w:r>
            <w:r>
              <w:rPr>
                <w:sz w:val="24"/>
              </w:rPr>
              <w:t>符合国家及地方</w:t>
            </w:r>
          </w:p>
          <w:p>
            <w:pPr>
              <w:spacing w:line="480" w:lineRule="exact"/>
              <w:rPr>
                <w:color w:val="0000FF"/>
                <w:sz w:val="24"/>
              </w:rPr>
            </w:pPr>
            <w:r>
              <w:rPr>
                <w:sz w:val="24"/>
              </w:rPr>
              <w:t>产业政策。</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3" w:type="dxa"/>
            <w:gridSpan w:val="8"/>
            <w:tcBorders>
              <w:top w:val="single" w:color="auto" w:sz="4" w:space="0"/>
              <w:left w:val="single" w:color="auto" w:sz="4" w:space="0"/>
              <w:bottom w:val="single" w:color="auto" w:sz="4" w:space="0"/>
              <w:right w:val="single" w:color="auto" w:sz="4" w:space="0"/>
            </w:tcBorders>
          </w:tcPr>
          <w:p>
            <w:pPr>
              <w:spacing w:line="360" w:lineRule="auto"/>
              <w:rPr>
                <w:b/>
                <w:sz w:val="28"/>
              </w:rPr>
            </w:pPr>
            <w:r>
              <w:rPr>
                <w:b/>
                <w:sz w:val="28"/>
              </w:rPr>
              <w:t>与本项目有关的原有污染情况及主要环境问题:</w:t>
            </w:r>
          </w:p>
          <w:p>
            <w:pPr>
              <w:spacing w:line="480" w:lineRule="exact"/>
              <w:ind w:firstLine="480" w:firstLineChars="200"/>
              <w:rPr>
                <w:sz w:val="24"/>
              </w:rPr>
            </w:pPr>
            <w:r>
              <w:rPr>
                <w:rFonts w:hint="eastAsia"/>
                <w:sz w:val="24"/>
              </w:rPr>
              <w:t>根据新河县雄飞桩工机械厂CFG螺旋钻机建设项目于2013年8月28日通过新河县环境保护局竣工环境保护验收（验收意见详见附件），根据监测报告（新环测字【2013】第23号），现有工程污染物排放情况如下：</w:t>
            </w:r>
          </w:p>
          <w:p>
            <w:pPr>
              <w:spacing w:line="480" w:lineRule="exact"/>
              <w:ind w:firstLine="480" w:firstLineChars="200"/>
              <w:rPr>
                <w:sz w:val="24"/>
              </w:rPr>
            </w:pPr>
            <w:r>
              <w:rPr>
                <w:rFonts w:hint="eastAsia"/>
                <w:sz w:val="24"/>
              </w:rPr>
              <w:t>1、废气</w:t>
            </w:r>
          </w:p>
          <w:p>
            <w:pPr>
              <w:spacing w:line="480" w:lineRule="exact"/>
              <w:ind w:firstLine="480" w:firstLineChars="200"/>
              <w:rPr>
                <w:color w:val="0000FF"/>
                <w:sz w:val="24"/>
              </w:rPr>
            </w:pPr>
            <w:r>
              <w:rPr>
                <w:rFonts w:hint="eastAsia"/>
                <w:sz w:val="24"/>
              </w:rPr>
              <w:t>现有项目产生的废气主要有切割下料产生的粉尘及焊接工序产生的焊接烟尘。切割下料与焊接工序均在密闭的车间内进行，经密闭厂房和强制通风后，废气经车间无组织排放。</w:t>
            </w:r>
          </w:p>
          <w:p>
            <w:pPr>
              <w:spacing w:line="480" w:lineRule="exact"/>
              <w:ind w:firstLine="480" w:firstLineChars="200"/>
              <w:rPr>
                <w:sz w:val="24"/>
              </w:rPr>
            </w:pPr>
            <w:r>
              <w:rPr>
                <w:rFonts w:hint="eastAsia"/>
                <w:sz w:val="24"/>
                <w:szCs w:val="24"/>
              </w:rPr>
              <w:t>经检测厂界无组织颗粒最大浓度为0.189mg/m</w:t>
            </w:r>
            <w:r>
              <w:rPr>
                <w:rFonts w:hint="eastAsia"/>
                <w:sz w:val="24"/>
                <w:szCs w:val="24"/>
                <w:vertAlign w:val="superscript"/>
              </w:rPr>
              <w:t>3</w:t>
            </w:r>
            <w:r>
              <w:rPr>
                <w:rFonts w:hint="eastAsia"/>
                <w:sz w:val="24"/>
                <w:szCs w:val="24"/>
              </w:rPr>
              <w:t>，满足《大气污染物综合排放标准》（GB16297-1996）表2中无组织排放周界外浓度最高点小于1.0mg/m</w:t>
            </w:r>
            <w:r>
              <w:rPr>
                <w:rFonts w:hint="eastAsia"/>
                <w:sz w:val="24"/>
                <w:szCs w:val="24"/>
                <w:vertAlign w:val="superscript"/>
              </w:rPr>
              <w:t>3</w:t>
            </w:r>
            <w:r>
              <w:rPr>
                <w:rFonts w:hint="eastAsia"/>
                <w:sz w:val="24"/>
                <w:szCs w:val="24"/>
              </w:rPr>
              <w:t>的要求。</w:t>
            </w:r>
          </w:p>
          <w:p>
            <w:pPr>
              <w:spacing w:line="480" w:lineRule="exact"/>
              <w:ind w:firstLine="480" w:firstLineChars="200"/>
              <w:rPr>
                <w:sz w:val="24"/>
              </w:rPr>
            </w:pPr>
            <w:r>
              <w:rPr>
                <w:rFonts w:hint="eastAsia"/>
                <w:sz w:val="24"/>
              </w:rPr>
              <w:t>2、废水</w:t>
            </w:r>
          </w:p>
          <w:p>
            <w:pPr>
              <w:spacing w:line="480" w:lineRule="exact"/>
              <w:ind w:firstLine="480" w:firstLineChars="200"/>
              <w:rPr>
                <w:sz w:val="24"/>
              </w:rPr>
            </w:pPr>
            <w:r>
              <w:rPr>
                <w:rFonts w:hint="eastAsia"/>
                <w:sz w:val="24"/>
              </w:rPr>
              <w:t>本项目无生产废水，生活废水主要为职工盥洗废水。废水集中排放城市管网，进入污水处理厂。外排废水水质为：COD 77.6mg/L，SS 175mg/L，氨氮2.61mg/L，</w:t>
            </w:r>
            <w:r>
              <w:rPr>
                <w:rFonts w:hint="eastAsia"/>
                <w:sz w:val="24"/>
                <w:szCs w:val="24"/>
              </w:rPr>
              <w:t>排放浓度满足</w:t>
            </w:r>
            <w:r>
              <w:rPr>
                <w:spacing w:val="-8"/>
                <w:sz w:val="24"/>
                <w:szCs w:val="24"/>
              </w:rPr>
              <w:t>《污水综合排放标准》（GB8978-1996）表4</w:t>
            </w:r>
            <w:r>
              <w:rPr>
                <w:rFonts w:hint="eastAsia"/>
                <w:spacing w:val="-8"/>
                <w:sz w:val="24"/>
                <w:szCs w:val="24"/>
              </w:rPr>
              <w:t>三</w:t>
            </w:r>
            <w:r>
              <w:rPr>
                <w:spacing w:val="-8"/>
                <w:sz w:val="24"/>
                <w:szCs w:val="24"/>
              </w:rPr>
              <w:t>级标准同时满足</w:t>
            </w:r>
            <w:r>
              <w:rPr>
                <w:rFonts w:hint="eastAsia"/>
                <w:sz w:val="24"/>
              </w:rPr>
              <w:t>新河县玉树污水处理厂</w:t>
            </w:r>
            <w:r>
              <w:rPr>
                <w:spacing w:val="-8"/>
                <w:sz w:val="24"/>
                <w:szCs w:val="24"/>
              </w:rPr>
              <w:t>进水水质要求</w:t>
            </w:r>
            <w:r>
              <w:rPr>
                <w:rFonts w:hint="eastAsia"/>
                <w:sz w:val="24"/>
              </w:rPr>
              <w:t>。</w:t>
            </w:r>
          </w:p>
          <w:p>
            <w:pPr>
              <w:spacing w:line="480" w:lineRule="exact"/>
              <w:ind w:firstLine="480" w:firstLineChars="200"/>
              <w:rPr>
                <w:color w:val="0000FF"/>
                <w:sz w:val="24"/>
              </w:rPr>
            </w:pPr>
            <w:r>
              <w:rPr>
                <w:rFonts w:hint="eastAsia"/>
                <w:sz w:val="24"/>
              </w:rPr>
              <w:t>3、噪声</w:t>
            </w:r>
          </w:p>
          <w:p>
            <w:pPr>
              <w:spacing w:line="480" w:lineRule="exact"/>
              <w:ind w:firstLine="480" w:firstLineChars="200"/>
              <w:rPr>
                <w:sz w:val="24"/>
              </w:rPr>
            </w:pPr>
            <w:r>
              <w:rPr>
                <w:rFonts w:hint="eastAsia"/>
                <w:sz w:val="24"/>
              </w:rPr>
              <w:t>项目主要噪声源有切割机、车床、电焊机加工设备噪声。本项目噪声控制从控制声源和阻隔声音传播两方面考虑。对噪声的控制首先从声源下手，对产生机械噪声的设备在设备安装时，加装减振隔声装置，可消声5-10dB(A)；其次是在噪声传播途径上采取措施加以控制，将高噪声车间设计成封闭式降噪结构，使噪声下降20-25dB(A)左右。</w:t>
            </w:r>
          </w:p>
          <w:p>
            <w:pPr>
              <w:spacing w:line="480" w:lineRule="exact"/>
              <w:ind w:firstLine="480" w:firstLineChars="200"/>
              <w:rPr>
                <w:sz w:val="24"/>
                <w:highlight w:val="green"/>
              </w:rPr>
            </w:pPr>
            <w:r>
              <w:rPr>
                <w:rFonts w:hint="eastAsia"/>
                <w:sz w:val="24"/>
              </w:rPr>
              <w:t>对产噪设备采取基础减震、厂房隔声及距离衰减措施后，厂界噪声满足《工业企业厂界环境噪声排放标准》(GB12348-2008)3类标准限值的要求。</w:t>
            </w:r>
          </w:p>
          <w:p>
            <w:pPr>
              <w:spacing w:line="480" w:lineRule="exact"/>
              <w:ind w:firstLine="480" w:firstLineChars="200"/>
              <w:rPr>
                <w:sz w:val="24"/>
              </w:rPr>
            </w:pPr>
            <w:r>
              <w:rPr>
                <w:rFonts w:hint="eastAsia"/>
                <w:sz w:val="24"/>
              </w:rPr>
              <w:t>4、固体废物</w:t>
            </w:r>
          </w:p>
          <w:p>
            <w:pPr>
              <w:spacing w:line="480" w:lineRule="exact"/>
              <w:ind w:firstLine="480" w:firstLineChars="200"/>
              <w:rPr>
                <w:sz w:val="24"/>
              </w:rPr>
            </w:pPr>
            <w:r>
              <w:rPr>
                <w:rFonts w:hint="eastAsia"/>
                <w:sz w:val="24"/>
              </w:rPr>
              <w:t>现有项目固体废物主要为切割机打磨时产生的下脚料、焊接工序的焊渣、机加工工序的废切削液和职工生活垃圾。</w:t>
            </w:r>
          </w:p>
          <w:p>
            <w:pPr>
              <w:pStyle w:val="48"/>
            </w:pPr>
            <w:r>
              <w:rPr>
                <w:rFonts w:hint="eastAsia"/>
              </w:rPr>
              <w:t>下料、机加工下脚料，收集外售；焊接工序焊渣，收集外售；机加工工序的废切削液为危废，由厂家回收；职工生活垃圾，由环卫部门统一处理。</w:t>
            </w:r>
          </w:p>
          <w:p>
            <w:pPr>
              <w:spacing w:line="360" w:lineRule="auto"/>
              <w:ind w:firstLine="480" w:firstLineChars="200"/>
              <w:rPr>
                <w:sz w:val="24"/>
              </w:rPr>
            </w:pPr>
            <w:r>
              <w:rPr>
                <w:rFonts w:hint="eastAsia"/>
                <w:sz w:val="24"/>
              </w:rPr>
              <w:t>综上所述，固废处理符合固体废物减量化、资源化、无害化要求，防治措施可行，不会对周围环境产生影响。</w:t>
            </w:r>
          </w:p>
          <w:p>
            <w:pPr>
              <w:pStyle w:val="2"/>
              <w:spacing w:line="360" w:lineRule="auto"/>
              <w:ind w:left="0" w:right="0" w:firstLine="480" w:firstLineChars="200"/>
              <w:rPr>
                <w:sz w:val="24"/>
                <w:szCs w:val="24"/>
              </w:rPr>
            </w:pPr>
            <w:r>
              <w:rPr>
                <w:sz w:val="24"/>
                <w:szCs w:val="24"/>
              </w:rPr>
              <w:t>原有项目未建设危废间，</w:t>
            </w:r>
            <w:r>
              <w:rPr>
                <w:rFonts w:hint="eastAsia"/>
                <w:sz w:val="24"/>
                <w:szCs w:val="24"/>
              </w:rPr>
              <w:t>需要完善危废收集暂存问题，故</w:t>
            </w:r>
            <w:r>
              <w:rPr>
                <w:sz w:val="24"/>
                <w:szCs w:val="24"/>
              </w:rPr>
              <w:t>本次技改</w:t>
            </w:r>
            <w:r>
              <w:rPr>
                <w:rFonts w:hint="eastAsia"/>
                <w:sz w:val="24"/>
                <w:szCs w:val="24"/>
              </w:rPr>
              <w:t>后</w:t>
            </w:r>
            <w:r>
              <w:rPr>
                <w:sz w:val="24"/>
                <w:szCs w:val="24"/>
              </w:rPr>
              <w:t>在厂区建设18m</w:t>
            </w:r>
            <w:r>
              <w:rPr>
                <w:sz w:val="24"/>
                <w:szCs w:val="24"/>
                <w:vertAlign w:val="superscript"/>
              </w:rPr>
              <w:t>2</w:t>
            </w:r>
            <w:r>
              <w:rPr>
                <w:sz w:val="24"/>
                <w:szCs w:val="24"/>
              </w:rPr>
              <w:t>危废暂存间</w:t>
            </w:r>
            <w:r>
              <w:rPr>
                <w:rFonts w:hint="eastAsia"/>
                <w:sz w:val="24"/>
                <w:szCs w:val="24"/>
              </w:rPr>
              <w:t>。</w:t>
            </w:r>
          </w:p>
          <w:p>
            <w:pPr>
              <w:spacing w:line="480" w:lineRule="exact"/>
              <w:rPr>
                <w:rFonts w:ascii="宋体" w:hAnsi="宋体"/>
                <w:color w:val="0000FF"/>
                <w:sz w:val="24"/>
              </w:rPr>
            </w:pPr>
          </w:p>
        </w:tc>
      </w:tr>
    </w:tbl>
    <w:p>
      <w:pPr>
        <w:outlineLvl w:val="0"/>
        <w:rPr>
          <w:rFonts w:eastAsia="黑体"/>
          <w:b/>
          <w:bCs/>
          <w:color w:val="0000FF"/>
          <w:sz w:val="32"/>
        </w:rPr>
      </w:pPr>
      <w:r>
        <w:rPr>
          <w:rFonts w:eastAsia="黑体"/>
          <w:color w:val="0000FF"/>
          <w:sz w:val="32"/>
        </w:rPr>
        <w:br w:type="page"/>
      </w:r>
      <w:r>
        <w:rPr>
          <w:rFonts w:eastAsia="黑体"/>
          <w:b/>
          <w:bCs/>
          <w:sz w:val="32"/>
        </w:rPr>
        <w:t>建设项目所在地自然环境社会环境简况</w:t>
      </w:r>
    </w:p>
    <w:tbl>
      <w:tblPr>
        <w:tblStyle w:val="31"/>
        <w:tblW w:w="900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0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652" w:hRule="atLeast"/>
          <w:jc w:val="center"/>
        </w:trPr>
        <w:tc>
          <w:tcPr>
            <w:tcW w:w="9003" w:type="dxa"/>
            <w:tcBorders>
              <w:bottom w:val="single" w:color="auto" w:sz="4" w:space="0"/>
            </w:tcBorders>
          </w:tcPr>
          <w:p>
            <w:pPr>
              <w:spacing w:line="360" w:lineRule="auto"/>
              <w:rPr>
                <w:b/>
                <w:bCs/>
                <w:spacing w:val="-14"/>
                <w:sz w:val="28"/>
              </w:rPr>
            </w:pPr>
            <w:r>
              <w:rPr>
                <w:b/>
                <w:bCs/>
                <w:spacing w:val="-14"/>
                <w:sz w:val="28"/>
              </w:rPr>
              <w:t>自然环境简况(地形、地貌、地质、气候、气象、水文、植被、生物多样性等)：</w:t>
            </w:r>
          </w:p>
          <w:p>
            <w:pPr>
              <w:spacing w:line="480" w:lineRule="exact"/>
              <w:ind w:firstLine="480" w:firstLineChars="200"/>
              <w:rPr>
                <w:b/>
                <w:sz w:val="24"/>
                <w:szCs w:val="24"/>
              </w:rPr>
            </w:pPr>
            <w:r>
              <w:rPr>
                <w:b/>
                <w:sz w:val="24"/>
                <w:szCs w:val="24"/>
              </w:rPr>
              <w:t>1、地理位置：</w:t>
            </w:r>
          </w:p>
          <w:p>
            <w:pPr>
              <w:spacing w:line="480" w:lineRule="exact"/>
              <w:ind w:firstLine="480" w:firstLineChars="200"/>
              <w:rPr>
                <w:sz w:val="24"/>
                <w:szCs w:val="24"/>
              </w:rPr>
            </w:pPr>
            <w:r>
              <w:rPr>
                <w:rFonts w:hint="eastAsia"/>
                <w:sz w:val="24"/>
                <w:szCs w:val="24"/>
              </w:rPr>
              <w:t>新河县位于河北省中南部、邢台市东北部，地处东经115</w:t>
            </w:r>
            <w:r>
              <w:rPr>
                <w:sz w:val="24"/>
                <w:szCs w:val="24"/>
              </w:rPr>
              <w:t>°</w:t>
            </w:r>
            <w:r>
              <w:rPr>
                <w:rFonts w:hint="eastAsia"/>
                <w:sz w:val="24"/>
                <w:szCs w:val="24"/>
              </w:rPr>
              <w:t>04</w:t>
            </w:r>
            <w:r>
              <w:rPr>
                <w:sz w:val="24"/>
                <w:szCs w:val="24"/>
              </w:rPr>
              <w:t>′</w:t>
            </w:r>
            <w:r>
              <w:rPr>
                <w:rFonts w:hint="eastAsia"/>
                <w:sz w:val="24"/>
                <w:szCs w:val="24"/>
              </w:rPr>
              <w:t>～115</w:t>
            </w:r>
            <w:r>
              <w:rPr>
                <w:sz w:val="24"/>
                <w:szCs w:val="24"/>
              </w:rPr>
              <w:t>°</w:t>
            </w:r>
            <w:r>
              <w:rPr>
                <w:rFonts w:hint="eastAsia"/>
                <w:sz w:val="24"/>
                <w:szCs w:val="24"/>
              </w:rPr>
              <w:t>27</w:t>
            </w:r>
            <w:r>
              <w:rPr>
                <w:sz w:val="24"/>
                <w:szCs w:val="24"/>
              </w:rPr>
              <w:t>′</w:t>
            </w:r>
            <w:r>
              <w:rPr>
                <w:rFonts w:hint="eastAsia"/>
                <w:sz w:val="24"/>
                <w:szCs w:val="24"/>
              </w:rPr>
              <w:t>之间，北纬37</w:t>
            </w:r>
            <w:r>
              <w:rPr>
                <w:sz w:val="24"/>
                <w:szCs w:val="24"/>
              </w:rPr>
              <w:t>°</w:t>
            </w:r>
            <w:r>
              <w:rPr>
                <w:rFonts w:hint="eastAsia"/>
                <w:sz w:val="24"/>
                <w:szCs w:val="24"/>
              </w:rPr>
              <w:t>23</w:t>
            </w:r>
            <w:r>
              <w:rPr>
                <w:sz w:val="24"/>
                <w:szCs w:val="24"/>
              </w:rPr>
              <w:t>′</w:t>
            </w:r>
            <w:r>
              <w:rPr>
                <w:rFonts w:hint="eastAsia"/>
                <w:sz w:val="24"/>
                <w:szCs w:val="24"/>
              </w:rPr>
              <w:t>～37</w:t>
            </w:r>
            <w:r>
              <w:rPr>
                <w:sz w:val="24"/>
                <w:szCs w:val="24"/>
              </w:rPr>
              <w:t>°</w:t>
            </w:r>
            <w:r>
              <w:rPr>
                <w:rFonts w:hint="eastAsia"/>
                <w:sz w:val="24"/>
                <w:szCs w:val="24"/>
              </w:rPr>
              <w:t>24</w:t>
            </w:r>
            <w:r>
              <w:rPr>
                <w:sz w:val="24"/>
                <w:szCs w:val="24"/>
              </w:rPr>
              <w:t>′</w:t>
            </w:r>
            <w:r>
              <w:rPr>
                <w:rFonts w:hint="eastAsia"/>
                <w:sz w:val="24"/>
                <w:szCs w:val="24"/>
              </w:rPr>
              <w:t>之间，西、西北与宁晋县交界，东、东北与衡水市冀州接壤，西南与巨鹿县为邻，东南与南宫市毗连，全县东西长31.7km，南北宽20.2km，县域总面积363.08km</w:t>
            </w:r>
            <w:r>
              <w:rPr>
                <w:rFonts w:hint="eastAsia"/>
                <w:sz w:val="24"/>
                <w:szCs w:val="24"/>
                <w:vertAlign w:val="superscript"/>
              </w:rPr>
              <w:t>2</w:t>
            </w:r>
            <w:r>
              <w:rPr>
                <w:rFonts w:hint="eastAsia"/>
                <w:sz w:val="24"/>
                <w:szCs w:val="24"/>
              </w:rPr>
              <w:t>。</w:t>
            </w:r>
          </w:p>
          <w:p>
            <w:pPr>
              <w:spacing w:line="480" w:lineRule="exact"/>
              <w:ind w:firstLine="480" w:firstLineChars="200"/>
              <w:rPr>
                <w:sz w:val="24"/>
                <w:szCs w:val="24"/>
              </w:rPr>
            </w:pPr>
            <w:r>
              <w:rPr>
                <w:rFonts w:hint="eastAsia"/>
                <w:sz w:val="24"/>
              </w:rPr>
              <w:t>新河县雄飞桩工机械厂</w:t>
            </w:r>
            <w:r>
              <w:rPr>
                <w:sz w:val="24"/>
              </w:rPr>
              <w:t>位于</w:t>
            </w:r>
            <w:r>
              <w:rPr>
                <w:rFonts w:hint="eastAsia"/>
                <w:sz w:val="24"/>
                <w:szCs w:val="24"/>
              </w:rPr>
              <w:t>新河县工业区时代路西段路北</w:t>
            </w:r>
            <w:r>
              <w:rPr>
                <w:rFonts w:hint="eastAsia"/>
                <w:sz w:val="24"/>
              </w:rPr>
              <w:t>，厂址中心坐标为北</w:t>
            </w:r>
            <w:r>
              <w:rPr>
                <w:sz w:val="24"/>
              </w:rPr>
              <w:t>纬37°3</w:t>
            </w:r>
            <w:r>
              <w:rPr>
                <w:rFonts w:hint="eastAsia"/>
                <w:sz w:val="24"/>
              </w:rPr>
              <w:t>1</w:t>
            </w:r>
            <w:r>
              <w:rPr>
                <w:sz w:val="24"/>
              </w:rPr>
              <w:t>′</w:t>
            </w:r>
            <w:r>
              <w:rPr>
                <w:rFonts w:hint="eastAsia"/>
                <w:sz w:val="24"/>
              </w:rPr>
              <w:t>2.27</w:t>
            </w:r>
            <w:r>
              <w:rPr>
                <w:sz w:val="24"/>
              </w:rPr>
              <w:t>″，东经115°1</w:t>
            </w:r>
            <w:r>
              <w:rPr>
                <w:rFonts w:hint="eastAsia"/>
                <w:sz w:val="24"/>
              </w:rPr>
              <w:t>2</w:t>
            </w:r>
            <w:r>
              <w:rPr>
                <w:sz w:val="24"/>
              </w:rPr>
              <w:t>′</w:t>
            </w:r>
            <w:r>
              <w:rPr>
                <w:rFonts w:hint="eastAsia"/>
                <w:sz w:val="24"/>
              </w:rPr>
              <w:t>35.12</w:t>
            </w:r>
            <w:r>
              <w:rPr>
                <w:sz w:val="24"/>
              </w:rPr>
              <w:t>″</w:t>
            </w:r>
            <w:r>
              <w:rPr>
                <w:rFonts w:hint="eastAsia"/>
                <w:sz w:val="24"/>
              </w:rPr>
              <w:t>。项目北侧为新河恒星钻机厂，西侧为益海粮油有限公司，东侧为新河金波绿泰科技有限公司，南侧为时代路，隔路为河北崇德电缆有限公司，</w:t>
            </w:r>
            <w:r>
              <w:rPr>
                <w:sz w:val="24"/>
                <w:szCs w:val="24"/>
              </w:rPr>
              <w:t>距项目最近的敏感点为</w:t>
            </w:r>
            <w:r>
              <w:rPr>
                <w:rFonts w:hint="eastAsia"/>
                <w:sz w:val="24"/>
                <w:szCs w:val="24"/>
              </w:rPr>
              <w:t>西</w:t>
            </w:r>
            <w:r>
              <w:rPr>
                <w:sz w:val="24"/>
                <w:szCs w:val="24"/>
              </w:rPr>
              <w:t>侧</w:t>
            </w:r>
            <w:r>
              <w:rPr>
                <w:rFonts w:hint="eastAsia"/>
                <w:sz w:val="24"/>
                <w:szCs w:val="24"/>
              </w:rPr>
              <w:t>250</w:t>
            </w:r>
            <w:r>
              <w:rPr>
                <w:sz w:val="24"/>
                <w:szCs w:val="24"/>
              </w:rPr>
              <w:t>m</w:t>
            </w:r>
            <w:r>
              <w:rPr>
                <w:rFonts w:hint="eastAsia"/>
                <w:sz w:val="24"/>
                <w:szCs w:val="24"/>
              </w:rPr>
              <w:t>的付神首村</w:t>
            </w:r>
            <w:r>
              <w:rPr>
                <w:rFonts w:hint="eastAsia"/>
                <w:sz w:val="24"/>
              </w:rPr>
              <w:t>。</w:t>
            </w:r>
            <w:r>
              <w:rPr>
                <w:sz w:val="24"/>
                <w:szCs w:val="24"/>
              </w:rPr>
              <w:t>项目地理位置详见附图1，周边关系见附图2。</w:t>
            </w:r>
          </w:p>
          <w:p>
            <w:pPr>
              <w:spacing w:line="480" w:lineRule="exact"/>
              <w:ind w:firstLine="480" w:firstLineChars="200"/>
              <w:rPr>
                <w:b/>
                <w:sz w:val="24"/>
                <w:szCs w:val="24"/>
              </w:rPr>
            </w:pPr>
            <w:r>
              <w:rPr>
                <w:b/>
                <w:sz w:val="24"/>
                <w:szCs w:val="24"/>
              </w:rPr>
              <w:t>2、地形地貌</w:t>
            </w:r>
          </w:p>
          <w:p>
            <w:pPr>
              <w:spacing w:line="480" w:lineRule="exact"/>
              <w:ind w:firstLine="480" w:firstLineChars="200"/>
              <w:rPr>
                <w:sz w:val="24"/>
                <w:szCs w:val="24"/>
              </w:rPr>
            </w:pPr>
            <w:r>
              <w:rPr>
                <w:rFonts w:hint="eastAsia"/>
                <w:sz w:val="24"/>
                <w:szCs w:val="24"/>
              </w:rPr>
              <w:t>新河县位于河北低平原区，属黑龙港流域滏阳河冲积平原，境内地势平坦开阔，地面自西南向东北微微倾斜，海拔高程在24～27.5m之间，坡降为1/40～1/2000。按地形全县大体可分为四种类型：卑湿积涝地，面积34km</w:t>
            </w:r>
            <w:r>
              <w:rPr>
                <w:rFonts w:hint="eastAsia"/>
                <w:sz w:val="24"/>
                <w:szCs w:val="24"/>
                <w:vertAlign w:val="superscript"/>
              </w:rPr>
              <w:t>2</w:t>
            </w:r>
            <w:r>
              <w:rPr>
                <w:rFonts w:hint="eastAsia"/>
                <w:sz w:val="24"/>
                <w:szCs w:val="24"/>
              </w:rPr>
              <w:t>，占全县总面积的9.3%；沙压地，面积115km</w:t>
            </w:r>
            <w:r>
              <w:rPr>
                <w:rFonts w:hint="eastAsia"/>
                <w:sz w:val="24"/>
                <w:szCs w:val="24"/>
                <w:vertAlign w:val="superscript"/>
              </w:rPr>
              <w:t>2</w:t>
            </w:r>
            <w:r>
              <w:rPr>
                <w:rFonts w:hint="eastAsia"/>
                <w:sz w:val="24"/>
                <w:szCs w:val="24"/>
              </w:rPr>
              <w:t>，占全县总面积的31.7%；低洼地，面积16.2km</w:t>
            </w:r>
            <w:r>
              <w:rPr>
                <w:rFonts w:hint="eastAsia"/>
                <w:sz w:val="24"/>
                <w:szCs w:val="24"/>
                <w:vertAlign w:val="superscript"/>
              </w:rPr>
              <w:t>2</w:t>
            </w:r>
            <w:r>
              <w:rPr>
                <w:rFonts w:hint="eastAsia"/>
                <w:sz w:val="24"/>
                <w:szCs w:val="24"/>
              </w:rPr>
              <w:t>，占全县总面积的4.4%；平原地，面积197.8km</w:t>
            </w:r>
            <w:r>
              <w:rPr>
                <w:rFonts w:hint="eastAsia"/>
                <w:sz w:val="24"/>
                <w:szCs w:val="24"/>
                <w:vertAlign w:val="superscript"/>
              </w:rPr>
              <w:t>2</w:t>
            </w:r>
            <w:r>
              <w:rPr>
                <w:rFonts w:hint="eastAsia"/>
                <w:sz w:val="24"/>
                <w:szCs w:val="24"/>
              </w:rPr>
              <w:t>，占全县总面积的54.6%。</w:t>
            </w:r>
          </w:p>
          <w:p>
            <w:pPr>
              <w:spacing w:line="480" w:lineRule="exact"/>
              <w:ind w:firstLine="480" w:firstLineChars="200"/>
              <w:rPr>
                <w:sz w:val="24"/>
                <w:szCs w:val="24"/>
              </w:rPr>
            </w:pPr>
            <w:r>
              <w:rPr>
                <w:rFonts w:hint="eastAsia"/>
                <w:sz w:val="24"/>
                <w:szCs w:val="24"/>
              </w:rPr>
              <w:t>本项目所在区域属平原地，地势平坦开阔，地形相对简单。</w:t>
            </w:r>
          </w:p>
          <w:p>
            <w:pPr>
              <w:spacing w:line="480" w:lineRule="exact"/>
              <w:ind w:firstLine="480" w:firstLineChars="200"/>
              <w:rPr>
                <w:b/>
                <w:sz w:val="24"/>
                <w:szCs w:val="24"/>
              </w:rPr>
            </w:pPr>
            <w:r>
              <w:rPr>
                <w:rFonts w:hint="eastAsia"/>
                <w:b/>
                <w:sz w:val="24"/>
                <w:szCs w:val="24"/>
              </w:rPr>
              <w:t>3、地层地质</w:t>
            </w:r>
          </w:p>
          <w:p>
            <w:pPr>
              <w:spacing w:line="480" w:lineRule="exact"/>
              <w:ind w:firstLine="480" w:firstLineChars="200"/>
              <w:rPr>
                <w:sz w:val="24"/>
                <w:szCs w:val="24"/>
              </w:rPr>
            </w:pPr>
            <w:r>
              <w:rPr>
                <w:rFonts w:hint="eastAsia"/>
                <w:sz w:val="24"/>
                <w:szCs w:val="24"/>
              </w:rPr>
              <w:t>新河县在构造体系上属新华夏构造体系的第二沉降带，进入中生代以后，特别是进至新生代以来，河北平原又经历了强烈的活动变化，地壳大幅度下降，接受了厚薄不等的第三纪和第四纪堆积物，而形成为今天的地层。由新至老可划分为四个地层组：</w:t>
            </w:r>
          </w:p>
          <w:p>
            <w:pPr>
              <w:spacing w:line="480" w:lineRule="exact"/>
              <w:ind w:firstLine="480" w:firstLineChars="200"/>
              <w:rPr>
                <w:sz w:val="24"/>
                <w:szCs w:val="24"/>
              </w:rPr>
            </w:pPr>
            <w:r>
              <w:rPr>
                <w:rFonts w:hint="eastAsia"/>
                <w:sz w:val="24"/>
                <w:szCs w:val="24"/>
              </w:rPr>
              <w:t>（1）全新统：是以冲积为主，夹湖沼、海相沉积的堆积物，由灰黄、灰黑色含淤泥质亚砂土、亚粘土夹中细砂、粉细砂组成，结构疏松，厚度一般为20～50m。</w:t>
            </w:r>
          </w:p>
          <w:p>
            <w:pPr>
              <w:spacing w:line="480" w:lineRule="exact"/>
              <w:ind w:firstLine="480" w:firstLineChars="200"/>
              <w:rPr>
                <w:sz w:val="24"/>
                <w:szCs w:val="24"/>
              </w:rPr>
            </w:pPr>
            <w:r>
              <w:rPr>
                <w:rFonts w:hint="eastAsia"/>
                <w:sz w:val="24"/>
                <w:szCs w:val="24"/>
              </w:rPr>
              <w:t>（2）上更新统：是以冲积洪积-冲积-冲积湖积为主的堆积物，由黄至棕黄色含粉土质较高的亚砂土、亚粘土夹粉细砂、中细砂、中砂层组成。土中可溶盐含量较高，以发育有黄土状结构的亚砂土、亚粘土夹层以及砂层为特征，与全新统地层基本连续沉积，构成地表下第一沉积旋回。本组中下段夹薄层状棕红色细密粘土，底板埋深一般为100～150m。</w:t>
            </w:r>
          </w:p>
          <w:p>
            <w:pPr>
              <w:spacing w:line="480" w:lineRule="exact"/>
              <w:ind w:firstLine="480" w:firstLineChars="200"/>
              <w:rPr>
                <w:sz w:val="24"/>
                <w:szCs w:val="24"/>
              </w:rPr>
            </w:pPr>
            <w:r>
              <w:rPr>
                <w:rFonts w:hint="eastAsia"/>
                <w:sz w:val="24"/>
                <w:szCs w:val="24"/>
              </w:rPr>
              <w:t>（3）中更新统：是以冲积-冲积湖积为主的堆积物，自上而下是棕黄、黄棕至棕红色，由粘土、亚粘土、亚砂土夹多层砂层组成，砂层厚度大、粒度粗而富集。土层中有明显的风化长石斑点，并发育有多层淋溶-淀积层，底板埋深一般为340m左右。</w:t>
            </w:r>
          </w:p>
          <w:p>
            <w:pPr>
              <w:spacing w:line="480" w:lineRule="exact"/>
              <w:ind w:firstLine="480" w:firstLineChars="200"/>
              <w:rPr>
                <w:sz w:val="24"/>
                <w:szCs w:val="24"/>
              </w:rPr>
            </w:pPr>
            <w:r>
              <w:rPr>
                <w:rFonts w:hint="eastAsia"/>
                <w:sz w:val="24"/>
                <w:szCs w:val="24"/>
              </w:rPr>
              <w:t>（4）下更新统：是以冲积湖积为主的堆积物，上段为红棕、棕红或黄绿色，下段为棕红、红褐混灰绿、锈黄色厚层粘土、亚粘土夹砂层，底板埋深最大处大于500m。</w:t>
            </w:r>
          </w:p>
          <w:p>
            <w:pPr>
              <w:spacing w:line="480" w:lineRule="exact"/>
              <w:ind w:firstLine="480" w:firstLineChars="200"/>
              <w:rPr>
                <w:sz w:val="24"/>
                <w:szCs w:val="24"/>
              </w:rPr>
            </w:pPr>
            <w:r>
              <w:rPr>
                <w:rFonts w:hint="eastAsia"/>
                <w:sz w:val="24"/>
                <w:szCs w:val="24"/>
              </w:rPr>
              <w:t>本项目位于新河县县城，该区域地层主要为第四系全新统，地层为夹湖沼、海相沉积之粉土和粉质粘土层。根据该区域的岩土工程勘察资料，在钻孔揭露深度12m内，本项目所在区域地层分为四层，自上而下依次为：新近沉积粉土、粉质粘土、粉土、粉质粘土，其中新近沉积粉土层厚5.2m，粉质粘土层厚2.8m，粉土层厚0.7m、粉质粘土层厚3.3m。综合分析，该区域岩(土)层单层厚度5.2m，渗透系数为1.2×10</w:t>
            </w:r>
            <w:r>
              <w:rPr>
                <w:rFonts w:hint="eastAsia"/>
                <w:sz w:val="24"/>
                <w:szCs w:val="24"/>
                <w:vertAlign w:val="superscript"/>
              </w:rPr>
              <w:t>-5</w:t>
            </w:r>
            <w:r>
              <w:rPr>
                <w:rFonts w:hint="eastAsia"/>
                <w:sz w:val="24"/>
                <w:szCs w:val="24"/>
              </w:rPr>
              <w:t>cm/s。</w:t>
            </w:r>
          </w:p>
          <w:p>
            <w:pPr>
              <w:spacing w:line="480" w:lineRule="exact"/>
              <w:ind w:firstLine="480"/>
              <w:rPr>
                <w:b/>
                <w:sz w:val="24"/>
                <w:szCs w:val="24"/>
              </w:rPr>
            </w:pPr>
            <w:r>
              <w:rPr>
                <w:rFonts w:hint="eastAsia"/>
                <w:b/>
                <w:sz w:val="24"/>
                <w:szCs w:val="24"/>
              </w:rPr>
              <w:t>4</w:t>
            </w:r>
            <w:r>
              <w:rPr>
                <w:b/>
                <w:sz w:val="24"/>
                <w:szCs w:val="24"/>
              </w:rPr>
              <w:t>、</w:t>
            </w:r>
            <w:r>
              <w:rPr>
                <w:rFonts w:hint="eastAsia"/>
                <w:b/>
                <w:sz w:val="24"/>
                <w:szCs w:val="24"/>
              </w:rPr>
              <w:t>水文地质</w:t>
            </w:r>
          </w:p>
          <w:p>
            <w:pPr>
              <w:spacing w:line="480" w:lineRule="exact"/>
              <w:ind w:firstLine="480" w:firstLineChars="200"/>
              <w:rPr>
                <w:sz w:val="24"/>
              </w:rPr>
            </w:pPr>
            <w:r>
              <w:rPr>
                <w:rFonts w:hint="eastAsia"/>
                <w:sz w:val="24"/>
              </w:rPr>
              <w:t>根据《河北省新河县第二次水资源评价报告（2009）》，新河一带属于河北中部冲积湖积平原水文地质区，地下水主要赋存于第四系的各种砂层中，为松散岩类孔隙水，有咸水层分布。在垂直方向上，以第四系地层为基础，水文地质要素为依据，将第四系含水层分为四个含水组，自上而下依次为：</w:t>
            </w:r>
          </w:p>
          <w:p>
            <w:pPr>
              <w:spacing w:line="480" w:lineRule="exact"/>
              <w:ind w:firstLine="480" w:firstLineChars="200"/>
              <w:rPr>
                <w:sz w:val="24"/>
              </w:rPr>
            </w:pPr>
            <w:r>
              <w:rPr>
                <w:rFonts w:hint="eastAsia"/>
                <w:sz w:val="24"/>
              </w:rPr>
              <w:t>（1）第Ⅰ含水岩组：0～44m，岩性为亚粘土、亚砂土、粉细砂、中细砂，主要含水岩性为中细砂、粉细砂，厚度5m左右，富水性1～5m</w:t>
            </w:r>
            <w:r>
              <w:rPr>
                <w:rFonts w:hint="eastAsia"/>
                <w:sz w:val="24"/>
                <w:vertAlign w:val="superscript"/>
              </w:rPr>
              <w:t>3</w:t>
            </w:r>
            <w:r>
              <w:rPr>
                <w:rFonts w:hint="eastAsia"/>
                <w:sz w:val="24"/>
              </w:rPr>
              <w:t>/h·m，水化学类型为SO</w:t>
            </w:r>
            <w:r>
              <w:rPr>
                <w:rFonts w:hint="eastAsia"/>
                <w:sz w:val="24"/>
                <w:vertAlign w:val="subscript"/>
              </w:rPr>
              <w:t>4</w:t>
            </w:r>
            <w:r>
              <w:rPr>
                <w:rFonts w:hint="eastAsia"/>
                <w:sz w:val="24"/>
              </w:rPr>
              <w:t>·Cl-Mg·Na型水，矿化度一般大于4.7g/L，地下水流向由东南向西北；</w:t>
            </w:r>
          </w:p>
          <w:p>
            <w:pPr>
              <w:spacing w:line="480" w:lineRule="exact"/>
              <w:ind w:firstLine="480" w:firstLineChars="200"/>
              <w:rPr>
                <w:sz w:val="24"/>
              </w:rPr>
            </w:pPr>
            <w:r>
              <w:rPr>
                <w:rFonts w:hint="eastAsia"/>
                <w:sz w:val="24"/>
              </w:rPr>
              <w:t>（2）第Ⅱ含水岩组：44～135m，岩性为粘土、亚粘土、亚砂土、粉细砂、中细砂、中砂，主要含水岩性为中砂、中细砂、粉细砂，厚度24m左右，富水性2.5～5.0m</w:t>
            </w:r>
            <w:r>
              <w:rPr>
                <w:rFonts w:hint="eastAsia"/>
                <w:sz w:val="24"/>
                <w:vertAlign w:val="superscript"/>
              </w:rPr>
              <w:t>3</w:t>
            </w:r>
            <w:r>
              <w:rPr>
                <w:rFonts w:hint="eastAsia"/>
                <w:sz w:val="24"/>
              </w:rPr>
              <w:t>/h·m，水化学类型为Cl·SO</w:t>
            </w:r>
            <w:r>
              <w:rPr>
                <w:rFonts w:hint="eastAsia"/>
                <w:sz w:val="24"/>
                <w:vertAlign w:val="subscript"/>
              </w:rPr>
              <w:t>4</w:t>
            </w:r>
            <w:r>
              <w:rPr>
                <w:rFonts w:hint="eastAsia"/>
                <w:sz w:val="24"/>
              </w:rPr>
              <w:t>-Na或HCO</w:t>
            </w:r>
            <w:r>
              <w:rPr>
                <w:rFonts w:hint="eastAsia"/>
                <w:sz w:val="24"/>
                <w:vertAlign w:val="subscript"/>
              </w:rPr>
              <w:t>3</w:t>
            </w:r>
            <w:r>
              <w:rPr>
                <w:rFonts w:hint="eastAsia"/>
                <w:sz w:val="24"/>
              </w:rPr>
              <w:t>-Na型水，矿化度2-4.7g/L；</w:t>
            </w:r>
          </w:p>
          <w:p>
            <w:pPr>
              <w:spacing w:line="480" w:lineRule="exact"/>
              <w:ind w:firstLine="480" w:firstLineChars="200"/>
              <w:rPr>
                <w:sz w:val="24"/>
              </w:rPr>
            </w:pPr>
            <w:r>
              <w:rPr>
                <w:rFonts w:hint="eastAsia"/>
                <w:sz w:val="24"/>
              </w:rPr>
              <w:t>（3）第Ⅲ含水岩组：135～340m，岩性为粘土、亚粘土、亚砂土、粉细砂、中细砂、中粗砂、粗砂，主要含水岩性为粗砂、中粗砂、中细砂、粉细砂，厚度48～61m，富水性10～20m</w:t>
            </w:r>
            <w:r>
              <w:rPr>
                <w:rFonts w:hint="eastAsia"/>
                <w:sz w:val="24"/>
                <w:vertAlign w:val="superscript"/>
              </w:rPr>
              <w:t>3</w:t>
            </w:r>
            <w:r>
              <w:rPr>
                <w:rFonts w:hint="eastAsia"/>
                <w:sz w:val="24"/>
              </w:rPr>
              <w:t>/h·m，水化学类型为Cl·SO</w:t>
            </w:r>
            <w:r>
              <w:rPr>
                <w:rFonts w:hint="eastAsia"/>
                <w:sz w:val="24"/>
                <w:vertAlign w:val="subscript"/>
              </w:rPr>
              <w:t>4</w:t>
            </w:r>
            <w:r>
              <w:rPr>
                <w:rFonts w:hint="eastAsia"/>
                <w:sz w:val="24"/>
              </w:rPr>
              <w:t>-Na或HCO</w:t>
            </w:r>
            <w:r>
              <w:rPr>
                <w:rFonts w:hint="eastAsia"/>
                <w:sz w:val="24"/>
                <w:vertAlign w:val="subscript"/>
              </w:rPr>
              <w:t>3</w:t>
            </w:r>
            <w:r>
              <w:rPr>
                <w:rFonts w:hint="eastAsia"/>
                <w:sz w:val="24"/>
              </w:rPr>
              <w:t>-Na型水，矿化度小于1g/L，地下水流向由西北向东南（冀枣衡漏斗中心）；</w:t>
            </w:r>
          </w:p>
          <w:p>
            <w:pPr>
              <w:spacing w:line="480" w:lineRule="exact"/>
              <w:ind w:firstLine="480" w:firstLineChars="200"/>
              <w:rPr>
                <w:sz w:val="24"/>
              </w:rPr>
            </w:pPr>
            <w:r>
              <w:rPr>
                <w:rFonts w:hint="eastAsia"/>
                <w:sz w:val="24"/>
              </w:rPr>
              <w:t>（4）第Ⅳ含水岩组：340～540m，岩性为粘土、亚粘土、亚砂土、中粗砂，主要含水岩性为中粗砂，透水性差，出水率低，富水性一般小于5m</w:t>
            </w:r>
            <w:r>
              <w:rPr>
                <w:rFonts w:hint="eastAsia"/>
                <w:sz w:val="24"/>
                <w:vertAlign w:val="superscript"/>
              </w:rPr>
              <w:t>3</w:t>
            </w:r>
            <w:r>
              <w:rPr>
                <w:rFonts w:hint="eastAsia"/>
                <w:sz w:val="24"/>
              </w:rPr>
              <w:t>/h·m，水质为HCSO</w:t>
            </w:r>
            <w:r>
              <w:rPr>
                <w:rFonts w:hint="eastAsia"/>
                <w:sz w:val="24"/>
                <w:vertAlign w:val="subscript"/>
              </w:rPr>
              <w:t>4</w:t>
            </w:r>
            <w:r>
              <w:rPr>
                <w:rFonts w:hint="eastAsia"/>
                <w:sz w:val="24"/>
              </w:rPr>
              <w:t>或HCO</w:t>
            </w:r>
            <w:r>
              <w:rPr>
                <w:rFonts w:hint="eastAsia"/>
                <w:sz w:val="24"/>
                <w:vertAlign w:val="subscript"/>
              </w:rPr>
              <w:t>3</w:t>
            </w:r>
            <w:r>
              <w:rPr>
                <w:rFonts w:hint="eastAsia"/>
                <w:sz w:val="24"/>
              </w:rPr>
              <w:t>·Cl型水，矿化度小于1g/L。</w:t>
            </w:r>
          </w:p>
          <w:p>
            <w:pPr>
              <w:spacing w:line="480" w:lineRule="exact"/>
              <w:ind w:firstLine="480"/>
              <w:rPr>
                <w:b/>
                <w:sz w:val="24"/>
                <w:szCs w:val="24"/>
              </w:rPr>
            </w:pPr>
            <w:r>
              <w:rPr>
                <w:rFonts w:hint="eastAsia"/>
                <w:b/>
                <w:sz w:val="24"/>
                <w:szCs w:val="24"/>
              </w:rPr>
              <w:t>5</w:t>
            </w:r>
            <w:r>
              <w:rPr>
                <w:b/>
                <w:sz w:val="24"/>
                <w:szCs w:val="24"/>
              </w:rPr>
              <w:t>、</w:t>
            </w:r>
            <w:r>
              <w:rPr>
                <w:rFonts w:hint="eastAsia"/>
                <w:b/>
                <w:sz w:val="24"/>
                <w:szCs w:val="24"/>
              </w:rPr>
              <w:t>河流水系</w:t>
            </w:r>
          </w:p>
          <w:p>
            <w:pPr>
              <w:adjustRightInd w:val="0"/>
              <w:snapToGrid w:val="0"/>
              <w:spacing w:line="480" w:lineRule="exact"/>
              <w:ind w:firstLine="480" w:firstLineChars="200"/>
              <w:textAlignment w:val="baseline"/>
              <w:rPr>
                <w:sz w:val="24"/>
              </w:rPr>
            </w:pPr>
            <w:r>
              <w:rPr>
                <w:rFonts w:hint="eastAsia"/>
                <w:sz w:val="24"/>
              </w:rPr>
              <w:t>新河县境内主要河流有滏阳河、滏阳新河、滏东排河、西沙河等，分属子牙河和黑龙港水系，上述河流均为季节性河流。</w:t>
            </w:r>
          </w:p>
          <w:p>
            <w:pPr>
              <w:adjustRightInd w:val="0"/>
              <w:snapToGrid w:val="0"/>
              <w:spacing w:line="480" w:lineRule="exact"/>
              <w:ind w:firstLine="480" w:firstLineChars="200"/>
              <w:textAlignment w:val="baseline"/>
              <w:rPr>
                <w:sz w:val="24"/>
              </w:rPr>
            </w:pPr>
            <w:r>
              <w:rPr>
                <w:rFonts w:hint="eastAsia"/>
                <w:sz w:val="24"/>
              </w:rPr>
              <w:t>（1）滏阳河</w:t>
            </w:r>
          </w:p>
          <w:p>
            <w:pPr>
              <w:adjustRightInd w:val="0"/>
              <w:snapToGrid w:val="0"/>
              <w:spacing w:line="480" w:lineRule="exact"/>
              <w:ind w:firstLine="480" w:firstLineChars="200"/>
              <w:textAlignment w:val="baseline"/>
              <w:rPr>
                <w:sz w:val="24"/>
              </w:rPr>
            </w:pPr>
            <w:r>
              <w:rPr>
                <w:rFonts w:hint="eastAsia"/>
                <w:sz w:val="24"/>
              </w:rPr>
              <w:t>滏阳河有二源，北源出于邯郸峰峰矿区釜山南麓；南源为峰峰矿区神麋山之黑龙洞泉群，于峰峰矿区临水镇合流后，趋东南绕磁县城折向东北，流经邯郸、永年、曲周、鸡泽、平乡、穿任县大陆泽过隆尧入宁晋县，于宁晋县艾辛庄东流入新河县境，经荆家庄、埝城、宁晋县曹庄、侯口、新河县三葫芦湾村、芦家庄、池家庄入冀州市，经衡水至献县臧家桥，与滹沱河合流后称子牙河，北达天津汇入大新河，东流入渤海，境内长15.2km。滏阳河入宁晋县时地表水量较少，在汪洋沟河段接纳的上游城市外排生活污水和造纸、制药等工业废水。</w:t>
            </w:r>
          </w:p>
          <w:p>
            <w:pPr>
              <w:adjustRightInd w:val="0"/>
              <w:snapToGrid w:val="0"/>
              <w:spacing w:line="480" w:lineRule="exact"/>
              <w:ind w:firstLine="480" w:firstLineChars="200"/>
              <w:textAlignment w:val="baseline"/>
              <w:rPr>
                <w:sz w:val="24"/>
              </w:rPr>
            </w:pPr>
            <w:r>
              <w:rPr>
                <w:rFonts w:hint="eastAsia"/>
                <w:sz w:val="24"/>
              </w:rPr>
              <w:t>（2）滏阳新河</w:t>
            </w:r>
          </w:p>
          <w:p>
            <w:pPr>
              <w:adjustRightInd w:val="0"/>
              <w:snapToGrid w:val="0"/>
              <w:spacing w:line="480" w:lineRule="exact"/>
              <w:ind w:firstLine="480" w:firstLineChars="200"/>
              <w:textAlignment w:val="baseline"/>
              <w:rPr>
                <w:sz w:val="24"/>
              </w:rPr>
            </w:pPr>
            <w:r>
              <w:rPr>
                <w:rFonts w:hint="eastAsia"/>
                <w:sz w:val="24"/>
              </w:rPr>
              <w:t>滏阳新河是1968年“根治海河”时新辟的泄洪河道，起自艾辛庄枢纽，上接滏阳河，于荆家庄村西入境，至郜宋入冀州市，下至献县桥头村与子牙新河相接，全长133km，境内长18.2km。该河是复式断面，有左、右两大堤构成行洪道，顺左堤开有深水河槽，设计泄洪量为250m</w:t>
            </w:r>
            <w:r>
              <w:rPr>
                <w:rFonts w:hint="eastAsia"/>
                <w:sz w:val="24"/>
                <w:vertAlign w:val="superscript"/>
              </w:rPr>
              <w:t>3</w:t>
            </w:r>
            <w:r>
              <w:rPr>
                <w:rFonts w:hint="eastAsia"/>
                <w:sz w:val="24"/>
              </w:rPr>
              <w:t>/s。新河段地表水体主要来源于上游城市及沿途城镇、村庄的生活污水和工业废水。</w:t>
            </w:r>
          </w:p>
          <w:p>
            <w:pPr>
              <w:adjustRightInd w:val="0"/>
              <w:snapToGrid w:val="0"/>
              <w:spacing w:line="480" w:lineRule="exact"/>
              <w:ind w:firstLine="480" w:firstLineChars="200"/>
              <w:textAlignment w:val="baseline"/>
              <w:rPr>
                <w:sz w:val="24"/>
              </w:rPr>
            </w:pPr>
            <w:r>
              <w:rPr>
                <w:rFonts w:hint="eastAsia"/>
                <w:sz w:val="24"/>
              </w:rPr>
              <w:t>（3）滏东排河</w:t>
            </w:r>
          </w:p>
          <w:p>
            <w:pPr>
              <w:adjustRightInd w:val="0"/>
              <w:snapToGrid w:val="0"/>
              <w:spacing w:line="480" w:lineRule="exact"/>
              <w:ind w:firstLine="480" w:firstLineChars="200"/>
              <w:textAlignment w:val="baseline"/>
              <w:rPr>
                <w:sz w:val="24"/>
              </w:rPr>
            </w:pPr>
            <w:r>
              <w:rPr>
                <w:rFonts w:hint="eastAsia"/>
                <w:sz w:val="24"/>
              </w:rPr>
              <w:t>滏东排河是1965年“根治海河”时人工开挖的排沥河道，起自宁晋县孙家口涵洞处，上承老漳河，沿新(河)、宁(晋)边界至西李家庄村西北入境东折，横贯县境，至挽庄村东入冀州市，经衡水、武邑至献县枢纽，下接北排河。全长132.6 km，境内长24.8km，设计泄洪量为432m</w:t>
            </w:r>
            <w:r>
              <w:rPr>
                <w:rFonts w:hint="eastAsia"/>
                <w:sz w:val="24"/>
                <w:vertAlign w:val="superscript"/>
              </w:rPr>
              <w:t>3</w:t>
            </w:r>
            <w:r>
              <w:rPr>
                <w:rFonts w:hint="eastAsia"/>
                <w:sz w:val="24"/>
              </w:rPr>
              <w:t>/s。目前主要为滏阳新河引水，用于农灌。</w:t>
            </w:r>
          </w:p>
          <w:p>
            <w:pPr>
              <w:adjustRightInd w:val="0"/>
              <w:snapToGrid w:val="0"/>
              <w:spacing w:line="480" w:lineRule="exact"/>
              <w:ind w:firstLine="480" w:firstLineChars="200"/>
              <w:textAlignment w:val="baseline"/>
              <w:rPr>
                <w:sz w:val="24"/>
              </w:rPr>
            </w:pPr>
            <w:r>
              <w:rPr>
                <w:rFonts w:hint="eastAsia"/>
                <w:sz w:val="24"/>
              </w:rPr>
              <w:t>（4）西沙河</w:t>
            </w:r>
          </w:p>
          <w:p>
            <w:pPr>
              <w:adjustRightInd w:val="0"/>
              <w:snapToGrid w:val="0"/>
              <w:spacing w:line="480" w:lineRule="exact"/>
              <w:ind w:firstLine="480" w:firstLineChars="200"/>
              <w:textAlignment w:val="baseline"/>
              <w:rPr>
                <w:sz w:val="24"/>
              </w:rPr>
            </w:pPr>
            <w:r>
              <w:rPr>
                <w:rFonts w:hint="eastAsia"/>
                <w:sz w:val="24"/>
              </w:rPr>
              <w:t>西沙河是1967年“根治海河”时开挖的排水支流河道，上起威县大小高庙，顺威县、广宗与南宫、巨鹿边界北流，至沙里王村南入县境，经毛家庄、故现村向东，顺小漳河故道经河沟、南冯召于台家庄村东南入冀州市，至庄子头入冀码干渠，至西元头与冀南渠汇合，合流后称蜈蚣渠，绕冀州市城东向东北，顺千顷洼东侧至冀衡农场入滏东排河，全长56.7 km，境内长21.6 km，设计泄洪量为40m</w:t>
            </w:r>
            <w:r>
              <w:rPr>
                <w:rFonts w:hint="eastAsia"/>
                <w:sz w:val="24"/>
                <w:vertAlign w:val="superscript"/>
              </w:rPr>
              <w:t>3</w:t>
            </w:r>
            <w:r>
              <w:rPr>
                <w:rFonts w:hint="eastAsia"/>
                <w:sz w:val="24"/>
              </w:rPr>
              <w:t>/s。它是滏东排河的较大支流，目前的主要作用是丰水年排沥和枯水年通过东风渠、跃进渠从滏东排河引水灌溉农田。</w:t>
            </w:r>
          </w:p>
          <w:p>
            <w:pPr>
              <w:adjustRightInd w:val="0"/>
              <w:snapToGrid w:val="0"/>
              <w:spacing w:line="480" w:lineRule="exact"/>
              <w:ind w:firstLine="480" w:firstLineChars="200"/>
              <w:textAlignment w:val="baseline"/>
              <w:rPr>
                <w:sz w:val="24"/>
              </w:rPr>
            </w:pPr>
            <w:r>
              <w:rPr>
                <w:rFonts w:hint="eastAsia"/>
                <w:sz w:val="24"/>
              </w:rPr>
              <w:t>（5）跃进渠</w:t>
            </w:r>
          </w:p>
          <w:p>
            <w:pPr>
              <w:adjustRightInd w:val="0"/>
              <w:snapToGrid w:val="0"/>
              <w:spacing w:line="480" w:lineRule="exact"/>
              <w:ind w:firstLine="480" w:firstLineChars="200"/>
              <w:textAlignment w:val="baseline"/>
              <w:rPr>
                <w:sz w:val="24"/>
              </w:rPr>
            </w:pPr>
            <w:r>
              <w:rPr>
                <w:rFonts w:hint="eastAsia"/>
                <w:sz w:val="24"/>
              </w:rPr>
              <w:t>跃进渠是一条人工开挖的灌溉用渠，每年春天引滏东排河中城市污水做农灌用水，其他季节干枯。其主要作用是在丰水年排沥，枯水年从滏东排河引水灌溉农田。</w:t>
            </w:r>
          </w:p>
          <w:p>
            <w:pPr>
              <w:spacing w:line="480" w:lineRule="exact"/>
              <w:ind w:firstLine="480" w:firstLineChars="200"/>
              <w:rPr>
                <w:b/>
                <w:bCs/>
                <w:kern w:val="0"/>
                <w:sz w:val="24"/>
              </w:rPr>
            </w:pPr>
            <w:r>
              <w:rPr>
                <w:rFonts w:hint="eastAsia"/>
                <w:b/>
                <w:bCs/>
                <w:kern w:val="0"/>
                <w:sz w:val="24"/>
              </w:rPr>
              <w:t>6、土地资源</w:t>
            </w:r>
          </w:p>
          <w:p>
            <w:pPr>
              <w:spacing w:line="480" w:lineRule="exact"/>
              <w:ind w:firstLine="480" w:firstLineChars="200"/>
              <w:rPr>
                <w:sz w:val="24"/>
              </w:rPr>
            </w:pPr>
            <w:r>
              <w:rPr>
                <w:rFonts w:hint="eastAsia"/>
                <w:sz w:val="24"/>
              </w:rPr>
              <w:t>全县土壤共分为一个土类—潮土；三个亚类—褐化潮土、潮土、盐化潮土；五个土属，20个土种。</w:t>
            </w:r>
          </w:p>
          <w:p>
            <w:pPr>
              <w:spacing w:line="480" w:lineRule="exact"/>
              <w:ind w:firstLine="480" w:firstLineChars="200"/>
              <w:rPr>
                <w:sz w:val="24"/>
              </w:rPr>
            </w:pPr>
            <w:r>
              <w:rPr>
                <w:rFonts w:hint="eastAsia"/>
                <w:sz w:val="24"/>
              </w:rPr>
              <w:t>褐化潮土：主要分布在县境Y形沙带的沙丘和滏东排河、滏阳新河河堤旁弃土等地，面积1185.30hm</w:t>
            </w:r>
            <w:r>
              <w:rPr>
                <w:rFonts w:hint="eastAsia"/>
                <w:sz w:val="24"/>
                <w:vertAlign w:val="superscript"/>
              </w:rPr>
              <w:t>2</w:t>
            </w:r>
            <w:r>
              <w:rPr>
                <w:rFonts w:hint="eastAsia"/>
                <w:sz w:val="24"/>
              </w:rPr>
              <w:t>，占土地总面积的3.3%。各土层养分含量低，地势高，干旱缺水，不适宜种植农作物。</w:t>
            </w:r>
          </w:p>
          <w:p>
            <w:pPr>
              <w:spacing w:line="480" w:lineRule="exact"/>
              <w:ind w:firstLine="480" w:firstLineChars="200"/>
              <w:rPr>
                <w:sz w:val="24"/>
              </w:rPr>
            </w:pPr>
            <w:r>
              <w:rPr>
                <w:rFonts w:hint="eastAsia"/>
                <w:sz w:val="24"/>
              </w:rPr>
              <w:t>潮土：在县境分布面积最大，发育在除沙丘以外的广大沉积平原上，面积30674.17hm</w:t>
            </w:r>
            <w:r>
              <w:rPr>
                <w:rFonts w:hint="eastAsia"/>
                <w:sz w:val="24"/>
                <w:vertAlign w:val="superscript"/>
              </w:rPr>
              <w:t>2</w:t>
            </w:r>
            <w:r>
              <w:rPr>
                <w:rFonts w:hint="eastAsia"/>
                <w:sz w:val="24"/>
              </w:rPr>
              <w:t>，占土地总面积的85.4%。潮土地形较平坦，但微地貌类型较多，又因多次沉积，土体构型较复杂，一般剖面沉积层次明显，母质为河流冲积物。耕层一般在0～22cm，质地以砂壤、轻壤为主。土壤质地较粗，耕性好，肥力高，适宜各种农作物生长。</w:t>
            </w:r>
          </w:p>
          <w:p>
            <w:pPr>
              <w:spacing w:line="480" w:lineRule="exact"/>
              <w:ind w:firstLine="480" w:firstLineChars="200"/>
              <w:rPr>
                <w:sz w:val="24"/>
              </w:rPr>
            </w:pPr>
            <w:r>
              <w:rPr>
                <w:rFonts w:hint="eastAsia"/>
                <w:sz w:val="24"/>
              </w:rPr>
              <w:t>盐化潮土：分布于低洼地区的坡地上，如西部卑湿地区，东部几个大低洼盐碱地，以及小漳河故道和葫芦河故道等，面积4058.76hm</w:t>
            </w:r>
            <w:r>
              <w:rPr>
                <w:rFonts w:hint="eastAsia"/>
                <w:sz w:val="24"/>
                <w:vertAlign w:val="superscript"/>
              </w:rPr>
              <w:t>2</w:t>
            </w:r>
            <w:r>
              <w:rPr>
                <w:rFonts w:hint="eastAsia"/>
                <w:sz w:val="24"/>
              </w:rPr>
              <w:t>，占土地总面积的11.3%。</w:t>
            </w:r>
          </w:p>
          <w:p>
            <w:pPr>
              <w:spacing w:line="480" w:lineRule="exact"/>
              <w:ind w:firstLine="480" w:firstLineChars="200"/>
              <w:rPr>
                <w:sz w:val="24"/>
              </w:rPr>
            </w:pPr>
            <w:r>
              <w:rPr>
                <w:rFonts w:hint="eastAsia"/>
                <w:sz w:val="24"/>
              </w:rPr>
              <w:t>本项目所在区域土壤以潮土为主。</w:t>
            </w:r>
          </w:p>
          <w:p>
            <w:pPr>
              <w:spacing w:line="480" w:lineRule="exact"/>
              <w:ind w:firstLine="480" w:firstLineChars="200"/>
              <w:rPr>
                <w:b/>
                <w:bCs/>
                <w:kern w:val="0"/>
                <w:sz w:val="24"/>
              </w:rPr>
            </w:pPr>
            <w:r>
              <w:rPr>
                <w:rFonts w:hint="eastAsia"/>
                <w:b/>
                <w:bCs/>
                <w:kern w:val="0"/>
                <w:sz w:val="24"/>
              </w:rPr>
              <w:t>7、气候气象</w:t>
            </w:r>
          </w:p>
          <w:p>
            <w:pPr>
              <w:spacing w:line="480" w:lineRule="exact"/>
              <w:ind w:firstLine="480" w:firstLineChars="200"/>
              <w:rPr>
                <w:sz w:val="24"/>
              </w:rPr>
            </w:pPr>
            <w:r>
              <w:rPr>
                <w:rFonts w:hint="eastAsia"/>
                <w:sz w:val="24"/>
              </w:rPr>
              <w:t>新河县属暖温带季风气候区。春季干燥多风，夏季炎热多雨，秋季凉爽，冬季寒冷，四季分明。该区域主要气象气候特征参见表10。</w:t>
            </w:r>
          </w:p>
          <w:p>
            <w:pPr>
              <w:spacing w:line="360" w:lineRule="auto"/>
              <w:ind w:firstLine="420" w:firstLineChars="200"/>
              <w:jc w:val="center"/>
              <w:rPr>
                <w:b/>
                <w:szCs w:val="21"/>
              </w:rPr>
            </w:pPr>
            <w:r>
              <w:rPr>
                <w:b/>
                <w:bCs/>
              </w:rPr>
              <w:t>表</w:t>
            </w:r>
            <w:r>
              <w:rPr>
                <w:rFonts w:hint="eastAsia"/>
                <w:b/>
                <w:bCs/>
              </w:rPr>
              <w:t>10</w:t>
            </w:r>
            <w:r>
              <w:rPr>
                <w:b/>
                <w:bCs/>
              </w:rPr>
              <w:t xml:space="preserve">    区域主要气象参数统计数据一览表</w:t>
            </w:r>
          </w:p>
          <w:tbl>
            <w:tblPr>
              <w:tblStyle w:val="31"/>
              <w:tblW w:w="876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663"/>
              <w:gridCol w:w="1206"/>
              <w:gridCol w:w="1522"/>
              <w:gridCol w:w="1897"/>
              <w:gridCol w:w="1210"/>
              <w:gridCol w:w="12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663" w:type="dxa"/>
                  <w:vAlign w:val="center"/>
                </w:tcPr>
                <w:p>
                  <w:pPr>
                    <w:spacing w:line="320" w:lineRule="exact"/>
                    <w:jc w:val="center"/>
                    <w:rPr>
                      <w:b/>
                      <w:bCs/>
                    </w:rPr>
                  </w:pPr>
                  <w:r>
                    <w:rPr>
                      <w:b/>
                      <w:bCs/>
                    </w:rPr>
                    <w:t>项  目</w:t>
                  </w:r>
                </w:p>
              </w:tc>
              <w:tc>
                <w:tcPr>
                  <w:tcW w:w="1206" w:type="dxa"/>
                  <w:vAlign w:val="center"/>
                </w:tcPr>
                <w:p>
                  <w:pPr>
                    <w:spacing w:line="320" w:lineRule="exact"/>
                    <w:jc w:val="center"/>
                    <w:rPr>
                      <w:b/>
                      <w:bCs/>
                    </w:rPr>
                  </w:pPr>
                  <w:r>
                    <w:rPr>
                      <w:b/>
                      <w:bCs/>
                    </w:rPr>
                    <w:t>单位</w:t>
                  </w:r>
                </w:p>
              </w:tc>
              <w:tc>
                <w:tcPr>
                  <w:tcW w:w="1522" w:type="dxa"/>
                  <w:tcBorders>
                    <w:right w:val="double" w:color="auto" w:sz="4" w:space="0"/>
                  </w:tcBorders>
                  <w:vAlign w:val="center"/>
                </w:tcPr>
                <w:p>
                  <w:pPr>
                    <w:spacing w:line="320" w:lineRule="exact"/>
                    <w:jc w:val="center"/>
                    <w:rPr>
                      <w:b/>
                      <w:bCs/>
                    </w:rPr>
                  </w:pPr>
                  <w:r>
                    <w:rPr>
                      <w:b/>
                      <w:bCs/>
                    </w:rPr>
                    <w:t>数据</w:t>
                  </w:r>
                </w:p>
              </w:tc>
              <w:tc>
                <w:tcPr>
                  <w:tcW w:w="1897" w:type="dxa"/>
                  <w:tcBorders>
                    <w:left w:val="double" w:color="auto" w:sz="4" w:space="0"/>
                  </w:tcBorders>
                  <w:vAlign w:val="center"/>
                </w:tcPr>
                <w:p>
                  <w:pPr>
                    <w:spacing w:line="320" w:lineRule="exact"/>
                    <w:jc w:val="center"/>
                    <w:rPr>
                      <w:b/>
                      <w:bCs/>
                    </w:rPr>
                  </w:pPr>
                  <w:r>
                    <w:rPr>
                      <w:b/>
                      <w:bCs/>
                    </w:rPr>
                    <w:t>项  目</w:t>
                  </w:r>
                </w:p>
              </w:tc>
              <w:tc>
                <w:tcPr>
                  <w:tcW w:w="1210" w:type="dxa"/>
                  <w:vAlign w:val="center"/>
                </w:tcPr>
                <w:p>
                  <w:pPr>
                    <w:spacing w:line="320" w:lineRule="exact"/>
                    <w:jc w:val="center"/>
                    <w:rPr>
                      <w:b/>
                      <w:bCs/>
                    </w:rPr>
                  </w:pPr>
                  <w:r>
                    <w:rPr>
                      <w:b/>
                      <w:bCs/>
                    </w:rPr>
                    <w:t>单位</w:t>
                  </w:r>
                </w:p>
              </w:tc>
              <w:tc>
                <w:tcPr>
                  <w:tcW w:w="1269" w:type="dxa"/>
                  <w:vAlign w:val="center"/>
                </w:tcPr>
                <w:p>
                  <w:pPr>
                    <w:spacing w:line="320" w:lineRule="exact"/>
                    <w:jc w:val="center"/>
                    <w:rPr>
                      <w:b/>
                      <w:bCs/>
                    </w:rPr>
                  </w:pPr>
                  <w:r>
                    <w:rPr>
                      <w:b/>
                      <w:bCs/>
                    </w:rPr>
                    <w:t>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663" w:type="dxa"/>
                  <w:vAlign w:val="center"/>
                </w:tcPr>
                <w:p>
                  <w:pPr>
                    <w:spacing w:line="320" w:lineRule="exact"/>
                    <w:jc w:val="center"/>
                  </w:pPr>
                  <w:r>
                    <w:t>年平均温度</w:t>
                  </w:r>
                </w:p>
              </w:tc>
              <w:tc>
                <w:tcPr>
                  <w:tcW w:w="1206" w:type="dxa"/>
                  <w:vAlign w:val="center"/>
                </w:tcPr>
                <w:p>
                  <w:pPr>
                    <w:spacing w:line="320" w:lineRule="exact"/>
                    <w:jc w:val="center"/>
                  </w:pPr>
                  <w:r>
                    <w:t>℃</w:t>
                  </w:r>
                </w:p>
              </w:tc>
              <w:tc>
                <w:tcPr>
                  <w:tcW w:w="1522" w:type="dxa"/>
                  <w:tcBorders>
                    <w:right w:val="double" w:color="auto" w:sz="4" w:space="0"/>
                  </w:tcBorders>
                  <w:vAlign w:val="center"/>
                </w:tcPr>
                <w:p>
                  <w:pPr>
                    <w:spacing w:line="320" w:lineRule="exact"/>
                    <w:jc w:val="center"/>
                  </w:pPr>
                  <w:r>
                    <w:t>13.1</w:t>
                  </w:r>
                </w:p>
              </w:tc>
              <w:tc>
                <w:tcPr>
                  <w:tcW w:w="1897" w:type="dxa"/>
                  <w:tcBorders>
                    <w:left w:val="double" w:color="auto" w:sz="4" w:space="0"/>
                  </w:tcBorders>
                  <w:vAlign w:val="center"/>
                </w:tcPr>
                <w:p>
                  <w:pPr>
                    <w:spacing w:line="320" w:lineRule="exact"/>
                    <w:jc w:val="center"/>
                  </w:pPr>
                  <w:r>
                    <w:t>年平均相对湿度</w:t>
                  </w:r>
                </w:p>
              </w:tc>
              <w:tc>
                <w:tcPr>
                  <w:tcW w:w="1210" w:type="dxa"/>
                  <w:vAlign w:val="center"/>
                </w:tcPr>
                <w:p>
                  <w:pPr>
                    <w:spacing w:line="320" w:lineRule="exact"/>
                    <w:jc w:val="center"/>
                  </w:pPr>
                  <w:r>
                    <w:t>%</w:t>
                  </w:r>
                </w:p>
              </w:tc>
              <w:tc>
                <w:tcPr>
                  <w:tcW w:w="1269" w:type="dxa"/>
                  <w:vAlign w:val="center"/>
                </w:tcPr>
                <w:p>
                  <w:pPr>
                    <w:spacing w:line="320" w:lineRule="exact"/>
                    <w:jc w:val="center"/>
                  </w:pPr>
                  <w:r>
                    <w:t>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663" w:type="dxa"/>
                  <w:vAlign w:val="center"/>
                </w:tcPr>
                <w:p>
                  <w:pPr>
                    <w:spacing w:line="320" w:lineRule="exact"/>
                    <w:jc w:val="center"/>
                  </w:pPr>
                  <w:r>
                    <w:t>年平均降雨量</w:t>
                  </w:r>
                </w:p>
              </w:tc>
              <w:tc>
                <w:tcPr>
                  <w:tcW w:w="1206" w:type="dxa"/>
                  <w:vAlign w:val="center"/>
                </w:tcPr>
                <w:p>
                  <w:pPr>
                    <w:spacing w:line="320" w:lineRule="exact"/>
                    <w:jc w:val="center"/>
                  </w:pPr>
                  <w:r>
                    <w:t>mm</w:t>
                  </w:r>
                </w:p>
              </w:tc>
              <w:tc>
                <w:tcPr>
                  <w:tcW w:w="1522" w:type="dxa"/>
                  <w:tcBorders>
                    <w:right w:val="double" w:color="auto" w:sz="4" w:space="0"/>
                  </w:tcBorders>
                  <w:vAlign w:val="center"/>
                </w:tcPr>
                <w:p>
                  <w:pPr>
                    <w:spacing w:line="320" w:lineRule="exact"/>
                    <w:jc w:val="center"/>
                  </w:pPr>
                  <w:r>
                    <w:t>458.7</w:t>
                  </w:r>
                </w:p>
              </w:tc>
              <w:tc>
                <w:tcPr>
                  <w:tcW w:w="1897" w:type="dxa"/>
                  <w:tcBorders>
                    <w:left w:val="double" w:color="auto" w:sz="4" w:space="0"/>
                  </w:tcBorders>
                  <w:vAlign w:val="center"/>
                </w:tcPr>
                <w:p>
                  <w:pPr>
                    <w:spacing w:line="320" w:lineRule="exact"/>
                    <w:jc w:val="center"/>
                  </w:pPr>
                  <w:r>
                    <w:t>年极端最高温度</w:t>
                  </w:r>
                </w:p>
              </w:tc>
              <w:tc>
                <w:tcPr>
                  <w:tcW w:w="1210" w:type="dxa"/>
                  <w:vAlign w:val="center"/>
                </w:tcPr>
                <w:p>
                  <w:pPr>
                    <w:spacing w:line="320" w:lineRule="exact"/>
                    <w:jc w:val="center"/>
                  </w:pPr>
                  <w:r>
                    <w:t>℃</w:t>
                  </w:r>
                </w:p>
              </w:tc>
              <w:tc>
                <w:tcPr>
                  <w:tcW w:w="1269" w:type="dxa"/>
                  <w:vAlign w:val="center"/>
                </w:tcPr>
                <w:p>
                  <w:pPr>
                    <w:spacing w:line="320" w:lineRule="exact"/>
                    <w:jc w:val="center"/>
                  </w:pPr>
                  <w:r>
                    <w:t>42.7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663" w:type="dxa"/>
                  <w:vAlign w:val="center"/>
                </w:tcPr>
                <w:p>
                  <w:pPr>
                    <w:spacing w:line="320" w:lineRule="exact"/>
                    <w:jc w:val="center"/>
                  </w:pPr>
                  <w:r>
                    <w:t>年最大降雨量</w:t>
                  </w:r>
                </w:p>
              </w:tc>
              <w:tc>
                <w:tcPr>
                  <w:tcW w:w="1206" w:type="dxa"/>
                  <w:vAlign w:val="center"/>
                </w:tcPr>
                <w:p>
                  <w:pPr>
                    <w:spacing w:line="320" w:lineRule="exact"/>
                    <w:jc w:val="center"/>
                  </w:pPr>
                  <w:r>
                    <w:t>mm</w:t>
                  </w:r>
                </w:p>
              </w:tc>
              <w:tc>
                <w:tcPr>
                  <w:tcW w:w="1522" w:type="dxa"/>
                  <w:tcBorders>
                    <w:right w:val="double" w:color="auto" w:sz="4" w:space="0"/>
                  </w:tcBorders>
                  <w:vAlign w:val="center"/>
                </w:tcPr>
                <w:p>
                  <w:pPr>
                    <w:spacing w:line="320" w:lineRule="exact"/>
                    <w:jc w:val="center"/>
                  </w:pPr>
                  <w:r>
                    <w:t>725.8</w:t>
                  </w:r>
                </w:p>
              </w:tc>
              <w:tc>
                <w:tcPr>
                  <w:tcW w:w="1897" w:type="dxa"/>
                  <w:tcBorders>
                    <w:left w:val="double" w:color="auto" w:sz="4" w:space="0"/>
                  </w:tcBorders>
                  <w:vAlign w:val="center"/>
                </w:tcPr>
                <w:p>
                  <w:pPr>
                    <w:spacing w:line="320" w:lineRule="exact"/>
                    <w:jc w:val="center"/>
                  </w:pPr>
                  <w:r>
                    <w:t>年极端最低温度</w:t>
                  </w:r>
                </w:p>
              </w:tc>
              <w:tc>
                <w:tcPr>
                  <w:tcW w:w="1210" w:type="dxa"/>
                  <w:vAlign w:val="center"/>
                </w:tcPr>
                <w:p>
                  <w:pPr>
                    <w:spacing w:line="320" w:lineRule="exact"/>
                    <w:jc w:val="center"/>
                  </w:pPr>
                  <w:r>
                    <w:t>℃</w:t>
                  </w:r>
                </w:p>
              </w:tc>
              <w:tc>
                <w:tcPr>
                  <w:tcW w:w="1269" w:type="dxa"/>
                  <w:vAlign w:val="center"/>
                </w:tcPr>
                <w:p>
                  <w:pPr>
                    <w:spacing w:line="320" w:lineRule="exact"/>
                    <w:jc w:val="center"/>
                  </w:pPr>
                  <w:r>
                    <w:t>-22.7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663" w:type="dxa"/>
                  <w:vAlign w:val="center"/>
                </w:tcPr>
                <w:p>
                  <w:pPr>
                    <w:spacing w:line="320" w:lineRule="exact"/>
                    <w:jc w:val="center"/>
                  </w:pPr>
                  <w:r>
                    <w:t>年最小降雨量</w:t>
                  </w:r>
                </w:p>
              </w:tc>
              <w:tc>
                <w:tcPr>
                  <w:tcW w:w="1206" w:type="dxa"/>
                  <w:vAlign w:val="center"/>
                </w:tcPr>
                <w:p>
                  <w:pPr>
                    <w:spacing w:line="320" w:lineRule="exact"/>
                    <w:jc w:val="center"/>
                  </w:pPr>
                  <w:r>
                    <w:t>mm</w:t>
                  </w:r>
                </w:p>
              </w:tc>
              <w:tc>
                <w:tcPr>
                  <w:tcW w:w="1522" w:type="dxa"/>
                  <w:tcBorders>
                    <w:right w:val="double" w:color="auto" w:sz="4" w:space="0"/>
                  </w:tcBorders>
                  <w:vAlign w:val="center"/>
                </w:tcPr>
                <w:p>
                  <w:pPr>
                    <w:spacing w:line="320" w:lineRule="exact"/>
                    <w:jc w:val="center"/>
                  </w:pPr>
                  <w:r>
                    <w:t>218.0</w:t>
                  </w:r>
                </w:p>
              </w:tc>
              <w:tc>
                <w:tcPr>
                  <w:tcW w:w="1897" w:type="dxa"/>
                  <w:tcBorders>
                    <w:left w:val="double" w:color="auto" w:sz="4" w:space="0"/>
                  </w:tcBorders>
                  <w:vAlign w:val="center"/>
                </w:tcPr>
                <w:p>
                  <w:pPr>
                    <w:spacing w:line="320" w:lineRule="exact"/>
                    <w:jc w:val="center"/>
                  </w:pPr>
                  <w:r>
                    <w:t>年平均总日照时数</w:t>
                  </w:r>
                </w:p>
              </w:tc>
              <w:tc>
                <w:tcPr>
                  <w:tcW w:w="1210" w:type="dxa"/>
                  <w:vAlign w:val="center"/>
                </w:tcPr>
                <w:p>
                  <w:pPr>
                    <w:spacing w:line="320" w:lineRule="exact"/>
                    <w:jc w:val="center"/>
                  </w:pPr>
                  <w:r>
                    <w:t>h</w:t>
                  </w:r>
                </w:p>
              </w:tc>
              <w:tc>
                <w:tcPr>
                  <w:tcW w:w="1269" w:type="dxa"/>
                  <w:vAlign w:val="center"/>
                </w:tcPr>
                <w:p>
                  <w:pPr>
                    <w:spacing w:line="320" w:lineRule="exact"/>
                    <w:jc w:val="center"/>
                  </w:pPr>
                  <w:r>
                    <w:t>2409.1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663" w:type="dxa"/>
                  <w:vAlign w:val="center"/>
                </w:tcPr>
                <w:p>
                  <w:pPr>
                    <w:spacing w:line="320" w:lineRule="exact"/>
                    <w:jc w:val="center"/>
                  </w:pPr>
                  <w:r>
                    <w:t>年平均风速</w:t>
                  </w:r>
                </w:p>
              </w:tc>
              <w:tc>
                <w:tcPr>
                  <w:tcW w:w="1206" w:type="dxa"/>
                  <w:vAlign w:val="center"/>
                </w:tcPr>
                <w:p>
                  <w:pPr>
                    <w:spacing w:line="320" w:lineRule="exact"/>
                    <w:jc w:val="center"/>
                  </w:pPr>
                  <w:r>
                    <w:t>m/s</w:t>
                  </w:r>
                </w:p>
              </w:tc>
              <w:tc>
                <w:tcPr>
                  <w:tcW w:w="1522" w:type="dxa"/>
                  <w:tcBorders>
                    <w:right w:val="double" w:color="auto" w:sz="4" w:space="0"/>
                  </w:tcBorders>
                  <w:vAlign w:val="center"/>
                </w:tcPr>
                <w:p>
                  <w:pPr>
                    <w:spacing w:line="320" w:lineRule="exact"/>
                    <w:jc w:val="center"/>
                  </w:pPr>
                  <w:r>
                    <w:t>2.1</w:t>
                  </w:r>
                </w:p>
              </w:tc>
              <w:tc>
                <w:tcPr>
                  <w:tcW w:w="1897" w:type="dxa"/>
                  <w:tcBorders>
                    <w:left w:val="double" w:color="auto" w:sz="4" w:space="0"/>
                  </w:tcBorders>
                  <w:vAlign w:val="center"/>
                </w:tcPr>
                <w:p>
                  <w:pPr>
                    <w:spacing w:line="320" w:lineRule="exact"/>
                    <w:jc w:val="center"/>
                  </w:pPr>
                  <w:r>
                    <w:t>最多风向</w:t>
                  </w:r>
                </w:p>
              </w:tc>
              <w:tc>
                <w:tcPr>
                  <w:tcW w:w="1210" w:type="dxa"/>
                  <w:vAlign w:val="center"/>
                </w:tcPr>
                <w:p>
                  <w:pPr>
                    <w:spacing w:line="320" w:lineRule="exact"/>
                    <w:jc w:val="center"/>
                  </w:pPr>
                  <w:r>
                    <w:t>--</w:t>
                  </w:r>
                </w:p>
              </w:tc>
              <w:tc>
                <w:tcPr>
                  <w:tcW w:w="1269" w:type="dxa"/>
                  <w:vAlign w:val="center"/>
                </w:tcPr>
                <w:p>
                  <w:pPr>
                    <w:spacing w:line="320" w:lineRule="exact"/>
                    <w:jc w:val="center"/>
                  </w:pPr>
                  <w:r>
                    <w:t>S</w:t>
                  </w:r>
                </w:p>
              </w:tc>
            </w:tr>
          </w:tbl>
          <w:p>
            <w:pPr>
              <w:spacing w:line="480" w:lineRule="exact"/>
              <w:ind w:firstLine="480" w:firstLineChars="200"/>
              <w:rPr>
                <w:b/>
                <w:bCs/>
                <w:kern w:val="0"/>
                <w:sz w:val="24"/>
              </w:rPr>
            </w:pPr>
            <w:r>
              <w:rPr>
                <w:rFonts w:hint="eastAsia"/>
                <w:b/>
                <w:bCs/>
                <w:kern w:val="0"/>
                <w:sz w:val="24"/>
              </w:rPr>
              <w:t>8、植被、生物多样性</w:t>
            </w:r>
          </w:p>
          <w:p>
            <w:pPr>
              <w:spacing w:line="480" w:lineRule="exact"/>
              <w:ind w:firstLine="480" w:firstLineChars="200"/>
              <w:rPr>
                <w:kern w:val="0"/>
                <w:sz w:val="24"/>
              </w:rPr>
            </w:pPr>
            <w:r>
              <w:rPr>
                <w:rFonts w:hint="eastAsia"/>
                <w:kern w:val="0"/>
                <w:sz w:val="24"/>
              </w:rPr>
              <w:t>新河县属暖温带半干旱区，自然植被多为旱生或半干旱型植物。植被大体可分为四个类型，西部卑湿积涝地植被主要有：马唐、小旋花、小蓟、马齿、碱蓬等；中部沙压地植被主要有：茅草、地丁、篷子菜等；低洼地植被主要有：芦草、茅草等；平原地植被主要有：马唐、狗尾草、苍耳、刺菜、酸模、杨、柳、榆、槐等。人工栽培乔木树种主要有：杨、柳、榆、槐、椿、泡桐、苹果、梨、杏、枣等乡土树种；农作物主要有小麦、玉米、棉花、大豆、红薯等。</w:t>
            </w:r>
          </w:p>
          <w:p>
            <w:pPr>
              <w:spacing w:line="480" w:lineRule="exact"/>
              <w:ind w:firstLine="480" w:firstLineChars="200"/>
              <w:rPr>
                <w:kern w:val="0"/>
                <w:sz w:val="24"/>
              </w:rPr>
            </w:pPr>
            <w:r>
              <w:rPr>
                <w:rFonts w:hint="eastAsia"/>
                <w:kern w:val="0"/>
                <w:sz w:val="24"/>
              </w:rPr>
              <w:t>新河县内野生动物主要有刺猬、老鼠、野兔、麻雀、乌鸦、喜鹊、燕子等。由于受人类活动的影响已无珍稀特有野生动物，县内有陆生野生脊椎动物3纲10目13科13属15种，昆虫12目69科95种。</w:t>
            </w:r>
          </w:p>
          <w:p>
            <w:pPr>
              <w:spacing w:line="480" w:lineRule="exact"/>
              <w:ind w:firstLine="480" w:firstLineChars="200"/>
              <w:rPr>
                <w:kern w:val="0"/>
                <w:sz w:val="24"/>
              </w:rPr>
            </w:pPr>
            <w:r>
              <w:rPr>
                <w:rFonts w:hint="eastAsia"/>
                <w:kern w:val="0"/>
                <w:sz w:val="24"/>
              </w:rPr>
              <w:t>本项目区域内植被类型以农作物类栽培植被为主，自然植被和野生动物稀少，其中自然植被以马唐和狗尾草群落为主，野生动物主要为老鼠、麻雀、燕子等，群落结构与物种组成较为简单。</w:t>
            </w:r>
          </w:p>
          <w:p>
            <w:pPr>
              <w:spacing w:line="360" w:lineRule="auto"/>
              <w:ind w:firstLine="480" w:firstLineChars="200"/>
              <w:rPr>
                <w:rFonts w:hint="default" w:ascii="Times New Roman" w:hAnsi="Times New Roman" w:cs="Times New Roman"/>
                <w:b/>
                <w:bCs/>
                <w:color w:val="auto"/>
                <w:kern w:val="0"/>
                <w:sz w:val="24"/>
              </w:rPr>
            </w:pPr>
            <w:r>
              <w:rPr>
                <w:rFonts w:hint="eastAsia" w:ascii="Times New Roman" w:hAnsi="Times New Roman" w:cs="Times New Roman"/>
                <w:b/>
                <w:bCs/>
                <w:color w:val="auto"/>
                <w:kern w:val="0"/>
                <w:sz w:val="24"/>
                <w:lang w:val="en-US" w:eastAsia="zh-CN"/>
              </w:rPr>
              <w:t>9</w:t>
            </w:r>
            <w:r>
              <w:rPr>
                <w:rFonts w:hint="default" w:ascii="Times New Roman" w:hAnsi="Times New Roman" w:cs="Times New Roman"/>
                <w:b/>
                <w:bCs/>
                <w:color w:val="auto"/>
                <w:kern w:val="0"/>
                <w:sz w:val="24"/>
              </w:rPr>
              <w:t>、</w:t>
            </w:r>
            <w:r>
              <w:rPr>
                <w:rFonts w:hint="eastAsia"/>
                <w:b/>
                <w:bCs/>
                <w:color w:val="auto"/>
                <w:sz w:val="24"/>
              </w:rPr>
              <w:t>新河县工业园区概况</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2009年新河县人民政府依托新河县城总体规划的工业用地设立了新河县城工业区并编制了工业区总体规划，规划面积9.0km</w:t>
            </w:r>
            <w:r>
              <w:rPr>
                <w:rFonts w:hint="default"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规划以生物化工、装备制造、轻工和盐加工储备为主导产业。工业区分为三个园，其中在县城西部的工业园发展生物化工和轻工业；在县城东南部的工业园发展装备制造业和轻工业，308国道东侧设立盐储加工园，发展盐储加工业和物流业。该规划环境影响报告书已于 2010年2月通过了河北省环境保护厅审查(冀环评函[2010]59 号)。2011年8月，新河县人民政府依托新河县城工业区进行了扩区，并编制了工业区扩区总体规划，规划范围西至滨河路，东至规划东外环，南至规划春秋路，北至时代东路-英雄路-时代西路以南，规划面积24.4km</w:t>
            </w:r>
            <w:r>
              <w:rPr>
                <w:rFonts w:hint="default"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，以高新技术产业、装备制造产业、精细化工产业、新型材料产业和仓储物流业为主导发展产业，同时取消了新河县城工业区盐储加工产业，扩区完成后，工业区总规划面积为31.7km</w:t>
            </w:r>
            <w:r>
              <w:rPr>
                <w:rFonts w:hint="default"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该规划环境影响报告书已于2011年12月通过了河北省环境保护厅审查(冀环评函[2011]1276号)。2012年6月，新河县人民政府对扩区规划进行了优化调整，调整后的扩区规划产业增加了肥料制造产业，并对产业布局和用地布局进行了适当调整，规划范围不变。调整后的扩区规划环境影响评价报告书已于2013年1月通过了河北省环境保护厅审查(冀环评函[2013]143号)。另外，2012年4月5日，经河北省人民政府同意，将新河县城工业区纳入省级开发区（园区）管理序列，并更名为“河北新河经济开发区”。</w:t>
            </w:r>
          </w:p>
          <w:p>
            <w:pPr>
              <w:spacing w:line="360" w:lineRule="auto"/>
              <w:ind w:firstLine="480" w:firstLineChars="200"/>
              <w:rPr>
                <w:color w:val="auto"/>
              </w:rPr>
            </w:pPr>
            <w:r>
              <w:rPr>
                <w:rFonts w:hint="default" w:ascii="Times New Roman" w:hAnsi="Times New Roman" w:eastAsia="宋体" w:cs="Times New Roman"/>
                <w:color w:val="auto"/>
                <w:kern w:val="0"/>
                <w:sz w:val="24"/>
                <w:szCs w:val="24"/>
                <w:lang w:val="en-US" w:eastAsia="zh-CN" w:bidi="ar"/>
              </w:rPr>
              <w:t>在规划实际实施过程中，由于经济发展形势和工业区发展定位发生变化，原规划产业聚集度不高，导致其产业结构和布局已不再适用当前发展需求，且新河县城乡总体规划（2013-2030年）已将部分开发区用地范围纳入新河县中心城区规划范围内。因此，为进一步推动开发区产业转型升级，优化开发区发展空间和布局，更好地指导开发区健康长远发展，新河县人民政府决定对开发区规划范围、产业结构及用地布局等规划内容进行了优化调整，并重新编制了《河北新河经济开发区总体规划（2016-2030年）》。</w:t>
            </w:r>
            <w:r>
              <w:rPr>
                <w:rFonts w:hint="eastAsia"/>
                <w:color w:val="auto"/>
                <w:kern w:val="0"/>
                <w:sz w:val="24"/>
                <w:lang w:eastAsia="zh-CN"/>
              </w:rPr>
              <w:t>河北新河经济开发区总体规划环境影响报告书于</w:t>
            </w:r>
            <w:r>
              <w:rPr>
                <w:rFonts w:hint="eastAsia"/>
                <w:color w:val="auto"/>
                <w:kern w:val="0"/>
                <w:sz w:val="24"/>
                <w:lang w:val="en-US" w:eastAsia="zh-CN"/>
              </w:rPr>
              <w:t>2017年12月27日得到河北省环境保护厅的审批意见</w:t>
            </w:r>
            <w:r>
              <w:rPr>
                <w:rFonts w:hint="default" w:ascii="Times New Roman" w:hAnsi="Times New Roman" w:eastAsia="宋体" w:cs="Times New Roman"/>
                <w:color w:val="auto"/>
                <w:kern w:val="0"/>
                <w:sz w:val="24"/>
                <w:szCs w:val="24"/>
                <w:lang w:val="en-US" w:eastAsia="zh-CN" w:bidi="ar"/>
              </w:rPr>
              <w:t>(冀环评函[201</w:t>
            </w:r>
            <w:r>
              <w:rPr>
                <w:rFonts w:hint="eastAsia" w:ascii="Times New Roman" w:hAnsi="Times New Roman" w:eastAsia="宋体" w:cs="Times New Roman"/>
                <w:color w:val="auto"/>
                <w:kern w:val="0"/>
                <w:sz w:val="24"/>
                <w:szCs w:val="24"/>
                <w:lang w:val="en-US" w:eastAsia="zh-CN" w:bidi="ar"/>
              </w:rPr>
              <w:t>7</w:t>
            </w:r>
            <w:r>
              <w:rPr>
                <w:rFonts w:hint="default" w:ascii="Times New Roman" w:hAnsi="Times New Roman" w:eastAsia="宋体" w:cs="Times New Roman"/>
                <w:color w:val="auto"/>
                <w:kern w:val="0"/>
                <w:sz w:val="24"/>
                <w:szCs w:val="24"/>
                <w:lang w:val="en-US" w:eastAsia="zh-CN" w:bidi="ar"/>
              </w:rPr>
              <w:t>]14</w:t>
            </w:r>
            <w:r>
              <w:rPr>
                <w:rFonts w:hint="eastAsia" w:ascii="Times New Roman" w:hAnsi="Times New Roman" w:eastAsia="宋体" w:cs="Times New Roman"/>
                <w:color w:val="auto"/>
                <w:kern w:val="0"/>
                <w:sz w:val="24"/>
                <w:szCs w:val="24"/>
                <w:lang w:val="en-US" w:eastAsia="zh-CN" w:bidi="ar"/>
              </w:rPr>
              <w:t>66</w:t>
            </w:r>
            <w:r>
              <w:rPr>
                <w:rFonts w:hint="default" w:ascii="Times New Roman" w:hAnsi="Times New Roman" w:eastAsia="宋体" w:cs="Times New Roman"/>
                <w:color w:val="auto"/>
                <w:kern w:val="0"/>
                <w:sz w:val="24"/>
                <w:szCs w:val="24"/>
                <w:lang w:val="en-US" w:eastAsia="zh-CN" w:bidi="ar"/>
              </w:rPr>
              <w:t>号)</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调整后，河北新河经济开发区(以下简称“开发区”)规划期限为2016-2030年，其中规划近期为2016-2020 年，规划远期为2021-2030年，至规划远期工业生产总值达到200亿元。开发区规划以生物化工、装备制造、新能源新材料和现代物流为主导产业，规划总面积14.07km</w:t>
            </w:r>
            <w:r>
              <w:rPr>
                <w:rFonts w:hint="default"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，分为县城东、西两片区。其中，开发区东区规划范围东至规划二路，西至东外环路，南至西排沙河，北至时代路，规划面积8.30km</w:t>
            </w:r>
            <w:r>
              <w:rPr>
                <w:rFonts w:hint="default"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，规划以新能源新材料、装备制造和现代物流为主导产业；西区规划范围东至利新街，西至231国道，南至滨河南路，北至北环路，规划面积5.77km</w:t>
            </w:r>
            <w:r>
              <w:rPr>
                <w:rFonts w:hint="default"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，规划以生物化工和装备制造为主导产业。</w:t>
            </w:r>
          </w:p>
          <w:p>
            <w:pPr>
              <w:spacing w:line="360" w:lineRule="auto"/>
              <w:ind w:firstLine="480" w:firstLineChars="200"/>
              <w:rPr>
                <w:color w:val="auto"/>
                <w:kern w:val="0"/>
                <w:sz w:val="24"/>
              </w:rPr>
            </w:pPr>
            <w:r>
              <w:rPr>
                <w:rFonts w:hint="default" w:ascii="Times New Roman" w:hAnsi="Times New Roman" w:eastAsia="宋体" w:cs="Times New Roman"/>
                <w:color w:val="auto"/>
                <w:sz w:val="24"/>
                <w:szCs w:val="24"/>
              </w:rPr>
              <w:t>项目属于采矿、冶金、建筑专用设备制造，位于</w:t>
            </w:r>
            <w:r>
              <w:rPr>
                <w:rFonts w:hint="default" w:ascii="Times New Roman" w:hAnsi="Times New Roman" w:eastAsia="宋体" w:cs="Times New Roman"/>
                <w:color w:val="auto"/>
                <w:kern w:val="0"/>
                <w:sz w:val="24"/>
                <w:szCs w:val="24"/>
                <w:lang w:val="en-US" w:eastAsia="zh-CN" w:bidi="ar"/>
              </w:rPr>
              <w:t>河北新河经济开发区</w:t>
            </w:r>
            <w:r>
              <w:rPr>
                <w:rFonts w:hint="default" w:ascii="Times New Roman" w:hAnsi="Times New Roman" w:eastAsia="宋体" w:cs="Times New Roman"/>
                <w:color w:val="auto"/>
                <w:sz w:val="24"/>
                <w:szCs w:val="24"/>
              </w:rPr>
              <w:t>的装备制造产业</w:t>
            </w:r>
            <w:r>
              <w:rPr>
                <w:rFonts w:hint="eastAsia" w:ascii="Times New Roman" w:hAnsi="Times New Roman" w:eastAsia="宋体" w:cs="Times New Roman"/>
                <w:color w:val="auto"/>
                <w:sz w:val="24"/>
                <w:szCs w:val="24"/>
                <w:lang w:eastAsia="zh-CN"/>
              </w:rPr>
              <w:t>园（见附图）</w:t>
            </w:r>
            <w:r>
              <w:rPr>
                <w:rFonts w:hint="default" w:ascii="Times New Roman" w:hAnsi="Times New Roman" w:eastAsia="宋体" w:cs="Times New Roman"/>
                <w:color w:val="auto"/>
                <w:sz w:val="24"/>
                <w:szCs w:val="24"/>
              </w:rPr>
              <w:t>，符合工业园区产业规划要求。根据</w:t>
            </w:r>
            <w:r>
              <w:rPr>
                <w:color w:val="auto"/>
                <w:sz w:val="24"/>
                <w:szCs w:val="24"/>
              </w:rPr>
              <w:t>新河</w:t>
            </w:r>
            <w:r>
              <w:rPr>
                <w:rFonts w:hint="eastAsia"/>
                <w:color w:val="auto"/>
                <w:sz w:val="24"/>
                <w:szCs w:val="24"/>
                <w:lang w:eastAsia="zh-CN"/>
              </w:rPr>
              <w:t>县城乡规划局</w:t>
            </w:r>
            <w:r>
              <w:rPr>
                <w:rFonts w:hint="default" w:ascii="Times New Roman" w:hAnsi="Times New Roman" w:eastAsia="宋体" w:cs="Times New Roman"/>
                <w:color w:val="auto"/>
                <w:sz w:val="24"/>
                <w:szCs w:val="24"/>
              </w:rPr>
              <w:t>出具的</w:t>
            </w:r>
            <w:r>
              <w:rPr>
                <w:rFonts w:hint="eastAsia" w:ascii="Times New Roman" w:hAnsi="Times New Roman" w:eastAsia="宋体" w:cs="Times New Roman"/>
                <w:color w:val="auto"/>
                <w:sz w:val="24"/>
                <w:szCs w:val="24"/>
                <w:lang w:eastAsia="zh-CN"/>
              </w:rPr>
              <w:t>规划意见</w:t>
            </w:r>
            <w:r>
              <w:rPr>
                <w:rFonts w:hint="default" w:ascii="Times New Roman" w:hAnsi="Times New Roman" w:eastAsia="宋体" w:cs="Times New Roman"/>
                <w:color w:val="auto"/>
                <w:sz w:val="24"/>
                <w:szCs w:val="24"/>
              </w:rPr>
              <w:t>可知，本项目符合</w:t>
            </w:r>
            <w:r>
              <w:rPr>
                <w:rFonts w:hint="default" w:ascii="Times New Roman" w:hAnsi="Times New Roman" w:eastAsia="宋体" w:cs="Times New Roman"/>
                <w:color w:val="auto"/>
                <w:kern w:val="0"/>
                <w:sz w:val="24"/>
                <w:szCs w:val="24"/>
                <w:lang w:val="en-US" w:eastAsia="zh-CN" w:bidi="ar"/>
              </w:rPr>
              <w:t>河北新河经济开发区</w:t>
            </w:r>
            <w:r>
              <w:rPr>
                <w:rFonts w:hint="default" w:ascii="Times New Roman" w:hAnsi="Times New Roman" w:eastAsia="宋体" w:cs="Times New Roman"/>
                <w:color w:val="auto"/>
                <w:sz w:val="24"/>
                <w:szCs w:val="24"/>
              </w:rPr>
              <w:t>总体规划，同意项目选址。因此，本项目建设符合</w:t>
            </w:r>
            <w:r>
              <w:rPr>
                <w:rFonts w:hint="default" w:ascii="Times New Roman" w:hAnsi="Times New Roman" w:eastAsia="宋体" w:cs="Times New Roman"/>
                <w:color w:val="auto"/>
                <w:kern w:val="0"/>
                <w:sz w:val="24"/>
                <w:szCs w:val="24"/>
                <w:lang w:val="en-US" w:eastAsia="zh-CN" w:bidi="ar"/>
              </w:rPr>
              <w:t>河北新河经济开发区</w:t>
            </w:r>
            <w:r>
              <w:rPr>
                <w:rFonts w:hint="default" w:ascii="Times New Roman" w:hAnsi="Times New Roman" w:eastAsia="宋体" w:cs="Times New Roman"/>
                <w:color w:val="auto"/>
                <w:sz w:val="24"/>
                <w:szCs w:val="24"/>
              </w:rPr>
              <w:t>规划要求。</w:t>
            </w:r>
          </w:p>
          <w:p>
            <w:pPr>
              <w:pStyle w:val="2"/>
              <w:rPr>
                <w:color w:val="0000FF"/>
                <w:kern w:val="0"/>
                <w:sz w:val="24"/>
              </w:rPr>
            </w:pPr>
          </w:p>
          <w:p>
            <w:pPr>
              <w:pStyle w:val="2"/>
              <w:rPr>
                <w:color w:val="0000FF"/>
                <w:kern w:val="0"/>
                <w:sz w:val="24"/>
              </w:rPr>
            </w:pPr>
          </w:p>
          <w:p>
            <w:pPr>
              <w:pStyle w:val="2"/>
              <w:rPr>
                <w:color w:val="0000FF"/>
                <w:kern w:val="0"/>
                <w:sz w:val="24"/>
              </w:rPr>
            </w:pPr>
          </w:p>
          <w:p>
            <w:pPr>
              <w:pStyle w:val="2"/>
              <w:rPr>
                <w:color w:val="0000FF"/>
                <w:kern w:val="0"/>
                <w:sz w:val="24"/>
              </w:rPr>
            </w:pPr>
          </w:p>
          <w:p>
            <w:pPr>
              <w:pStyle w:val="2"/>
              <w:rPr>
                <w:color w:val="0000FF"/>
                <w:kern w:val="0"/>
                <w:sz w:val="24"/>
              </w:rPr>
            </w:pPr>
          </w:p>
          <w:p>
            <w:pPr>
              <w:pStyle w:val="2"/>
              <w:rPr>
                <w:color w:val="0000FF"/>
                <w:kern w:val="0"/>
                <w:sz w:val="24"/>
              </w:rPr>
            </w:pPr>
          </w:p>
          <w:p>
            <w:pPr>
              <w:pStyle w:val="2"/>
              <w:rPr>
                <w:color w:val="0000FF"/>
                <w:kern w:val="0"/>
                <w:sz w:val="24"/>
              </w:rPr>
            </w:pPr>
          </w:p>
          <w:p>
            <w:pPr>
              <w:pStyle w:val="2"/>
              <w:rPr>
                <w:color w:val="0000FF"/>
                <w:kern w:val="0"/>
                <w:sz w:val="24"/>
              </w:rPr>
            </w:pPr>
          </w:p>
          <w:p>
            <w:pPr>
              <w:pStyle w:val="2"/>
              <w:rPr>
                <w:color w:val="0000FF"/>
                <w:kern w:val="0"/>
                <w:sz w:val="24"/>
              </w:rPr>
            </w:pPr>
          </w:p>
          <w:p>
            <w:pPr>
              <w:pStyle w:val="2"/>
              <w:rPr>
                <w:color w:val="0000FF"/>
                <w:kern w:val="0"/>
                <w:sz w:val="24"/>
              </w:rPr>
            </w:pPr>
          </w:p>
          <w:p>
            <w:pPr>
              <w:pStyle w:val="2"/>
              <w:rPr>
                <w:color w:val="0000FF"/>
                <w:kern w:val="0"/>
                <w:sz w:val="24"/>
              </w:rPr>
            </w:pPr>
          </w:p>
          <w:p>
            <w:pPr>
              <w:spacing w:line="360" w:lineRule="auto"/>
              <w:rPr>
                <w:color w:val="0000FF"/>
                <w:kern w:val="0"/>
                <w:sz w:val="24"/>
              </w:rPr>
            </w:pPr>
          </w:p>
        </w:tc>
      </w:tr>
    </w:tbl>
    <w:p>
      <w:pPr>
        <w:outlineLvl w:val="0"/>
        <w:rPr>
          <w:rFonts w:eastAsia="黑体"/>
          <w:b/>
          <w:bCs/>
          <w:color w:val="0000FF"/>
          <w:sz w:val="32"/>
        </w:rPr>
      </w:pPr>
      <w:r>
        <w:rPr>
          <w:rFonts w:eastAsia="黑体"/>
          <w:b/>
          <w:bCs/>
          <w:color w:val="0000FF"/>
          <w:sz w:val="32"/>
        </w:rPr>
        <w:br w:type="page"/>
      </w:r>
      <w:r>
        <w:rPr>
          <w:rFonts w:eastAsia="黑体"/>
          <w:b/>
          <w:bCs/>
          <w:sz w:val="32"/>
        </w:rPr>
        <w:t>环境质量状况</w:t>
      </w:r>
    </w:p>
    <w:tbl>
      <w:tblPr>
        <w:tblStyle w:val="31"/>
        <w:tblW w:w="900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0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46" w:hRule="atLeast"/>
          <w:jc w:val="center"/>
        </w:trPr>
        <w:tc>
          <w:tcPr>
            <w:tcW w:w="9003" w:type="dxa"/>
          </w:tcPr>
          <w:p>
            <w:pPr>
              <w:spacing w:line="360" w:lineRule="auto"/>
              <w:ind w:left="94" w:leftChars="45"/>
              <w:rPr>
                <w:rFonts w:ascii="宋体" w:hAnsi="宋体"/>
                <w:b/>
                <w:sz w:val="28"/>
              </w:rPr>
            </w:pPr>
            <w:r>
              <w:rPr>
                <w:b/>
                <w:sz w:val="28"/>
              </w:rPr>
              <w:t>建设项目所在地区域</w:t>
            </w:r>
            <w:commentRangeStart w:id="2"/>
            <w:r>
              <w:rPr>
                <w:b/>
                <w:sz w:val="28"/>
              </w:rPr>
              <w:t>环境质量现</w:t>
            </w:r>
            <w:r>
              <w:rPr>
                <w:rFonts w:ascii="宋体" w:hAnsi="宋体"/>
                <w:b/>
                <w:sz w:val="28"/>
              </w:rPr>
              <w:t>状</w:t>
            </w:r>
            <w:commentRangeEnd w:id="2"/>
            <w:r>
              <w:rPr>
                <w:rStyle w:val="45"/>
              </w:rPr>
              <w:commentReference w:id="2"/>
            </w:r>
            <w:r>
              <w:rPr>
                <w:rFonts w:ascii="宋体" w:hAnsi="宋体"/>
                <w:b/>
                <w:sz w:val="28"/>
              </w:rPr>
              <w:t>及主要环境问题</w:t>
            </w:r>
            <w:r>
              <w:rPr>
                <w:rFonts w:hint="eastAsia" w:ascii="宋体" w:hAnsi="宋体"/>
                <w:b/>
                <w:sz w:val="28"/>
              </w:rPr>
              <w:t>(</w:t>
            </w:r>
            <w:r>
              <w:rPr>
                <w:rFonts w:ascii="宋体" w:hAnsi="宋体"/>
                <w:b/>
                <w:sz w:val="28"/>
              </w:rPr>
              <w:t>环境空气、地面水、地下水、声环境、生态环境等</w:t>
            </w:r>
            <w:r>
              <w:rPr>
                <w:rFonts w:hint="eastAsia" w:ascii="宋体" w:hAnsi="宋体"/>
                <w:b/>
                <w:sz w:val="28"/>
              </w:rPr>
              <w:t>)</w:t>
            </w:r>
            <w:r>
              <w:rPr>
                <w:rFonts w:ascii="宋体" w:hAnsi="宋体"/>
                <w:b/>
                <w:sz w:val="28"/>
              </w:rPr>
              <w:t>:</w:t>
            </w:r>
          </w:p>
          <w:p>
            <w:pPr>
              <w:numPr>
                <w:ilvl w:val="0"/>
                <w:numId w:val="3"/>
              </w:numPr>
              <w:spacing w:line="480" w:lineRule="exact"/>
              <w:ind w:firstLine="480" w:firstLineChars="200"/>
              <w:rPr>
                <w:sz w:val="24"/>
                <w:szCs w:val="24"/>
              </w:rPr>
            </w:pPr>
            <w:r>
              <w:rPr>
                <w:color w:val="FF0000"/>
                <w:sz w:val="24"/>
                <w:szCs w:val="24"/>
              </w:rPr>
              <w:t>环境空气质量现状</w:t>
            </w:r>
            <w:r>
              <w:rPr>
                <w:rFonts w:hint="eastAsia"/>
                <w:color w:val="FF0000"/>
                <w:sz w:val="24"/>
                <w:szCs w:val="24"/>
              </w:rPr>
              <w:t>：引用“</w:t>
            </w:r>
            <w:r>
              <w:rPr>
                <w:rFonts w:hint="eastAsia"/>
                <w:color w:val="FF0000"/>
                <w:sz w:val="24"/>
                <w:szCs w:val="24"/>
                <w:lang w:eastAsia="zh-CN"/>
              </w:rPr>
              <w:t>河北新河经济开发区总体规划</w:t>
            </w:r>
            <w:r>
              <w:rPr>
                <w:rFonts w:hint="eastAsia"/>
                <w:color w:val="FF0000"/>
                <w:sz w:val="24"/>
                <w:szCs w:val="24"/>
              </w:rPr>
              <w:t>”环境质量现状</w:t>
            </w:r>
            <w:r>
              <w:rPr>
                <w:rFonts w:hint="eastAsia"/>
                <w:color w:val="FF0000"/>
                <w:sz w:val="24"/>
                <w:szCs w:val="24"/>
                <w:lang w:eastAsia="zh-CN"/>
              </w:rPr>
              <w:t>检测</w:t>
            </w:r>
            <w:r>
              <w:rPr>
                <w:rFonts w:hint="eastAsia"/>
                <w:color w:val="FF0000"/>
                <w:sz w:val="24"/>
                <w:szCs w:val="24"/>
              </w:rPr>
              <w:t>，监测时间为201</w:t>
            </w:r>
            <w:r>
              <w:rPr>
                <w:rFonts w:hint="eastAsia"/>
                <w:color w:val="FF0000"/>
                <w:sz w:val="24"/>
                <w:szCs w:val="24"/>
                <w:lang w:val="en-US" w:eastAsia="zh-CN"/>
              </w:rPr>
              <w:t>7</w:t>
            </w:r>
            <w:r>
              <w:rPr>
                <w:rFonts w:hint="eastAsia"/>
                <w:color w:val="FF0000"/>
                <w:sz w:val="24"/>
                <w:szCs w:val="24"/>
              </w:rPr>
              <w:t>年</w:t>
            </w:r>
            <w:r>
              <w:rPr>
                <w:rFonts w:hint="eastAsia"/>
                <w:color w:val="FF0000"/>
                <w:sz w:val="24"/>
                <w:szCs w:val="24"/>
                <w:lang w:val="en-US" w:eastAsia="zh-CN"/>
              </w:rPr>
              <w:t>9</w:t>
            </w:r>
            <w:r>
              <w:rPr>
                <w:rFonts w:hint="eastAsia"/>
                <w:color w:val="FF0000"/>
                <w:sz w:val="24"/>
                <w:szCs w:val="24"/>
              </w:rPr>
              <w:t>月</w:t>
            </w:r>
            <w:r>
              <w:rPr>
                <w:rFonts w:hint="eastAsia"/>
                <w:color w:val="FF0000"/>
                <w:sz w:val="24"/>
                <w:szCs w:val="24"/>
                <w:lang w:val="en-US" w:eastAsia="zh-CN"/>
              </w:rPr>
              <w:t>18</w:t>
            </w:r>
            <w:r>
              <w:rPr>
                <w:rFonts w:hint="eastAsia"/>
                <w:color w:val="FF0000"/>
                <w:sz w:val="24"/>
                <w:szCs w:val="24"/>
              </w:rPr>
              <w:t>日-</w:t>
            </w:r>
            <w:r>
              <w:rPr>
                <w:rFonts w:hint="eastAsia"/>
                <w:color w:val="FF0000"/>
                <w:sz w:val="24"/>
                <w:szCs w:val="24"/>
                <w:lang w:val="en-US" w:eastAsia="zh-CN"/>
              </w:rPr>
              <w:t>9</w:t>
            </w:r>
            <w:r>
              <w:rPr>
                <w:rFonts w:hint="eastAsia"/>
                <w:color w:val="FF0000"/>
                <w:sz w:val="24"/>
                <w:szCs w:val="24"/>
              </w:rPr>
              <w:t>月</w:t>
            </w:r>
            <w:r>
              <w:rPr>
                <w:rFonts w:hint="eastAsia"/>
                <w:color w:val="FF0000"/>
                <w:sz w:val="24"/>
                <w:szCs w:val="24"/>
                <w:lang w:val="en-US" w:eastAsia="zh-CN"/>
              </w:rPr>
              <w:t>29</w:t>
            </w:r>
            <w:r>
              <w:rPr>
                <w:rFonts w:hint="eastAsia"/>
                <w:color w:val="FF0000"/>
                <w:sz w:val="24"/>
                <w:szCs w:val="24"/>
              </w:rPr>
              <w:t>日，监测地点为</w:t>
            </w:r>
            <w:r>
              <w:rPr>
                <w:rFonts w:hint="eastAsia"/>
                <w:color w:val="FF0000"/>
                <w:sz w:val="24"/>
                <w:szCs w:val="24"/>
                <w:lang w:eastAsia="zh-CN"/>
              </w:rPr>
              <w:t>暴地贾村、付神首村、前保居庄村</w:t>
            </w:r>
            <w:r>
              <w:rPr>
                <w:rFonts w:hint="eastAsia"/>
                <w:color w:val="FF0000"/>
                <w:sz w:val="24"/>
                <w:szCs w:val="24"/>
              </w:rPr>
              <w:t>，</w:t>
            </w:r>
            <w:r>
              <w:rPr>
                <w:rFonts w:hint="eastAsia"/>
                <w:color w:val="FF0000"/>
                <w:sz w:val="24"/>
                <w:szCs w:val="24"/>
                <w:lang w:eastAsia="zh-CN"/>
              </w:rPr>
              <w:t>暴地贾村</w:t>
            </w:r>
            <w:r>
              <w:rPr>
                <w:rFonts w:hint="eastAsia"/>
                <w:color w:val="FF0000"/>
                <w:sz w:val="24"/>
                <w:szCs w:val="24"/>
              </w:rPr>
              <w:t>距离本项目1480m，</w:t>
            </w:r>
            <w:r>
              <w:rPr>
                <w:rFonts w:hint="eastAsia"/>
                <w:color w:val="FF0000"/>
                <w:sz w:val="24"/>
                <w:szCs w:val="24"/>
                <w:lang w:eastAsia="zh-CN"/>
              </w:rPr>
              <w:t>付神首村</w:t>
            </w:r>
            <w:r>
              <w:rPr>
                <w:rFonts w:hint="eastAsia"/>
                <w:color w:val="FF0000"/>
                <w:sz w:val="24"/>
                <w:szCs w:val="24"/>
              </w:rPr>
              <w:t>距离本项目</w:t>
            </w:r>
            <w:r>
              <w:rPr>
                <w:rFonts w:hint="eastAsia"/>
                <w:color w:val="FF0000"/>
                <w:sz w:val="24"/>
                <w:szCs w:val="24"/>
                <w:lang w:val="en-US" w:eastAsia="zh-CN"/>
              </w:rPr>
              <w:t>2</w:t>
            </w:r>
            <w:r>
              <w:rPr>
                <w:rFonts w:hint="eastAsia"/>
                <w:color w:val="FF0000"/>
                <w:sz w:val="24"/>
                <w:szCs w:val="24"/>
              </w:rPr>
              <w:t>50m，</w:t>
            </w:r>
            <w:r>
              <w:rPr>
                <w:rFonts w:hint="eastAsia"/>
                <w:color w:val="FF0000"/>
                <w:sz w:val="24"/>
                <w:szCs w:val="24"/>
                <w:lang w:eastAsia="zh-CN"/>
              </w:rPr>
              <w:t>前保居庄村</w:t>
            </w:r>
            <w:r>
              <w:rPr>
                <w:rFonts w:hint="eastAsia"/>
                <w:color w:val="FF0000"/>
                <w:sz w:val="24"/>
                <w:szCs w:val="24"/>
              </w:rPr>
              <w:t>距离本项目</w:t>
            </w:r>
            <w:r>
              <w:rPr>
                <w:rFonts w:hint="eastAsia"/>
                <w:color w:val="FF0000"/>
                <w:sz w:val="24"/>
                <w:szCs w:val="24"/>
                <w:lang w:val="en-US" w:eastAsia="zh-CN"/>
              </w:rPr>
              <w:t>4500</w:t>
            </w:r>
            <w:r>
              <w:rPr>
                <w:rFonts w:hint="eastAsia"/>
                <w:color w:val="FF0000"/>
                <w:sz w:val="24"/>
                <w:szCs w:val="24"/>
              </w:rPr>
              <w:t>m。由监测结果可知，</w:t>
            </w:r>
            <w:r>
              <w:rPr>
                <w:color w:val="FF0000"/>
                <w:sz w:val="24"/>
                <w:szCs w:val="24"/>
              </w:rPr>
              <w:t>区域PM</w:t>
            </w:r>
            <w:r>
              <w:rPr>
                <w:color w:val="FF0000"/>
                <w:sz w:val="24"/>
                <w:szCs w:val="24"/>
                <w:vertAlign w:val="subscript"/>
              </w:rPr>
              <w:t>10</w:t>
            </w:r>
            <w:r>
              <w:rPr>
                <w:color w:val="FF0000"/>
                <w:sz w:val="24"/>
                <w:szCs w:val="24"/>
              </w:rPr>
              <w:t xml:space="preserve"> 24小时平均浓度在0</w:t>
            </w:r>
            <w:r>
              <w:rPr>
                <w:rFonts w:hint="eastAsia"/>
                <w:color w:val="FF0000"/>
                <w:sz w:val="24"/>
                <w:szCs w:val="24"/>
                <w:lang w:val="en-US" w:eastAsia="zh-CN"/>
              </w:rPr>
              <w:t>.048</w:t>
            </w:r>
            <w:r>
              <w:rPr>
                <w:color w:val="FF0000"/>
                <w:sz w:val="24"/>
                <w:szCs w:val="24"/>
              </w:rPr>
              <w:t>～0.</w:t>
            </w:r>
            <w:r>
              <w:rPr>
                <w:rFonts w:hint="eastAsia"/>
                <w:color w:val="FF0000"/>
                <w:sz w:val="24"/>
                <w:szCs w:val="24"/>
              </w:rPr>
              <w:t>13</w:t>
            </w:r>
            <w:r>
              <w:rPr>
                <w:rFonts w:hint="eastAsia"/>
                <w:color w:val="FF0000"/>
                <w:sz w:val="24"/>
                <w:szCs w:val="24"/>
                <w:lang w:val="en-US" w:eastAsia="zh-CN"/>
              </w:rPr>
              <w:t>7</w:t>
            </w:r>
            <w:r>
              <w:rPr>
                <w:color w:val="FF0000"/>
                <w:sz w:val="24"/>
                <w:szCs w:val="24"/>
              </w:rPr>
              <w:t>mg/m</w:t>
            </w:r>
            <w:r>
              <w:rPr>
                <w:color w:val="FF0000"/>
                <w:sz w:val="24"/>
                <w:szCs w:val="24"/>
                <w:vertAlign w:val="superscript"/>
              </w:rPr>
              <w:t>3</w:t>
            </w:r>
            <w:r>
              <w:rPr>
                <w:color w:val="FF0000"/>
                <w:sz w:val="24"/>
                <w:szCs w:val="24"/>
              </w:rPr>
              <w:t>之间</w:t>
            </w:r>
            <w:r>
              <w:rPr>
                <w:rFonts w:hint="eastAsia"/>
                <w:color w:val="FF0000"/>
                <w:sz w:val="24"/>
                <w:szCs w:val="24"/>
              </w:rPr>
              <w:t>；</w:t>
            </w:r>
            <w:r>
              <w:rPr>
                <w:color w:val="FF0000"/>
                <w:sz w:val="24"/>
                <w:szCs w:val="24"/>
              </w:rPr>
              <w:t>PM</w:t>
            </w:r>
            <w:r>
              <w:rPr>
                <w:rFonts w:hint="eastAsia"/>
                <w:color w:val="FF0000"/>
                <w:sz w:val="24"/>
                <w:szCs w:val="24"/>
                <w:vertAlign w:val="subscript"/>
                <w:lang w:val="en-US" w:eastAsia="zh-CN"/>
              </w:rPr>
              <w:t>2.5</w:t>
            </w:r>
            <w:r>
              <w:rPr>
                <w:color w:val="FF0000"/>
                <w:sz w:val="24"/>
                <w:szCs w:val="24"/>
              </w:rPr>
              <w:t xml:space="preserve"> 24小时平均浓度在0</w:t>
            </w:r>
            <w:r>
              <w:rPr>
                <w:rFonts w:hint="eastAsia"/>
                <w:color w:val="FF0000"/>
                <w:sz w:val="24"/>
                <w:szCs w:val="24"/>
                <w:lang w:val="en-US" w:eastAsia="zh-CN"/>
              </w:rPr>
              <w:t>.002</w:t>
            </w:r>
            <w:r>
              <w:rPr>
                <w:color w:val="FF0000"/>
                <w:sz w:val="24"/>
                <w:szCs w:val="24"/>
              </w:rPr>
              <w:t>～0.</w:t>
            </w:r>
            <w:r>
              <w:rPr>
                <w:rFonts w:hint="eastAsia"/>
                <w:color w:val="FF0000"/>
                <w:sz w:val="24"/>
                <w:szCs w:val="24"/>
                <w:lang w:val="en-US" w:eastAsia="zh-CN"/>
              </w:rPr>
              <w:t>057</w:t>
            </w:r>
            <w:r>
              <w:rPr>
                <w:color w:val="FF0000"/>
                <w:sz w:val="24"/>
                <w:szCs w:val="24"/>
              </w:rPr>
              <w:t>mg/m</w:t>
            </w:r>
            <w:r>
              <w:rPr>
                <w:color w:val="FF0000"/>
                <w:sz w:val="24"/>
                <w:szCs w:val="24"/>
                <w:vertAlign w:val="superscript"/>
              </w:rPr>
              <w:t>3</w:t>
            </w:r>
            <w:r>
              <w:rPr>
                <w:color w:val="FF0000"/>
                <w:sz w:val="24"/>
                <w:szCs w:val="24"/>
              </w:rPr>
              <w:t>之间</w:t>
            </w:r>
            <w:r>
              <w:rPr>
                <w:rFonts w:hint="eastAsia"/>
                <w:color w:val="FF0000"/>
                <w:sz w:val="24"/>
                <w:szCs w:val="24"/>
              </w:rPr>
              <w:t>；</w:t>
            </w:r>
            <w:r>
              <w:rPr>
                <w:color w:val="FF0000"/>
                <w:sz w:val="24"/>
                <w:szCs w:val="24"/>
              </w:rPr>
              <w:t>SO</w:t>
            </w:r>
            <w:r>
              <w:rPr>
                <w:color w:val="FF0000"/>
                <w:sz w:val="24"/>
                <w:szCs w:val="24"/>
                <w:vertAlign w:val="subscript"/>
              </w:rPr>
              <w:t>2</w:t>
            </w:r>
            <w:r>
              <w:rPr>
                <w:color w:val="FF0000"/>
                <w:sz w:val="24"/>
                <w:szCs w:val="24"/>
              </w:rPr>
              <w:t xml:space="preserve"> 24小时平均浓度在0.0</w:t>
            </w:r>
            <w:r>
              <w:rPr>
                <w:rFonts w:hint="eastAsia"/>
                <w:color w:val="FF0000"/>
                <w:sz w:val="24"/>
                <w:szCs w:val="24"/>
                <w:lang w:val="en-US" w:eastAsia="zh-CN"/>
              </w:rPr>
              <w:t>22</w:t>
            </w:r>
            <w:r>
              <w:rPr>
                <w:color w:val="FF0000"/>
                <w:sz w:val="24"/>
                <w:szCs w:val="24"/>
              </w:rPr>
              <w:t>～0.</w:t>
            </w:r>
            <w:r>
              <w:rPr>
                <w:rFonts w:hint="eastAsia"/>
                <w:color w:val="FF0000"/>
                <w:sz w:val="24"/>
                <w:szCs w:val="24"/>
              </w:rPr>
              <w:t>0</w:t>
            </w:r>
            <w:r>
              <w:rPr>
                <w:rFonts w:hint="eastAsia"/>
                <w:color w:val="FF0000"/>
                <w:sz w:val="24"/>
                <w:szCs w:val="24"/>
                <w:lang w:val="en-US" w:eastAsia="zh-CN"/>
              </w:rPr>
              <w:t>68</w:t>
            </w:r>
            <w:r>
              <w:rPr>
                <w:color w:val="FF0000"/>
                <w:sz w:val="24"/>
                <w:szCs w:val="24"/>
              </w:rPr>
              <w:t>mg/m</w:t>
            </w:r>
            <w:r>
              <w:rPr>
                <w:color w:val="FF0000"/>
                <w:sz w:val="24"/>
                <w:szCs w:val="24"/>
                <w:vertAlign w:val="superscript"/>
              </w:rPr>
              <w:t>3</w:t>
            </w:r>
            <w:r>
              <w:rPr>
                <w:color w:val="FF0000"/>
                <w:sz w:val="24"/>
                <w:szCs w:val="24"/>
              </w:rPr>
              <w:t>之间，1小时平均浓度在0.0</w:t>
            </w:r>
            <w:r>
              <w:rPr>
                <w:rFonts w:hint="eastAsia"/>
                <w:color w:val="FF0000"/>
                <w:sz w:val="24"/>
                <w:szCs w:val="24"/>
                <w:lang w:val="en-US" w:eastAsia="zh-CN"/>
              </w:rPr>
              <w:t>09</w:t>
            </w:r>
            <w:r>
              <w:rPr>
                <w:color w:val="FF0000"/>
                <w:sz w:val="24"/>
                <w:szCs w:val="24"/>
              </w:rPr>
              <w:t>～0.</w:t>
            </w:r>
            <w:r>
              <w:rPr>
                <w:rFonts w:hint="eastAsia"/>
                <w:color w:val="FF0000"/>
                <w:sz w:val="24"/>
                <w:szCs w:val="24"/>
              </w:rPr>
              <w:t>0</w:t>
            </w:r>
            <w:r>
              <w:rPr>
                <w:rFonts w:hint="eastAsia"/>
                <w:color w:val="FF0000"/>
                <w:sz w:val="24"/>
                <w:szCs w:val="24"/>
                <w:lang w:val="en-US" w:eastAsia="zh-CN"/>
              </w:rPr>
              <w:t>8</w:t>
            </w:r>
            <w:r>
              <w:rPr>
                <w:rFonts w:hint="eastAsia"/>
                <w:color w:val="FF0000"/>
                <w:sz w:val="24"/>
                <w:szCs w:val="24"/>
              </w:rPr>
              <w:t>3</w:t>
            </w:r>
            <w:r>
              <w:rPr>
                <w:color w:val="FF0000"/>
                <w:sz w:val="24"/>
                <w:szCs w:val="24"/>
              </w:rPr>
              <w:t>mg/m</w:t>
            </w:r>
            <w:r>
              <w:rPr>
                <w:color w:val="FF0000"/>
                <w:sz w:val="24"/>
                <w:szCs w:val="24"/>
                <w:vertAlign w:val="superscript"/>
              </w:rPr>
              <w:t>3</w:t>
            </w:r>
            <w:r>
              <w:rPr>
                <w:color w:val="FF0000"/>
                <w:sz w:val="24"/>
                <w:szCs w:val="24"/>
              </w:rPr>
              <w:t>之间；NO</w:t>
            </w:r>
            <w:r>
              <w:rPr>
                <w:color w:val="FF0000"/>
                <w:sz w:val="24"/>
                <w:szCs w:val="24"/>
                <w:vertAlign w:val="subscript"/>
              </w:rPr>
              <w:t>2</w:t>
            </w:r>
            <w:r>
              <w:rPr>
                <w:color w:val="FF0000"/>
                <w:sz w:val="24"/>
                <w:szCs w:val="24"/>
              </w:rPr>
              <w:t xml:space="preserve"> 24小时平均浓度在0.0</w:t>
            </w:r>
            <w:r>
              <w:rPr>
                <w:rFonts w:hint="eastAsia"/>
                <w:color w:val="FF0000"/>
                <w:sz w:val="24"/>
                <w:szCs w:val="24"/>
                <w:lang w:val="en-US" w:eastAsia="zh-CN"/>
              </w:rPr>
              <w:t>34</w:t>
            </w:r>
            <w:r>
              <w:rPr>
                <w:color w:val="FF0000"/>
                <w:sz w:val="24"/>
                <w:szCs w:val="24"/>
              </w:rPr>
              <w:t>～0.0</w:t>
            </w:r>
            <w:r>
              <w:rPr>
                <w:rFonts w:hint="eastAsia"/>
                <w:color w:val="FF0000"/>
                <w:sz w:val="24"/>
                <w:szCs w:val="24"/>
                <w:lang w:val="en-US" w:eastAsia="zh-CN"/>
              </w:rPr>
              <w:t>49</w:t>
            </w:r>
            <w:r>
              <w:rPr>
                <w:color w:val="FF0000"/>
                <w:sz w:val="24"/>
                <w:szCs w:val="24"/>
              </w:rPr>
              <w:t>mg/m</w:t>
            </w:r>
            <w:r>
              <w:rPr>
                <w:color w:val="FF0000"/>
                <w:sz w:val="24"/>
                <w:szCs w:val="24"/>
                <w:vertAlign w:val="superscript"/>
              </w:rPr>
              <w:t>3</w:t>
            </w:r>
            <w:r>
              <w:rPr>
                <w:color w:val="FF0000"/>
                <w:sz w:val="24"/>
                <w:szCs w:val="24"/>
              </w:rPr>
              <w:t>之间，1小时平均浓度在0.0</w:t>
            </w:r>
            <w:r>
              <w:rPr>
                <w:rFonts w:hint="eastAsia"/>
                <w:color w:val="FF0000"/>
                <w:sz w:val="24"/>
                <w:szCs w:val="24"/>
              </w:rPr>
              <w:t>1</w:t>
            </w:r>
            <w:r>
              <w:rPr>
                <w:rFonts w:hint="eastAsia"/>
                <w:color w:val="FF0000"/>
                <w:sz w:val="24"/>
                <w:szCs w:val="24"/>
                <w:lang w:val="en-US" w:eastAsia="zh-CN"/>
              </w:rPr>
              <w:t>3</w:t>
            </w:r>
            <w:r>
              <w:rPr>
                <w:color w:val="FF0000"/>
                <w:sz w:val="24"/>
                <w:szCs w:val="24"/>
              </w:rPr>
              <w:t>～0.</w:t>
            </w:r>
            <w:r>
              <w:rPr>
                <w:rFonts w:hint="eastAsia"/>
                <w:color w:val="FF0000"/>
                <w:sz w:val="24"/>
                <w:szCs w:val="24"/>
              </w:rPr>
              <w:t>0</w:t>
            </w:r>
            <w:r>
              <w:rPr>
                <w:rFonts w:hint="eastAsia"/>
                <w:color w:val="FF0000"/>
                <w:sz w:val="24"/>
                <w:szCs w:val="24"/>
                <w:lang w:val="en-US" w:eastAsia="zh-CN"/>
              </w:rPr>
              <w:t>90</w:t>
            </w:r>
            <w:r>
              <w:rPr>
                <w:color w:val="FF0000"/>
                <w:sz w:val="24"/>
                <w:szCs w:val="24"/>
              </w:rPr>
              <w:t>mg/m</w:t>
            </w:r>
            <w:r>
              <w:rPr>
                <w:color w:val="FF0000"/>
                <w:sz w:val="24"/>
                <w:szCs w:val="24"/>
                <w:vertAlign w:val="superscript"/>
              </w:rPr>
              <w:t>3</w:t>
            </w:r>
            <w:r>
              <w:rPr>
                <w:color w:val="FF0000"/>
                <w:sz w:val="24"/>
                <w:szCs w:val="24"/>
              </w:rPr>
              <w:t>之间；</w:t>
            </w:r>
            <w:r>
              <w:rPr>
                <w:rFonts w:hint="eastAsia"/>
                <w:color w:val="FF0000"/>
                <w:sz w:val="24"/>
                <w:szCs w:val="24"/>
              </w:rPr>
              <w:t>CO</w:t>
            </w:r>
            <w:r>
              <w:rPr>
                <w:color w:val="FF0000"/>
                <w:sz w:val="24"/>
                <w:szCs w:val="24"/>
              </w:rPr>
              <w:t>1小时平均浓度在</w:t>
            </w:r>
            <w:r>
              <w:rPr>
                <w:rFonts w:hint="eastAsia"/>
                <w:color w:val="FF0000"/>
                <w:sz w:val="24"/>
                <w:szCs w:val="24"/>
                <w:lang w:val="en-US" w:eastAsia="zh-CN"/>
              </w:rPr>
              <w:t>0.5</w:t>
            </w:r>
            <w:r>
              <w:rPr>
                <w:color w:val="FF0000"/>
                <w:sz w:val="24"/>
                <w:szCs w:val="24"/>
              </w:rPr>
              <w:t>～</w:t>
            </w:r>
            <w:r>
              <w:rPr>
                <w:rFonts w:hint="eastAsia"/>
                <w:color w:val="FF0000"/>
                <w:sz w:val="24"/>
                <w:szCs w:val="24"/>
                <w:lang w:val="en-US" w:eastAsia="zh-CN"/>
              </w:rPr>
              <w:t>2.8</w:t>
            </w:r>
            <w:r>
              <w:rPr>
                <w:color w:val="FF0000"/>
                <w:sz w:val="24"/>
                <w:szCs w:val="24"/>
              </w:rPr>
              <w:t>mg/m</w:t>
            </w:r>
            <w:r>
              <w:rPr>
                <w:color w:val="FF0000"/>
                <w:sz w:val="24"/>
                <w:szCs w:val="24"/>
                <w:vertAlign w:val="superscript"/>
              </w:rPr>
              <w:t>3</w:t>
            </w:r>
            <w:r>
              <w:rPr>
                <w:color w:val="FF0000"/>
                <w:sz w:val="24"/>
                <w:szCs w:val="24"/>
              </w:rPr>
              <w:t>之间；</w:t>
            </w:r>
            <w:r>
              <w:rPr>
                <w:rFonts w:hint="eastAsia"/>
                <w:color w:val="FF0000"/>
                <w:sz w:val="24"/>
                <w:szCs w:val="24"/>
              </w:rPr>
              <w:t>O</w:t>
            </w:r>
            <w:r>
              <w:rPr>
                <w:rFonts w:hint="eastAsia"/>
                <w:color w:val="FF0000"/>
                <w:sz w:val="24"/>
                <w:szCs w:val="24"/>
                <w:vertAlign w:val="subscript"/>
              </w:rPr>
              <w:t>3</w:t>
            </w:r>
            <w:r>
              <w:rPr>
                <w:color w:val="FF0000"/>
                <w:sz w:val="24"/>
                <w:szCs w:val="24"/>
              </w:rPr>
              <w:t xml:space="preserve"> </w:t>
            </w:r>
            <w:r>
              <w:rPr>
                <w:rFonts w:hint="eastAsia"/>
                <w:color w:val="FF0000"/>
                <w:sz w:val="24"/>
                <w:szCs w:val="24"/>
              </w:rPr>
              <w:t>日最大8</w:t>
            </w:r>
            <w:r>
              <w:rPr>
                <w:color w:val="FF0000"/>
                <w:sz w:val="24"/>
                <w:szCs w:val="24"/>
              </w:rPr>
              <w:t>小时平均浓度在0.</w:t>
            </w:r>
            <w:r>
              <w:rPr>
                <w:rFonts w:hint="eastAsia"/>
                <w:color w:val="FF0000"/>
                <w:sz w:val="24"/>
                <w:szCs w:val="24"/>
              </w:rPr>
              <w:t>0</w:t>
            </w:r>
            <w:r>
              <w:rPr>
                <w:rFonts w:hint="eastAsia"/>
                <w:color w:val="FF0000"/>
                <w:sz w:val="24"/>
                <w:szCs w:val="24"/>
                <w:lang w:val="en-US" w:eastAsia="zh-CN"/>
              </w:rPr>
              <w:t>82</w:t>
            </w:r>
            <w:r>
              <w:rPr>
                <w:color w:val="FF0000"/>
                <w:sz w:val="24"/>
                <w:szCs w:val="24"/>
              </w:rPr>
              <w:t>～</w:t>
            </w:r>
            <w:r>
              <w:rPr>
                <w:rFonts w:hint="eastAsia"/>
                <w:color w:val="FF0000"/>
                <w:sz w:val="24"/>
                <w:szCs w:val="24"/>
              </w:rPr>
              <w:t>0.</w:t>
            </w:r>
            <w:r>
              <w:rPr>
                <w:rFonts w:hint="eastAsia"/>
                <w:color w:val="FF0000"/>
                <w:sz w:val="24"/>
                <w:szCs w:val="24"/>
                <w:lang w:val="en-US" w:eastAsia="zh-CN"/>
              </w:rPr>
              <w:t>103</w:t>
            </w:r>
            <w:r>
              <w:rPr>
                <w:color w:val="FF0000"/>
                <w:sz w:val="24"/>
                <w:szCs w:val="24"/>
              </w:rPr>
              <w:t>mg/m</w:t>
            </w:r>
            <w:r>
              <w:rPr>
                <w:color w:val="FF0000"/>
                <w:sz w:val="24"/>
                <w:szCs w:val="24"/>
                <w:vertAlign w:val="superscript"/>
              </w:rPr>
              <w:t>3</w:t>
            </w:r>
            <w:r>
              <w:rPr>
                <w:color w:val="FF0000"/>
                <w:sz w:val="24"/>
                <w:szCs w:val="24"/>
              </w:rPr>
              <w:t>之间。</w:t>
            </w:r>
            <w:r>
              <w:rPr>
                <w:rFonts w:hint="eastAsia"/>
                <w:color w:val="FF0000"/>
                <w:sz w:val="24"/>
                <w:szCs w:val="24"/>
              </w:rPr>
              <w:t>环境空气可以满足《环境空气质量标准》（GB3095-2012）二级质量标准</w:t>
            </w:r>
            <w:r>
              <w:rPr>
                <w:color w:val="FF0000"/>
                <w:sz w:val="24"/>
                <w:szCs w:val="24"/>
              </w:rPr>
              <w:t>。</w:t>
            </w:r>
          </w:p>
          <w:p>
            <w:pPr>
              <w:spacing w:line="480" w:lineRule="exact"/>
              <w:ind w:firstLine="480" w:firstLineChars="200"/>
              <w:rPr>
                <w:sz w:val="24"/>
                <w:szCs w:val="24"/>
              </w:rPr>
            </w:pPr>
            <w:r>
              <w:rPr>
                <w:sz w:val="24"/>
                <w:szCs w:val="24"/>
              </w:rPr>
              <w:t>2</w:t>
            </w:r>
            <w:r>
              <w:rPr>
                <w:rFonts w:hint="eastAsia"/>
                <w:sz w:val="24"/>
                <w:szCs w:val="24"/>
              </w:rPr>
              <w:t>、</w:t>
            </w:r>
            <w:r>
              <w:rPr>
                <w:sz w:val="24"/>
                <w:szCs w:val="24"/>
              </w:rPr>
              <w:t>水环境质量现状</w:t>
            </w:r>
            <w:r>
              <w:rPr>
                <w:rFonts w:hint="eastAsia"/>
                <w:sz w:val="24"/>
                <w:szCs w:val="24"/>
              </w:rPr>
              <w:t>：项目所在区域地下水中pH、色度、总硬度、溶解性总固体、高锰酸盐指数、氨氮、硝酸盐氮、亚硝酸盐氮及氯化物指标均符合《地下水质量标准》（GB/T14848-93）Ⅲ类水质标准</w:t>
            </w:r>
            <w:r>
              <w:rPr>
                <w:rFonts w:hint="eastAsia"/>
                <w:sz w:val="24"/>
              </w:rPr>
              <w:t>。</w:t>
            </w:r>
          </w:p>
          <w:p>
            <w:pPr>
              <w:spacing w:line="480" w:lineRule="exact"/>
              <w:ind w:firstLine="480" w:firstLineChars="200"/>
              <w:rPr>
                <w:sz w:val="24"/>
                <w:szCs w:val="24"/>
              </w:rPr>
            </w:pPr>
            <w:r>
              <w:rPr>
                <w:rFonts w:hint="eastAsia"/>
                <w:sz w:val="24"/>
                <w:szCs w:val="24"/>
              </w:rPr>
              <w:t>3、</w:t>
            </w:r>
            <w:r>
              <w:rPr>
                <w:sz w:val="24"/>
                <w:szCs w:val="24"/>
              </w:rPr>
              <w:t>声环境</w:t>
            </w:r>
            <w:r>
              <w:rPr>
                <w:rFonts w:hint="eastAsia"/>
                <w:sz w:val="24"/>
                <w:szCs w:val="24"/>
              </w:rPr>
              <w:t>：</w:t>
            </w:r>
            <w:r>
              <w:rPr>
                <w:sz w:val="24"/>
                <w:szCs w:val="24"/>
              </w:rPr>
              <w:t>项目所在区域声环境质量较好，能够满足《声环境质量标准》（GB3096-2008）</w:t>
            </w:r>
            <w:r>
              <w:rPr>
                <w:rFonts w:hint="eastAsia"/>
                <w:sz w:val="24"/>
                <w:szCs w:val="24"/>
              </w:rPr>
              <w:t>3</w:t>
            </w:r>
            <w:r>
              <w:rPr>
                <w:sz w:val="24"/>
                <w:szCs w:val="24"/>
              </w:rPr>
              <w:t>类</w:t>
            </w:r>
            <w:r>
              <w:rPr>
                <w:rFonts w:hint="eastAsia"/>
                <w:sz w:val="24"/>
                <w:szCs w:val="24"/>
              </w:rPr>
              <w:t>、4a类</w:t>
            </w:r>
            <w:r>
              <w:rPr>
                <w:sz w:val="24"/>
                <w:szCs w:val="24"/>
              </w:rPr>
              <w:t>标准要求。</w:t>
            </w:r>
          </w:p>
          <w:p>
            <w:pPr>
              <w:spacing w:line="360" w:lineRule="auto"/>
              <w:rPr>
                <w:color w:val="0000FF"/>
                <w:sz w:val="24"/>
                <w:szCs w:val="24"/>
              </w:rPr>
            </w:pPr>
          </w:p>
          <w:p>
            <w:pPr>
              <w:spacing w:line="360" w:lineRule="auto"/>
              <w:rPr>
                <w:color w:val="0000FF"/>
                <w:sz w:val="24"/>
                <w:szCs w:val="24"/>
              </w:rPr>
            </w:pPr>
          </w:p>
          <w:p>
            <w:pPr>
              <w:spacing w:line="360" w:lineRule="auto"/>
              <w:rPr>
                <w:color w:val="0000FF"/>
                <w:sz w:val="24"/>
                <w:szCs w:val="24"/>
              </w:rPr>
            </w:pPr>
          </w:p>
          <w:p>
            <w:pPr>
              <w:spacing w:line="360" w:lineRule="auto"/>
              <w:rPr>
                <w:color w:val="0000FF"/>
                <w:sz w:val="24"/>
                <w:szCs w:val="24"/>
              </w:rPr>
            </w:pPr>
          </w:p>
          <w:p>
            <w:pPr>
              <w:spacing w:line="360" w:lineRule="auto"/>
              <w:rPr>
                <w:color w:val="0000FF"/>
                <w:sz w:val="24"/>
                <w:szCs w:val="24"/>
              </w:rPr>
            </w:pPr>
          </w:p>
          <w:p>
            <w:pPr>
              <w:spacing w:line="360" w:lineRule="auto"/>
              <w:rPr>
                <w:color w:val="0000FF"/>
                <w:sz w:val="24"/>
                <w:szCs w:val="24"/>
              </w:rPr>
            </w:pPr>
          </w:p>
          <w:p>
            <w:pPr>
              <w:spacing w:line="360" w:lineRule="auto"/>
              <w:rPr>
                <w:color w:val="0000FF"/>
                <w:sz w:val="24"/>
                <w:szCs w:val="24"/>
              </w:rPr>
            </w:pPr>
          </w:p>
          <w:p>
            <w:pPr>
              <w:spacing w:line="360" w:lineRule="auto"/>
              <w:rPr>
                <w:color w:val="0000FF"/>
                <w:sz w:val="24"/>
                <w:szCs w:val="24"/>
              </w:rPr>
            </w:pPr>
          </w:p>
          <w:p>
            <w:pPr>
              <w:spacing w:line="360" w:lineRule="auto"/>
              <w:rPr>
                <w:color w:val="0000FF"/>
                <w:sz w:val="24"/>
                <w:szCs w:val="24"/>
              </w:rPr>
            </w:pPr>
          </w:p>
          <w:p>
            <w:pPr>
              <w:spacing w:line="360" w:lineRule="auto"/>
              <w:rPr>
                <w:color w:val="0000FF"/>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46" w:hRule="atLeast"/>
          <w:jc w:val="center"/>
        </w:trPr>
        <w:tc>
          <w:tcPr>
            <w:tcW w:w="9003" w:type="dxa"/>
          </w:tcPr>
          <w:p>
            <w:pPr>
              <w:spacing w:line="360" w:lineRule="auto"/>
              <w:rPr>
                <w:rFonts w:ascii="宋体" w:hAnsi="宋体"/>
                <w:b/>
                <w:sz w:val="28"/>
              </w:rPr>
            </w:pPr>
            <w:r>
              <w:rPr>
                <w:b/>
                <w:sz w:val="28"/>
              </w:rPr>
              <w:t>主要环境保护目</w:t>
            </w:r>
            <w:r>
              <w:rPr>
                <w:rFonts w:ascii="宋体" w:hAnsi="宋体"/>
                <w:b/>
                <w:sz w:val="28"/>
              </w:rPr>
              <w:t>标</w:t>
            </w:r>
            <w:r>
              <w:rPr>
                <w:rFonts w:hint="eastAsia" w:ascii="宋体" w:hAnsi="宋体"/>
                <w:b/>
                <w:sz w:val="28"/>
              </w:rPr>
              <w:t>(</w:t>
            </w:r>
            <w:r>
              <w:rPr>
                <w:rFonts w:ascii="宋体" w:hAnsi="宋体"/>
                <w:b/>
                <w:sz w:val="28"/>
              </w:rPr>
              <w:t>列出名单及保护级别</w:t>
            </w:r>
            <w:r>
              <w:rPr>
                <w:rFonts w:hint="eastAsia" w:ascii="宋体" w:hAnsi="宋体"/>
                <w:b/>
                <w:sz w:val="28"/>
              </w:rPr>
              <w:t>)</w:t>
            </w:r>
            <w:r>
              <w:rPr>
                <w:rFonts w:ascii="宋体" w:hAnsi="宋体"/>
                <w:b/>
                <w:sz w:val="28"/>
              </w:rPr>
              <w:t>：</w:t>
            </w:r>
          </w:p>
          <w:p>
            <w:pPr>
              <w:spacing w:line="480" w:lineRule="exact"/>
              <w:ind w:firstLine="480" w:firstLineChars="200"/>
              <w:rPr>
                <w:sz w:val="24"/>
                <w:szCs w:val="24"/>
              </w:rPr>
            </w:pPr>
            <w:r>
              <w:rPr>
                <w:sz w:val="24"/>
                <w:szCs w:val="24"/>
              </w:rPr>
              <w:t>通过对本项目的现场踏勘及有关技术资料分析，项目所在地周围无饮用水源保护区、</w:t>
            </w:r>
            <w:r>
              <w:rPr>
                <w:rFonts w:hint="eastAsia"/>
                <w:sz w:val="24"/>
                <w:szCs w:val="24"/>
              </w:rPr>
              <w:t>珍稀动植物资源、</w:t>
            </w:r>
            <w:r>
              <w:rPr>
                <w:sz w:val="24"/>
                <w:szCs w:val="24"/>
              </w:rPr>
              <w:t>风景名胜区、重点文物保护单位等需要特别保护的环境敏感目标。本项目环境保护目标见表</w:t>
            </w:r>
            <w:r>
              <w:rPr>
                <w:rFonts w:hint="eastAsia"/>
                <w:sz w:val="24"/>
                <w:szCs w:val="24"/>
              </w:rPr>
              <w:t>11</w:t>
            </w:r>
            <w:r>
              <w:rPr>
                <w:sz w:val="24"/>
                <w:szCs w:val="24"/>
              </w:rPr>
              <w:t>。</w:t>
            </w:r>
          </w:p>
          <w:p>
            <w:pPr>
              <w:spacing w:line="360" w:lineRule="auto"/>
              <w:jc w:val="center"/>
              <w:rPr>
                <w:b/>
                <w:szCs w:val="21"/>
              </w:rPr>
            </w:pPr>
            <w:r>
              <w:rPr>
                <w:b/>
              </w:rPr>
              <w:t>表</w:t>
            </w:r>
            <w:r>
              <w:rPr>
                <w:rFonts w:hint="eastAsia"/>
                <w:b/>
              </w:rPr>
              <w:t>11</w:t>
            </w:r>
            <w:r>
              <w:rPr>
                <w:b/>
              </w:rPr>
              <w:t xml:space="preserve"> </w:t>
            </w:r>
            <w:r>
              <w:rPr>
                <w:rFonts w:hint="eastAsia"/>
                <w:b/>
              </w:rPr>
              <w:t xml:space="preserve">  </w:t>
            </w:r>
            <w:r>
              <w:rPr>
                <w:b/>
              </w:rPr>
              <w:t xml:space="preserve"> 环境保护目标一览表</w:t>
            </w:r>
          </w:p>
          <w:tbl>
            <w:tblPr>
              <w:tblStyle w:val="31"/>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106"/>
              <w:gridCol w:w="945"/>
              <w:gridCol w:w="1258"/>
              <w:gridCol w:w="1573"/>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restart"/>
                  <w:vAlign w:val="center"/>
                </w:tcPr>
                <w:p>
                  <w:pPr>
                    <w:jc w:val="center"/>
                    <w:rPr>
                      <w:b/>
                      <w:bCs/>
                      <w:szCs w:val="21"/>
                    </w:rPr>
                  </w:pPr>
                  <w:r>
                    <w:rPr>
                      <w:rFonts w:hint="eastAsia"/>
                      <w:b/>
                      <w:bCs/>
                    </w:rPr>
                    <w:t>环境要素</w:t>
                  </w:r>
                </w:p>
              </w:tc>
              <w:tc>
                <w:tcPr>
                  <w:tcW w:w="2106" w:type="dxa"/>
                  <w:vMerge w:val="restart"/>
                  <w:vAlign w:val="center"/>
                </w:tcPr>
                <w:p>
                  <w:pPr>
                    <w:jc w:val="center"/>
                    <w:rPr>
                      <w:b/>
                      <w:bCs/>
                      <w:szCs w:val="21"/>
                    </w:rPr>
                  </w:pPr>
                  <w:r>
                    <w:rPr>
                      <w:b/>
                      <w:bCs/>
                      <w:szCs w:val="21"/>
                    </w:rPr>
                    <w:t>保护目标</w:t>
                  </w:r>
                </w:p>
              </w:tc>
              <w:tc>
                <w:tcPr>
                  <w:tcW w:w="2203" w:type="dxa"/>
                  <w:gridSpan w:val="2"/>
                  <w:vAlign w:val="center"/>
                </w:tcPr>
                <w:p>
                  <w:pPr>
                    <w:pStyle w:val="19"/>
                    <w:spacing w:line="240" w:lineRule="auto"/>
                    <w:rPr>
                      <w:b/>
                      <w:bCs/>
                      <w:sz w:val="21"/>
                      <w:szCs w:val="21"/>
                    </w:rPr>
                  </w:pPr>
                  <w:r>
                    <w:rPr>
                      <w:b/>
                      <w:bCs/>
                      <w:sz w:val="21"/>
                      <w:szCs w:val="21"/>
                    </w:rPr>
                    <w:t>相对与本项目</w:t>
                  </w:r>
                </w:p>
              </w:tc>
              <w:tc>
                <w:tcPr>
                  <w:tcW w:w="1573" w:type="dxa"/>
                  <w:vMerge w:val="restart"/>
                  <w:vAlign w:val="center"/>
                </w:tcPr>
                <w:p>
                  <w:pPr>
                    <w:jc w:val="center"/>
                    <w:rPr>
                      <w:b/>
                      <w:bCs/>
                      <w:szCs w:val="21"/>
                    </w:rPr>
                  </w:pPr>
                  <w:r>
                    <w:rPr>
                      <w:b/>
                      <w:bCs/>
                      <w:szCs w:val="21"/>
                    </w:rPr>
                    <w:t>保护对象</w:t>
                  </w:r>
                </w:p>
              </w:tc>
              <w:tc>
                <w:tcPr>
                  <w:tcW w:w="2184" w:type="dxa"/>
                  <w:vMerge w:val="restart"/>
                  <w:vAlign w:val="center"/>
                </w:tcPr>
                <w:p>
                  <w:pPr>
                    <w:pStyle w:val="61"/>
                    <w:jc w:val="center"/>
                    <w:rPr>
                      <w:b/>
                      <w:bCs/>
                      <w:szCs w:val="21"/>
                    </w:rPr>
                  </w:pPr>
                  <w:r>
                    <w:rPr>
                      <w:b/>
                      <w:bCs/>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vAlign w:val="center"/>
                </w:tcPr>
                <w:p>
                  <w:pPr>
                    <w:jc w:val="center"/>
                    <w:rPr>
                      <w:szCs w:val="21"/>
                    </w:rPr>
                  </w:pPr>
                </w:p>
              </w:tc>
              <w:tc>
                <w:tcPr>
                  <w:tcW w:w="2106" w:type="dxa"/>
                  <w:vMerge w:val="continue"/>
                  <w:vAlign w:val="center"/>
                </w:tcPr>
                <w:p>
                  <w:pPr>
                    <w:jc w:val="center"/>
                    <w:rPr>
                      <w:szCs w:val="21"/>
                    </w:rPr>
                  </w:pPr>
                </w:p>
              </w:tc>
              <w:tc>
                <w:tcPr>
                  <w:tcW w:w="945" w:type="dxa"/>
                  <w:vAlign w:val="center"/>
                </w:tcPr>
                <w:p>
                  <w:pPr>
                    <w:jc w:val="center"/>
                    <w:rPr>
                      <w:b/>
                      <w:bCs/>
                      <w:szCs w:val="21"/>
                    </w:rPr>
                  </w:pPr>
                  <w:r>
                    <w:rPr>
                      <w:b/>
                      <w:bCs/>
                      <w:szCs w:val="21"/>
                    </w:rPr>
                    <w:t>方位</w:t>
                  </w:r>
                </w:p>
              </w:tc>
              <w:tc>
                <w:tcPr>
                  <w:tcW w:w="1258" w:type="dxa"/>
                  <w:vAlign w:val="center"/>
                </w:tcPr>
                <w:p>
                  <w:pPr>
                    <w:pStyle w:val="19"/>
                    <w:spacing w:line="240" w:lineRule="auto"/>
                    <w:rPr>
                      <w:b/>
                      <w:bCs/>
                      <w:sz w:val="21"/>
                      <w:szCs w:val="21"/>
                    </w:rPr>
                  </w:pPr>
                  <w:r>
                    <w:rPr>
                      <w:b/>
                      <w:bCs/>
                      <w:sz w:val="21"/>
                      <w:szCs w:val="21"/>
                    </w:rPr>
                    <w:t>距离</w:t>
                  </w:r>
                  <w:r>
                    <w:rPr>
                      <w:rFonts w:hint="eastAsia"/>
                      <w:b/>
                      <w:bCs/>
                      <w:sz w:val="21"/>
                      <w:szCs w:val="21"/>
                    </w:rPr>
                    <w:t>(</w:t>
                  </w:r>
                  <w:r>
                    <w:rPr>
                      <w:b/>
                      <w:bCs/>
                      <w:sz w:val="21"/>
                      <w:szCs w:val="21"/>
                    </w:rPr>
                    <w:t>m</w:t>
                  </w:r>
                  <w:r>
                    <w:rPr>
                      <w:rFonts w:hint="eastAsia"/>
                      <w:b/>
                      <w:bCs/>
                      <w:sz w:val="21"/>
                      <w:szCs w:val="21"/>
                    </w:rPr>
                    <w:t>)</w:t>
                  </w:r>
                </w:p>
              </w:tc>
              <w:tc>
                <w:tcPr>
                  <w:tcW w:w="1573" w:type="dxa"/>
                  <w:vMerge w:val="continue"/>
                  <w:vAlign w:val="center"/>
                </w:tcPr>
                <w:p>
                  <w:pPr>
                    <w:jc w:val="center"/>
                    <w:rPr>
                      <w:szCs w:val="21"/>
                    </w:rPr>
                  </w:pPr>
                </w:p>
              </w:tc>
              <w:tc>
                <w:tcPr>
                  <w:tcW w:w="2184" w:type="dxa"/>
                  <w:vMerge w:val="continue"/>
                  <w:vAlign w:val="center"/>
                </w:tcPr>
                <w:p>
                  <w:pPr>
                    <w:pStyle w:val="6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restart"/>
                  <w:vAlign w:val="center"/>
                </w:tcPr>
                <w:p>
                  <w:pPr>
                    <w:jc w:val="center"/>
                    <w:rPr>
                      <w:szCs w:val="21"/>
                    </w:rPr>
                  </w:pPr>
                  <w:r>
                    <w:rPr>
                      <w:rFonts w:hint="eastAsia"/>
                      <w:b/>
                      <w:bCs/>
                      <w:szCs w:val="21"/>
                    </w:rPr>
                    <w:t>环境空气</w:t>
                  </w:r>
                </w:p>
              </w:tc>
              <w:tc>
                <w:tcPr>
                  <w:tcW w:w="2106" w:type="dxa"/>
                  <w:vAlign w:val="center"/>
                </w:tcPr>
                <w:p>
                  <w:pPr>
                    <w:jc w:val="center"/>
                    <w:rPr>
                      <w:szCs w:val="21"/>
                    </w:rPr>
                  </w:pPr>
                  <w:r>
                    <w:rPr>
                      <w:rFonts w:hint="eastAsia"/>
                      <w:szCs w:val="21"/>
                    </w:rPr>
                    <w:t>付神首村</w:t>
                  </w:r>
                </w:p>
              </w:tc>
              <w:tc>
                <w:tcPr>
                  <w:tcW w:w="945" w:type="dxa"/>
                  <w:vAlign w:val="center"/>
                </w:tcPr>
                <w:p>
                  <w:pPr>
                    <w:jc w:val="center"/>
                    <w:rPr>
                      <w:szCs w:val="21"/>
                    </w:rPr>
                  </w:pPr>
                  <w:r>
                    <w:rPr>
                      <w:rFonts w:hint="eastAsia"/>
                      <w:szCs w:val="21"/>
                    </w:rPr>
                    <w:t>W</w:t>
                  </w:r>
                </w:p>
              </w:tc>
              <w:tc>
                <w:tcPr>
                  <w:tcW w:w="1258" w:type="dxa"/>
                  <w:vAlign w:val="center"/>
                </w:tcPr>
                <w:p>
                  <w:pPr>
                    <w:jc w:val="center"/>
                    <w:rPr>
                      <w:szCs w:val="21"/>
                    </w:rPr>
                  </w:pPr>
                  <w:r>
                    <w:rPr>
                      <w:rFonts w:hint="eastAsia"/>
                      <w:szCs w:val="21"/>
                    </w:rPr>
                    <w:t>250</w:t>
                  </w:r>
                </w:p>
              </w:tc>
              <w:tc>
                <w:tcPr>
                  <w:tcW w:w="1573" w:type="dxa"/>
                  <w:vAlign w:val="center"/>
                </w:tcPr>
                <w:p>
                  <w:pPr>
                    <w:jc w:val="center"/>
                    <w:rPr>
                      <w:szCs w:val="21"/>
                    </w:rPr>
                  </w:pPr>
                  <w:r>
                    <w:rPr>
                      <w:rFonts w:hint="eastAsia"/>
                      <w:szCs w:val="21"/>
                    </w:rPr>
                    <w:t>居民</w:t>
                  </w:r>
                </w:p>
              </w:tc>
              <w:tc>
                <w:tcPr>
                  <w:tcW w:w="2184" w:type="dxa"/>
                  <w:vMerge w:val="restart"/>
                  <w:vAlign w:val="center"/>
                </w:tcPr>
                <w:p>
                  <w:pPr>
                    <w:pStyle w:val="61"/>
                    <w:jc w:val="center"/>
                    <w:rPr>
                      <w:snapToGrid w:val="0"/>
                      <w:kern w:val="0"/>
                      <w:szCs w:val="21"/>
                    </w:rPr>
                  </w:pPr>
                  <w:r>
                    <w:rPr>
                      <w:rFonts w:hint="eastAsia"/>
                      <w:snapToGrid w:val="0"/>
                      <w:kern w:val="0"/>
                      <w:szCs w:val="21"/>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1" w:type="dxa"/>
                  <w:vMerge w:val="continue"/>
                  <w:vAlign w:val="center"/>
                </w:tcPr>
                <w:p>
                  <w:pPr>
                    <w:jc w:val="center"/>
                    <w:rPr>
                      <w:szCs w:val="21"/>
                    </w:rPr>
                  </w:pPr>
                </w:p>
              </w:tc>
              <w:tc>
                <w:tcPr>
                  <w:tcW w:w="2106" w:type="dxa"/>
                  <w:vAlign w:val="center"/>
                </w:tcPr>
                <w:p>
                  <w:pPr>
                    <w:jc w:val="center"/>
                    <w:rPr>
                      <w:szCs w:val="21"/>
                    </w:rPr>
                  </w:pPr>
                  <w:r>
                    <w:rPr>
                      <w:rFonts w:hint="eastAsia"/>
                      <w:szCs w:val="21"/>
                    </w:rPr>
                    <w:t>夏神首村</w:t>
                  </w:r>
                </w:p>
              </w:tc>
              <w:tc>
                <w:tcPr>
                  <w:tcW w:w="945" w:type="dxa"/>
                  <w:vAlign w:val="center"/>
                </w:tcPr>
                <w:p>
                  <w:pPr>
                    <w:jc w:val="center"/>
                    <w:rPr>
                      <w:szCs w:val="21"/>
                    </w:rPr>
                  </w:pPr>
                  <w:r>
                    <w:rPr>
                      <w:rFonts w:hint="eastAsia"/>
                      <w:szCs w:val="21"/>
                    </w:rPr>
                    <w:t>N</w:t>
                  </w:r>
                </w:p>
              </w:tc>
              <w:tc>
                <w:tcPr>
                  <w:tcW w:w="1258" w:type="dxa"/>
                  <w:vAlign w:val="center"/>
                </w:tcPr>
                <w:p>
                  <w:pPr>
                    <w:jc w:val="center"/>
                    <w:rPr>
                      <w:szCs w:val="21"/>
                    </w:rPr>
                  </w:pPr>
                  <w:r>
                    <w:rPr>
                      <w:rFonts w:hint="eastAsia"/>
                      <w:szCs w:val="21"/>
                    </w:rPr>
                    <w:t>400</w:t>
                  </w:r>
                </w:p>
              </w:tc>
              <w:tc>
                <w:tcPr>
                  <w:tcW w:w="1573" w:type="dxa"/>
                  <w:vAlign w:val="center"/>
                </w:tcPr>
                <w:p>
                  <w:pPr>
                    <w:jc w:val="center"/>
                    <w:rPr>
                      <w:szCs w:val="21"/>
                    </w:rPr>
                  </w:pPr>
                  <w:r>
                    <w:rPr>
                      <w:rFonts w:hint="eastAsia"/>
                      <w:szCs w:val="21"/>
                    </w:rPr>
                    <w:t>居民</w:t>
                  </w:r>
                </w:p>
              </w:tc>
              <w:tc>
                <w:tcPr>
                  <w:tcW w:w="2184" w:type="dxa"/>
                  <w:vMerge w:val="continue"/>
                  <w:vAlign w:val="center"/>
                </w:tcPr>
                <w:p>
                  <w:pPr>
                    <w:pStyle w:val="61"/>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vAlign w:val="center"/>
                </w:tcPr>
                <w:p>
                  <w:pPr>
                    <w:jc w:val="center"/>
                    <w:rPr>
                      <w:szCs w:val="21"/>
                    </w:rPr>
                  </w:pPr>
                </w:p>
              </w:tc>
              <w:tc>
                <w:tcPr>
                  <w:tcW w:w="2106" w:type="dxa"/>
                  <w:vAlign w:val="center"/>
                </w:tcPr>
                <w:p>
                  <w:pPr>
                    <w:jc w:val="center"/>
                    <w:rPr>
                      <w:szCs w:val="21"/>
                    </w:rPr>
                  </w:pPr>
                  <w:r>
                    <w:rPr>
                      <w:rFonts w:hint="eastAsia"/>
                      <w:szCs w:val="21"/>
                    </w:rPr>
                    <w:t>新城盛世</w:t>
                  </w:r>
                </w:p>
              </w:tc>
              <w:tc>
                <w:tcPr>
                  <w:tcW w:w="945" w:type="dxa"/>
                  <w:vAlign w:val="center"/>
                </w:tcPr>
                <w:p>
                  <w:pPr>
                    <w:jc w:val="center"/>
                    <w:rPr>
                      <w:szCs w:val="21"/>
                    </w:rPr>
                  </w:pPr>
                  <w:r>
                    <w:rPr>
                      <w:rFonts w:hint="eastAsia"/>
                      <w:szCs w:val="21"/>
                    </w:rPr>
                    <w:t>NE</w:t>
                  </w:r>
                </w:p>
              </w:tc>
              <w:tc>
                <w:tcPr>
                  <w:tcW w:w="1258" w:type="dxa"/>
                  <w:vAlign w:val="center"/>
                </w:tcPr>
                <w:p>
                  <w:pPr>
                    <w:jc w:val="center"/>
                    <w:rPr>
                      <w:szCs w:val="21"/>
                    </w:rPr>
                  </w:pPr>
                  <w:r>
                    <w:rPr>
                      <w:rFonts w:hint="eastAsia"/>
                      <w:szCs w:val="21"/>
                    </w:rPr>
                    <w:t>940</w:t>
                  </w:r>
                </w:p>
              </w:tc>
              <w:tc>
                <w:tcPr>
                  <w:tcW w:w="1573" w:type="dxa"/>
                  <w:vAlign w:val="center"/>
                </w:tcPr>
                <w:p>
                  <w:pPr>
                    <w:jc w:val="center"/>
                    <w:rPr>
                      <w:szCs w:val="21"/>
                    </w:rPr>
                  </w:pPr>
                  <w:r>
                    <w:rPr>
                      <w:rFonts w:hint="eastAsia"/>
                      <w:szCs w:val="21"/>
                    </w:rPr>
                    <w:t>居民</w:t>
                  </w:r>
                </w:p>
              </w:tc>
              <w:tc>
                <w:tcPr>
                  <w:tcW w:w="2184" w:type="dxa"/>
                  <w:vMerge w:val="continue"/>
                  <w:vAlign w:val="center"/>
                </w:tcPr>
                <w:p>
                  <w:pPr>
                    <w:pStyle w:val="61"/>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vAlign w:val="center"/>
                </w:tcPr>
                <w:p>
                  <w:pPr>
                    <w:jc w:val="center"/>
                    <w:rPr>
                      <w:szCs w:val="21"/>
                    </w:rPr>
                  </w:pPr>
                </w:p>
              </w:tc>
              <w:tc>
                <w:tcPr>
                  <w:tcW w:w="2106" w:type="dxa"/>
                  <w:vAlign w:val="center"/>
                </w:tcPr>
                <w:p>
                  <w:pPr>
                    <w:jc w:val="center"/>
                    <w:rPr>
                      <w:szCs w:val="21"/>
                    </w:rPr>
                  </w:pPr>
                  <w:r>
                    <w:rPr>
                      <w:rFonts w:hint="eastAsia"/>
                      <w:szCs w:val="21"/>
                    </w:rPr>
                    <w:t>祥瑞苑</w:t>
                  </w:r>
                </w:p>
              </w:tc>
              <w:tc>
                <w:tcPr>
                  <w:tcW w:w="945" w:type="dxa"/>
                  <w:vAlign w:val="center"/>
                </w:tcPr>
                <w:p>
                  <w:pPr>
                    <w:jc w:val="center"/>
                    <w:rPr>
                      <w:szCs w:val="21"/>
                    </w:rPr>
                  </w:pPr>
                  <w:r>
                    <w:rPr>
                      <w:rFonts w:hint="eastAsia"/>
                      <w:szCs w:val="21"/>
                    </w:rPr>
                    <w:t>NE</w:t>
                  </w:r>
                </w:p>
              </w:tc>
              <w:tc>
                <w:tcPr>
                  <w:tcW w:w="1258" w:type="dxa"/>
                  <w:vAlign w:val="center"/>
                </w:tcPr>
                <w:p>
                  <w:pPr>
                    <w:jc w:val="center"/>
                    <w:rPr>
                      <w:szCs w:val="21"/>
                    </w:rPr>
                  </w:pPr>
                  <w:r>
                    <w:rPr>
                      <w:rFonts w:hint="eastAsia"/>
                      <w:szCs w:val="21"/>
                    </w:rPr>
                    <w:t>770</w:t>
                  </w:r>
                </w:p>
              </w:tc>
              <w:tc>
                <w:tcPr>
                  <w:tcW w:w="1573" w:type="dxa"/>
                  <w:vAlign w:val="center"/>
                </w:tcPr>
                <w:p>
                  <w:pPr>
                    <w:jc w:val="center"/>
                    <w:rPr>
                      <w:szCs w:val="21"/>
                    </w:rPr>
                  </w:pPr>
                  <w:r>
                    <w:rPr>
                      <w:rFonts w:hint="eastAsia"/>
                      <w:szCs w:val="21"/>
                    </w:rPr>
                    <w:t>居民</w:t>
                  </w:r>
                </w:p>
              </w:tc>
              <w:tc>
                <w:tcPr>
                  <w:tcW w:w="2184" w:type="dxa"/>
                  <w:vMerge w:val="continue"/>
                  <w:vAlign w:val="center"/>
                </w:tcPr>
                <w:p>
                  <w:pPr>
                    <w:pStyle w:val="61"/>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vAlign w:val="center"/>
                </w:tcPr>
                <w:p>
                  <w:pPr>
                    <w:jc w:val="center"/>
                    <w:rPr>
                      <w:szCs w:val="21"/>
                    </w:rPr>
                  </w:pPr>
                </w:p>
              </w:tc>
              <w:tc>
                <w:tcPr>
                  <w:tcW w:w="2106" w:type="dxa"/>
                  <w:vAlign w:val="center"/>
                </w:tcPr>
                <w:p>
                  <w:pPr>
                    <w:jc w:val="center"/>
                    <w:rPr>
                      <w:szCs w:val="21"/>
                    </w:rPr>
                  </w:pPr>
                  <w:r>
                    <w:rPr>
                      <w:rFonts w:hint="eastAsia"/>
                      <w:szCs w:val="21"/>
                    </w:rPr>
                    <w:t>馨奥都市</w:t>
                  </w:r>
                </w:p>
              </w:tc>
              <w:tc>
                <w:tcPr>
                  <w:tcW w:w="945" w:type="dxa"/>
                  <w:vAlign w:val="center"/>
                </w:tcPr>
                <w:p>
                  <w:pPr>
                    <w:jc w:val="center"/>
                    <w:rPr>
                      <w:szCs w:val="21"/>
                    </w:rPr>
                  </w:pPr>
                  <w:r>
                    <w:rPr>
                      <w:rFonts w:hint="eastAsia"/>
                      <w:szCs w:val="21"/>
                    </w:rPr>
                    <w:t>E</w:t>
                  </w:r>
                </w:p>
              </w:tc>
              <w:tc>
                <w:tcPr>
                  <w:tcW w:w="1258" w:type="dxa"/>
                  <w:vAlign w:val="center"/>
                </w:tcPr>
                <w:p>
                  <w:pPr>
                    <w:jc w:val="center"/>
                    <w:rPr>
                      <w:szCs w:val="21"/>
                    </w:rPr>
                  </w:pPr>
                  <w:r>
                    <w:rPr>
                      <w:rFonts w:hint="eastAsia"/>
                      <w:szCs w:val="21"/>
                    </w:rPr>
                    <w:t>520</w:t>
                  </w:r>
                </w:p>
              </w:tc>
              <w:tc>
                <w:tcPr>
                  <w:tcW w:w="1573" w:type="dxa"/>
                  <w:vAlign w:val="center"/>
                </w:tcPr>
                <w:p>
                  <w:pPr>
                    <w:jc w:val="center"/>
                    <w:rPr>
                      <w:szCs w:val="21"/>
                    </w:rPr>
                  </w:pPr>
                  <w:r>
                    <w:rPr>
                      <w:rFonts w:hint="eastAsia"/>
                      <w:szCs w:val="21"/>
                    </w:rPr>
                    <w:t>居民</w:t>
                  </w:r>
                </w:p>
              </w:tc>
              <w:tc>
                <w:tcPr>
                  <w:tcW w:w="2184" w:type="dxa"/>
                  <w:vMerge w:val="continue"/>
                  <w:vAlign w:val="center"/>
                </w:tcPr>
                <w:p>
                  <w:pPr>
                    <w:pStyle w:val="61"/>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1" w:type="dxa"/>
                  <w:vMerge w:val="continue"/>
                  <w:vAlign w:val="center"/>
                </w:tcPr>
                <w:p>
                  <w:pPr>
                    <w:jc w:val="center"/>
                    <w:rPr>
                      <w:szCs w:val="21"/>
                    </w:rPr>
                  </w:pPr>
                </w:p>
              </w:tc>
              <w:tc>
                <w:tcPr>
                  <w:tcW w:w="2106" w:type="dxa"/>
                  <w:vAlign w:val="center"/>
                </w:tcPr>
                <w:p>
                  <w:pPr>
                    <w:jc w:val="center"/>
                    <w:rPr>
                      <w:szCs w:val="21"/>
                    </w:rPr>
                  </w:pPr>
                  <w:r>
                    <w:rPr>
                      <w:rFonts w:hint="eastAsia"/>
                      <w:szCs w:val="21"/>
                    </w:rPr>
                    <w:t>西郑家庄村</w:t>
                  </w:r>
                </w:p>
              </w:tc>
              <w:tc>
                <w:tcPr>
                  <w:tcW w:w="945" w:type="dxa"/>
                  <w:vAlign w:val="center"/>
                </w:tcPr>
                <w:p>
                  <w:pPr>
                    <w:jc w:val="center"/>
                    <w:rPr>
                      <w:szCs w:val="21"/>
                    </w:rPr>
                  </w:pPr>
                  <w:r>
                    <w:rPr>
                      <w:rFonts w:hint="eastAsia"/>
                      <w:szCs w:val="21"/>
                    </w:rPr>
                    <w:t>SE</w:t>
                  </w:r>
                </w:p>
              </w:tc>
              <w:tc>
                <w:tcPr>
                  <w:tcW w:w="1258" w:type="dxa"/>
                  <w:vAlign w:val="center"/>
                </w:tcPr>
                <w:p>
                  <w:pPr>
                    <w:jc w:val="center"/>
                    <w:rPr>
                      <w:szCs w:val="21"/>
                    </w:rPr>
                  </w:pPr>
                  <w:r>
                    <w:rPr>
                      <w:rFonts w:hint="eastAsia"/>
                      <w:szCs w:val="21"/>
                    </w:rPr>
                    <w:t>550</w:t>
                  </w:r>
                </w:p>
              </w:tc>
              <w:tc>
                <w:tcPr>
                  <w:tcW w:w="1573" w:type="dxa"/>
                  <w:vAlign w:val="center"/>
                </w:tcPr>
                <w:p>
                  <w:pPr>
                    <w:jc w:val="center"/>
                    <w:rPr>
                      <w:szCs w:val="21"/>
                    </w:rPr>
                  </w:pPr>
                  <w:r>
                    <w:rPr>
                      <w:rFonts w:hint="eastAsia"/>
                      <w:szCs w:val="21"/>
                    </w:rPr>
                    <w:t>居民</w:t>
                  </w:r>
                </w:p>
              </w:tc>
              <w:tc>
                <w:tcPr>
                  <w:tcW w:w="2184" w:type="dxa"/>
                  <w:vMerge w:val="continue"/>
                  <w:vAlign w:val="center"/>
                </w:tcPr>
                <w:p>
                  <w:pPr>
                    <w:pStyle w:val="61"/>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b/>
                      <w:bCs/>
                      <w:szCs w:val="21"/>
                    </w:rPr>
                  </w:pPr>
                  <w:r>
                    <w:rPr>
                      <w:b/>
                      <w:bCs/>
                      <w:szCs w:val="21"/>
                    </w:rPr>
                    <w:t>水</w:t>
                  </w:r>
                </w:p>
                <w:p>
                  <w:pPr>
                    <w:jc w:val="center"/>
                    <w:rPr>
                      <w:b/>
                      <w:bCs/>
                      <w:szCs w:val="21"/>
                    </w:rPr>
                  </w:pPr>
                  <w:r>
                    <w:rPr>
                      <w:b/>
                      <w:bCs/>
                      <w:szCs w:val="21"/>
                    </w:rPr>
                    <w:t>环</w:t>
                  </w:r>
                </w:p>
                <w:p>
                  <w:pPr>
                    <w:jc w:val="center"/>
                    <w:rPr>
                      <w:szCs w:val="21"/>
                    </w:rPr>
                  </w:pPr>
                  <w:r>
                    <w:rPr>
                      <w:b/>
                      <w:bCs/>
                      <w:szCs w:val="21"/>
                    </w:rPr>
                    <w:t>境</w:t>
                  </w:r>
                </w:p>
              </w:tc>
              <w:tc>
                <w:tcPr>
                  <w:tcW w:w="2106" w:type="dxa"/>
                  <w:vAlign w:val="center"/>
                </w:tcPr>
                <w:p>
                  <w:pPr>
                    <w:jc w:val="center"/>
                    <w:rPr>
                      <w:szCs w:val="21"/>
                    </w:rPr>
                  </w:pPr>
                  <w:r>
                    <w:rPr>
                      <w:rFonts w:hint="eastAsia"/>
                      <w:szCs w:val="21"/>
                    </w:rPr>
                    <w:t>厂区及下游</w:t>
                  </w:r>
                </w:p>
              </w:tc>
              <w:tc>
                <w:tcPr>
                  <w:tcW w:w="945" w:type="dxa"/>
                  <w:vAlign w:val="center"/>
                </w:tcPr>
                <w:p>
                  <w:pPr>
                    <w:jc w:val="center"/>
                    <w:rPr>
                      <w:szCs w:val="21"/>
                    </w:rPr>
                  </w:pPr>
                  <w:r>
                    <w:rPr>
                      <w:rFonts w:hint="eastAsia"/>
                      <w:szCs w:val="21"/>
                    </w:rPr>
                    <w:t>-</w:t>
                  </w:r>
                </w:p>
              </w:tc>
              <w:tc>
                <w:tcPr>
                  <w:tcW w:w="1258" w:type="dxa"/>
                  <w:vAlign w:val="center"/>
                </w:tcPr>
                <w:p>
                  <w:pPr>
                    <w:pStyle w:val="19"/>
                    <w:spacing w:line="240" w:lineRule="auto"/>
                    <w:rPr>
                      <w:sz w:val="21"/>
                      <w:szCs w:val="21"/>
                    </w:rPr>
                  </w:pPr>
                  <w:r>
                    <w:rPr>
                      <w:rFonts w:hint="eastAsia"/>
                      <w:sz w:val="21"/>
                      <w:szCs w:val="21"/>
                    </w:rPr>
                    <w:t>-</w:t>
                  </w:r>
                </w:p>
              </w:tc>
              <w:tc>
                <w:tcPr>
                  <w:tcW w:w="1573" w:type="dxa"/>
                  <w:vAlign w:val="center"/>
                </w:tcPr>
                <w:p>
                  <w:pPr>
                    <w:jc w:val="center"/>
                    <w:rPr>
                      <w:szCs w:val="21"/>
                    </w:rPr>
                  </w:pPr>
                  <w:r>
                    <w:rPr>
                      <w:rFonts w:hint="eastAsia"/>
                      <w:szCs w:val="21"/>
                    </w:rPr>
                    <w:t>地下水</w:t>
                  </w:r>
                </w:p>
              </w:tc>
              <w:tc>
                <w:tcPr>
                  <w:tcW w:w="2184" w:type="dxa"/>
                  <w:vAlign w:val="center"/>
                </w:tcPr>
                <w:p>
                  <w:pPr>
                    <w:pStyle w:val="61"/>
                    <w:jc w:val="center"/>
                    <w:rPr>
                      <w:snapToGrid w:val="0"/>
                      <w:kern w:val="0"/>
                      <w:szCs w:val="21"/>
                    </w:rPr>
                  </w:pPr>
                  <w:r>
                    <w:rPr>
                      <w:szCs w:val="21"/>
                    </w:rPr>
                    <w:t>《地下水质量标准》</w:t>
                  </w:r>
                  <w:r>
                    <w:rPr>
                      <w:rFonts w:hint="eastAsia"/>
                      <w:szCs w:val="21"/>
                    </w:rPr>
                    <w:t>(</w:t>
                  </w:r>
                  <w:r>
                    <w:rPr>
                      <w:szCs w:val="21"/>
                    </w:rPr>
                    <w:t>GB/T14848- 93</w:t>
                  </w:r>
                  <w:r>
                    <w:rPr>
                      <w:rFonts w:hint="eastAsia"/>
                      <w:szCs w:val="21"/>
                    </w:rPr>
                    <w:t>)</w:t>
                  </w:r>
                  <w:r>
                    <w:rPr>
                      <w:rFonts w:hint="eastAsia" w:ascii="宋体" w:hAnsi="宋体" w:cs="宋体"/>
                      <w:szCs w:val="21"/>
                    </w:rPr>
                    <w:t>Ⅲ</w:t>
                  </w:r>
                  <w:r>
                    <w:rPr>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restart"/>
                  <w:vAlign w:val="center"/>
                </w:tcPr>
                <w:p>
                  <w:pPr>
                    <w:jc w:val="center"/>
                    <w:rPr>
                      <w:b/>
                      <w:bCs/>
                      <w:szCs w:val="21"/>
                    </w:rPr>
                  </w:pPr>
                  <w:r>
                    <w:rPr>
                      <w:b/>
                      <w:bCs/>
                      <w:szCs w:val="21"/>
                    </w:rPr>
                    <w:t>声</w:t>
                  </w:r>
                </w:p>
                <w:p>
                  <w:pPr>
                    <w:jc w:val="center"/>
                    <w:rPr>
                      <w:b/>
                      <w:bCs/>
                      <w:szCs w:val="21"/>
                    </w:rPr>
                  </w:pPr>
                  <w:r>
                    <w:rPr>
                      <w:b/>
                      <w:bCs/>
                      <w:szCs w:val="21"/>
                    </w:rPr>
                    <w:t>环</w:t>
                  </w:r>
                </w:p>
                <w:p>
                  <w:pPr>
                    <w:jc w:val="center"/>
                    <w:rPr>
                      <w:b/>
                      <w:bCs/>
                      <w:szCs w:val="21"/>
                    </w:rPr>
                  </w:pPr>
                  <w:r>
                    <w:rPr>
                      <w:b/>
                      <w:bCs/>
                      <w:szCs w:val="21"/>
                    </w:rPr>
                    <w:t>境</w:t>
                  </w:r>
                </w:p>
              </w:tc>
              <w:tc>
                <w:tcPr>
                  <w:tcW w:w="2106" w:type="dxa"/>
                  <w:vMerge w:val="restart"/>
                  <w:vAlign w:val="center"/>
                </w:tcPr>
                <w:p>
                  <w:pPr>
                    <w:jc w:val="center"/>
                    <w:rPr>
                      <w:szCs w:val="21"/>
                    </w:rPr>
                  </w:pPr>
                  <w:r>
                    <w:rPr>
                      <w:rFonts w:hint="eastAsia"/>
                      <w:szCs w:val="21"/>
                    </w:rPr>
                    <w:t>四周厂界</w:t>
                  </w:r>
                </w:p>
              </w:tc>
              <w:tc>
                <w:tcPr>
                  <w:tcW w:w="945" w:type="dxa"/>
                  <w:vAlign w:val="center"/>
                </w:tcPr>
                <w:p>
                  <w:pPr>
                    <w:jc w:val="center"/>
                    <w:rPr>
                      <w:szCs w:val="21"/>
                    </w:rPr>
                  </w:pPr>
                  <w:r>
                    <w:rPr>
                      <w:rFonts w:hint="eastAsia"/>
                      <w:szCs w:val="21"/>
                    </w:rPr>
                    <w:t>南厂界</w:t>
                  </w:r>
                </w:p>
              </w:tc>
              <w:tc>
                <w:tcPr>
                  <w:tcW w:w="2831" w:type="dxa"/>
                  <w:gridSpan w:val="2"/>
                  <w:vAlign w:val="center"/>
                </w:tcPr>
                <w:p>
                  <w:pPr>
                    <w:jc w:val="center"/>
                    <w:rPr>
                      <w:szCs w:val="21"/>
                    </w:rPr>
                  </w:pPr>
                  <w:r>
                    <w:rPr>
                      <w:rFonts w:hint="eastAsia"/>
                      <w:szCs w:val="21"/>
                    </w:rPr>
                    <w:t>厂界外1m</w:t>
                  </w:r>
                </w:p>
              </w:tc>
              <w:tc>
                <w:tcPr>
                  <w:tcW w:w="2184" w:type="dxa"/>
                  <w:vAlign w:val="center"/>
                </w:tcPr>
                <w:p>
                  <w:pPr>
                    <w:pStyle w:val="61"/>
                    <w:jc w:val="center"/>
                    <w:rPr>
                      <w:szCs w:val="21"/>
                    </w:rPr>
                  </w:pPr>
                  <w:commentRangeStart w:id="3"/>
                  <w:r>
                    <w:rPr>
                      <w:szCs w:val="21"/>
                    </w:rPr>
                    <w:t>《声环境质量标准》(GB3096-2008)中</w:t>
                  </w:r>
                  <w:r>
                    <w:rPr>
                      <w:rFonts w:hint="eastAsia"/>
                      <w:color w:val="FF0000"/>
                      <w:szCs w:val="21"/>
                    </w:rPr>
                    <w:t>4</w:t>
                  </w:r>
                  <w:r>
                    <w:rPr>
                      <w:rFonts w:hint="eastAsia"/>
                      <w:color w:val="FF0000"/>
                      <w:szCs w:val="21"/>
                      <w:lang w:val="en-US" w:eastAsia="zh-CN"/>
                    </w:rPr>
                    <w:t>a</w:t>
                  </w:r>
                  <w:r>
                    <w:rPr>
                      <w:szCs w:val="21"/>
                    </w:rPr>
                    <w:t>类标准</w:t>
                  </w:r>
                  <w:commentRangeEnd w:id="3"/>
                  <w:r>
                    <w:rPr>
                      <w:rStyle w:val="45"/>
                    </w:rPr>
                    <w:commentReference w:id="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vAlign w:val="center"/>
                </w:tcPr>
                <w:p>
                  <w:pPr>
                    <w:jc w:val="center"/>
                    <w:rPr>
                      <w:b/>
                      <w:bCs/>
                      <w:szCs w:val="21"/>
                    </w:rPr>
                  </w:pPr>
                </w:p>
              </w:tc>
              <w:tc>
                <w:tcPr>
                  <w:tcW w:w="2106" w:type="dxa"/>
                  <w:vMerge w:val="continue"/>
                  <w:vAlign w:val="center"/>
                </w:tcPr>
                <w:p>
                  <w:pPr>
                    <w:jc w:val="center"/>
                    <w:rPr>
                      <w:szCs w:val="21"/>
                    </w:rPr>
                  </w:pPr>
                </w:p>
              </w:tc>
              <w:tc>
                <w:tcPr>
                  <w:tcW w:w="945" w:type="dxa"/>
                  <w:vAlign w:val="center"/>
                </w:tcPr>
                <w:p>
                  <w:pPr>
                    <w:jc w:val="center"/>
                    <w:rPr>
                      <w:szCs w:val="21"/>
                    </w:rPr>
                  </w:pPr>
                  <w:r>
                    <w:rPr>
                      <w:rFonts w:hint="eastAsia"/>
                      <w:szCs w:val="21"/>
                    </w:rPr>
                    <w:t>东、西、北厂界</w:t>
                  </w:r>
                </w:p>
              </w:tc>
              <w:tc>
                <w:tcPr>
                  <w:tcW w:w="2831" w:type="dxa"/>
                  <w:gridSpan w:val="2"/>
                  <w:vAlign w:val="center"/>
                </w:tcPr>
                <w:p>
                  <w:pPr>
                    <w:jc w:val="center"/>
                    <w:rPr>
                      <w:szCs w:val="21"/>
                    </w:rPr>
                  </w:pPr>
                  <w:r>
                    <w:rPr>
                      <w:rFonts w:hint="eastAsia"/>
                      <w:szCs w:val="21"/>
                    </w:rPr>
                    <w:t>厂界外1m</w:t>
                  </w:r>
                </w:p>
              </w:tc>
              <w:tc>
                <w:tcPr>
                  <w:tcW w:w="2184" w:type="dxa"/>
                  <w:vAlign w:val="center"/>
                </w:tcPr>
                <w:p>
                  <w:pPr>
                    <w:pStyle w:val="61"/>
                    <w:jc w:val="center"/>
                    <w:rPr>
                      <w:szCs w:val="21"/>
                    </w:rPr>
                  </w:pPr>
                  <w:r>
                    <w:rPr>
                      <w:szCs w:val="21"/>
                    </w:rPr>
                    <w:t>《声环境质量标准》(GB3096-2008)中</w:t>
                  </w:r>
                  <w:r>
                    <w:rPr>
                      <w:rFonts w:hint="eastAsia"/>
                      <w:szCs w:val="21"/>
                    </w:rPr>
                    <w:t>3</w:t>
                  </w:r>
                  <w:r>
                    <w:rPr>
                      <w:szCs w:val="21"/>
                    </w:rPr>
                    <w:t>类标准</w:t>
                  </w:r>
                </w:p>
              </w:tc>
            </w:tr>
          </w:tbl>
          <w:p>
            <w:pPr>
              <w:spacing w:line="360" w:lineRule="auto"/>
              <w:ind w:firstLine="480" w:firstLineChars="200"/>
              <w:rPr>
                <w:color w:val="0000FF"/>
                <w:sz w:val="24"/>
                <w:szCs w:val="24"/>
              </w:rPr>
            </w:pPr>
          </w:p>
          <w:p>
            <w:pPr>
              <w:spacing w:line="360" w:lineRule="auto"/>
              <w:ind w:firstLine="480" w:firstLineChars="200"/>
              <w:rPr>
                <w:color w:val="0000FF"/>
                <w:sz w:val="24"/>
                <w:szCs w:val="24"/>
              </w:rPr>
            </w:pPr>
          </w:p>
          <w:p>
            <w:pPr>
              <w:spacing w:line="360" w:lineRule="auto"/>
              <w:ind w:firstLine="480" w:firstLineChars="200"/>
              <w:rPr>
                <w:color w:val="0000FF"/>
                <w:sz w:val="24"/>
                <w:szCs w:val="24"/>
              </w:rPr>
            </w:pPr>
          </w:p>
          <w:p>
            <w:pPr>
              <w:spacing w:line="360" w:lineRule="auto"/>
              <w:ind w:firstLine="480" w:firstLineChars="200"/>
              <w:rPr>
                <w:color w:val="0000FF"/>
                <w:sz w:val="24"/>
                <w:szCs w:val="24"/>
              </w:rPr>
            </w:pPr>
          </w:p>
          <w:p>
            <w:pPr>
              <w:spacing w:line="360" w:lineRule="auto"/>
              <w:ind w:firstLine="480" w:firstLineChars="200"/>
              <w:rPr>
                <w:color w:val="0000FF"/>
                <w:sz w:val="24"/>
                <w:szCs w:val="24"/>
              </w:rPr>
            </w:pPr>
          </w:p>
          <w:p>
            <w:pPr>
              <w:spacing w:line="360" w:lineRule="auto"/>
              <w:ind w:firstLine="480" w:firstLineChars="200"/>
              <w:rPr>
                <w:color w:val="0000FF"/>
                <w:sz w:val="24"/>
                <w:szCs w:val="24"/>
              </w:rPr>
            </w:pPr>
          </w:p>
          <w:p>
            <w:pPr>
              <w:spacing w:line="360" w:lineRule="auto"/>
              <w:rPr>
                <w:color w:val="0000FF"/>
                <w:sz w:val="24"/>
                <w:szCs w:val="24"/>
              </w:rPr>
            </w:pPr>
          </w:p>
          <w:p>
            <w:pPr>
              <w:spacing w:line="360" w:lineRule="auto"/>
              <w:rPr>
                <w:color w:val="0000FF"/>
                <w:sz w:val="24"/>
                <w:szCs w:val="24"/>
              </w:rPr>
            </w:pPr>
          </w:p>
          <w:p>
            <w:pPr>
              <w:spacing w:line="360" w:lineRule="auto"/>
              <w:rPr>
                <w:color w:val="0000FF"/>
                <w:sz w:val="24"/>
                <w:szCs w:val="24"/>
              </w:rPr>
            </w:pPr>
          </w:p>
          <w:p>
            <w:pPr>
              <w:spacing w:line="360" w:lineRule="auto"/>
              <w:rPr>
                <w:color w:val="0000FF"/>
                <w:sz w:val="24"/>
                <w:szCs w:val="24"/>
              </w:rPr>
            </w:pPr>
          </w:p>
          <w:p>
            <w:pPr>
              <w:spacing w:line="360" w:lineRule="auto"/>
              <w:rPr>
                <w:color w:val="0000FF"/>
                <w:sz w:val="24"/>
                <w:szCs w:val="24"/>
              </w:rPr>
            </w:pPr>
          </w:p>
        </w:tc>
      </w:tr>
    </w:tbl>
    <w:p>
      <w:pPr>
        <w:outlineLvl w:val="0"/>
        <w:rPr>
          <w:rFonts w:eastAsia="黑体"/>
          <w:b/>
          <w:bCs/>
          <w:color w:val="0000FF"/>
          <w:sz w:val="32"/>
        </w:rPr>
      </w:pPr>
      <w:r>
        <w:rPr>
          <w:rFonts w:eastAsia="黑体"/>
          <w:b/>
          <w:bCs/>
          <w:color w:val="0000FF"/>
          <w:sz w:val="32"/>
        </w:rPr>
        <w:br w:type="page"/>
      </w:r>
      <w:r>
        <w:rPr>
          <w:rFonts w:eastAsia="黑体"/>
          <w:b/>
          <w:bCs/>
          <w:sz w:val="32"/>
        </w:rPr>
        <w:t>评价适用标准</w:t>
      </w:r>
    </w:p>
    <w:tbl>
      <w:tblPr>
        <w:tblStyle w:val="31"/>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499" w:type="dxa"/>
            <w:vAlign w:val="center"/>
          </w:tcPr>
          <w:p>
            <w:pPr>
              <w:pStyle w:val="11"/>
              <w:spacing w:line="460" w:lineRule="exact"/>
              <w:rPr>
                <w:b/>
                <w:color w:val="0000FF"/>
                <w:sz w:val="28"/>
                <w:szCs w:val="28"/>
              </w:rPr>
            </w:pPr>
            <w:r>
              <w:rPr>
                <w:rFonts w:hint="eastAsia"/>
                <w:b/>
                <w:sz w:val="28"/>
                <w:szCs w:val="28"/>
              </w:rPr>
              <w:t>环境质量标准</w:t>
            </w:r>
          </w:p>
        </w:tc>
        <w:tc>
          <w:tcPr>
            <w:tcW w:w="8504" w:type="dxa"/>
            <w:vAlign w:val="center"/>
          </w:tcPr>
          <w:p>
            <w:pPr>
              <w:numPr>
                <w:ilvl w:val="0"/>
                <w:numId w:val="4"/>
              </w:numPr>
              <w:spacing w:line="480" w:lineRule="exact"/>
              <w:ind w:firstLine="480" w:firstLineChars="200"/>
              <w:rPr>
                <w:sz w:val="24"/>
              </w:rPr>
            </w:pPr>
            <w:r>
              <w:rPr>
                <w:sz w:val="24"/>
              </w:rPr>
              <w:t>环境空气：区域环境空气执行《环境空气质量标准》(</w:t>
            </w:r>
            <w:r>
              <w:rPr>
                <w:spacing w:val="-4"/>
                <w:sz w:val="24"/>
              </w:rPr>
              <w:t>GB3095-2012</w:t>
            </w:r>
            <w:r>
              <w:rPr>
                <w:sz w:val="24"/>
              </w:rPr>
              <w:t>)中二级标准要求。二甲苯执行《工业企业卫生设计标准》（TJ36-79）最高容许浓度；</w:t>
            </w:r>
            <w:r>
              <w:rPr>
                <w:sz w:val="24"/>
                <w:szCs w:val="24"/>
              </w:rPr>
              <w:t>非甲烷总烃执行《环境空气质量非甲烷总烃限值》（DB13/1577-2012）二级标准。</w:t>
            </w:r>
          </w:p>
          <w:p>
            <w:pPr>
              <w:numPr>
                <w:ilvl w:val="0"/>
                <w:numId w:val="4"/>
              </w:numPr>
              <w:spacing w:line="480" w:lineRule="exact"/>
              <w:ind w:firstLine="480" w:firstLineChars="200"/>
              <w:rPr>
                <w:sz w:val="24"/>
                <w:szCs w:val="24"/>
              </w:rPr>
            </w:pPr>
            <w:r>
              <w:rPr>
                <w:sz w:val="24"/>
              </w:rPr>
              <w:t>声环境：</w:t>
            </w:r>
            <w:r>
              <w:rPr>
                <w:rFonts w:hint="eastAsia"/>
                <w:sz w:val="24"/>
              </w:rPr>
              <w:t>项目</w:t>
            </w:r>
            <w:r>
              <w:rPr>
                <w:sz w:val="24"/>
              </w:rPr>
              <w:t>声环境执行《声环境质量标准》(GB3096-2008)中</w:t>
            </w:r>
            <w:r>
              <w:rPr>
                <w:rFonts w:hint="eastAsia"/>
                <w:sz w:val="24"/>
                <w:lang w:val="en-US" w:eastAsia="zh-CN"/>
              </w:rPr>
              <w:t>4a</w:t>
            </w:r>
            <w:r>
              <w:rPr>
                <w:rFonts w:hint="eastAsia"/>
                <w:sz w:val="24"/>
                <w:lang w:eastAsia="zh-CN"/>
              </w:rPr>
              <w:t>、</w:t>
            </w:r>
            <w:r>
              <w:rPr>
                <w:rFonts w:hint="eastAsia"/>
                <w:sz w:val="24"/>
              </w:rPr>
              <w:t>3</w:t>
            </w:r>
            <w:r>
              <w:rPr>
                <w:sz w:val="24"/>
              </w:rPr>
              <w:t>类标准。</w:t>
            </w:r>
          </w:p>
          <w:p>
            <w:pPr>
              <w:spacing w:line="480" w:lineRule="exact"/>
              <w:ind w:firstLine="480" w:firstLineChars="200"/>
              <w:rPr>
                <w:sz w:val="24"/>
                <w:szCs w:val="24"/>
              </w:rPr>
            </w:pPr>
            <w:r>
              <w:rPr>
                <w:rFonts w:hint="eastAsia"/>
                <w:sz w:val="24"/>
                <w:szCs w:val="24"/>
              </w:rPr>
              <w:t>3、</w:t>
            </w:r>
            <w:r>
              <w:rPr>
                <w:sz w:val="24"/>
                <w:szCs w:val="24"/>
              </w:rPr>
              <w:t>地下水</w:t>
            </w:r>
            <w:r>
              <w:rPr>
                <w:rFonts w:hint="eastAsia"/>
                <w:sz w:val="24"/>
                <w:szCs w:val="24"/>
              </w:rPr>
              <w:t>：</w:t>
            </w:r>
            <w:r>
              <w:rPr>
                <w:sz w:val="24"/>
                <w:szCs w:val="24"/>
              </w:rPr>
              <w:t>项目区域地下水执行《地下水质量标准》(GB/T14848-93)中</w:t>
            </w:r>
            <w:r>
              <w:rPr>
                <w:rFonts w:hint="eastAsia" w:cs="宋体"/>
                <w:sz w:val="24"/>
                <w:szCs w:val="24"/>
              </w:rPr>
              <w:t>Ⅲ</w:t>
            </w:r>
            <w:r>
              <w:rPr>
                <w:sz w:val="24"/>
                <w:szCs w:val="24"/>
              </w:rPr>
              <w:t>类水质标准，标准值见表</w:t>
            </w:r>
            <w:r>
              <w:rPr>
                <w:rFonts w:hint="eastAsia"/>
                <w:sz w:val="24"/>
                <w:szCs w:val="24"/>
              </w:rPr>
              <w:t>12。</w:t>
            </w:r>
          </w:p>
          <w:p>
            <w:pPr>
              <w:spacing w:line="360" w:lineRule="auto"/>
              <w:jc w:val="center"/>
              <w:rPr>
                <w:sz w:val="24"/>
                <w:szCs w:val="24"/>
              </w:rPr>
            </w:pPr>
            <w:r>
              <w:rPr>
                <w:b/>
                <w:bCs/>
                <w:szCs w:val="21"/>
              </w:rPr>
              <w:t>表</w:t>
            </w:r>
            <w:r>
              <w:rPr>
                <w:rFonts w:hint="eastAsia"/>
                <w:b/>
                <w:bCs/>
                <w:szCs w:val="21"/>
              </w:rPr>
              <w:t>12</w:t>
            </w:r>
            <w:r>
              <w:rPr>
                <w:b/>
                <w:bCs/>
                <w:szCs w:val="21"/>
              </w:rPr>
              <w:t xml:space="preserve"> </w:t>
            </w:r>
            <w:r>
              <w:rPr>
                <w:rFonts w:hint="eastAsia"/>
                <w:b/>
                <w:bCs/>
                <w:szCs w:val="21"/>
              </w:rPr>
              <w:t xml:space="preserve">  </w:t>
            </w:r>
            <w:r>
              <w:rPr>
                <w:b/>
                <w:bCs/>
                <w:szCs w:val="21"/>
              </w:rPr>
              <w:t xml:space="preserve"> 环境质量标准</w:t>
            </w:r>
          </w:p>
          <w:tbl>
            <w:tblPr>
              <w:tblStyle w:val="31"/>
              <w:tblW w:w="8284" w:type="dxa"/>
              <w:tblInd w:w="1"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71"/>
              <w:gridCol w:w="1644"/>
              <w:gridCol w:w="3090"/>
              <w:gridCol w:w="2679"/>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871" w:type="dxa"/>
                  <w:vAlign w:val="center"/>
                </w:tcPr>
                <w:p>
                  <w:pPr>
                    <w:pStyle w:val="11"/>
                    <w:jc w:val="center"/>
                    <w:rPr>
                      <w:rStyle w:val="37"/>
                      <w:b/>
                      <w:bCs/>
                      <w:szCs w:val="21"/>
                    </w:rPr>
                  </w:pPr>
                  <w:r>
                    <w:rPr>
                      <w:rStyle w:val="37"/>
                      <w:b/>
                      <w:bCs/>
                      <w:szCs w:val="21"/>
                    </w:rPr>
                    <w:t>项 目</w:t>
                  </w:r>
                </w:p>
              </w:tc>
              <w:tc>
                <w:tcPr>
                  <w:tcW w:w="1644" w:type="dxa"/>
                  <w:vAlign w:val="center"/>
                </w:tcPr>
                <w:p>
                  <w:pPr>
                    <w:pStyle w:val="11"/>
                    <w:jc w:val="center"/>
                    <w:rPr>
                      <w:b/>
                      <w:bCs/>
                      <w:szCs w:val="21"/>
                    </w:rPr>
                  </w:pPr>
                  <w:r>
                    <w:rPr>
                      <w:rStyle w:val="37"/>
                      <w:b/>
                      <w:bCs/>
                      <w:szCs w:val="21"/>
                    </w:rPr>
                    <w:t>污染</w:t>
                  </w:r>
                  <w:r>
                    <w:rPr>
                      <w:b/>
                      <w:bCs/>
                      <w:szCs w:val="21"/>
                    </w:rPr>
                    <w:t>因子</w:t>
                  </w:r>
                </w:p>
              </w:tc>
              <w:tc>
                <w:tcPr>
                  <w:tcW w:w="3090" w:type="dxa"/>
                  <w:vAlign w:val="center"/>
                </w:tcPr>
                <w:p>
                  <w:pPr>
                    <w:pStyle w:val="11"/>
                    <w:jc w:val="center"/>
                    <w:rPr>
                      <w:rStyle w:val="37"/>
                      <w:b/>
                      <w:bCs/>
                      <w:szCs w:val="21"/>
                    </w:rPr>
                  </w:pPr>
                  <w:r>
                    <w:rPr>
                      <w:rStyle w:val="37"/>
                      <w:b/>
                      <w:bCs/>
                      <w:szCs w:val="21"/>
                    </w:rPr>
                    <w:t>标  准  值</w:t>
                  </w:r>
                </w:p>
              </w:tc>
              <w:tc>
                <w:tcPr>
                  <w:tcW w:w="2679" w:type="dxa"/>
                  <w:vAlign w:val="center"/>
                </w:tcPr>
                <w:p>
                  <w:pPr>
                    <w:pStyle w:val="11"/>
                    <w:jc w:val="center"/>
                    <w:rPr>
                      <w:rStyle w:val="37"/>
                      <w:b/>
                      <w:bCs/>
                      <w:szCs w:val="21"/>
                    </w:rPr>
                  </w:pPr>
                  <w:r>
                    <w:rPr>
                      <w:rStyle w:val="37"/>
                      <w:b/>
                      <w:bCs/>
                      <w:szCs w:val="21"/>
                    </w:rPr>
                    <w:t>标     准     号</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871" w:type="dxa"/>
                  <w:vMerge w:val="restart"/>
                  <w:vAlign w:val="center"/>
                </w:tcPr>
                <w:p>
                  <w:pPr>
                    <w:pStyle w:val="11"/>
                    <w:jc w:val="center"/>
                    <w:rPr>
                      <w:rStyle w:val="37"/>
                      <w:szCs w:val="21"/>
                    </w:rPr>
                  </w:pPr>
                  <w:r>
                    <w:rPr>
                      <w:rStyle w:val="37"/>
                      <w:szCs w:val="21"/>
                    </w:rPr>
                    <w:t>大气</w:t>
                  </w:r>
                </w:p>
              </w:tc>
              <w:tc>
                <w:tcPr>
                  <w:tcW w:w="1644" w:type="dxa"/>
                  <w:vMerge w:val="restart"/>
                  <w:vAlign w:val="center"/>
                </w:tcPr>
                <w:p>
                  <w:pPr>
                    <w:pStyle w:val="11"/>
                    <w:jc w:val="center"/>
                    <w:rPr>
                      <w:szCs w:val="21"/>
                    </w:rPr>
                  </w:pPr>
                  <w:r>
                    <w:rPr>
                      <w:rStyle w:val="37"/>
                      <w:szCs w:val="21"/>
                    </w:rPr>
                    <w:t>SO</w:t>
                  </w:r>
                  <w:r>
                    <w:rPr>
                      <w:rStyle w:val="37"/>
                      <w:szCs w:val="21"/>
                      <w:vertAlign w:val="subscript"/>
                    </w:rPr>
                    <w:t>2</w:t>
                  </w:r>
                </w:p>
              </w:tc>
              <w:tc>
                <w:tcPr>
                  <w:tcW w:w="3090" w:type="dxa"/>
                  <w:vAlign w:val="center"/>
                </w:tcPr>
                <w:p>
                  <w:pPr>
                    <w:pStyle w:val="11"/>
                    <w:jc w:val="center"/>
                    <w:rPr>
                      <w:rStyle w:val="37"/>
                      <w:szCs w:val="21"/>
                    </w:rPr>
                  </w:pPr>
                  <w:r>
                    <w:rPr>
                      <w:rStyle w:val="37"/>
                      <w:rFonts w:hint="eastAsia"/>
                      <w:szCs w:val="21"/>
                    </w:rPr>
                    <w:t>年平均60</w:t>
                  </w:r>
                  <w:r>
                    <w:rPr>
                      <w:rStyle w:val="37"/>
                      <w:szCs w:val="21"/>
                    </w:rPr>
                    <w:t>μg/m</w:t>
                  </w:r>
                  <w:r>
                    <w:rPr>
                      <w:rStyle w:val="37"/>
                      <w:szCs w:val="21"/>
                      <w:vertAlign w:val="superscript"/>
                    </w:rPr>
                    <w:t>3</w:t>
                  </w:r>
                </w:p>
              </w:tc>
              <w:tc>
                <w:tcPr>
                  <w:tcW w:w="2679" w:type="dxa"/>
                  <w:vMerge w:val="restart"/>
                  <w:vAlign w:val="center"/>
                </w:tcPr>
                <w:p>
                  <w:pPr>
                    <w:pStyle w:val="11"/>
                    <w:jc w:val="center"/>
                    <w:rPr>
                      <w:rStyle w:val="37"/>
                      <w:szCs w:val="21"/>
                    </w:rPr>
                  </w:pPr>
                  <w:r>
                    <w:rPr>
                      <w:rStyle w:val="37"/>
                      <w:szCs w:val="21"/>
                    </w:rPr>
                    <w:t>《环境空气质量标准》</w:t>
                  </w:r>
                </w:p>
                <w:p>
                  <w:pPr>
                    <w:pStyle w:val="11"/>
                    <w:jc w:val="center"/>
                    <w:rPr>
                      <w:szCs w:val="21"/>
                    </w:rPr>
                  </w:pPr>
                  <w:r>
                    <w:rPr>
                      <w:rStyle w:val="37"/>
                      <w:rFonts w:hint="eastAsia"/>
                      <w:szCs w:val="21"/>
                    </w:rPr>
                    <w:t>（</w:t>
                  </w:r>
                  <w:r>
                    <w:rPr>
                      <w:rStyle w:val="37"/>
                      <w:szCs w:val="21"/>
                    </w:rPr>
                    <w:t>GB3095-</w:t>
                  </w:r>
                  <w:r>
                    <w:rPr>
                      <w:rStyle w:val="37"/>
                      <w:rFonts w:hint="eastAsia"/>
                      <w:szCs w:val="21"/>
                    </w:rPr>
                    <w:t>2012</w:t>
                  </w:r>
                  <w:r>
                    <w:rPr>
                      <w:szCs w:val="21"/>
                    </w:rPr>
                    <w:t>）</w:t>
                  </w:r>
                </w:p>
                <w:p>
                  <w:pPr>
                    <w:pStyle w:val="11"/>
                    <w:jc w:val="center"/>
                    <w:rPr>
                      <w:rStyle w:val="37"/>
                      <w:szCs w:val="21"/>
                    </w:rPr>
                  </w:pPr>
                  <w:r>
                    <w:rPr>
                      <w:rStyle w:val="37"/>
                      <w:szCs w:val="21"/>
                    </w:rPr>
                    <w:t>二级标准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871" w:type="dxa"/>
                  <w:vMerge w:val="continue"/>
                  <w:vAlign w:val="center"/>
                </w:tcPr>
                <w:p>
                  <w:pPr>
                    <w:pStyle w:val="11"/>
                    <w:jc w:val="center"/>
                    <w:rPr>
                      <w:szCs w:val="21"/>
                    </w:rPr>
                  </w:pPr>
                </w:p>
              </w:tc>
              <w:tc>
                <w:tcPr>
                  <w:tcW w:w="1644" w:type="dxa"/>
                  <w:vMerge w:val="continue"/>
                  <w:vAlign w:val="center"/>
                </w:tcPr>
                <w:p>
                  <w:pPr>
                    <w:pStyle w:val="11"/>
                    <w:jc w:val="center"/>
                    <w:rPr>
                      <w:szCs w:val="21"/>
                    </w:rPr>
                  </w:pPr>
                </w:p>
              </w:tc>
              <w:tc>
                <w:tcPr>
                  <w:tcW w:w="3090" w:type="dxa"/>
                  <w:vAlign w:val="center"/>
                </w:tcPr>
                <w:p>
                  <w:pPr>
                    <w:pStyle w:val="11"/>
                    <w:jc w:val="center"/>
                    <w:rPr>
                      <w:szCs w:val="21"/>
                    </w:rPr>
                  </w:pPr>
                  <w:r>
                    <w:rPr>
                      <w:rFonts w:hint="eastAsia"/>
                      <w:szCs w:val="21"/>
                    </w:rPr>
                    <w:t>24小时平均150</w:t>
                  </w:r>
                  <w:r>
                    <w:rPr>
                      <w:rStyle w:val="37"/>
                      <w:szCs w:val="21"/>
                    </w:rPr>
                    <w:t>μg/m</w:t>
                  </w:r>
                  <w:r>
                    <w:rPr>
                      <w:rStyle w:val="37"/>
                      <w:szCs w:val="21"/>
                      <w:vertAlign w:val="superscript"/>
                    </w:rPr>
                    <w:t>3</w:t>
                  </w:r>
                </w:p>
              </w:tc>
              <w:tc>
                <w:tcPr>
                  <w:tcW w:w="2679" w:type="dxa"/>
                  <w:vMerge w:val="continue"/>
                  <w:vAlign w:val="center"/>
                </w:tcPr>
                <w:p>
                  <w:pPr>
                    <w:pStyle w:val="11"/>
                    <w:jc w:val="cente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cantSplit/>
              </w:trPr>
              <w:tc>
                <w:tcPr>
                  <w:tcW w:w="871" w:type="dxa"/>
                  <w:vMerge w:val="continue"/>
                  <w:vAlign w:val="center"/>
                </w:tcPr>
                <w:p>
                  <w:pPr>
                    <w:pStyle w:val="11"/>
                    <w:jc w:val="center"/>
                    <w:rPr>
                      <w:szCs w:val="21"/>
                    </w:rPr>
                  </w:pPr>
                </w:p>
              </w:tc>
              <w:tc>
                <w:tcPr>
                  <w:tcW w:w="1644" w:type="dxa"/>
                  <w:vMerge w:val="continue"/>
                  <w:vAlign w:val="center"/>
                </w:tcPr>
                <w:p>
                  <w:pPr>
                    <w:pStyle w:val="11"/>
                    <w:jc w:val="center"/>
                    <w:rPr>
                      <w:szCs w:val="21"/>
                    </w:rPr>
                  </w:pPr>
                </w:p>
              </w:tc>
              <w:tc>
                <w:tcPr>
                  <w:tcW w:w="3090" w:type="dxa"/>
                  <w:vAlign w:val="center"/>
                </w:tcPr>
                <w:p>
                  <w:pPr>
                    <w:pStyle w:val="11"/>
                    <w:jc w:val="center"/>
                    <w:rPr>
                      <w:szCs w:val="21"/>
                    </w:rPr>
                  </w:pPr>
                  <w:r>
                    <w:rPr>
                      <w:rFonts w:hint="eastAsia"/>
                      <w:szCs w:val="21"/>
                    </w:rPr>
                    <w:t>1小时平均500</w:t>
                  </w:r>
                  <w:r>
                    <w:rPr>
                      <w:rStyle w:val="37"/>
                      <w:szCs w:val="21"/>
                    </w:rPr>
                    <w:t>μg/m</w:t>
                  </w:r>
                  <w:r>
                    <w:rPr>
                      <w:rStyle w:val="37"/>
                      <w:szCs w:val="21"/>
                      <w:vertAlign w:val="superscript"/>
                    </w:rPr>
                    <w:t>3</w:t>
                  </w:r>
                </w:p>
              </w:tc>
              <w:tc>
                <w:tcPr>
                  <w:tcW w:w="2679" w:type="dxa"/>
                  <w:vMerge w:val="continue"/>
                  <w:vAlign w:val="center"/>
                </w:tcPr>
                <w:p>
                  <w:pPr>
                    <w:pStyle w:val="11"/>
                    <w:jc w:val="cente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871" w:type="dxa"/>
                  <w:vMerge w:val="continue"/>
                  <w:vAlign w:val="center"/>
                </w:tcPr>
                <w:p>
                  <w:pPr>
                    <w:pStyle w:val="11"/>
                    <w:jc w:val="center"/>
                    <w:rPr>
                      <w:szCs w:val="21"/>
                    </w:rPr>
                  </w:pPr>
                </w:p>
              </w:tc>
              <w:tc>
                <w:tcPr>
                  <w:tcW w:w="1644" w:type="dxa"/>
                  <w:vMerge w:val="restart"/>
                  <w:vAlign w:val="center"/>
                </w:tcPr>
                <w:p>
                  <w:pPr>
                    <w:pStyle w:val="11"/>
                    <w:jc w:val="center"/>
                    <w:rPr>
                      <w:szCs w:val="21"/>
                    </w:rPr>
                  </w:pPr>
                  <w:r>
                    <w:rPr>
                      <w:rStyle w:val="37"/>
                      <w:rFonts w:hint="eastAsia"/>
                      <w:szCs w:val="21"/>
                    </w:rPr>
                    <w:t>NO</w:t>
                  </w:r>
                  <w:r>
                    <w:rPr>
                      <w:rStyle w:val="37"/>
                      <w:rFonts w:hint="eastAsia"/>
                      <w:szCs w:val="21"/>
                      <w:vertAlign w:val="subscript"/>
                    </w:rPr>
                    <w:t>2</w:t>
                  </w:r>
                </w:p>
              </w:tc>
              <w:tc>
                <w:tcPr>
                  <w:tcW w:w="3090" w:type="dxa"/>
                  <w:vAlign w:val="center"/>
                </w:tcPr>
                <w:p>
                  <w:pPr>
                    <w:pStyle w:val="11"/>
                    <w:jc w:val="center"/>
                    <w:rPr>
                      <w:szCs w:val="21"/>
                    </w:rPr>
                  </w:pPr>
                  <w:r>
                    <w:rPr>
                      <w:rStyle w:val="37"/>
                      <w:rFonts w:hint="eastAsia"/>
                      <w:szCs w:val="21"/>
                    </w:rPr>
                    <w:t>年平均40</w:t>
                  </w:r>
                  <w:r>
                    <w:rPr>
                      <w:rStyle w:val="37"/>
                      <w:szCs w:val="21"/>
                    </w:rPr>
                    <w:t>μg/m</w:t>
                  </w:r>
                  <w:r>
                    <w:rPr>
                      <w:rStyle w:val="37"/>
                      <w:szCs w:val="21"/>
                      <w:vertAlign w:val="superscript"/>
                    </w:rPr>
                    <w:t>3</w:t>
                  </w:r>
                </w:p>
              </w:tc>
              <w:tc>
                <w:tcPr>
                  <w:tcW w:w="2679" w:type="dxa"/>
                  <w:vMerge w:val="continue"/>
                  <w:vAlign w:val="center"/>
                </w:tcPr>
                <w:p>
                  <w:pPr>
                    <w:pStyle w:val="11"/>
                    <w:jc w:val="cente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871" w:type="dxa"/>
                  <w:vMerge w:val="continue"/>
                  <w:vAlign w:val="center"/>
                </w:tcPr>
                <w:p>
                  <w:pPr>
                    <w:pStyle w:val="11"/>
                    <w:jc w:val="center"/>
                    <w:rPr>
                      <w:szCs w:val="21"/>
                    </w:rPr>
                  </w:pPr>
                </w:p>
              </w:tc>
              <w:tc>
                <w:tcPr>
                  <w:tcW w:w="1644" w:type="dxa"/>
                  <w:vMerge w:val="continue"/>
                  <w:vAlign w:val="center"/>
                </w:tcPr>
                <w:p>
                  <w:pPr>
                    <w:pStyle w:val="11"/>
                    <w:jc w:val="center"/>
                    <w:rPr>
                      <w:szCs w:val="21"/>
                    </w:rPr>
                  </w:pPr>
                </w:p>
              </w:tc>
              <w:tc>
                <w:tcPr>
                  <w:tcW w:w="3090" w:type="dxa"/>
                  <w:vAlign w:val="center"/>
                </w:tcPr>
                <w:p>
                  <w:pPr>
                    <w:pStyle w:val="11"/>
                    <w:jc w:val="center"/>
                    <w:rPr>
                      <w:szCs w:val="21"/>
                    </w:rPr>
                  </w:pPr>
                  <w:r>
                    <w:rPr>
                      <w:rFonts w:hint="eastAsia"/>
                      <w:szCs w:val="21"/>
                    </w:rPr>
                    <w:t>24小时平均80</w:t>
                  </w:r>
                  <w:r>
                    <w:rPr>
                      <w:rStyle w:val="37"/>
                      <w:szCs w:val="21"/>
                    </w:rPr>
                    <w:t>μg/m</w:t>
                  </w:r>
                  <w:r>
                    <w:rPr>
                      <w:rStyle w:val="37"/>
                      <w:szCs w:val="21"/>
                      <w:vertAlign w:val="superscript"/>
                    </w:rPr>
                    <w:t>3</w:t>
                  </w:r>
                </w:p>
              </w:tc>
              <w:tc>
                <w:tcPr>
                  <w:tcW w:w="2679" w:type="dxa"/>
                  <w:vMerge w:val="continue"/>
                  <w:vAlign w:val="center"/>
                </w:tcPr>
                <w:p>
                  <w:pPr>
                    <w:pStyle w:val="11"/>
                    <w:jc w:val="cente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871" w:type="dxa"/>
                  <w:vMerge w:val="continue"/>
                  <w:vAlign w:val="center"/>
                </w:tcPr>
                <w:p>
                  <w:pPr>
                    <w:pStyle w:val="11"/>
                    <w:jc w:val="center"/>
                    <w:rPr>
                      <w:szCs w:val="21"/>
                    </w:rPr>
                  </w:pPr>
                </w:p>
              </w:tc>
              <w:tc>
                <w:tcPr>
                  <w:tcW w:w="1644" w:type="dxa"/>
                  <w:vMerge w:val="continue"/>
                  <w:vAlign w:val="center"/>
                </w:tcPr>
                <w:p>
                  <w:pPr>
                    <w:pStyle w:val="11"/>
                    <w:jc w:val="center"/>
                    <w:rPr>
                      <w:szCs w:val="21"/>
                    </w:rPr>
                  </w:pPr>
                </w:p>
              </w:tc>
              <w:tc>
                <w:tcPr>
                  <w:tcW w:w="3090" w:type="dxa"/>
                  <w:vAlign w:val="center"/>
                </w:tcPr>
                <w:p>
                  <w:pPr>
                    <w:pStyle w:val="11"/>
                    <w:jc w:val="center"/>
                    <w:rPr>
                      <w:szCs w:val="21"/>
                    </w:rPr>
                  </w:pPr>
                  <w:r>
                    <w:rPr>
                      <w:rFonts w:hint="eastAsia"/>
                      <w:szCs w:val="21"/>
                    </w:rPr>
                    <w:t>1小时平均200</w:t>
                  </w:r>
                  <w:r>
                    <w:rPr>
                      <w:rStyle w:val="37"/>
                      <w:szCs w:val="21"/>
                    </w:rPr>
                    <w:t>μg/m</w:t>
                  </w:r>
                  <w:r>
                    <w:rPr>
                      <w:rStyle w:val="37"/>
                      <w:szCs w:val="21"/>
                      <w:vertAlign w:val="superscript"/>
                    </w:rPr>
                    <w:t>3</w:t>
                  </w:r>
                </w:p>
              </w:tc>
              <w:tc>
                <w:tcPr>
                  <w:tcW w:w="2679" w:type="dxa"/>
                  <w:vMerge w:val="continue"/>
                  <w:vAlign w:val="center"/>
                </w:tcPr>
                <w:p>
                  <w:pPr>
                    <w:pStyle w:val="11"/>
                    <w:jc w:val="cente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cantSplit/>
              </w:trPr>
              <w:tc>
                <w:tcPr>
                  <w:tcW w:w="871" w:type="dxa"/>
                  <w:vMerge w:val="continue"/>
                  <w:vAlign w:val="center"/>
                </w:tcPr>
                <w:p>
                  <w:pPr>
                    <w:pStyle w:val="11"/>
                    <w:jc w:val="center"/>
                    <w:rPr>
                      <w:rStyle w:val="37"/>
                      <w:szCs w:val="21"/>
                    </w:rPr>
                  </w:pPr>
                </w:p>
              </w:tc>
              <w:tc>
                <w:tcPr>
                  <w:tcW w:w="1644" w:type="dxa"/>
                  <w:vMerge w:val="restart"/>
                  <w:vAlign w:val="center"/>
                </w:tcPr>
                <w:p>
                  <w:pPr>
                    <w:pStyle w:val="11"/>
                    <w:jc w:val="center"/>
                    <w:rPr>
                      <w:rStyle w:val="37"/>
                      <w:szCs w:val="21"/>
                    </w:rPr>
                  </w:pPr>
                  <w:r>
                    <w:rPr>
                      <w:rStyle w:val="37"/>
                      <w:szCs w:val="21"/>
                    </w:rPr>
                    <w:t>PM</w:t>
                  </w:r>
                  <w:r>
                    <w:rPr>
                      <w:rStyle w:val="37"/>
                      <w:szCs w:val="21"/>
                      <w:vertAlign w:val="subscript"/>
                    </w:rPr>
                    <w:t>10</w:t>
                  </w:r>
                </w:p>
              </w:tc>
              <w:tc>
                <w:tcPr>
                  <w:tcW w:w="3090" w:type="dxa"/>
                  <w:vAlign w:val="center"/>
                </w:tcPr>
                <w:p>
                  <w:pPr>
                    <w:pStyle w:val="11"/>
                    <w:jc w:val="center"/>
                    <w:rPr>
                      <w:rStyle w:val="37"/>
                      <w:szCs w:val="21"/>
                    </w:rPr>
                  </w:pPr>
                  <w:r>
                    <w:rPr>
                      <w:rStyle w:val="37"/>
                      <w:rFonts w:hint="eastAsia"/>
                      <w:szCs w:val="21"/>
                    </w:rPr>
                    <w:t>年平均70</w:t>
                  </w:r>
                  <w:r>
                    <w:rPr>
                      <w:rStyle w:val="37"/>
                      <w:szCs w:val="21"/>
                    </w:rPr>
                    <w:t>μg/m</w:t>
                  </w:r>
                  <w:r>
                    <w:rPr>
                      <w:rStyle w:val="37"/>
                      <w:szCs w:val="21"/>
                      <w:vertAlign w:val="superscript"/>
                    </w:rPr>
                    <w:t>3</w:t>
                  </w:r>
                </w:p>
              </w:tc>
              <w:tc>
                <w:tcPr>
                  <w:tcW w:w="2679" w:type="dxa"/>
                  <w:vMerge w:val="continue"/>
                  <w:vAlign w:val="center"/>
                </w:tcPr>
                <w:p>
                  <w:pPr>
                    <w:pStyle w:val="11"/>
                    <w:jc w:val="center"/>
                    <w:rPr>
                      <w:rStyle w:val="37"/>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871" w:type="dxa"/>
                  <w:vMerge w:val="continue"/>
                  <w:vAlign w:val="center"/>
                </w:tcPr>
                <w:p>
                  <w:pPr>
                    <w:pStyle w:val="11"/>
                    <w:jc w:val="center"/>
                  </w:pPr>
                </w:p>
              </w:tc>
              <w:tc>
                <w:tcPr>
                  <w:tcW w:w="1644" w:type="dxa"/>
                  <w:vMerge w:val="continue"/>
                  <w:vAlign w:val="center"/>
                </w:tcPr>
                <w:p>
                  <w:pPr>
                    <w:pStyle w:val="11"/>
                    <w:jc w:val="center"/>
                  </w:pPr>
                </w:p>
              </w:tc>
              <w:tc>
                <w:tcPr>
                  <w:tcW w:w="3090" w:type="dxa"/>
                  <w:vAlign w:val="center"/>
                </w:tcPr>
                <w:p>
                  <w:pPr>
                    <w:pStyle w:val="11"/>
                    <w:jc w:val="center"/>
                  </w:pPr>
                  <w:r>
                    <w:rPr>
                      <w:rFonts w:hint="eastAsia"/>
                      <w:szCs w:val="21"/>
                    </w:rPr>
                    <w:t>24小时平均150</w:t>
                  </w:r>
                  <w:r>
                    <w:rPr>
                      <w:rStyle w:val="37"/>
                      <w:szCs w:val="21"/>
                    </w:rPr>
                    <w:t>μg/m</w:t>
                  </w:r>
                  <w:r>
                    <w:rPr>
                      <w:rStyle w:val="37"/>
                      <w:szCs w:val="21"/>
                      <w:vertAlign w:val="superscript"/>
                    </w:rPr>
                    <w:t>3</w:t>
                  </w:r>
                </w:p>
              </w:tc>
              <w:tc>
                <w:tcPr>
                  <w:tcW w:w="2679" w:type="dxa"/>
                  <w:vMerge w:val="continue"/>
                  <w:vAlign w:val="center"/>
                </w:tcPr>
                <w:p>
                  <w:pPr>
                    <w:pStyle w:val="11"/>
                    <w:jc w:val="cente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871" w:type="dxa"/>
                  <w:vMerge w:val="continue"/>
                  <w:vAlign w:val="center"/>
                </w:tcPr>
                <w:p>
                  <w:pPr>
                    <w:pStyle w:val="11"/>
                    <w:jc w:val="center"/>
                    <w:rPr>
                      <w:rStyle w:val="37"/>
                      <w:szCs w:val="21"/>
                    </w:rPr>
                  </w:pPr>
                </w:p>
              </w:tc>
              <w:tc>
                <w:tcPr>
                  <w:tcW w:w="1644" w:type="dxa"/>
                  <w:vMerge w:val="restart"/>
                  <w:vAlign w:val="center"/>
                </w:tcPr>
                <w:p>
                  <w:pPr>
                    <w:pStyle w:val="11"/>
                    <w:jc w:val="center"/>
                    <w:rPr>
                      <w:rStyle w:val="37"/>
                      <w:szCs w:val="21"/>
                    </w:rPr>
                  </w:pPr>
                  <w:r>
                    <w:rPr>
                      <w:rStyle w:val="108"/>
                      <w:rFonts w:hint="eastAsia" w:ascii="Times New Roman" w:hAnsi="Times New Roman"/>
                    </w:rPr>
                    <w:t>PM</w:t>
                  </w:r>
                  <w:r>
                    <w:rPr>
                      <w:rStyle w:val="108"/>
                      <w:rFonts w:hint="eastAsia" w:ascii="Times New Roman" w:hAnsi="Times New Roman"/>
                      <w:vertAlign w:val="subscript"/>
                    </w:rPr>
                    <w:t>2.5</w:t>
                  </w:r>
                </w:p>
              </w:tc>
              <w:tc>
                <w:tcPr>
                  <w:tcW w:w="3090" w:type="dxa"/>
                  <w:tcBorders>
                    <w:bottom w:val="single" w:color="auto" w:sz="2" w:space="0"/>
                  </w:tcBorders>
                  <w:vAlign w:val="center"/>
                </w:tcPr>
                <w:p>
                  <w:pPr>
                    <w:adjustRightInd w:val="0"/>
                    <w:snapToGrid w:val="0"/>
                    <w:spacing w:line="0" w:lineRule="atLeast"/>
                    <w:jc w:val="center"/>
                    <w:rPr>
                      <w:rStyle w:val="37"/>
                      <w:szCs w:val="21"/>
                    </w:rPr>
                  </w:pPr>
                  <w:r>
                    <w:rPr>
                      <w:rFonts w:hint="eastAsia"/>
                      <w:szCs w:val="21"/>
                    </w:rPr>
                    <w:t>年平均35</w:t>
                  </w:r>
                  <w:r>
                    <w:rPr>
                      <w:szCs w:val="21"/>
                    </w:rPr>
                    <w:t>μg/m</w:t>
                  </w:r>
                  <w:r>
                    <w:rPr>
                      <w:szCs w:val="21"/>
                      <w:vertAlign w:val="superscript"/>
                    </w:rPr>
                    <w:t>3</w:t>
                  </w:r>
                </w:p>
              </w:tc>
              <w:tc>
                <w:tcPr>
                  <w:tcW w:w="2679" w:type="dxa"/>
                  <w:vMerge w:val="continue"/>
                  <w:vAlign w:val="center"/>
                </w:tcPr>
                <w:p>
                  <w:pPr>
                    <w:pStyle w:val="11"/>
                    <w:jc w:val="center"/>
                    <w:rPr>
                      <w:rStyle w:val="37"/>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871" w:type="dxa"/>
                  <w:vMerge w:val="continue"/>
                  <w:vAlign w:val="center"/>
                </w:tcPr>
                <w:p>
                  <w:pPr>
                    <w:pStyle w:val="11"/>
                    <w:jc w:val="center"/>
                  </w:pPr>
                </w:p>
              </w:tc>
              <w:tc>
                <w:tcPr>
                  <w:tcW w:w="1644" w:type="dxa"/>
                  <w:vMerge w:val="continue"/>
                  <w:vAlign w:val="center"/>
                </w:tcPr>
                <w:p>
                  <w:pPr>
                    <w:pStyle w:val="11"/>
                    <w:jc w:val="center"/>
                  </w:pPr>
                </w:p>
              </w:tc>
              <w:tc>
                <w:tcPr>
                  <w:tcW w:w="3090" w:type="dxa"/>
                  <w:tcBorders>
                    <w:bottom w:val="single" w:color="auto" w:sz="2" w:space="0"/>
                  </w:tcBorders>
                  <w:vAlign w:val="center"/>
                </w:tcPr>
                <w:p>
                  <w:pPr>
                    <w:adjustRightInd w:val="0"/>
                    <w:snapToGrid w:val="0"/>
                    <w:spacing w:line="0" w:lineRule="atLeast"/>
                    <w:jc w:val="center"/>
                  </w:pPr>
                  <w:r>
                    <w:rPr>
                      <w:rFonts w:hint="eastAsia"/>
                      <w:szCs w:val="21"/>
                    </w:rPr>
                    <w:t>24h</w:t>
                  </w:r>
                  <w:r>
                    <w:rPr>
                      <w:rFonts w:hint="eastAsia"/>
                      <w:bCs/>
                      <w:szCs w:val="21"/>
                    </w:rPr>
                    <w:t>平均</w:t>
                  </w:r>
                  <w:r>
                    <w:rPr>
                      <w:rFonts w:hint="eastAsia"/>
                      <w:szCs w:val="21"/>
                    </w:rPr>
                    <w:t>75</w:t>
                  </w:r>
                  <w:r>
                    <w:rPr>
                      <w:szCs w:val="21"/>
                    </w:rPr>
                    <w:t>μg/m</w:t>
                  </w:r>
                  <w:r>
                    <w:rPr>
                      <w:szCs w:val="21"/>
                      <w:vertAlign w:val="superscript"/>
                    </w:rPr>
                    <w:t>3</w:t>
                  </w:r>
                </w:p>
              </w:tc>
              <w:tc>
                <w:tcPr>
                  <w:tcW w:w="2679" w:type="dxa"/>
                  <w:vMerge w:val="continue"/>
                  <w:vAlign w:val="center"/>
                </w:tcPr>
                <w:p>
                  <w:pPr>
                    <w:pStyle w:val="11"/>
                    <w:jc w:val="cente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cantSplit/>
              </w:trPr>
              <w:tc>
                <w:tcPr>
                  <w:tcW w:w="871" w:type="dxa"/>
                  <w:vMerge w:val="continue"/>
                  <w:vAlign w:val="center"/>
                </w:tcPr>
                <w:p>
                  <w:pPr>
                    <w:pStyle w:val="11"/>
                    <w:jc w:val="center"/>
                  </w:pPr>
                </w:p>
              </w:tc>
              <w:tc>
                <w:tcPr>
                  <w:tcW w:w="1644" w:type="dxa"/>
                  <w:vMerge w:val="restart"/>
                  <w:vAlign w:val="center"/>
                </w:tcPr>
                <w:p>
                  <w:pPr>
                    <w:adjustRightInd w:val="0"/>
                    <w:snapToGrid w:val="0"/>
                    <w:spacing w:line="0" w:lineRule="atLeast"/>
                    <w:jc w:val="center"/>
                  </w:pPr>
                  <w:r>
                    <w:rPr>
                      <w:rFonts w:hint="eastAsia"/>
                      <w:szCs w:val="21"/>
                    </w:rPr>
                    <w:t>CO</w:t>
                  </w:r>
                </w:p>
              </w:tc>
              <w:tc>
                <w:tcPr>
                  <w:tcW w:w="3090" w:type="dxa"/>
                  <w:tcBorders>
                    <w:bottom w:val="single" w:color="auto" w:sz="2" w:space="0"/>
                  </w:tcBorders>
                  <w:vAlign w:val="center"/>
                </w:tcPr>
                <w:p>
                  <w:pPr>
                    <w:adjustRightInd w:val="0"/>
                    <w:snapToGrid w:val="0"/>
                    <w:spacing w:line="0" w:lineRule="atLeast"/>
                    <w:jc w:val="center"/>
                    <w:rPr>
                      <w:szCs w:val="21"/>
                    </w:rPr>
                  </w:pPr>
                  <w:r>
                    <w:rPr>
                      <w:rFonts w:hint="eastAsia"/>
                      <w:szCs w:val="21"/>
                    </w:rPr>
                    <w:t>24h</w:t>
                  </w:r>
                  <w:r>
                    <w:rPr>
                      <w:rFonts w:hint="eastAsia"/>
                      <w:bCs/>
                      <w:szCs w:val="21"/>
                    </w:rPr>
                    <w:t>平均</w:t>
                  </w:r>
                  <w:r>
                    <w:rPr>
                      <w:rFonts w:hint="eastAsia"/>
                      <w:szCs w:val="21"/>
                    </w:rPr>
                    <w:t>4</w:t>
                  </w:r>
                  <w:r>
                    <w:rPr>
                      <w:szCs w:val="21"/>
                    </w:rPr>
                    <w:t>μg/m</w:t>
                  </w:r>
                  <w:r>
                    <w:rPr>
                      <w:szCs w:val="21"/>
                      <w:vertAlign w:val="superscript"/>
                    </w:rPr>
                    <w:t>3</w:t>
                  </w:r>
                </w:p>
              </w:tc>
              <w:tc>
                <w:tcPr>
                  <w:tcW w:w="2679" w:type="dxa"/>
                  <w:vMerge w:val="continue"/>
                  <w:vAlign w:val="center"/>
                </w:tcPr>
                <w:p>
                  <w:pPr>
                    <w:adjustRightInd w:val="0"/>
                    <w:snapToGrid w:val="0"/>
                    <w:spacing w:line="0" w:lineRule="atLeast"/>
                    <w:jc w:val="cente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871" w:type="dxa"/>
                  <w:vMerge w:val="continue"/>
                  <w:vAlign w:val="center"/>
                </w:tcPr>
                <w:p>
                  <w:pPr>
                    <w:pStyle w:val="11"/>
                    <w:jc w:val="center"/>
                  </w:pPr>
                </w:p>
              </w:tc>
              <w:tc>
                <w:tcPr>
                  <w:tcW w:w="1644" w:type="dxa"/>
                  <w:vMerge w:val="continue"/>
                  <w:vAlign w:val="center"/>
                </w:tcPr>
                <w:p>
                  <w:pPr>
                    <w:adjustRightInd w:val="0"/>
                    <w:snapToGrid w:val="0"/>
                    <w:spacing w:line="0" w:lineRule="atLeast"/>
                    <w:jc w:val="center"/>
                  </w:pPr>
                </w:p>
              </w:tc>
              <w:tc>
                <w:tcPr>
                  <w:tcW w:w="3090" w:type="dxa"/>
                  <w:tcBorders>
                    <w:bottom w:val="single" w:color="auto" w:sz="2" w:space="0"/>
                  </w:tcBorders>
                  <w:vAlign w:val="center"/>
                </w:tcPr>
                <w:p>
                  <w:pPr>
                    <w:adjustRightInd w:val="0"/>
                    <w:snapToGrid w:val="0"/>
                    <w:spacing w:line="0" w:lineRule="atLeast"/>
                    <w:jc w:val="center"/>
                    <w:rPr>
                      <w:szCs w:val="21"/>
                    </w:rPr>
                  </w:pPr>
                  <w:r>
                    <w:rPr>
                      <w:rFonts w:hint="eastAsia"/>
                      <w:szCs w:val="21"/>
                    </w:rPr>
                    <w:t>1h</w:t>
                  </w:r>
                  <w:r>
                    <w:rPr>
                      <w:rFonts w:hint="eastAsia"/>
                      <w:bCs/>
                      <w:szCs w:val="21"/>
                    </w:rPr>
                    <w:t>平均</w:t>
                  </w:r>
                  <w:r>
                    <w:rPr>
                      <w:rFonts w:hint="eastAsia"/>
                      <w:szCs w:val="21"/>
                    </w:rPr>
                    <w:t>10</w:t>
                  </w:r>
                  <w:r>
                    <w:rPr>
                      <w:szCs w:val="21"/>
                    </w:rPr>
                    <w:t>μg/m</w:t>
                  </w:r>
                  <w:r>
                    <w:rPr>
                      <w:szCs w:val="21"/>
                      <w:vertAlign w:val="superscript"/>
                    </w:rPr>
                    <w:t>3</w:t>
                  </w:r>
                </w:p>
              </w:tc>
              <w:tc>
                <w:tcPr>
                  <w:tcW w:w="2679" w:type="dxa"/>
                  <w:vMerge w:val="continue"/>
                  <w:vAlign w:val="center"/>
                </w:tcPr>
                <w:p>
                  <w:pPr>
                    <w:adjustRightInd w:val="0"/>
                    <w:snapToGrid w:val="0"/>
                    <w:spacing w:line="0" w:lineRule="atLeast"/>
                    <w:jc w:val="cente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871" w:type="dxa"/>
                  <w:vMerge w:val="continue"/>
                  <w:vAlign w:val="center"/>
                </w:tcPr>
                <w:p>
                  <w:pPr>
                    <w:pStyle w:val="11"/>
                    <w:jc w:val="center"/>
                  </w:pPr>
                </w:p>
              </w:tc>
              <w:tc>
                <w:tcPr>
                  <w:tcW w:w="1644" w:type="dxa"/>
                  <w:vMerge w:val="restart"/>
                  <w:vAlign w:val="center"/>
                </w:tcPr>
                <w:p>
                  <w:pPr>
                    <w:adjustRightInd w:val="0"/>
                    <w:snapToGrid w:val="0"/>
                    <w:spacing w:line="0" w:lineRule="atLeast"/>
                    <w:jc w:val="center"/>
                  </w:pPr>
                  <w:r>
                    <w:rPr>
                      <w:rFonts w:hint="eastAsia"/>
                      <w:szCs w:val="21"/>
                    </w:rPr>
                    <w:t>O</w:t>
                  </w:r>
                  <w:r>
                    <w:rPr>
                      <w:rFonts w:hint="eastAsia"/>
                      <w:szCs w:val="21"/>
                      <w:vertAlign w:val="subscript"/>
                    </w:rPr>
                    <w:t>3</w:t>
                  </w:r>
                </w:p>
              </w:tc>
              <w:tc>
                <w:tcPr>
                  <w:tcW w:w="3090" w:type="dxa"/>
                  <w:tcBorders>
                    <w:bottom w:val="single" w:color="auto" w:sz="2" w:space="0"/>
                  </w:tcBorders>
                  <w:vAlign w:val="center"/>
                </w:tcPr>
                <w:p>
                  <w:pPr>
                    <w:adjustRightInd w:val="0"/>
                    <w:snapToGrid w:val="0"/>
                    <w:spacing w:line="0" w:lineRule="atLeast"/>
                    <w:jc w:val="center"/>
                    <w:rPr>
                      <w:szCs w:val="21"/>
                    </w:rPr>
                  </w:pPr>
                  <w:r>
                    <w:rPr>
                      <w:rFonts w:hint="eastAsia"/>
                      <w:bCs/>
                      <w:szCs w:val="21"/>
                    </w:rPr>
                    <w:t>日最大8h平均</w:t>
                  </w:r>
                  <w:r>
                    <w:rPr>
                      <w:rFonts w:hint="eastAsia"/>
                      <w:szCs w:val="21"/>
                    </w:rPr>
                    <w:t>160</w:t>
                  </w:r>
                  <w:r>
                    <w:rPr>
                      <w:szCs w:val="21"/>
                    </w:rPr>
                    <w:t>μg/m</w:t>
                  </w:r>
                  <w:r>
                    <w:rPr>
                      <w:szCs w:val="21"/>
                      <w:vertAlign w:val="superscript"/>
                    </w:rPr>
                    <w:t>3</w:t>
                  </w:r>
                </w:p>
              </w:tc>
              <w:tc>
                <w:tcPr>
                  <w:tcW w:w="2679" w:type="dxa"/>
                  <w:vMerge w:val="continue"/>
                  <w:vAlign w:val="center"/>
                </w:tcPr>
                <w:p>
                  <w:pPr>
                    <w:adjustRightInd w:val="0"/>
                    <w:snapToGrid w:val="0"/>
                    <w:spacing w:line="0" w:lineRule="atLeast"/>
                    <w:jc w:val="cente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871" w:type="dxa"/>
                  <w:vMerge w:val="continue"/>
                  <w:vAlign w:val="center"/>
                </w:tcPr>
                <w:p>
                  <w:pPr>
                    <w:pStyle w:val="11"/>
                    <w:jc w:val="center"/>
                  </w:pPr>
                </w:p>
              </w:tc>
              <w:tc>
                <w:tcPr>
                  <w:tcW w:w="1644" w:type="dxa"/>
                  <w:vMerge w:val="continue"/>
                  <w:vAlign w:val="center"/>
                </w:tcPr>
                <w:p>
                  <w:pPr>
                    <w:adjustRightInd w:val="0"/>
                    <w:snapToGrid w:val="0"/>
                    <w:spacing w:line="0" w:lineRule="atLeast"/>
                    <w:jc w:val="center"/>
                  </w:pPr>
                </w:p>
              </w:tc>
              <w:tc>
                <w:tcPr>
                  <w:tcW w:w="3090" w:type="dxa"/>
                  <w:tcBorders>
                    <w:bottom w:val="single" w:color="auto" w:sz="2" w:space="0"/>
                  </w:tcBorders>
                  <w:vAlign w:val="center"/>
                </w:tcPr>
                <w:p>
                  <w:pPr>
                    <w:adjustRightInd w:val="0"/>
                    <w:snapToGrid w:val="0"/>
                    <w:spacing w:line="0" w:lineRule="atLeast"/>
                    <w:jc w:val="center"/>
                    <w:rPr>
                      <w:szCs w:val="21"/>
                    </w:rPr>
                  </w:pPr>
                  <w:r>
                    <w:rPr>
                      <w:rFonts w:hint="eastAsia"/>
                      <w:szCs w:val="21"/>
                    </w:rPr>
                    <w:t>1h</w:t>
                  </w:r>
                  <w:r>
                    <w:rPr>
                      <w:rFonts w:hint="eastAsia"/>
                      <w:bCs/>
                      <w:szCs w:val="21"/>
                    </w:rPr>
                    <w:t>平均20</w:t>
                  </w:r>
                  <w:r>
                    <w:rPr>
                      <w:rFonts w:hint="eastAsia"/>
                      <w:szCs w:val="21"/>
                    </w:rPr>
                    <w:t>0</w:t>
                  </w:r>
                  <w:r>
                    <w:rPr>
                      <w:szCs w:val="21"/>
                    </w:rPr>
                    <w:t>μg/m</w:t>
                  </w:r>
                  <w:r>
                    <w:rPr>
                      <w:szCs w:val="21"/>
                      <w:vertAlign w:val="superscript"/>
                    </w:rPr>
                    <w:t>3</w:t>
                  </w:r>
                </w:p>
              </w:tc>
              <w:tc>
                <w:tcPr>
                  <w:tcW w:w="2679" w:type="dxa"/>
                  <w:vMerge w:val="continue"/>
                  <w:vAlign w:val="center"/>
                </w:tcPr>
                <w:p>
                  <w:pPr>
                    <w:adjustRightInd w:val="0"/>
                    <w:snapToGrid w:val="0"/>
                    <w:spacing w:line="0" w:lineRule="atLeast"/>
                    <w:jc w:val="cente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cantSplit/>
              </w:trPr>
              <w:tc>
                <w:tcPr>
                  <w:tcW w:w="871" w:type="dxa"/>
                  <w:vMerge w:val="continue"/>
                  <w:vAlign w:val="center"/>
                </w:tcPr>
                <w:p>
                  <w:pPr>
                    <w:pStyle w:val="11"/>
                    <w:jc w:val="center"/>
                  </w:pPr>
                </w:p>
              </w:tc>
              <w:tc>
                <w:tcPr>
                  <w:tcW w:w="1644" w:type="dxa"/>
                  <w:vAlign w:val="center"/>
                </w:tcPr>
                <w:p>
                  <w:pPr>
                    <w:adjustRightInd w:val="0"/>
                    <w:snapToGrid w:val="0"/>
                    <w:spacing w:line="0" w:lineRule="atLeast"/>
                    <w:jc w:val="center"/>
                  </w:pPr>
                  <w:r>
                    <w:t>二甲苯</w:t>
                  </w:r>
                </w:p>
              </w:tc>
              <w:tc>
                <w:tcPr>
                  <w:tcW w:w="3090" w:type="dxa"/>
                  <w:tcBorders>
                    <w:bottom w:val="single" w:color="auto" w:sz="2" w:space="0"/>
                  </w:tcBorders>
                  <w:vAlign w:val="center"/>
                </w:tcPr>
                <w:p>
                  <w:pPr>
                    <w:adjustRightInd w:val="0"/>
                    <w:snapToGrid w:val="0"/>
                    <w:spacing w:line="0" w:lineRule="atLeast"/>
                    <w:jc w:val="center"/>
                    <w:rPr>
                      <w:szCs w:val="21"/>
                    </w:rPr>
                  </w:pPr>
                  <w:r>
                    <w:rPr>
                      <w:szCs w:val="21"/>
                    </w:rPr>
                    <w:t>一次0.3μg/m</w:t>
                  </w:r>
                  <w:r>
                    <w:rPr>
                      <w:szCs w:val="21"/>
                      <w:vertAlign w:val="superscript"/>
                    </w:rPr>
                    <w:t>3</w:t>
                  </w:r>
                </w:p>
              </w:tc>
              <w:tc>
                <w:tcPr>
                  <w:tcW w:w="2679" w:type="dxa"/>
                  <w:vAlign w:val="center"/>
                </w:tcPr>
                <w:p>
                  <w:pPr>
                    <w:adjustRightInd w:val="0"/>
                    <w:snapToGrid w:val="0"/>
                    <w:spacing w:line="0" w:lineRule="atLeast"/>
                    <w:jc w:val="center"/>
                  </w:pPr>
                  <w:r>
                    <w:t>《工业企业卫生设计标准》（TJ36-79）</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871" w:type="dxa"/>
                  <w:vMerge w:val="continue"/>
                  <w:vAlign w:val="center"/>
                </w:tcPr>
                <w:p>
                  <w:pPr>
                    <w:pStyle w:val="11"/>
                    <w:jc w:val="center"/>
                  </w:pPr>
                </w:p>
              </w:tc>
              <w:tc>
                <w:tcPr>
                  <w:tcW w:w="1644" w:type="dxa"/>
                  <w:vAlign w:val="center"/>
                </w:tcPr>
                <w:p>
                  <w:pPr>
                    <w:adjustRightInd w:val="0"/>
                    <w:snapToGrid w:val="0"/>
                    <w:spacing w:line="0" w:lineRule="atLeast"/>
                    <w:jc w:val="center"/>
                  </w:pPr>
                  <w:r>
                    <w:t>非甲烷总烃</w:t>
                  </w:r>
                </w:p>
              </w:tc>
              <w:tc>
                <w:tcPr>
                  <w:tcW w:w="3090" w:type="dxa"/>
                  <w:vAlign w:val="center"/>
                </w:tcPr>
                <w:p>
                  <w:pPr>
                    <w:adjustRightInd w:val="0"/>
                    <w:snapToGrid w:val="0"/>
                    <w:spacing w:line="0" w:lineRule="atLeast"/>
                    <w:jc w:val="center"/>
                    <w:rPr>
                      <w:szCs w:val="21"/>
                    </w:rPr>
                  </w:pPr>
                  <w:r>
                    <w:t>1小时平均浓度2.0mg/m</w:t>
                  </w:r>
                  <w:r>
                    <w:rPr>
                      <w:vertAlign w:val="superscript"/>
                    </w:rPr>
                    <w:t>3</w:t>
                  </w:r>
                </w:p>
              </w:tc>
              <w:tc>
                <w:tcPr>
                  <w:tcW w:w="2679" w:type="dxa"/>
                  <w:vAlign w:val="center"/>
                </w:tcPr>
                <w:p>
                  <w:pPr>
                    <w:adjustRightInd w:val="0"/>
                    <w:snapToGrid w:val="0"/>
                    <w:spacing w:line="0" w:lineRule="atLeast"/>
                    <w:jc w:val="center"/>
                  </w:pPr>
                  <w:r>
                    <w:t>《环境空气质量非甲烷总烃限值》（DB13/1577-2012）二级标准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871" w:type="dxa"/>
                  <w:vMerge w:val="restart"/>
                  <w:vAlign w:val="center"/>
                </w:tcPr>
                <w:p>
                  <w:pPr>
                    <w:pStyle w:val="11"/>
                    <w:jc w:val="center"/>
                    <w:rPr>
                      <w:rStyle w:val="37"/>
                      <w:szCs w:val="21"/>
                    </w:rPr>
                  </w:pPr>
                  <w:r>
                    <w:rPr>
                      <w:rStyle w:val="37"/>
                      <w:rFonts w:hint="eastAsia"/>
                      <w:szCs w:val="21"/>
                    </w:rPr>
                    <w:t>地下水</w:t>
                  </w:r>
                </w:p>
              </w:tc>
              <w:tc>
                <w:tcPr>
                  <w:tcW w:w="1644" w:type="dxa"/>
                  <w:vAlign w:val="center"/>
                </w:tcPr>
                <w:p>
                  <w:pPr>
                    <w:pStyle w:val="11"/>
                    <w:jc w:val="center"/>
                    <w:rPr>
                      <w:szCs w:val="21"/>
                    </w:rPr>
                  </w:pPr>
                  <w:r>
                    <w:rPr>
                      <w:rStyle w:val="37"/>
                      <w:szCs w:val="21"/>
                    </w:rPr>
                    <w:t>pH</w:t>
                  </w:r>
                </w:p>
              </w:tc>
              <w:tc>
                <w:tcPr>
                  <w:tcW w:w="3090" w:type="dxa"/>
                  <w:vAlign w:val="center"/>
                </w:tcPr>
                <w:p>
                  <w:pPr>
                    <w:pStyle w:val="11"/>
                    <w:jc w:val="center"/>
                    <w:rPr>
                      <w:rStyle w:val="37"/>
                      <w:szCs w:val="21"/>
                    </w:rPr>
                  </w:pPr>
                  <w:r>
                    <w:rPr>
                      <w:rStyle w:val="37"/>
                      <w:szCs w:val="21"/>
                    </w:rPr>
                    <w:t>6.5</w:t>
                  </w:r>
                  <w:r>
                    <w:rPr>
                      <w:rStyle w:val="37"/>
                      <w:rFonts w:hint="eastAsia"/>
                      <w:szCs w:val="21"/>
                    </w:rPr>
                    <w:t>~</w:t>
                  </w:r>
                  <w:r>
                    <w:rPr>
                      <w:rStyle w:val="37"/>
                      <w:szCs w:val="21"/>
                    </w:rPr>
                    <w:t>8.5</w:t>
                  </w:r>
                </w:p>
              </w:tc>
              <w:tc>
                <w:tcPr>
                  <w:tcW w:w="2679" w:type="dxa"/>
                  <w:vMerge w:val="restart"/>
                  <w:vAlign w:val="center"/>
                </w:tcPr>
                <w:p>
                  <w:pPr>
                    <w:pStyle w:val="11"/>
                    <w:jc w:val="center"/>
                    <w:rPr>
                      <w:rStyle w:val="37"/>
                      <w:szCs w:val="21"/>
                    </w:rPr>
                  </w:pPr>
                  <w:r>
                    <w:rPr>
                      <w:rStyle w:val="37"/>
                      <w:szCs w:val="21"/>
                    </w:rPr>
                    <w:t>《地下水质量标准》</w:t>
                  </w:r>
                  <w:r>
                    <w:rPr>
                      <w:rStyle w:val="37"/>
                      <w:rFonts w:hint="eastAsia"/>
                      <w:szCs w:val="21"/>
                    </w:rPr>
                    <w:t>（</w:t>
                  </w:r>
                  <w:r>
                    <w:rPr>
                      <w:rStyle w:val="37"/>
                      <w:szCs w:val="21"/>
                    </w:rPr>
                    <w:t>GB/T14848-93</w:t>
                  </w:r>
                  <w:r>
                    <w:rPr>
                      <w:rStyle w:val="37"/>
                      <w:rFonts w:hint="eastAsia"/>
                      <w:szCs w:val="21"/>
                    </w:rPr>
                    <w:t>）</w:t>
                  </w:r>
                </w:p>
                <w:p>
                  <w:pPr>
                    <w:pStyle w:val="11"/>
                    <w:jc w:val="center"/>
                    <w:rPr>
                      <w:rStyle w:val="37"/>
                      <w:szCs w:val="21"/>
                    </w:rPr>
                  </w:pPr>
                  <w:r>
                    <w:rPr>
                      <w:rStyle w:val="37"/>
                      <w:szCs w:val="21"/>
                    </w:rPr>
                    <w:t>Ⅲ类标准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871" w:type="dxa"/>
                  <w:vMerge w:val="continue"/>
                  <w:vAlign w:val="center"/>
                </w:tcPr>
                <w:p>
                  <w:pPr>
                    <w:pStyle w:val="11"/>
                    <w:jc w:val="center"/>
                    <w:rPr>
                      <w:rStyle w:val="37"/>
                      <w:szCs w:val="21"/>
                    </w:rPr>
                  </w:pPr>
                </w:p>
              </w:tc>
              <w:tc>
                <w:tcPr>
                  <w:tcW w:w="1644" w:type="dxa"/>
                  <w:vAlign w:val="center"/>
                </w:tcPr>
                <w:p>
                  <w:pPr>
                    <w:pStyle w:val="11"/>
                    <w:jc w:val="center"/>
                    <w:rPr>
                      <w:szCs w:val="21"/>
                    </w:rPr>
                  </w:pPr>
                  <w:r>
                    <w:rPr>
                      <w:szCs w:val="21"/>
                    </w:rPr>
                    <w:t>高锰酸盐指数</w:t>
                  </w:r>
                </w:p>
              </w:tc>
              <w:tc>
                <w:tcPr>
                  <w:tcW w:w="3090" w:type="dxa"/>
                  <w:vAlign w:val="center"/>
                </w:tcPr>
                <w:p>
                  <w:pPr>
                    <w:pStyle w:val="11"/>
                    <w:jc w:val="center"/>
                    <w:rPr>
                      <w:rStyle w:val="37"/>
                      <w:szCs w:val="21"/>
                    </w:rPr>
                  </w:pPr>
                  <w:r>
                    <w:rPr>
                      <w:rStyle w:val="37"/>
                      <w:szCs w:val="21"/>
                    </w:rPr>
                    <w:t>≤3.0mg/L</w:t>
                  </w:r>
                </w:p>
              </w:tc>
              <w:tc>
                <w:tcPr>
                  <w:tcW w:w="2679" w:type="dxa"/>
                  <w:vMerge w:val="continue"/>
                  <w:vAlign w:val="center"/>
                </w:tcPr>
                <w:p>
                  <w:pPr>
                    <w:pStyle w:val="11"/>
                    <w:jc w:val="center"/>
                    <w:rPr>
                      <w:rStyle w:val="37"/>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cantSplit/>
              </w:trPr>
              <w:tc>
                <w:tcPr>
                  <w:tcW w:w="871" w:type="dxa"/>
                  <w:vMerge w:val="continue"/>
                  <w:vAlign w:val="center"/>
                </w:tcPr>
                <w:p>
                  <w:pPr>
                    <w:pStyle w:val="11"/>
                    <w:jc w:val="center"/>
                    <w:rPr>
                      <w:rStyle w:val="37"/>
                      <w:szCs w:val="21"/>
                    </w:rPr>
                  </w:pPr>
                </w:p>
              </w:tc>
              <w:tc>
                <w:tcPr>
                  <w:tcW w:w="1644" w:type="dxa"/>
                  <w:vAlign w:val="center"/>
                </w:tcPr>
                <w:p>
                  <w:pPr>
                    <w:pStyle w:val="11"/>
                    <w:jc w:val="center"/>
                    <w:rPr>
                      <w:szCs w:val="21"/>
                    </w:rPr>
                  </w:pPr>
                  <w:r>
                    <w:rPr>
                      <w:szCs w:val="21"/>
                    </w:rPr>
                    <w:t>总硬度</w:t>
                  </w:r>
                </w:p>
              </w:tc>
              <w:tc>
                <w:tcPr>
                  <w:tcW w:w="3090" w:type="dxa"/>
                  <w:vAlign w:val="center"/>
                </w:tcPr>
                <w:p>
                  <w:pPr>
                    <w:pStyle w:val="11"/>
                    <w:jc w:val="center"/>
                    <w:rPr>
                      <w:rStyle w:val="37"/>
                      <w:szCs w:val="21"/>
                    </w:rPr>
                  </w:pPr>
                  <w:r>
                    <w:rPr>
                      <w:rStyle w:val="37"/>
                      <w:szCs w:val="21"/>
                    </w:rPr>
                    <w:t>≤450mg/L</w:t>
                  </w:r>
                </w:p>
              </w:tc>
              <w:tc>
                <w:tcPr>
                  <w:tcW w:w="2679" w:type="dxa"/>
                  <w:vMerge w:val="continue"/>
                  <w:vAlign w:val="center"/>
                </w:tcPr>
                <w:p>
                  <w:pPr>
                    <w:pStyle w:val="11"/>
                    <w:jc w:val="center"/>
                    <w:rPr>
                      <w:rStyle w:val="37"/>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871" w:type="dxa"/>
                  <w:vMerge w:val="continue"/>
                  <w:vAlign w:val="center"/>
                </w:tcPr>
                <w:p>
                  <w:pPr>
                    <w:pStyle w:val="11"/>
                    <w:jc w:val="center"/>
                    <w:rPr>
                      <w:rStyle w:val="37"/>
                      <w:szCs w:val="21"/>
                    </w:rPr>
                  </w:pPr>
                </w:p>
              </w:tc>
              <w:tc>
                <w:tcPr>
                  <w:tcW w:w="1644" w:type="dxa"/>
                  <w:vAlign w:val="center"/>
                </w:tcPr>
                <w:p>
                  <w:pPr>
                    <w:pStyle w:val="11"/>
                    <w:jc w:val="center"/>
                    <w:rPr>
                      <w:szCs w:val="21"/>
                    </w:rPr>
                  </w:pPr>
                  <w:r>
                    <w:rPr>
                      <w:szCs w:val="21"/>
                    </w:rPr>
                    <w:t>溶解性总固体</w:t>
                  </w:r>
                </w:p>
              </w:tc>
              <w:tc>
                <w:tcPr>
                  <w:tcW w:w="3090" w:type="dxa"/>
                  <w:vAlign w:val="center"/>
                </w:tcPr>
                <w:p>
                  <w:pPr>
                    <w:pStyle w:val="11"/>
                    <w:jc w:val="center"/>
                    <w:rPr>
                      <w:rStyle w:val="37"/>
                      <w:szCs w:val="21"/>
                    </w:rPr>
                  </w:pPr>
                  <w:r>
                    <w:rPr>
                      <w:rStyle w:val="37"/>
                      <w:szCs w:val="21"/>
                    </w:rPr>
                    <w:t>≤1000mg/L</w:t>
                  </w:r>
                </w:p>
              </w:tc>
              <w:tc>
                <w:tcPr>
                  <w:tcW w:w="2679" w:type="dxa"/>
                  <w:vMerge w:val="continue"/>
                  <w:vAlign w:val="center"/>
                </w:tcPr>
                <w:p>
                  <w:pPr>
                    <w:pStyle w:val="11"/>
                    <w:jc w:val="center"/>
                    <w:rPr>
                      <w:rStyle w:val="37"/>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871" w:type="dxa"/>
                  <w:vMerge w:val="continue"/>
                  <w:vAlign w:val="center"/>
                </w:tcPr>
                <w:p>
                  <w:pPr>
                    <w:pStyle w:val="11"/>
                    <w:jc w:val="center"/>
                    <w:rPr>
                      <w:rStyle w:val="37"/>
                      <w:szCs w:val="21"/>
                    </w:rPr>
                  </w:pPr>
                </w:p>
              </w:tc>
              <w:tc>
                <w:tcPr>
                  <w:tcW w:w="1644" w:type="dxa"/>
                  <w:vAlign w:val="center"/>
                </w:tcPr>
                <w:p>
                  <w:pPr>
                    <w:pStyle w:val="11"/>
                    <w:jc w:val="center"/>
                    <w:rPr>
                      <w:szCs w:val="21"/>
                    </w:rPr>
                  </w:pPr>
                  <w:r>
                    <w:rPr>
                      <w:szCs w:val="21"/>
                    </w:rPr>
                    <w:t>氨氮</w:t>
                  </w:r>
                </w:p>
              </w:tc>
              <w:tc>
                <w:tcPr>
                  <w:tcW w:w="3090" w:type="dxa"/>
                  <w:vAlign w:val="center"/>
                </w:tcPr>
                <w:p>
                  <w:pPr>
                    <w:pStyle w:val="11"/>
                    <w:jc w:val="center"/>
                    <w:rPr>
                      <w:rStyle w:val="37"/>
                      <w:szCs w:val="21"/>
                    </w:rPr>
                  </w:pPr>
                  <w:r>
                    <w:rPr>
                      <w:rStyle w:val="37"/>
                      <w:szCs w:val="21"/>
                    </w:rPr>
                    <w:t>≤0.2mg/L</w:t>
                  </w:r>
                </w:p>
              </w:tc>
              <w:tc>
                <w:tcPr>
                  <w:tcW w:w="2679" w:type="dxa"/>
                  <w:vMerge w:val="continue"/>
                  <w:vAlign w:val="center"/>
                </w:tcPr>
                <w:p>
                  <w:pPr>
                    <w:pStyle w:val="11"/>
                    <w:jc w:val="center"/>
                    <w:rPr>
                      <w:rStyle w:val="37"/>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871" w:type="dxa"/>
                  <w:vMerge w:val="continue"/>
                  <w:vAlign w:val="center"/>
                </w:tcPr>
                <w:p>
                  <w:pPr>
                    <w:pStyle w:val="11"/>
                    <w:jc w:val="center"/>
                    <w:rPr>
                      <w:rStyle w:val="37"/>
                      <w:szCs w:val="21"/>
                    </w:rPr>
                  </w:pPr>
                </w:p>
              </w:tc>
              <w:tc>
                <w:tcPr>
                  <w:tcW w:w="1644" w:type="dxa"/>
                  <w:vAlign w:val="center"/>
                </w:tcPr>
                <w:p>
                  <w:pPr>
                    <w:pStyle w:val="11"/>
                    <w:jc w:val="center"/>
                    <w:rPr>
                      <w:szCs w:val="21"/>
                    </w:rPr>
                  </w:pPr>
                  <w:r>
                    <w:rPr>
                      <w:rFonts w:hint="eastAsia"/>
                      <w:szCs w:val="21"/>
                    </w:rPr>
                    <w:t>硝酸盐</w:t>
                  </w:r>
                </w:p>
              </w:tc>
              <w:tc>
                <w:tcPr>
                  <w:tcW w:w="3090" w:type="dxa"/>
                  <w:vAlign w:val="center"/>
                </w:tcPr>
                <w:p>
                  <w:pPr>
                    <w:pStyle w:val="11"/>
                    <w:jc w:val="center"/>
                    <w:rPr>
                      <w:rStyle w:val="37"/>
                      <w:szCs w:val="21"/>
                    </w:rPr>
                  </w:pPr>
                  <w:r>
                    <w:rPr>
                      <w:rStyle w:val="37"/>
                      <w:szCs w:val="21"/>
                    </w:rPr>
                    <w:t>≤</w:t>
                  </w:r>
                  <w:r>
                    <w:rPr>
                      <w:rStyle w:val="37"/>
                      <w:rFonts w:hint="eastAsia"/>
                      <w:szCs w:val="21"/>
                    </w:rPr>
                    <w:t>20</w:t>
                  </w:r>
                  <w:r>
                    <w:rPr>
                      <w:rStyle w:val="37"/>
                      <w:szCs w:val="21"/>
                    </w:rPr>
                    <w:t>mg/L</w:t>
                  </w:r>
                </w:p>
              </w:tc>
              <w:tc>
                <w:tcPr>
                  <w:tcW w:w="2679" w:type="dxa"/>
                  <w:vMerge w:val="continue"/>
                  <w:vAlign w:val="center"/>
                </w:tcPr>
                <w:p>
                  <w:pPr>
                    <w:pStyle w:val="11"/>
                    <w:jc w:val="center"/>
                    <w:rPr>
                      <w:rStyle w:val="37"/>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cantSplit/>
              </w:trPr>
              <w:tc>
                <w:tcPr>
                  <w:tcW w:w="871" w:type="dxa"/>
                  <w:vMerge w:val="continue"/>
                  <w:vAlign w:val="center"/>
                </w:tcPr>
                <w:p>
                  <w:pPr>
                    <w:pStyle w:val="11"/>
                    <w:jc w:val="center"/>
                    <w:rPr>
                      <w:rStyle w:val="37"/>
                      <w:szCs w:val="21"/>
                    </w:rPr>
                  </w:pPr>
                </w:p>
              </w:tc>
              <w:tc>
                <w:tcPr>
                  <w:tcW w:w="1644" w:type="dxa"/>
                  <w:vAlign w:val="center"/>
                </w:tcPr>
                <w:p>
                  <w:pPr>
                    <w:pStyle w:val="11"/>
                    <w:jc w:val="center"/>
                    <w:rPr>
                      <w:szCs w:val="21"/>
                    </w:rPr>
                  </w:pPr>
                  <w:r>
                    <w:rPr>
                      <w:rFonts w:hint="eastAsia"/>
                      <w:szCs w:val="21"/>
                    </w:rPr>
                    <w:t>亚硝酸盐</w:t>
                  </w:r>
                </w:p>
              </w:tc>
              <w:tc>
                <w:tcPr>
                  <w:tcW w:w="3090" w:type="dxa"/>
                  <w:vAlign w:val="center"/>
                </w:tcPr>
                <w:p>
                  <w:pPr>
                    <w:pStyle w:val="11"/>
                    <w:jc w:val="center"/>
                    <w:rPr>
                      <w:rStyle w:val="37"/>
                      <w:szCs w:val="21"/>
                    </w:rPr>
                  </w:pPr>
                  <w:r>
                    <w:rPr>
                      <w:rStyle w:val="37"/>
                      <w:szCs w:val="21"/>
                    </w:rPr>
                    <w:t>≤</w:t>
                  </w:r>
                  <w:r>
                    <w:rPr>
                      <w:rStyle w:val="37"/>
                      <w:rFonts w:hint="eastAsia"/>
                      <w:szCs w:val="21"/>
                    </w:rPr>
                    <w:t>0.02</w:t>
                  </w:r>
                  <w:r>
                    <w:rPr>
                      <w:rStyle w:val="37"/>
                      <w:szCs w:val="21"/>
                    </w:rPr>
                    <w:t>mg/L</w:t>
                  </w:r>
                </w:p>
              </w:tc>
              <w:tc>
                <w:tcPr>
                  <w:tcW w:w="2679" w:type="dxa"/>
                  <w:vMerge w:val="continue"/>
                  <w:vAlign w:val="center"/>
                </w:tcPr>
                <w:p>
                  <w:pPr>
                    <w:pStyle w:val="11"/>
                    <w:jc w:val="center"/>
                    <w:rPr>
                      <w:rStyle w:val="37"/>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871" w:type="dxa"/>
                  <w:vAlign w:val="center"/>
                </w:tcPr>
                <w:p>
                  <w:pPr>
                    <w:pStyle w:val="11"/>
                    <w:jc w:val="center"/>
                    <w:rPr>
                      <w:rStyle w:val="37"/>
                      <w:szCs w:val="21"/>
                    </w:rPr>
                  </w:pPr>
                  <w:r>
                    <w:rPr>
                      <w:rStyle w:val="37"/>
                      <w:szCs w:val="21"/>
                    </w:rPr>
                    <w:t>声环境</w:t>
                  </w:r>
                </w:p>
              </w:tc>
              <w:tc>
                <w:tcPr>
                  <w:tcW w:w="1644" w:type="dxa"/>
                  <w:vAlign w:val="center"/>
                </w:tcPr>
                <w:p>
                  <w:pPr>
                    <w:spacing w:line="300" w:lineRule="exact"/>
                    <w:jc w:val="center"/>
                    <w:rPr>
                      <w:rStyle w:val="37"/>
                      <w:szCs w:val="21"/>
                    </w:rPr>
                  </w:pPr>
                  <w:r>
                    <w:rPr>
                      <w:rFonts w:hint="eastAsia"/>
                      <w:bCs/>
                      <w:szCs w:val="21"/>
                    </w:rPr>
                    <w:t>南</w:t>
                  </w:r>
                  <w:r>
                    <w:rPr>
                      <w:bCs/>
                      <w:szCs w:val="21"/>
                    </w:rPr>
                    <w:t>厂界声环境</w:t>
                  </w:r>
                </w:p>
              </w:tc>
              <w:tc>
                <w:tcPr>
                  <w:tcW w:w="3090" w:type="dxa"/>
                  <w:vAlign w:val="center"/>
                </w:tcPr>
                <w:p>
                  <w:pPr>
                    <w:pStyle w:val="88"/>
                    <w:spacing w:line="320" w:lineRule="exact"/>
                    <w:rPr>
                      <w:rFonts w:ascii="Times New Roman" w:hAnsi="Times New Roman"/>
                      <w:bCs/>
                      <w:sz w:val="21"/>
                      <w:szCs w:val="21"/>
                    </w:rPr>
                  </w:pPr>
                  <w:r>
                    <w:rPr>
                      <w:rFonts w:ascii="Times New Roman" w:hAnsi="Times New Roman"/>
                      <w:bCs/>
                      <w:sz w:val="21"/>
                      <w:szCs w:val="21"/>
                    </w:rPr>
                    <w:t>昼间</w:t>
                  </w:r>
                  <w:r>
                    <w:rPr>
                      <w:rFonts w:ascii="Times New Roman" w:hAnsi="Times New Roman"/>
                      <w:bCs/>
                      <w:kern w:val="0"/>
                      <w:sz w:val="21"/>
                      <w:szCs w:val="21"/>
                    </w:rPr>
                    <w:t>≤</w:t>
                  </w:r>
                  <w:r>
                    <w:rPr>
                      <w:rFonts w:ascii="Times New Roman" w:hAnsi="Times New Roman"/>
                      <w:bCs/>
                      <w:sz w:val="21"/>
                      <w:szCs w:val="21"/>
                    </w:rPr>
                    <w:t>70dB(A)</w:t>
                  </w:r>
                </w:p>
                <w:p>
                  <w:pPr>
                    <w:spacing w:line="300" w:lineRule="exact"/>
                    <w:jc w:val="center"/>
                    <w:rPr>
                      <w:rStyle w:val="37"/>
                      <w:szCs w:val="21"/>
                    </w:rPr>
                  </w:pPr>
                  <w:r>
                    <w:rPr>
                      <w:bCs/>
                      <w:szCs w:val="21"/>
                    </w:rPr>
                    <w:t>夜间</w:t>
                  </w:r>
                  <w:r>
                    <w:rPr>
                      <w:bCs/>
                      <w:kern w:val="0"/>
                      <w:szCs w:val="21"/>
                    </w:rPr>
                    <w:t>≤</w:t>
                  </w:r>
                  <w:r>
                    <w:rPr>
                      <w:bCs/>
                      <w:szCs w:val="21"/>
                    </w:rPr>
                    <w:t>55dB(A)</w:t>
                  </w:r>
                </w:p>
              </w:tc>
              <w:tc>
                <w:tcPr>
                  <w:tcW w:w="2679" w:type="dxa"/>
                  <w:vAlign w:val="center"/>
                </w:tcPr>
                <w:p>
                  <w:pPr>
                    <w:pStyle w:val="11"/>
                    <w:jc w:val="center"/>
                    <w:rPr>
                      <w:bCs/>
                      <w:szCs w:val="21"/>
                    </w:rPr>
                  </w:pPr>
                  <w:r>
                    <w:rPr>
                      <w:bCs/>
                      <w:szCs w:val="21"/>
                    </w:rPr>
                    <w:t>《声环境质量标准》</w:t>
                  </w:r>
                </w:p>
                <w:p>
                  <w:pPr>
                    <w:pStyle w:val="11"/>
                    <w:jc w:val="center"/>
                    <w:rPr>
                      <w:bCs/>
                      <w:szCs w:val="21"/>
                    </w:rPr>
                  </w:pPr>
                  <w:r>
                    <w:rPr>
                      <w:bCs/>
                      <w:szCs w:val="21"/>
                    </w:rPr>
                    <w:t>（GB3096-2008）</w:t>
                  </w:r>
                </w:p>
                <w:p>
                  <w:pPr>
                    <w:pStyle w:val="11"/>
                    <w:jc w:val="center"/>
                    <w:rPr>
                      <w:rStyle w:val="37"/>
                      <w:szCs w:val="21"/>
                    </w:rPr>
                  </w:pPr>
                  <w:r>
                    <w:rPr>
                      <w:rStyle w:val="37"/>
                      <w:bCs/>
                      <w:szCs w:val="21"/>
                    </w:rPr>
                    <w:t>4a类标准</w:t>
                  </w:r>
                </w:p>
              </w:tc>
            </w:tr>
          </w:tbl>
          <w:p>
            <w:pPr>
              <w:spacing w:line="360" w:lineRule="auto"/>
              <w:jc w:val="center"/>
              <w:rPr>
                <w:sz w:val="24"/>
                <w:szCs w:val="24"/>
              </w:rPr>
            </w:pPr>
            <w:r>
              <w:rPr>
                <w:rFonts w:hint="eastAsia"/>
                <w:b/>
                <w:bCs/>
                <w:szCs w:val="21"/>
              </w:rPr>
              <w:t>续</w:t>
            </w:r>
            <w:r>
              <w:rPr>
                <w:b/>
                <w:bCs/>
                <w:szCs w:val="21"/>
              </w:rPr>
              <w:t>表</w:t>
            </w:r>
            <w:r>
              <w:rPr>
                <w:rFonts w:hint="eastAsia"/>
                <w:b/>
                <w:bCs/>
                <w:szCs w:val="21"/>
              </w:rPr>
              <w:t>12</w:t>
            </w:r>
            <w:r>
              <w:rPr>
                <w:b/>
                <w:bCs/>
                <w:szCs w:val="21"/>
              </w:rPr>
              <w:t xml:space="preserve"> </w:t>
            </w:r>
            <w:r>
              <w:rPr>
                <w:rFonts w:hint="eastAsia"/>
                <w:b/>
                <w:bCs/>
                <w:szCs w:val="21"/>
              </w:rPr>
              <w:t xml:space="preserve">  </w:t>
            </w:r>
            <w:r>
              <w:rPr>
                <w:b/>
                <w:bCs/>
                <w:szCs w:val="21"/>
              </w:rPr>
              <w:t xml:space="preserve"> 环境质量标准</w:t>
            </w:r>
          </w:p>
          <w:tbl>
            <w:tblPr>
              <w:tblStyle w:val="31"/>
              <w:tblW w:w="8284" w:type="dxa"/>
              <w:tblInd w:w="1"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71"/>
              <w:gridCol w:w="1644"/>
              <w:gridCol w:w="3090"/>
              <w:gridCol w:w="2679"/>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871" w:type="dxa"/>
                  <w:vAlign w:val="center"/>
                </w:tcPr>
                <w:p>
                  <w:pPr>
                    <w:pStyle w:val="11"/>
                    <w:jc w:val="center"/>
                    <w:rPr>
                      <w:rStyle w:val="37"/>
                      <w:b/>
                      <w:bCs/>
                      <w:szCs w:val="21"/>
                    </w:rPr>
                  </w:pPr>
                  <w:r>
                    <w:rPr>
                      <w:rStyle w:val="37"/>
                      <w:b/>
                      <w:bCs/>
                      <w:szCs w:val="21"/>
                    </w:rPr>
                    <w:t>项 目</w:t>
                  </w:r>
                </w:p>
              </w:tc>
              <w:tc>
                <w:tcPr>
                  <w:tcW w:w="1644" w:type="dxa"/>
                  <w:vAlign w:val="center"/>
                </w:tcPr>
                <w:p>
                  <w:pPr>
                    <w:pStyle w:val="11"/>
                    <w:jc w:val="center"/>
                    <w:rPr>
                      <w:b/>
                      <w:bCs/>
                      <w:szCs w:val="21"/>
                    </w:rPr>
                  </w:pPr>
                  <w:r>
                    <w:rPr>
                      <w:rStyle w:val="37"/>
                      <w:b/>
                      <w:bCs/>
                      <w:szCs w:val="21"/>
                    </w:rPr>
                    <w:t>污染</w:t>
                  </w:r>
                  <w:r>
                    <w:rPr>
                      <w:b/>
                      <w:bCs/>
                      <w:szCs w:val="21"/>
                    </w:rPr>
                    <w:t>因子</w:t>
                  </w:r>
                </w:p>
              </w:tc>
              <w:tc>
                <w:tcPr>
                  <w:tcW w:w="3090" w:type="dxa"/>
                  <w:vAlign w:val="center"/>
                </w:tcPr>
                <w:p>
                  <w:pPr>
                    <w:pStyle w:val="11"/>
                    <w:jc w:val="center"/>
                    <w:rPr>
                      <w:rStyle w:val="37"/>
                      <w:b/>
                      <w:bCs/>
                      <w:szCs w:val="21"/>
                    </w:rPr>
                  </w:pPr>
                  <w:r>
                    <w:rPr>
                      <w:rStyle w:val="37"/>
                      <w:b/>
                      <w:bCs/>
                      <w:szCs w:val="21"/>
                    </w:rPr>
                    <w:t>标  准  值</w:t>
                  </w:r>
                </w:p>
              </w:tc>
              <w:tc>
                <w:tcPr>
                  <w:tcW w:w="2679" w:type="dxa"/>
                  <w:vAlign w:val="center"/>
                </w:tcPr>
                <w:p>
                  <w:pPr>
                    <w:pStyle w:val="11"/>
                    <w:jc w:val="center"/>
                    <w:rPr>
                      <w:rStyle w:val="37"/>
                      <w:b/>
                      <w:bCs/>
                      <w:szCs w:val="21"/>
                    </w:rPr>
                  </w:pPr>
                  <w:r>
                    <w:rPr>
                      <w:rStyle w:val="37"/>
                      <w:b/>
                      <w:bCs/>
                      <w:szCs w:val="21"/>
                    </w:rPr>
                    <w:t>标     准     号</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Pr>
              <w:tc>
                <w:tcPr>
                  <w:tcW w:w="871" w:type="dxa"/>
                  <w:vAlign w:val="center"/>
                </w:tcPr>
                <w:p>
                  <w:pPr>
                    <w:pStyle w:val="6"/>
                    <w:ind w:firstLine="0"/>
                    <w:jc w:val="center"/>
                    <w:rPr>
                      <w:szCs w:val="21"/>
                    </w:rPr>
                  </w:pPr>
                  <w:r>
                    <w:rPr>
                      <w:rStyle w:val="37"/>
                      <w:szCs w:val="21"/>
                    </w:rPr>
                    <w:t>声环境</w:t>
                  </w:r>
                </w:p>
              </w:tc>
              <w:tc>
                <w:tcPr>
                  <w:tcW w:w="1644" w:type="dxa"/>
                  <w:vAlign w:val="center"/>
                </w:tcPr>
                <w:p>
                  <w:pPr>
                    <w:spacing w:line="300" w:lineRule="exact"/>
                    <w:jc w:val="center"/>
                    <w:rPr>
                      <w:rStyle w:val="37"/>
                      <w:szCs w:val="21"/>
                    </w:rPr>
                  </w:pPr>
                  <w:r>
                    <w:rPr>
                      <w:bCs/>
                      <w:szCs w:val="21"/>
                    </w:rPr>
                    <w:t>东、西、</w:t>
                  </w:r>
                  <w:r>
                    <w:rPr>
                      <w:rFonts w:hint="eastAsia"/>
                      <w:bCs/>
                      <w:szCs w:val="21"/>
                    </w:rPr>
                    <w:t>北</w:t>
                  </w:r>
                  <w:r>
                    <w:rPr>
                      <w:bCs/>
                      <w:szCs w:val="21"/>
                    </w:rPr>
                    <w:t>厂界声环境</w:t>
                  </w:r>
                </w:p>
              </w:tc>
              <w:tc>
                <w:tcPr>
                  <w:tcW w:w="3090" w:type="dxa"/>
                  <w:vAlign w:val="center"/>
                </w:tcPr>
                <w:p>
                  <w:pPr>
                    <w:pStyle w:val="88"/>
                    <w:spacing w:line="320" w:lineRule="exact"/>
                    <w:rPr>
                      <w:rFonts w:ascii="Times New Roman" w:hAnsi="Times New Roman"/>
                      <w:bCs/>
                      <w:sz w:val="21"/>
                      <w:szCs w:val="21"/>
                    </w:rPr>
                  </w:pPr>
                  <w:r>
                    <w:rPr>
                      <w:rFonts w:ascii="Times New Roman" w:hAnsi="Times New Roman"/>
                      <w:bCs/>
                      <w:sz w:val="21"/>
                      <w:szCs w:val="21"/>
                    </w:rPr>
                    <w:t>昼间</w:t>
                  </w:r>
                  <w:r>
                    <w:rPr>
                      <w:rFonts w:ascii="Times New Roman" w:hAnsi="Times New Roman"/>
                      <w:bCs/>
                      <w:kern w:val="0"/>
                      <w:sz w:val="21"/>
                      <w:szCs w:val="21"/>
                    </w:rPr>
                    <w:t>≤</w:t>
                  </w:r>
                  <w:r>
                    <w:rPr>
                      <w:rFonts w:ascii="Times New Roman" w:hAnsi="Times New Roman"/>
                      <w:bCs/>
                      <w:sz w:val="21"/>
                      <w:szCs w:val="21"/>
                    </w:rPr>
                    <w:t>65dB(A)</w:t>
                  </w:r>
                </w:p>
                <w:p>
                  <w:pPr>
                    <w:spacing w:line="300" w:lineRule="exact"/>
                    <w:jc w:val="center"/>
                    <w:rPr>
                      <w:rStyle w:val="37"/>
                      <w:szCs w:val="21"/>
                    </w:rPr>
                  </w:pPr>
                  <w:r>
                    <w:rPr>
                      <w:bCs/>
                      <w:szCs w:val="21"/>
                    </w:rPr>
                    <w:t>夜间</w:t>
                  </w:r>
                  <w:r>
                    <w:rPr>
                      <w:bCs/>
                      <w:kern w:val="0"/>
                      <w:szCs w:val="21"/>
                    </w:rPr>
                    <w:t>≤</w:t>
                  </w:r>
                  <w:r>
                    <w:rPr>
                      <w:bCs/>
                      <w:szCs w:val="21"/>
                    </w:rPr>
                    <w:t>55dB(A)</w:t>
                  </w:r>
                </w:p>
              </w:tc>
              <w:tc>
                <w:tcPr>
                  <w:tcW w:w="2679" w:type="dxa"/>
                  <w:vAlign w:val="center"/>
                </w:tcPr>
                <w:p>
                  <w:pPr>
                    <w:pStyle w:val="11"/>
                    <w:jc w:val="center"/>
                    <w:rPr>
                      <w:bCs/>
                      <w:szCs w:val="21"/>
                    </w:rPr>
                  </w:pPr>
                  <w:r>
                    <w:rPr>
                      <w:bCs/>
                      <w:szCs w:val="21"/>
                    </w:rPr>
                    <w:t>《声环境质量标准》</w:t>
                  </w:r>
                </w:p>
                <w:p>
                  <w:pPr>
                    <w:pStyle w:val="11"/>
                    <w:jc w:val="center"/>
                    <w:rPr>
                      <w:bCs/>
                      <w:szCs w:val="21"/>
                    </w:rPr>
                  </w:pPr>
                  <w:r>
                    <w:rPr>
                      <w:bCs/>
                      <w:szCs w:val="21"/>
                    </w:rPr>
                    <w:t>（GB3096-2008）</w:t>
                  </w:r>
                </w:p>
                <w:p>
                  <w:pPr>
                    <w:pStyle w:val="11"/>
                    <w:jc w:val="center"/>
                    <w:rPr>
                      <w:szCs w:val="21"/>
                    </w:rPr>
                  </w:pPr>
                  <w:r>
                    <w:rPr>
                      <w:rStyle w:val="37"/>
                      <w:bCs/>
                      <w:szCs w:val="21"/>
                    </w:rPr>
                    <w:t>3类标准</w:t>
                  </w:r>
                </w:p>
              </w:tc>
            </w:tr>
          </w:tbl>
          <w:p>
            <w:pPr>
              <w:spacing w:line="20" w:lineRule="exact"/>
              <w:rPr>
                <w:rStyle w:val="45"/>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499" w:type="dxa"/>
            <w:vAlign w:val="center"/>
          </w:tcPr>
          <w:p>
            <w:pPr>
              <w:pStyle w:val="10"/>
              <w:spacing w:line="460" w:lineRule="exact"/>
              <w:rPr>
                <w:b/>
                <w:sz w:val="28"/>
                <w:szCs w:val="28"/>
              </w:rPr>
            </w:pPr>
            <w:r>
              <w:rPr>
                <w:rFonts w:hint="eastAsia"/>
                <w:b/>
                <w:sz w:val="28"/>
                <w:szCs w:val="28"/>
              </w:rPr>
              <w:t>污染物排放标准</w:t>
            </w:r>
          </w:p>
        </w:tc>
        <w:tc>
          <w:tcPr>
            <w:tcW w:w="8504" w:type="dxa"/>
            <w:vAlign w:val="center"/>
          </w:tcPr>
          <w:p>
            <w:pPr>
              <w:spacing w:line="480" w:lineRule="exact"/>
              <w:ind w:firstLine="480" w:firstLineChars="200"/>
              <w:rPr>
                <w:rStyle w:val="108"/>
                <w:rFonts w:ascii="Times New Roman" w:hAnsi="Times New Roman"/>
              </w:rPr>
            </w:pPr>
            <w:r>
              <w:rPr>
                <w:rStyle w:val="108"/>
                <w:rFonts w:hint="eastAsia" w:ascii="Times New Roman" w:hAnsi="Times New Roman"/>
              </w:rPr>
              <w:t>1、施工期</w:t>
            </w:r>
          </w:p>
          <w:p>
            <w:pPr>
              <w:spacing w:line="480" w:lineRule="exact"/>
              <w:ind w:firstLine="480" w:firstLineChars="200"/>
              <w:rPr>
                <w:rStyle w:val="108"/>
                <w:rFonts w:ascii="Times New Roman" w:hAnsi="Times New Roman"/>
              </w:rPr>
            </w:pPr>
            <w:r>
              <w:rPr>
                <w:rStyle w:val="108"/>
                <w:rFonts w:hint="eastAsia" w:ascii="Times New Roman" w:hAnsi="Times New Roman"/>
              </w:rPr>
              <w:t>施工期噪声执行《建筑施工场界环境噪声排放标准》（GB12523-2011）表1规定的排放限值，即昼间70dB（A）、夜间55dB（A）。</w:t>
            </w:r>
          </w:p>
          <w:p>
            <w:pPr>
              <w:spacing w:line="480" w:lineRule="exact"/>
              <w:ind w:firstLine="480" w:firstLineChars="200"/>
              <w:rPr>
                <w:rStyle w:val="108"/>
                <w:rFonts w:ascii="Times New Roman" w:hAnsi="Times New Roman"/>
              </w:rPr>
            </w:pPr>
            <w:r>
              <w:rPr>
                <w:rFonts w:hint="eastAsia"/>
                <w:sz w:val="24"/>
              </w:rPr>
              <w:t>施工期</w:t>
            </w:r>
            <w:r>
              <w:rPr>
                <w:sz w:val="24"/>
              </w:rPr>
              <w:t>建筑垃圾处置及工业固体废物处置执行《一般工业固体废物贮存、处置场污染控制标准》</w:t>
            </w:r>
            <w:r>
              <w:rPr>
                <w:rFonts w:hint="eastAsia"/>
                <w:sz w:val="24"/>
              </w:rPr>
              <w:t>(</w:t>
            </w:r>
            <w:r>
              <w:rPr>
                <w:sz w:val="24"/>
              </w:rPr>
              <w:t>GB18599-2001</w:t>
            </w:r>
            <w:r>
              <w:rPr>
                <w:rFonts w:hint="eastAsia"/>
                <w:sz w:val="24"/>
              </w:rPr>
              <w:t>)</w:t>
            </w:r>
            <w:r>
              <w:rPr>
                <w:sz w:val="24"/>
              </w:rPr>
              <w:t>及修改单要求</w:t>
            </w:r>
            <w:r>
              <w:rPr>
                <w:rFonts w:hint="eastAsia"/>
                <w:sz w:val="24"/>
              </w:rPr>
              <w:t>。</w:t>
            </w:r>
          </w:p>
          <w:p>
            <w:pPr>
              <w:spacing w:line="480" w:lineRule="exact"/>
              <w:ind w:firstLine="480" w:firstLineChars="200"/>
              <w:rPr>
                <w:sz w:val="24"/>
              </w:rPr>
            </w:pPr>
            <w:r>
              <w:rPr>
                <w:rFonts w:hint="eastAsia"/>
                <w:sz w:val="24"/>
              </w:rPr>
              <w:t>2、营运期</w:t>
            </w:r>
          </w:p>
          <w:p>
            <w:pPr>
              <w:spacing w:line="480" w:lineRule="exact"/>
              <w:ind w:firstLine="480" w:firstLineChars="200"/>
              <w:rPr>
                <w:sz w:val="24"/>
              </w:rPr>
            </w:pPr>
            <w:r>
              <w:rPr>
                <w:rFonts w:hint="eastAsia"/>
                <w:sz w:val="24"/>
              </w:rPr>
              <w:t>废气：切割粉尘执行《大气污染物综合排放标准》（GB16297-1996）表2二级标准要求；喷晾漆废气中颗粒物执行《大气污染物综合排放标准》（GB16297-1996）表2二级染料尘标准要求、非甲烷总烃和二甲苯执行《工业企业挥发性有机物排放控制标准》（DB13/2322-2016）表1表面涂装业最高允许排放浓度要求；回火炉废气中非甲烷总烃执行《工业企业挥发性有机物排放控制标准》（DB13/2322-2016）表1其他行业标准限值要求；焊接烟尘及车间无组织颗粒物排放执行《大气污染物综合排放标准》（GB16297-1996）表2中无组织排放标准；车间无组织废气中非甲烷总烃和二甲苯执行《工业企业挥发性有机物排放控制标准》（DB13/2322-2016）表2企业边界大气污染物浓度限值要求。废气污染物排放标准见表16。</w:t>
            </w:r>
          </w:p>
          <w:p>
            <w:pPr>
              <w:pStyle w:val="14"/>
              <w:adjustRightInd w:val="0"/>
              <w:snapToGrid w:val="0"/>
              <w:jc w:val="center"/>
              <w:rPr>
                <w:rFonts w:ascii="Times New Roman" w:hAnsi="Times New Roman" w:cs="Times New Roman"/>
                <w:b/>
                <w:sz w:val="21"/>
              </w:rPr>
            </w:pPr>
            <w:r>
              <w:rPr>
                <w:rFonts w:ascii="Times New Roman" w:hAnsi="Times New Roman" w:cs="Times New Roman"/>
                <w:b/>
                <w:sz w:val="21"/>
              </w:rPr>
              <w:t>表</w:t>
            </w:r>
            <w:r>
              <w:rPr>
                <w:rFonts w:hint="eastAsia" w:ascii="Times New Roman" w:hAnsi="Times New Roman" w:cs="Times New Roman"/>
                <w:b/>
                <w:sz w:val="21"/>
              </w:rPr>
              <w:t>13</w:t>
            </w:r>
            <w:r>
              <w:rPr>
                <w:rFonts w:ascii="Times New Roman" w:hAnsi="Times New Roman" w:cs="Times New Roman"/>
                <w:b/>
                <w:sz w:val="21"/>
              </w:rPr>
              <w:t xml:space="preserve">    </w:t>
            </w:r>
            <w:r>
              <w:rPr>
                <w:rFonts w:hint="eastAsia" w:ascii="Times New Roman" w:hAnsi="Times New Roman" w:cs="Times New Roman"/>
                <w:b/>
                <w:sz w:val="21"/>
              </w:rPr>
              <w:t>废气</w:t>
            </w:r>
            <w:r>
              <w:rPr>
                <w:rFonts w:ascii="Times New Roman" w:hAnsi="Times New Roman" w:cs="Times New Roman"/>
                <w:b/>
                <w:sz w:val="21"/>
              </w:rPr>
              <w:t>污染物排放标准一览表</w:t>
            </w:r>
          </w:p>
          <w:tbl>
            <w:tblPr>
              <w:tblStyle w:val="31"/>
              <w:tblW w:w="8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296"/>
              <w:gridCol w:w="3136"/>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75" w:type="dxa"/>
                  <w:vAlign w:val="center"/>
                </w:tcPr>
                <w:p>
                  <w:pPr>
                    <w:adjustRightInd w:val="0"/>
                    <w:snapToGrid w:val="0"/>
                    <w:spacing w:line="240" w:lineRule="exact"/>
                    <w:jc w:val="center"/>
                    <w:rPr>
                      <w:b/>
                      <w:szCs w:val="21"/>
                    </w:rPr>
                  </w:pPr>
                  <w:r>
                    <w:rPr>
                      <w:b/>
                      <w:szCs w:val="21"/>
                    </w:rPr>
                    <w:t>污染源</w:t>
                  </w:r>
                </w:p>
              </w:tc>
              <w:tc>
                <w:tcPr>
                  <w:tcW w:w="1296" w:type="dxa"/>
                  <w:vAlign w:val="center"/>
                </w:tcPr>
                <w:p>
                  <w:pPr>
                    <w:adjustRightInd w:val="0"/>
                    <w:snapToGrid w:val="0"/>
                    <w:spacing w:line="240" w:lineRule="exact"/>
                    <w:jc w:val="center"/>
                    <w:rPr>
                      <w:b/>
                      <w:szCs w:val="21"/>
                    </w:rPr>
                  </w:pPr>
                  <w:r>
                    <w:rPr>
                      <w:b/>
                      <w:szCs w:val="21"/>
                    </w:rPr>
                    <w:t>污染因子</w:t>
                  </w:r>
                </w:p>
              </w:tc>
              <w:tc>
                <w:tcPr>
                  <w:tcW w:w="3136" w:type="dxa"/>
                  <w:vAlign w:val="center"/>
                </w:tcPr>
                <w:p>
                  <w:pPr>
                    <w:adjustRightInd w:val="0"/>
                    <w:snapToGrid w:val="0"/>
                    <w:spacing w:line="240" w:lineRule="exact"/>
                    <w:jc w:val="center"/>
                    <w:rPr>
                      <w:b/>
                      <w:szCs w:val="21"/>
                    </w:rPr>
                  </w:pPr>
                  <w:r>
                    <w:rPr>
                      <w:b/>
                      <w:szCs w:val="21"/>
                    </w:rPr>
                    <w:t>排放限值</w:t>
                  </w:r>
                </w:p>
              </w:tc>
              <w:tc>
                <w:tcPr>
                  <w:tcW w:w="2771" w:type="dxa"/>
                  <w:vAlign w:val="center"/>
                </w:tcPr>
                <w:p>
                  <w:pPr>
                    <w:adjustRightInd w:val="0"/>
                    <w:snapToGrid w:val="0"/>
                    <w:spacing w:line="240" w:lineRule="exact"/>
                    <w:jc w:val="center"/>
                    <w:rPr>
                      <w:b/>
                      <w:szCs w:val="21"/>
                    </w:rPr>
                  </w:pPr>
                  <w:r>
                    <w:rPr>
                      <w:b/>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75" w:type="dxa"/>
                  <w:vAlign w:val="center"/>
                </w:tcPr>
                <w:p>
                  <w:pPr>
                    <w:pStyle w:val="6"/>
                    <w:spacing w:line="240" w:lineRule="exact"/>
                    <w:ind w:firstLine="0"/>
                    <w:jc w:val="center"/>
                    <w:rPr>
                      <w:spacing w:val="-8"/>
                      <w:szCs w:val="21"/>
                    </w:rPr>
                  </w:pPr>
                  <w:r>
                    <w:rPr>
                      <w:rFonts w:hint="eastAsia"/>
                      <w:szCs w:val="21"/>
                    </w:rPr>
                    <w:t>切割粉尘</w:t>
                  </w:r>
                </w:p>
              </w:tc>
              <w:tc>
                <w:tcPr>
                  <w:tcW w:w="1296" w:type="dxa"/>
                  <w:vAlign w:val="center"/>
                </w:tcPr>
                <w:p>
                  <w:pPr>
                    <w:pStyle w:val="6"/>
                    <w:spacing w:line="240" w:lineRule="exact"/>
                    <w:ind w:firstLine="0"/>
                    <w:jc w:val="center"/>
                    <w:rPr>
                      <w:spacing w:val="-20"/>
                      <w:szCs w:val="21"/>
                    </w:rPr>
                  </w:pPr>
                  <w:r>
                    <w:rPr>
                      <w:rFonts w:hint="eastAsia" w:ascii="宋体"/>
                      <w:szCs w:val="21"/>
                    </w:rPr>
                    <w:t>颗粒物有组织</w:t>
                  </w:r>
                </w:p>
              </w:tc>
              <w:tc>
                <w:tcPr>
                  <w:tcW w:w="3136" w:type="dxa"/>
                  <w:vAlign w:val="center"/>
                </w:tcPr>
                <w:p>
                  <w:pPr>
                    <w:pStyle w:val="6"/>
                    <w:spacing w:line="240" w:lineRule="exact"/>
                    <w:ind w:firstLine="0"/>
                    <w:jc w:val="center"/>
                    <w:rPr>
                      <w:szCs w:val="21"/>
                    </w:rPr>
                  </w:pPr>
                  <w:r>
                    <w:rPr>
                      <w:rFonts w:hint="eastAsia"/>
                      <w:snapToGrid w:val="0"/>
                      <w:kern w:val="0"/>
                      <w:szCs w:val="21"/>
                    </w:rPr>
                    <w:t>颗粒物</w:t>
                  </w:r>
                  <w:r>
                    <w:rPr>
                      <w:rFonts w:hint="eastAsia"/>
                      <w:szCs w:val="21"/>
                    </w:rPr>
                    <w:t>≤120mg/m</w:t>
                  </w:r>
                  <w:r>
                    <w:rPr>
                      <w:rFonts w:hint="eastAsia"/>
                      <w:szCs w:val="21"/>
                      <w:vertAlign w:val="superscript"/>
                    </w:rPr>
                    <w:t>3</w:t>
                  </w:r>
                  <w:r>
                    <w:rPr>
                      <w:rFonts w:hint="eastAsia"/>
                      <w:szCs w:val="21"/>
                    </w:rPr>
                    <w:t>；排气筒15m；</w:t>
                  </w:r>
                </w:p>
                <w:p>
                  <w:pPr>
                    <w:pStyle w:val="6"/>
                    <w:spacing w:line="240" w:lineRule="exact"/>
                    <w:ind w:firstLine="0"/>
                    <w:jc w:val="center"/>
                    <w:rPr>
                      <w:szCs w:val="21"/>
                    </w:rPr>
                  </w:pPr>
                  <w:r>
                    <w:rPr>
                      <w:rFonts w:hint="eastAsia"/>
                      <w:szCs w:val="21"/>
                    </w:rPr>
                    <w:t>排放速率≤3.5kg/h</w:t>
                  </w:r>
                </w:p>
              </w:tc>
              <w:tc>
                <w:tcPr>
                  <w:tcW w:w="2771" w:type="dxa"/>
                  <w:vAlign w:val="center"/>
                </w:tcPr>
                <w:p>
                  <w:pPr>
                    <w:adjustRightInd w:val="0"/>
                    <w:snapToGrid w:val="0"/>
                    <w:spacing w:line="240" w:lineRule="exact"/>
                    <w:jc w:val="center"/>
                    <w:rPr>
                      <w:szCs w:val="21"/>
                    </w:rPr>
                  </w:pPr>
                  <w:r>
                    <w:rPr>
                      <w:rFonts w:hint="eastAsia"/>
                      <w:snapToGrid w:val="0"/>
                      <w:kern w:val="0"/>
                      <w:szCs w:val="21"/>
                    </w:rPr>
                    <w:t>《大气污染物综合排放标准》（GB16297-1996）表2二级标准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trPr>
              <w:tc>
                <w:tcPr>
                  <w:tcW w:w="1075" w:type="dxa"/>
                  <w:vMerge w:val="restart"/>
                  <w:vAlign w:val="center"/>
                </w:tcPr>
                <w:p>
                  <w:pPr>
                    <w:pStyle w:val="6"/>
                    <w:spacing w:line="240" w:lineRule="exact"/>
                    <w:ind w:firstLine="0"/>
                    <w:jc w:val="center"/>
                  </w:pPr>
                  <w:r>
                    <w:rPr>
                      <w:rFonts w:hint="eastAsia" w:ascii="宋体"/>
                      <w:szCs w:val="21"/>
                    </w:rPr>
                    <w:t>喷晾漆废气</w:t>
                  </w:r>
                </w:p>
              </w:tc>
              <w:tc>
                <w:tcPr>
                  <w:tcW w:w="1296" w:type="dxa"/>
                  <w:vAlign w:val="center"/>
                </w:tcPr>
                <w:p>
                  <w:pPr>
                    <w:spacing w:line="340" w:lineRule="exact"/>
                    <w:jc w:val="center"/>
                  </w:pPr>
                  <w:r>
                    <w:rPr>
                      <w:szCs w:val="21"/>
                    </w:rPr>
                    <w:t>颗粒物</w:t>
                  </w:r>
                </w:p>
              </w:tc>
              <w:tc>
                <w:tcPr>
                  <w:tcW w:w="3136" w:type="dxa"/>
                  <w:vAlign w:val="center"/>
                </w:tcPr>
                <w:p>
                  <w:pPr>
                    <w:jc w:val="center"/>
                  </w:pPr>
                  <w:r>
                    <w:rPr>
                      <w:rFonts w:hint="eastAsia"/>
                      <w:szCs w:val="21"/>
                    </w:rPr>
                    <w:t>颗粒物</w:t>
                  </w:r>
                  <w:r>
                    <w:rPr>
                      <w:szCs w:val="21"/>
                    </w:rPr>
                    <w:t>≤1</w:t>
                  </w:r>
                  <w:r>
                    <w:rPr>
                      <w:rFonts w:hint="eastAsia"/>
                      <w:szCs w:val="21"/>
                    </w:rPr>
                    <w:t>8</w:t>
                  </w:r>
                  <w:r>
                    <w:rPr>
                      <w:szCs w:val="21"/>
                    </w:rPr>
                    <w:t>mg/m</w:t>
                  </w:r>
                  <w:r>
                    <w:rPr>
                      <w:szCs w:val="21"/>
                      <w:vertAlign w:val="superscript"/>
                    </w:rPr>
                    <w:t>3</w:t>
                  </w:r>
                  <w:r>
                    <w:rPr>
                      <w:szCs w:val="21"/>
                    </w:rPr>
                    <w:t>，15m排气筒，排放速率</w:t>
                  </w:r>
                  <w:r>
                    <w:rPr>
                      <w:rFonts w:hint="eastAsia"/>
                      <w:szCs w:val="21"/>
                    </w:rPr>
                    <w:t>0.51</w:t>
                  </w:r>
                  <w:r>
                    <w:rPr>
                      <w:szCs w:val="21"/>
                    </w:rPr>
                    <w:t>kg/h</w:t>
                  </w:r>
                </w:p>
              </w:tc>
              <w:tc>
                <w:tcPr>
                  <w:tcW w:w="2771" w:type="dxa"/>
                  <w:vAlign w:val="center"/>
                </w:tcPr>
                <w:p>
                  <w:pPr>
                    <w:spacing w:line="240" w:lineRule="exact"/>
                    <w:jc w:val="center"/>
                  </w:pPr>
                  <w:r>
                    <w:rPr>
                      <w:szCs w:val="21"/>
                    </w:rPr>
                    <w:t>《大气污染物综合排放标准》（GB16297-1996）表2二级</w:t>
                  </w:r>
                  <w:r>
                    <w:rPr>
                      <w:rFonts w:hint="eastAsia"/>
                      <w:szCs w:val="21"/>
                    </w:rPr>
                    <w:t>染料尘</w:t>
                  </w:r>
                  <w:r>
                    <w:rPr>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trPr>
              <w:tc>
                <w:tcPr>
                  <w:tcW w:w="1075" w:type="dxa"/>
                  <w:vMerge w:val="continue"/>
                  <w:vAlign w:val="center"/>
                </w:tcPr>
                <w:p>
                  <w:pPr>
                    <w:pStyle w:val="6"/>
                    <w:spacing w:line="240" w:lineRule="exact"/>
                    <w:ind w:firstLine="0"/>
                    <w:jc w:val="center"/>
                  </w:pPr>
                </w:p>
              </w:tc>
              <w:tc>
                <w:tcPr>
                  <w:tcW w:w="1296" w:type="dxa"/>
                  <w:vAlign w:val="center"/>
                </w:tcPr>
                <w:p>
                  <w:pPr>
                    <w:spacing w:line="340" w:lineRule="exact"/>
                    <w:jc w:val="center"/>
                  </w:pPr>
                  <w:r>
                    <w:rPr>
                      <w:szCs w:val="21"/>
                    </w:rPr>
                    <w:t>非甲烷总烃</w:t>
                  </w:r>
                </w:p>
              </w:tc>
              <w:tc>
                <w:tcPr>
                  <w:tcW w:w="3136" w:type="dxa"/>
                  <w:vMerge w:val="restart"/>
                  <w:vAlign w:val="center"/>
                </w:tcPr>
                <w:p>
                  <w:pPr>
                    <w:jc w:val="center"/>
                  </w:pPr>
                  <w:r>
                    <w:rPr>
                      <w:szCs w:val="21"/>
                    </w:rPr>
                    <w:t>《工业企业挥发性有机物排放控制标准》（DB13/2322-2016）表1表面涂装业最高允许排放浓度要求</w:t>
                  </w:r>
                </w:p>
              </w:tc>
              <w:tc>
                <w:tcPr>
                  <w:tcW w:w="2771" w:type="dxa"/>
                  <w:vAlign w:val="center"/>
                </w:tcPr>
                <w:p>
                  <w:pPr>
                    <w:spacing w:line="240" w:lineRule="exact"/>
                    <w:jc w:val="center"/>
                  </w:pPr>
                  <w:r>
                    <w:rPr>
                      <w:szCs w:val="21"/>
                    </w:rPr>
                    <w:t>排放浓度：60mg/m</w:t>
                  </w:r>
                  <w:r>
                    <w:rPr>
                      <w:szCs w:val="21"/>
                      <w:vertAlign w:val="superscript"/>
                    </w:rPr>
                    <w:t>3</w:t>
                  </w:r>
                  <w:r>
                    <w:rPr>
                      <w:szCs w:val="21"/>
                    </w:rPr>
                    <w:t>，去除效率≥70%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trPr>
              <w:tc>
                <w:tcPr>
                  <w:tcW w:w="1075" w:type="dxa"/>
                  <w:vMerge w:val="continue"/>
                  <w:vAlign w:val="center"/>
                </w:tcPr>
                <w:p>
                  <w:pPr>
                    <w:pStyle w:val="6"/>
                    <w:spacing w:line="240" w:lineRule="exact"/>
                    <w:ind w:firstLine="0"/>
                    <w:jc w:val="center"/>
                  </w:pPr>
                </w:p>
              </w:tc>
              <w:tc>
                <w:tcPr>
                  <w:tcW w:w="1296" w:type="dxa"/>
                  <w:vAlign w:val="center"/>
                </w:tcPr>
                <w:p>
                  <w:pPr>
                    <w:spacing w:line="340" w:lineRule="exact"/>
                    <w:jc w:val="center"/>
                  </w:pPr>
                  <w:r>
                    <w:rPr>
                      <w:szCs w:val="21"/>
                    </w:rPr>
                    <w:t>二甲苯</w:t>
                  </w:r>
                </w:p>
              </w:tc>
              <w:tc>
                <w:tcPr>
                  <w:tcW w:w="3136" w:type="dxa"/>
                  <w:vMerge w:val="continue"/>
                  <w:vAlign w:val="center"/>
                </w:tcPr>
                <w:p>
                  <w:pPr>
                    <w:spacing w:line="240" w:lineRule="exact"/>
                    <w:jc w:val="center"/>
                  </w:pPr>
                </w:p>
              </w:tc>
              <w:tc>
                <w:tcPr>
                  <w:tcW w:w="2771" w:type="dxa"/>
                  <w:vAlign w:val="center"/>
                </w:tcPr>
                <w:p>
                  <w:pPr>
                    <w:spacing w:line="240" w:lineRule="exact"/>
                    <w:jc w:val="center"/>
                  </w:pPr>
                  <w:r>
                    <w:rPr>
                      <w:szCs w:val="21"/>
                    </w:rPr>
                    <w:t>排放浓度：20mg/m</w:t>
                  </w:r>
                  <w:r>
                    <w:rPr>
                      <w:szCs w:val="21"/>
                      <w:vertAlign w:val="superscript"/>
                    </w:rPr>
                    <w:t>3</w:t>
                  </w:r>
                </w:p>
              </w:tc>
            </w:tr>
          </w:tbl>
          <w:p/>
          <w:p>
            <w:pPr>
              <w:pStyle w:val="14"/>
              <w:adjustRightInd w:val="0"/>
              <w:snapToGrid w:val="0"/>
              <w:jc w:val="center"/>
              <w:rPr>
                <w:rFonts w:ascii="Times New Roman" w:hAnsi="Times New Roman" w:cs="Times New Roman"/>
                <w:b/>
                <w:sz w:val="21"/>
              </w:rPr>
            </w:pPr>
          </w:p>
          <w:p>
            <w:pPr>
              <w:pStyle w:val="14"/>
              <w:adjustRightInd w:val="0"/>
              <w:snapToGrid w:val="0"/>
              <w:jc w:val="center"/>
              <w:rPr>
                <w:rFonts w:ascii="Times New Roman" w:hAnsi="Times New Roman" w:cs="Times New Roman"/>
                <w:b/>
                <w:sz w:val="21"/>
              </w:rPr>
            </w:pPr>
            <w:r>
              <w:rPr>
                <w:rFonts w:hint="eastAsia" w:ascii="Times New Roman" w:hAnsi="Times New Roman" w:cs="Times New Roman"/>
                <w:b/>
                <w:sz w:val="21"/>
              </w:rPr>
              <w:t>续</w:t>
            </w:r>
            <w:r>
              <w:rPr>
                <w:rFonts w:ascii="Times New Roman" w:hAnsi="Times New Roman" w:cs="Times New Roman"/>
                <w:b/>
                <w:sz w:val="21"/>
              </w:rPr>
              <w:t>表</w:t>
            </w:r>
            <w:r>
              <w:rPr>
                <w:rFonts w:hint="eastAsia" w:ascii="Times New Roman" w:hAnsi="Times New Roman" w:cs="Times New Roman"/>
                <w:b/>
                <w:sz w:val="21"/>
              </w:rPr>
              <w:t>13</w:t>
            </w:r>
            <w:r>
              <w:rPr>
                <w:rFonts w:ascii="Times New Roman" w:hAnsi="Times New Roman" w:cs="Times New Roman"/>
                <w:b/>
                <w:sz w:val="21"/>
              </w:rPr>
              <w:t xml:space="preserve">    </w:t>
            </w:r>
            <w:r>
              <w:rPr>
                <w:rFonts w:hint="eastAsia" w:ascii="Times New Roman" w:hAnsi="Times New Roman" w:cs="Times New Roman"/>
                <w:b/>
                <w:sz w:val="21"/>
              </w:rPr>
              <w:t>废气</w:t>
            </w:r>
            <w:r>
              <w:rPr>
                <w:rFonts w:ascii="Times New Roman" w:hAnsi="Times New Roman" w:cs="Times New Roman"/>
                <w:b/>
                <w:sz w:val="21"/>
              </w:rPr>
              <w:t>污染物排放标准一览表</w:t>
            </w:r>
          </w:p>
          <w:tbl>
            <w:tblPr>
              <w:tblStyle w:val="31"/>
              <w:tblW w:w="8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365"/>
              <w:gridCol w:w="2829"/>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75" w:type="dxa"/>
                  <w:vAlign w:val="center"/>
                </w:tcPr>
                <w:p>
                  <w:pPr>
                    <w:adjustRightInd w:val="0"/>
                    <w:snapToGrid w:val="0"/>
                    <w:spacing w:line="240" w:lineRule="exact"/>
                    <w:jc w:val="center"/>
                    <w:rPr>
                      <w:b/>
                      <w:szCs w:val="21"/>
                    </w:rPr>
                  </w:pPr>
                  <w:r>
                    <w:rPr>
                      <w:b/>
                      <w:szCs w:val="21"/>
                    </w:rPr>
                    <w:t>污染源</w:t>
                  </w:r>
                </w:p>
              </w:tc>
              <w:tc>
                <w:tcPr>
                  <w:tcW w:w="1365" w:type="dxa"/>
                  <w:vAlign w:val="center"/>
                </w:tcPr>
                <w:p>
                  <w:pPr>
                    <w:adjustRightInd w:val="0"/>
                    <w:snapToGrid w:val="0"/>
                    <w:spacing w:line="240" w:lineRule="exact"/>
                    <w:jc w:val="center"/>
                    <w:rPr>
                      <w:b/>
                      <w:szCs w:val="21"/>
                    </w:rPr>
                  </w:pPr>
                  <w:r>
                    <w:rPr>
                      <w:b/>
                      <w:szCs w:val="21"/>
                    </w:rPr>
                    <w:t>污染因子</w:t>
                  </w:r>
                </w:p>
              </w:tc>
              <w:tc>
                <w:tcPr>
                  <w:tcW w:w="2829" w:type="dxa"/>
                  <w:vAlign w:val="center"/>
                </w:tcPr>
                <w:p>
                  <w:pPr>
                    <w:adjustRightInd w:val="0"/>
                    <w:snapToGrid w:val="0"/>
                    <w:spacing w:line="240" w:lineRule="exact"/>
                    <w:jc w:val="center"/>
                    <w:rPr>
                      <w:b/>
                      <w:szCs w:val="21"/>
                    </w:rPr>
                  </w:pPr>
                  <w:r>
                    <w:rPr>
                      <w:b/>
                      <w:szCs w:val="21"/>
                    </w:rPr>
                    <w:t>排放限值</w:t>
                  </w:r>
                </w:p>
              </w:tc>
              <w:tc>
                <w:tcPr>
                  <w:tcW w:w="3009" w:type="dxa"/>
                  <w:vAlign w:val="center"/>
                </w:tcPr>
                <w:p>
                  <w:pPr>
                    <w:adjustRightInd w:val="0"/>
                    <w:snapToGrid w:val="0"/>
                    <w:spacing w:line="240" w:lineRule="exact"/>
                    <w:jc w:val="center"/>
                    <w:rPr>
                      <w:b/>
                      <w:szCs w:val="21"/>
                    </w:rPr>
                  </w:pPr>
                  <w:r>
                    <w:rPr>
                      <w:b/>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75" w:type="dxa"/>
                  <w:vAlign w:val="center"/>
                </w:tcPr>
                <w:p>
                  <w:pPr>
                    <w:jc w:val="center"/>
                    <w:rPr>
                      <w:szCs w:val="24"/>
                    </w:rPr>
                  </w:pPr>
                  <w:r>
                    <w:rPr>
                      <w:rFonts w:hint="eastAsia" w:ascii="宋体" w:hAnsi="华文中宋"/>
                      <w:szCs w:val="21"/>
                    </w:rPr>
                    <w:t>回火炉废气</w:t>
                  </w:r>
                </w:p>
              </w:tc>
              <w:tc>
                <w:tcPr>
                  <w:tcW w:w="1365" w:type="dxa"/>
                  <w:vAlign w:val="center"/>
                </w:tcPr>
                <w:p>
                  <w:pPr>
                    <w:jc w:val="center"/>
                  </w:pPr>
                  <w:r>
                    <w:rPr>
                      <w:rFonts w:hint="eastAsia"/>
                      <w:bCs/>
                      <w:spacing w:val="-4"/>
                      <w:szCs w:val="21"/>
                    </w:rPr>
                    <w:t>非甲烷总烃（有组织）</w:t>
                  </w:r>
                </w:p>
              </w:tc>
              <w:tc>
                <w:tcPr>
                  <w:tcW w:w="2829" w:type="dxa"/>
                  <w:vAlign w:val="center"/>
                </w:tcPr>
                <w:p>
                  <w:pPr>
                    <w:pStyle w:val="6"/>
                    <w:spacing w:line="240" w:lineRule="exact"/>
                    <w:ind w:firstLine="0"/>
                    <w:jc w:val="center"/>
                  </w:pPr>
                  <w:r>
                    <w:rPr>
                      <w:szCs w:val="21"/>
                    </w:rPr>
                    <w:t>排放浓度：</w:t>
                  </w:r>
                  <w:r>
                    <w:rPr>
                      <w:rFonts w:hint="eastAsia"/>
                      <w:szCs w:val="21"/>
                    </w:rPr>
                    <w:t>8</w:t>
                  </w:r>
                  <w:r>
                    <w:rPr>
                      <w:szCs w:val="21"/>
                    </w:rPr>
                    <w:t>0mg/m</w:t>
                  </w:r>
                  <w:r>
                    <w:rPr>
                      <w:szCs w:val="21"/>
                      <w:vertAlign w:val="superscript"/>
                    </w:rPr>
                    <w:t>3</w:t>
                  </w:r>
                </w:p>
              </w:tc>
              <w:tc>
                <w:tcPr>
                  <w:tcW w:w="3009" w:type="dxa"/>
                  <w:vAlign w:val="center"/>
                </w:tcPr>
                <w:p>
                  <w:pPr>
                    <w:adjustRightInd w:val="0"/>
                    <w:snapToGrid w:val="0"/>
                    <w:spacing w:line="240" w:lineRule="exact"/>
                    <w:jc w:val="center"/>
                    <w:rPr>
                      <w:szCs w:val="24"/>
                    </w:rPr>
                  </w:pPr>
                  <w:r>
                    <w:rPr>
                      <w:rFonts w:hint="eastAsia"/>
                      <w:szCs w:val="21"/>
                    </w:rPr>
                    <w:t>《工业企业挥发性有机物排放控制标准》（DB13/2322-2016）表1其他行业标准限值要求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75" w:type="dxa"/>
                  <w:vAlign w:val="center"/>
                </w:tcPr>
                <w:p>
                  <w:pPr>
                    <w:jc w:val="center"/>
                    <w:rPr>
                      <w:szCs w:val="24"/>
                    </w:rPr>
                  </w:pPr>
                  <w:r>
                    <w:rPr>
                      <w:rFonts w:hint="eastAsia"/>
                      <w:szCs w:val="21"/>
                    </w:rPr>
                    <w:t>焊接烟尘</w:t>
                  </w:r>
                </w:p>
              </w:tc>
              <w:tc>
                <w:tcPr>
                  <w:tcW w:w="1365" w:type="dxa"/>
                  <w:vAlign w:val="center"/>
                </w:tcPr>
                <w:p>
                  <w:pPr>
                    <w:jc w:val="center"/>
                  </w:pPr>
                  <w:r>
                    <w:rPr>
                      <w:rFonts w:hint="eastAsia" w:ascii="宋体"/>
                      <w:szCs w:val="21"/>
                    </w:rPr>
                    <w:t>颗粒物无组织</w:t>
                  </w:r>
                </w:p>
              </w:tc>
              <w:tc>
                <w:tcPr>
                  <w:tcW w:w="2829" w:type="dxa"/>
                  <w:vMerge w:val="restart"/>
                  <w:vAlign w:val="center"/>
                </w:tcPr>
                <w:p>
                  <w:pPr>
                    <w:spacing w:line="240" w:lineRule="exact"/>
                    <w:jc w:val="center"/>
                  </w:pPr>
                  <w:r>
                    <w:rPr>
                      <w:rFonts w:hint="eastAsia"/>
                      <w:snapToGrid w:val="0"/>
                      <w:kern w:val="0"/>
                      <w:szCs w:val="21"/>
                    </w:rPr>
                    <w:t>颗粒物</w:t>
                  </w:r>
                  <w:r>
                    <w:rPr>
                      <w:rFonts w:hint="eastAsia"/>
                      <w:szCs w:val="21"/>
                    </w:rPr>
                    <w:t>≤1.0mg/m</w:t>
                  </w:r>
                  <w:r>
                    <w:rPr>
                      <w:rFonts w:hint="eastAsia"/>
                      <w:szCs w:val="21"/>
                      <w:vertAlign w:val="superscript"/>
                    </w:rPr>
                    <w:t>3</w:t>
                  </w:r>
                </w:p>
              </w:tc>
              <w:tc>
                <w:tcPr>
                  <w:tcW w:w="3009" w:type="dxa"/>
                  <w:vMerge w:val="restart"/>
                  <w:vAlign w:val="center"/>
                </w:tcPr>
                <w:p>
                  <w:pPr>
                    <w:spacing w:line="240" w:lineRule="exact"/>
                    <w:jc w:val="center"/>
                    <w:rPr>
                      <w:szCs w:val="24"/>
                    </w:rPr>
                  </w:pPr>
                  <w:r>
                    <w:rPr>
                      <w:rFonts w:hint="eastAsia"/>
                      <w:snapToGrid w:val="0"/>
                      <w:kern w:val="0"/>
                      <w:szCs w:val="21"/>
                    </w:rPr>
                    <w:t>《大气污染物综合排放标准》（GB16297-1996）表2中无组织排放标准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75" w:type="dxa"/>
                  <w:vMerge w:val="restart"/>
                  <w:vAlign w:val="center"/>
                </w:tcPr>
                <w:p>
                  <w:pPr>
                    <w:spacing w:line="240" w:lineRule="exact"/>
                    <w:jc w:val="center"/>
                    <w:rPr>
                      <w:szCs w:val="24"/>
                    </w:rPr>
                  </w:pPr>
                  <w:r>
                    <w:rPr>
                      <w:rFonts w:hint="eastAsia"/>
                      <w:szCs w:val="21"/>
                    </w:rPr>
                    <w:t>无组织废气</w:t>
                  </w:r>
                </w:p>
              </w:tc>
              <w:tc>
                <w:tcPr>
                  <w:tcW w:w="1365" w:type="dxa"/>
                  <w:vAlign w:val="center"/>
                </w:tcPr>
                <w:p>
                  <w:pPr>
                    <w:spacing w:line="340" w:lineRule="exact"/>
                    <w:jc w:val="center"/>
                  </w:pPr>
                  <w:r>
                    <w:rPr>
                      <w:szCs w:val="21"/>
                    </w:rPr>
                    <w:t>颗粒物</w:t>
                  </w:r>
                </w:p>
              </w:tc>
              <w:tc>
                <w:tcPr>
                  <w:tcW w:w="2829" w:type="dxa"/>
                  <w:vMerge w:val="continue"/>
                  <w:vAlign w:val="center"/>
                </w:tcPr>
                <w:p>
                  <w:pPr>
                    <w:pStyle w:val="6"/>
                    <w:spacing w:line="240" w:lineRule="exact"/>
                    <w:ind w:firstLine="0"/>
                    <w:jc w:val="center"/>
                  </w:pPr>
                </w:p>
              </w:tc>
              <w:tc>
                <w:tcPr>
                  <w:tcW w:w="3009" w:type="dxa"/>
                  <w:vMerge w:val="continue"/>
                  <w:vAlign w:val="center"/>
                </w:tcPr>
                <w:p>
                  <w:pPr>
                    <w:adjustRightInd w:val="0"/>
                    <w:snapToGrid w:val="0"/>
                    <w:spacing w:line="24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075" w:type="dxa"/>
                  <w:vMerge w:val="continue"/>
                  <w:vAlign w:val="center"/>
                </w:tcPr>
                <w:p>
                  <w:pPr>
                    <w:spacing w:line="240" w:lineRule="exact"/>
                    <w:jc w:val="center"/>
                    <w:rPr>
                      <w:szCs w:val="24"/>
                    </w:rPr>
                  </w:pPr>
                </w:p>
              </w:tc>
              <w:tc>
                <w:tcPr>
                  <w:tcW w:w="1365" w:type="dxa"/>
                  <w:vAlign w:val="center"/>
                </w:tcPr>
                <w:p>
                  <w:pPr>
                    <w:spacing w:line="340" w:lineRule="exact"/>
                    <w:jc w:val="center"/>
                  </w:pPr>
                  <w:r>
                    <w:rPr>
                      <w:szCs w:val="21"/>
                    </w:rPr>
                    <w:t>非甲烷总烃</w:t>
                  </w:r>
                </w:p>
              </w:tc>
              <w:tc>
                <w:tcPr>
                  <w:tcW w:w="2829" w:type="dxa"/>
                  <w:vAlign w:val="center"/>
                </w:tcPr>
                <w:p>
                  <w:pPr>
                    <w:jc w:val="center"/>
                    <w:rPr>
                      <w:rFonts w:cs="宋体"/>
                      <w:szCs w:val="21"/>
                    </w:rPr>
                  </w:pPr>
                  <w:r>
                    <w:rPr>
                      <w:szCs w:val="21"/>
                    </w:rPr>
                    <w:t>企业边界非甲烷总烃≤2.0mg/m</w:t>
                  </w:r>
                  <w:r>
                    <w:rPr>
                      <w:szCs w:val="21"/>
                      <w:vertAlign w:val="superscript"/>
                    </w:rPr>
                    <w:t>3</w:t>
                  </w:r>
                </w:p>
              </w:tc>
              <w:tc>
                <w:tcPr>
                  <w:tcW w:w="3009" w:type="dxa"/>
                  <w:vMerge w:val="restart"/>
                  <w:vAlign w:val="center"/>
                </w:tcPr>
                <w:p>
                  <w:pPr>
                    <w:jc w:val="center"/>
                    <w:rPr>
                      <w:rFonts w:cs="宋体"/>
                      <w:snapToGrid w:val="0"/>
                      <w:kern w:val="0"/>
                      <w:szCs w:val="21"/>
                    </w:rPr>
                  </w:pPr>
                  <w:r>
                    <w:rPr>
                      <w:szCs w:val="21"/>
                    </w:rPr>
                    <w:t>《工业企业挥发性有机物排放控制标准》（DB13/2322-2016）表2企业边界大气污染物浓度限值要求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75" w:type="dxa"/>
                  <w:vMerge w:val="continue"/>
                  <w:vAlign w:val="center"/>
                </w:tcPr>
                <w:p>
                  <w:pPr>
                    <w:spacing w:line="240" w:lineRule="exact"/>
                    <w:jc w:val="center"/>
                    <w:rPr>
                      <w:szCs w:val="24"/>
                    </w:rPr>
                  </w:pPr>
                </w:p>
              </w:tc>
              <w:tc>
                <w:tcPr>
                  <w:tcW w:w="1365" w:type="dxa"/>
                  <w:vAlign w:val="center"/>
                </w:tcPr>
                <w:p>
                  <w:pPr>
                    <w:spacing w:line="340" w:lineRule="exact"/>
                    <w:jc w:val="center"/>
                  </w:pPr>
                  <w:r>
                    <w:rPr>
                      <w:szCs w:val="21"/>
                    </w:rPr>
                    <w:t>二甲苯</w:t>
                  </w:r>
                </w:p>
              </w:tc>
              <w:tc>
                <w:tcPr>
                  <w:tcW w:w="2829" w:type="dxa"/>
                  <w:vAlign w:val="center"/>
                </w:tcPr>
                <w:p>
                  <w:pPr>
                    <w:spacing w:line="240" w:lineRule="exact"/>
                    <w:jc w:val="center"/>
                    <w:rPr>
                      <w:rFonts w:cs="宋体"/>
                      <w:szCs w:val="21"/>
                    </w:rPr>
                  </w:pPr>
                  <w:r>
                    <w:rPr>
                      <w:szCs w:val="21"/>
                    </w:rPr>
                    <w:t>企业边界</w:t>
                  </w:r>
                  <w:r>
                    <w:rPr>
                      <w:rFonts w:hint="eastAsia"/>
                      <w:szCs w:val="21"/>
                    </w:rPr>
                    <w:t>二甲苯</w:t>
                  </w:r>
                  <w:r>
                    <w:rPr>
                      <w:szCs w:val="21"/>
                    </w:rPr>
                    <w:t>≤0.5mg/m</w:t>
                  </w:r>
                  <w:r>
                    <w:rPr>
                      <w:szCs w:val="21"/>
                      <w:vertAlign w:val="superscript"/>
                    </w:rPr>
                    <w:t>3</w:t>
                  </w:r>
                </w:p>
              </w:tc>
              <w:tc>
                <w:tcPr>
                  <w:tcW w:w="3009" w:type="dxa"/>
                  <w:vMerge w:val="continue"/>
                  <w:vAlign w:val="center"/>
                </w:tcPr>
                <w:p>
                  <w:pPr>
                    <w:adjustRightInd w:val="0"/>
                    <w:snapToGrid w:val="0"/>
                    <w:spacing w:line="240" w:lineRule="exact"/>
                    <w:jc w:val="center"/>
                    <w:rPr>
                      <w:rFonts w:cs="宋体"/>
                      <w:snapToGrid w:val="0"/>
                      <w:kern w:val="0"/>
                      <w:szCs w:val="21"/>
                    </w:rPr>
                  </w:pPr>
                </w:p>
              </w:tc>
            </w:tr>
          </w:tbl>
          <w:p>
            <w:pPr>
              <w:spacing w:line="480" w:lineRule="exact"/>
              <w:ind w:firstLine="480" w:firstLineChars="200"/>
              <w:rPr>
                <w:sz w:val="24"/>
              </w:rPr>
            </w:pPr>
            <w:r>
              <w:rPr>
                <w:rFonts w:hint="eastAsia"/>
                <w:sz w:val="24"/>
              </w:rPr>
              <w:t>废水：本次技改项目不涉及给排水。</w:t>
            </w:r>
          </w:p>
          <w:p>
            <w:pPr>
              <w:spacing w:line="480" w:lineRule="exact"/>
              <w:ind w:firstLine="480" w:firstLineChars="200"/>
              <w:rPr>
                <w:sz w:val="24"/>
              </w:rPr>
            </w:pPr>
            <w:r>
              <w:rPr>
                <w:rFonts w:hint="eastAsia"/>
                <w:sz w:val="24"/>
              </w:rPr>
              <w:t>噪声：项目南厂界噪声执行《工业企业厂界环境噪声排放标准》(GB12348-2008)4类标准，即昼间≤70dB（A），夜间≤55dB（A）；其余三厂界噪声执行《工业企业厂界环境噪声排放标准》(GB12348-2008)3类标准，即昼间≤65dB（A），夜间≤55dB（A）。</w:t>
            </w:r>
          </w:p>
          <w:p>
            <w:pPr>
              <w:spacing w:line="480" w:lineRule="exact"/>
              <w:ind w:firstLine="480" w:firstLineChars="200"/>
              <w:rPr>
                <w:sz w:val="24"/>
              </w:rPr>
            </w:pPr>
            <w:r>
              <w:rPr>
                <w:rFonts w:hint="eastAsia"/>
                <w:sz w:val="24"/>
              </w:rPr>
              <w:t>固体废物：</w:t>
            </w:r>
            <w:r>
              <w:rPr>
                <w:rFonts w:hint="eastAsia"/>
                <w:sz w:val="24"/>
                <w:lang w:eastAsia="zh-CN"/>
              </w:rPr>
              <w:t>一般固废执行</w:t>
            </w:r>
            <w:r>
              <w:rPr>
                <w:rFonts w:hint="eastAsia"/>
                <w:sz w:val="24"/>
              </w:rPr>
              <w:t>《一般工业固体废物贮存、处置场污染控制标准》（GB18599-2001）及修改单中有关规定</w:t>
            </w:r>
            <w:r>
              <w:rPr>
                <w:rFonts w:hint="eastAsia"/>
                <w:sz w:val="24"/>
                <w:lang w:eastAsia="zh-CN"/>
              </w:rPr>
              <w:t>；</w:t>
            </w:r>
            <w:r>
              <w:rPr>
                <w:rFonts w:hint="eastAsia"/>
                <w:sz w:val="24"/>
              </w:rPr>
              <w:t>危险废物执行《危险废物贮存污染控制标准》（GB18597-2001）及修改单要求。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499" w:type="dxa"/>
            <w:vAlign w:val="center"/>
          </w:tcPr>
          <w:p>
            <w:pPr>
              <w:pStyle w:val="10"/>
              <w:spacing w:line="340" w:lineRule="exact"/>
              <w:rPr>
                <w:b/>
                <w:color w:val="0000FF"/>
                <w:sz w:val="28"/>
                <w:szCs w:val="28"/>
              </w:rPr>
            </w:pPr>
            <w:r>
              <w:rPr>
                <w:rFonts w:hint="eastAsia"/>
                <w:b/>
                <w:sz w:val="28"/>
                <w:szCs w:val="28"/>
              </w:rPr>
              <w:t>总量控制指标</w:t>
            </w:r>
          </w:p>
        </w:tc>
        <w:tc>
          <w:tcPr>
            <w:tcW w:w="8504" w:type="dxa"/>
            <w:vAlign w:val="center"/>
          </w:tcPr>
          <w:p>
            <w:pPr>
              <w:spacing w:line="480" w:lineRule="exact"/>
              <w:ind w:firstLine="480" w:firstLineChars="200"/>
              <w:rPr>
                <w:sz w:val="24"/>
                <w:szCs w:val="24"/>
              </w:rPr>
            </w:pPr>
            <w:r>
              <w:rPr>
                <w:rFonts w:hint="eastAsia"/>
                <w:sz w:val="24"/>
                <w:szCs w:val="24"/>
              </w:rPr>
              <w:t>根据工程分析，本项目污染物排放量见表14。</w:t>
            </w:r>
          </w:p>
          <w:p>
            <w:pPr>
              <w:spacing w:line="480" w:lineRule="exact"/>
              <w:jc w:val="center"/>
              <w:rPr>
                <w:b/>
                <w:bCs/>
              </w:rPr>
            </w:pPr>
            <w:r>
              <w:rPr>
                <w:rFonts w:hint="eastAsia"/>
                <w:b/>
                <w:bCs/>
              </w:rPr>
              <w:t>表14   本项目污染物预测排放情况一览表   单位t/a</w:t>
            </w:r>
          </w:p>
          <w:tbl>
            <w:tblPr>
              <w:tblStyle w:val="31"/>
              <w:tblW w:w="8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379"/>
              <w:gridCol w:w="1379"/>
              <w:gridCol w:w="1381"/>
              <w:gridCol w:w="138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9" w:type="dxa"/>
                  <w:vMerge w:val="restart"/>
                  <w:vAlign w:val="center"/>
                </w:tcPr>
                <w:p>
                  <w:pPr>
                    <w:pStyle w:val="48"/>
                    <w:spacing w:line="240" w:lineRule="auto"/>
                    <w:ind w:firstLine="0" w:firstLineChars="0"/>
                    <w:jc w:val="center"/>
                    <w:rPr>
                      <w:b/>
                      <w:bCs/>
                      <w:sz w:val="21"/>
                      <w:szCs w:val="21"/>
                    </w:rPr>
                  </w:pPr>
                  <w:r>
                    <w:rPr>
                      <w:rFonts w:hint="eastAsia"/>
                      <w:b/>
                      <w:bCs/>
                      <w:sz w:val="21"/>
                      <w:szCs w:val="21"/>
                    </w:rPr>
                    <w:t>项目</w:t>
                  </w:r>
                </w:p>
              </w:tc>
              <w:tc>
                <w:tcPr>
                  <w:tcW w:w="4139" w:type="dxa"/>
                  <w:gridSpan w:val="3"/>
                  <w:vAlign w:val="center"/>
                </w:tcPr>
                <w:p>
                  <w:pPr>
                    <w:pStyle w:val="48"/>
                    <w:spacing w:line="240" w:lineRule="auto"/>
                    <w:ind w:firstLine="0" w:firstLineChars="0"/>
                    <w:jc w:val="center"/>
                    <w:rPr>
                      <w:b/>
                      <w:bCs/>
                      <w:sz w:val="21"/>
                      <w:szCs w:val="21"/>
                    </w:rPr>
                  </w:pPr>
                  <w:r>
                    <w:rPr>
                      <w:rFonts w:hint="eastAsia"/>
                      <w:b/>
                      <w:bCs/>
                      <w:sz w:val="21"/>
                      <w:szCs w:val="21"/>
                    </w:rPr>
                    <w:t>废气</w:t>
                  </w:r>
                </w:p>
              </w:tc>
              <w:tc>
                <w:tcPr>
                  <w:tcW w:w="2760" w:type="dxa"/>
                  <w:gridSpan w:val="2"/>
                  <w:vAlign w:val="center"/>
                </w:tcPr>
                <w:p>
                  <w:pPr>
                    <w:pStyle w:val="48"/>
                    <w:spacing w:line="240" w:lineRule="auto"/>
                    <w:ind w:firstLine="0" w:firstLineChars="0"/>
                    <w:jc w:val="center"/>
                    <w:rPr>
                      <w:b/>
                      <w:bCs/>
                      <w:sz w:val="21"/>
                      <w:szCs w:val="21"/>
                    </w:rPr>
                  </w:pPr>
                  <w:r>
                    <w:rPr>
                      <w:rFonts w:hint="eastAsia"/>
                      <w:b/>
                      <w:bCs/>
                      <w:sz w:val="21"/>
                      <w:szCs w:val="21"/>
                    </w:rPr>
                    <w:t>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9" w:type="dxa"/>
                  <w:vMerge w:val="continue"/>
                  <w:vAlign w:val="center"/>
                </w:tcPr>
                <w:p>
                  <w:pPr>
                    <w:pStyle w:val="48"/>
                    <w:spacing w:line="240" w:lineRule="auto"/>
                    <w:ind w:firstLine="0" w:firstLineChars="0"/>
                    <w:jc w:val="center"/>
                    <w:rPr>
                      <w:b/>
                      <w:bCs/>
                      <w:sz w:val="21"/>
                      <w:szCs w:val="21"/>
                    </w:rPr>
                  </w:pPr>
                </w:p>
              </w:tc>
              <w:tc>
                <w:tcPr>
                  <w:tcW w:w="1379" w:type="dxa"/>
                  <w:vAlign w:val="center"/>
                </w:tcPr>
                <w:p>
                  <w:pPr>
                    <w:pStyle w:val="48"/>
                    <w:spacing w:line="240" w:lineRule="auto"/>
                    <w:ind w:firstLine="0" w:firstLineChars="0"/>
                    <w:jc w:val="center"/>
                    <w:rPr>
                      <w:b/>
                      <w:bCs/>
                      <w:sz w:val="21"/>
                      <w:szCs w:val="21"/>
                    </w:rPr>
                  </w:pPr>
                  <w:r>
                    <w:rPr>
                      <w:b/>
                      <w:bCs/>
                      <w:sz w:val="21"/>
                      <w:szCs w:val="21"/>
                    </w:rPr>
                    <w:t>SO</w:t>
                  </w:r>
                  <w:r>
                    <w:rPr>
                      <w:b/>
                      <w:bCs/>
                      <w:sz w:val="21"/>
                      <w:szCs w:val="21"/>
                      <w:vertAlign w:val="subscript"/>
                    </w:rPr>
                    <w:t>2</w:t>
                  </w:r>
                </w:p>
              </w:tc>
              <w:tc>
                <w:tcPr>
                  <w:tcW w:w="1379" w:type="dxa"/>
                  <w:vAlign w:val="center"/>
                </w:tcPr>
                <w:p>
                  <w:pPr>
                    <w:pStyle w:val="48"/>
                    <w:spacing w:line="240" w:lineRule="auto"/>
                    <w:ind w:firstLine="0" w:firstLineChars="0"/>
                    <w:jc w:val="center"/>
                    <w:rPr>
                      <w:b/>
                      <w:bCs/>
                      <w:sz w:val="21"/>
                      <w:szCs w:val="21"/>
                    </w:rPr>
                  </w:pPr>
                  <w:r>
                    <w:rPr>
                      <w:b/>
                      <w:bCs/>
                      <w:sz w:val="21"/>
                      <w:szCs w:val="21"/>
                    </w:rPr>
                    <w:t>NOx</w:t>
                  </w:r>
                </w:p>
              </w:tc>
              <w:tc>
                <w:tcPr>
                  <w:tcW w:w="1381" w:type="dxa"/>
                  <w:vAlign w:val="center"/>
                </w:tcPr>
                <w:p>
                  <w:pPr>
                    <w:pStyle w:val="48"/>
                    <w:spacing w:line="240" w:lineRule="auto"/>
                    <w:ind w:firstLine="0" w:firstLineChars="0"/>
                    <w:jc w:val="center"/>
                    <w:rPr>
                      <w:b/>
                      <w:bCs/>
                      <w:sz w:val="21"/>
                      <w:szCs w:val="21"/>
                    </w:rPr>
                  </w:pPr>
                  <w:r>
                    <w:rPr>
                      <w:b/>
                      <w:bCs/>
                      <w:sz w:val="21"/>
                      <w:szCs w:val="21"/>
                    </w:rPr>
                    <w:t>VOCs</w:t>
                  </w:r>
                </w:p>
              </w:tc>
              <w:tc>
                <w:tcPr>
                  <w:tcW w:w="1380" w:type="dxa"/>
                  <w:vAlign w:val="center"/>
                </w:tcPr>
                <w:p>
                  <w:pPr>
                    <w:pStyle w:val="48"/>
                    <w:spacing w:line="240" w:lineRule="auto"/>
                    <w:ind w:firstLine="0" w:firstLineChars="0"/>
                    <w:jc w:val="center"/>
                    <w:rPr>
                      <w:b/>
                      <w:bCs/>
                      <w:sz w:val="21"/>
                      <w:szCs w:val="21"/>
                    </w:rPr>
                  </w:pPr>
                  <w:r>
                    <w:rPr>
                      <w:b/>
                      <w:bCs/>
                      <w:sz w:val="21"/>
                      <w:szCs w:val="21"/>
                    </w:rPr>
                    <w:t>COD</w:t>
                  </w:r>
                </w:p>
              </w:tc>
              <w:tc>
                <w:tcPr>
                  <w:tcW w:w="1380" w:type="dxa"/>
                  <w:vAlign w:val="center"/>
                </w:tcPr>
                <w:p>
                  <w:pPr>
                    <w:pStyle w:val="48"/>
                    <w:spacing w:line="240" w:lineRule="auto"/>
                    <w:ind w:firstLine="0" w:firstLineChars="0"/>
                    <w:jc w:val="center"/>
                    <w:rPr>
                      <w:b/>
                      <w:bCs/>
                      <w:sz w:val="21"/>
                      <w:szCs w:val="21"/>
                    </w:rPr>
                  </w:pPr>
                  <w:r>
                    <w:rPr>
                      <w:rFonts w:hint="eastAsia"/>
                      <w:b/>
                      <w:bCs/>
                      <w:sz w:val="21"/>
                      <w:szCs w:val="21"/>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9" w:type="dxa"/>
                  <w:vAlign w:val="center"/>
                </w:tcPr>
                <w:p>
                  <w:pPr>
                    <w:pStyle w:val="48"/>
                    <w:spacing w:line="240" w:lineRule="auto"/>
                    <w:ind w:firstLine="0" w:firstLineChars="0"/>
                    <w:jc w:val="center"/>
                    <w:rPr>
                      <w:sz w:val="21"/>
                      <w:szCs w:val="21"/>
                    </w:rPr>
                  </w:pPr>
                  <w:r>
                    <w:rPr>
                      <w:rFonts w:hint="eastAsia"/>
                      <w:sz w:val="21"/>
                      <w:szCs w:val="21"/>
                    </w:rPr>
                    <w:t>污染物预测排放量</w:t>
                  </w:r>
                </w:p>
              </w:tc>
              <w:tc>
                <w:tcPr>
                  <w:tcW w:w="1379" w:type="dxa"/>
                  <w:vAlign w:val="center"/>
                </w:tcPr>
                <w:p>
                  <w:pPr>
                    <w:pStyle w:val="48"/>
                    <w:spacing w:line="240" w:lineRule="auto"/>
                    <w:ind w:firstLine="0" w:firstLineChars="0"/>
                    <w:jc w:val="center"/>
                    <w:rPr>
                      <w:sz w:val="21"/>
                      <w:szCs w:val="21"/>
                    </w:rPr>
                  </w:pPr>
                  <w:r>
                    <w:rPr>
                      <w:rFonts w:hint="eastAsia"/>
                      <w:sz w:val="21"/>
                      <w:szCs w:val="21"/>
                    </w:rPr>
                    <w:t>0</w:t>
                  </w:r>
                </w:p>
              </w:tc>
              <w:tc>
                <w:tcPr>
                  <w:tcW w:w="1379" w:type="dxa"/>
                  <w:vAlign w:val="center"/>
                </w:tcPr>
                <w:p>
                  <w:pPr>
                    <w:pStyle w:val="48"/>
                    <w:spacing w:line="240" w:lineRule="auto"/>
                    <w:ind w:firstLine="0" w:firstLineChars="0"/>
                    <w:jc w:val="center"/>
                    <w:rPr>
                      <w:sz w:val="21"/>
                      <w:szCs w:val="21"/>
                    </w:rPr>
                  </w:pPr>
                  <w:r>
                    <w:rPr>
                      <w:rFonts w:hint="eastAsia"/>
                      <w:sz w:val="21"/>
                      <w:szCs w:val="21"/>
                    </w:rPr>
                    <w:t>0</w:t>
                  </w:r>
                </w:p>
              </w:tc>
              <w:tc>
                <w:tcPr>
                  <w:tcW w:w="1381" w:type="dxa"/>
                  <w:vAlign w:val="center"/>
                </w:tcPr>
                <w:p>
                  <w:pPr>
                    <w:pStyle w:val="48"/>
                    <w:spacing w:line="240" w:lineRule="auto"/>
                    <w:ind w:firstLine="0" w:firstLineChars="0"/>
                    <w:jc w:val="center"/>
                    <w:rPr>
                      <w:sz w:val="21"/>
                      <w:szCs w:val="21"/>
                    </w:rPr>
                  </w:pPr>
                  <w:r>
                    <w:rPr>
                      <w:rFonts w:hint="eastAsia"/>
                      <w:sz w:val="21"/>
                      <w:szCs w:val="21"/>
                    </w:rPr>
                    <w:t>0.013</w:t>
                  </w:r>
                </w:p>
              </w:tc>
              <w:tc>
                <w:tcPr>
                  <w:tcW w:w="1380" w:type="dxa"/>
                  <w:vAlign w:val="center"/>
                </w:tcPr>
                <w:p>
                  <w:pPr>
                    <w:pStyle w:val="48"/>
                    <w:spacing w:line="240" w:lineRule="auto"/>
                    <w:ind w:firstLine="0" w:firstLineChars="0"/>
                    <w:jc w:val="center"/>
                    <w:rPr>
                      <w:sz w:val="21"/>
                      <w:szCs w:val="21"/>
                    </w:rPr>
                  </w:pPr>
                  <w:r>
                    <w:rPr>
                      <w:rFonts w:hint="eastAsia"/>
                      <w:sz w:val="21"/>
                      <w:szCs w:val="21"/>
                    </w:rPr>
                    <w:t>0</w:t>
                  </w:r>
                </w:p>
              </w:tc>
              <w:tc>
                <w:tcPr>
                  <w:tcW w:w="1380" w:type="dxa"/>
                  <w:vAlign w:val="center"/>
                </w:tcPr>
                <w:p>
                  <w:pPr>
                    <w:pStyle w:val="48"/>
                    <w:spacing w:line="240" w:lineRule="auto"/>
                    <w:ind w:firstLine="0" w:firstLineChars="0"/>
                    <w:jc w:val="center"/>
                    <w:rPr>
                      <w:sz w:val="21"/>
                      <w:szCs w:val="21"/>
                    </w:rPr>
                  </w:pPr>
                  <w:r>
                    <w:rPr>
                      <w:rFonts w:hint="eastAsia"/>
                      <w:sz w:val="21"/>
                      <w:szCs w:val="21"/>
                    </w:rPr>
                    <w:t>0</w:t>
                  </w:r>
                </w:p>
              </w:tc>
            </w:tr>
          </w:tbl>
          <w:p>
            <w:pPr>
              <w:pStyle w:val="48"/>
              <w:ind w:firstLine="422"/>
              <w:jc w:val="center"/>
              <w:rPr>
                <w:b/>
                <w:bCs/>
                <w:sz w:val="21"/>
                <w:szCs w:val="21"/>
              </w:rPr>
            </w:pPr>
            <w:r>
              <w:rPr>
                <w:rFonts w:hint="eastAsia"/>
                <w:b/>
                <w:bCs/>
                <w:sz w:val="21"/>
                <w:szCs w:val="21"/>
              </w:rPr>
              <w:t>表15   项目废气污染物总量核算表</w:t>
            </w:r>
          </w:p>
          <w:tbl>
            <w:tblPr>
              <w:tblStyle w:val="31"/>
              <w:tblW w:w="8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378"/>
              <w:gridCol w:w="1373"/>
              <w:gridCol w:w="1572"/>
              <w:gridCol w:w="1655"/>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gridSpan w:val="2"/>
                  <w:vAlign w:val="center"/>
                </w:tcPr>
                <w:p>
                  <w:pPr>
                    <w:pStyle w:val="48"/>
                    <w:spacing w:line="240" w:lineRule="auto"/>
                    <w:ind w:firstLine="0" w:firstLineChars="0"/>
                    <w:jc w:val="center"/>
                    <w:rPr>
                      <w:b/>
                      <w:bCs/>
                      <w:sz w:val="21"/>
                      <w:szCs w:val="21"/>
                    </w:rPr>
                  </w:pPr>
                  <w:r>
                    <w:rPr>
                      <w:rFonts w:hint="eastAsia"/>
                      <w:b/>
                      <w:bCs/>
                      <w:sz w:val="21"/>
                      <w:szCs w:val="21"/>
                    </w:rPr>
                    <w:t>项目</w:t>
                  </w:r>
                </w:p>
              </w:tc>
              <w:tc>
                <w:tcPr>
                  <w:tcW w:w="1373" w:type="dxa"/>
                  <w:vAlign w:val="center"/>
                </w:tcPr>
                <w:p>
                  <w:pPr>
                    <w:pStyle w:val="48"/>
                    <w:spacing w:line="240" w:lineRule="auto"/>
                    <w:ind w:firstLine="0" w:firstLineChars="0"/>
                    <w:jc w:val="center"/>
                    <w:rPr>
                      <w:b/>
                      <w:bCs/>
                      <w:sz w:val="21"/>
                      <w:szCs w:val="21"/>
                    </w:rPr>
                  </w:pPr>
                  <w:r>
                    <w:rPr>
                      <w:rFonts w:hint="eastAsia"/>
                      <w:b/>
                      <w:bCs/>
                      <w:sz w:val="21"/>
                      <w:szCs w:val="21"/>
                    </w:rPr>
                    <w:t>标准允许浓度（mg/m</w:t>
                  </w:r>
                  <w:r>
                    <w:rPr>
                      <w:rFonts w:hint="eastAsia"/>
                      <w:b/>
                      <w:bCs/>
                      <w:sz w:val="21"/>
                      <w:szCs w:val="21"/>
                      <w:vertAlign w:val="superscript"/>
                    </w:rPr>
                    <w:t>3</w:t>
                  </w:r>
                  <w:r>
                    <w:rPr>
                      <w:rFonts w:hint="eastAsia"/>
                      <w:b/>
                      <w:bCs/>
                      <w:sz w:val="21"/>
                      <w:szCs w:val="21"/>
                    </w:rPr>
                    <w:t>）</w:t>
                  </w:r>
                </w:p>
              </w:tc>
              <w:tc>
                <w:tcPr>
                  <w:tcW w:w="1572" w:type="dxa"/>
                  <w:vAlign w:val="center"/>
                </w:tcPr>
                <w:p>
                  <w:pPr>
                    <w:pStyle w:val="48"/>
                    <w:spacing w:line="240" w:lineRule="auto"/>
                    <w:ind w:firstLine="0" w:firstLineChars="0"/>
                    <w:jc w:val="center"/>
                    <w:rPr>
                      <w:b/>
                      <w:bCs/>
                      <w:sz w:val="21"/>
                      <w:szCs w:val="21"/>
                    </w:rPr>
                  </w:pPr>
                  <w:r>
                    <w:rPr>
                      <w:rFonts w:hint="eastAsia"/>
                      <w:b/>
                      <w:bCs/>
                      <w:sz w:val="21"/>
                      <w:szCs w:val="21"/>
                    </w:rPr>
                    <w:t>排气量（m</w:t>
                  </w:r>
                  <w:r>
                    <w:rPr>
                      <w:rFonts w:hint="eastAsia"/>
                      <w:b/>
                      <w:bCs/>
                      <w:sz w:val="21"/>
                      <w:szCs w:val="21"/>
                      <w:vertAlign w:val="superscript"/>
                    </w:rPr>
                    <w:t>3</w:t>
                  </w:r>
                  <w:r>
                    <w:rPr>
                      <w:rFonts w:hint="eastAsia"/>
                      <w:b/>
                      <w:bCs/>
                      <w:sz w:val="21"/>
                      <w:szCs w:val="21"/>
                    </w:rPr>
                    <w:t>/h）</w:t>
                  </w:r>
                </w:p>
              </w:tc>
              <w:tc>
                <w:tcPr>
                  <w:tcW w:w="1655" w:type="dxa"/>
                  <w:vAlign w:val="center"/>
                </w:tcPr>
                <w:p>
                  <w:pPr>
                    <w:pStyle w:val="48"/>
                    <w:spacing w:line="240" w:lineRule="auto"/>
                    <w:ind w:firstLine="0" w:firstLineChars="0"/>
                    <w:jc w:val="center"/>
                    <w:rPr>
                      <w:b/>
                      <w:bCs/>
                      <w:sz w:val="21"/>
                      <w:szCs w:val="21"/>
                    </w:rPr>
                  </w:pPr>
                  <w:r>
                    <w:rPr>
                      <w:rFonts w:hint="eastAsia"/>
                      <w:b/>
                      <w:bCs/>
                      <w:sz w:val="21"/>
                      <w:szCs w:val="21"/>
                    </w:rPr>
                    <w:t>运行时间（h/a）</w:t>
                  </w:r>
                </w:p>
              </w:tc>
              <w:tc>
                <w:tcPr>
                  <w:tcW w:w="1655" w:type="dxa"/>
                  <w:vAlign w:val="center"/>
                </w:tcPr>
                <w:p>
                  <w:pPr>
                    <w:pStyle w:val="48"/>
                    <w:spacing w:line="240" w:lineRule="auto"/>
                    <w:ind w:firstLine="0" w:firstLineChars="0"/>
                    <w:jc w:val="center"/>
                    <w:rPr>
                      <w:b/>
                      <w:bCs/>
                      <w:sz w:val="21"/>
                      <w:szCs w:val="21"/>
                    </w:rPr>
                  </w:pPr>
                  <w:r>
                    <w:rPr>
                      <w:rFonts w:hint="eastAsia"/>
                      <w:b/>
                      <w:bCs/>
                      <w:sz w:val="21"/>
                      <w:szCs w:val="21"/>
                    </w:rPr>
                    <w:t>污染物排放量（t/a）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restart"/>
                  <w:vAlign w:val="center"/>
                </w:tcPr>
                <w:p>
                  <w:pPr>
                    <w:pStyle w:val="48"/>
                    <w:spacing w:line="240" w:lineRule="auto"/>
                    <w:ind w:firstLine="0" w:firstLineChars="0"/>
                    <w:jc w:val="center"/>
                    <w:rPr>
                      <w:sz w:val="21"/>
                      <w:szCs w:val="21"/>
                    </w:rPr>
                  </w:pPr>
                  <w:r>
                    <w:rPr>
                      <w:sz w:val="21"/>
                      <w:szCs w:val="21"/>
                    </w:rPr>
                    <w:t>VOCs</w:t>
                  </w:r>
                </w:p>
              </w:tc>
              <w:tc>
                <w:tcPr>
                  <w:tcW w:w="1378" w:type="dxa"/>
                  <w:vAlign w:val="center"/>
                </w:tcPr>
                <w:p>
                  <w:pPr>
                    <w:pStyle w:val="6"/>
                    <w:spacing w:line="240" w:lineRule="exact"/>
                    <w:ind w:firstLine="0"/>
                    <w:jc w:val="center"/>
                    <w:rPr>
                      <w:szCs w:val="22"/>
                    </w:rPr>
                  </w:pPr>
                  <w:r>
                    <w:rPr>
                      <w:rFonts w:hint="eastAsia"/>
                      <w:szCs w:val="22"/>
                    </w:rPr>
                    <w:t>回火炉废气</w:t>
                  </w:r>
                </w:p>
              </w:tc>
              <w:tc>
                <w:tcPr>
                  <w:tcW w:w="1373" w:type="dxa"/>
                  <w:vAlign w:val="center"/>
                </w:tcPr>
                <w:p>
                  <w:pPr>
                    <w:pStyle w:val="48"/>
                    <w:spacing w:line="240" w:lineRule="auto"/>
                    <w:ind w:firstLine="0" w:firstLineChars="0"/>
                    <w:jc w:val="center"/>
                    <w:rPr>
                      <w:sz w:val="21"/>
                      <w:szCs w:val="21"/>
                    </w:rPr>
                  </w:pPr>
                  <w:r>
                    <w:rPr>
                      <w:rFonts w:hint="eastAsia"/>
                      <w:sz w:val="21"/>
                      <w:szCs w:val="21"/>
                    </w:rPr>
                    <w:t>80</w:t>
                  </w:r>
                </w:p>
              </w:tc>
              <w:tc>
                <w:tcPr>
                  <w:tcW w:w="1572" w:type="dxa"/>
                  <w:vAlign w:val="center"/>
                </w:tcPr>
                <w:p>
                  <w:pPr>
                    <w:pStyle w:val="48"/>
                    <w:spacing w:line="240" w:lineRule="auto"/>
                    <w:ind w:firstLine="0" w:firstLineChars="0"/>
                    <w:jc w:val="center"/>
                    <w:rPr>
                      <w:sz w:val="21"/>
                      <w:szCs w:val="21"/>
                    </w:rPr>
                  </w:pPr>
                  <w:r>
                    <w:rPr>
                      <w:rFonts w:hint="eastAsia"/>
                      <w:sz w:val="21"/>
                      <w:szCs w:val="21"/>
                    </w:rPr>
                    <w:t>5000</w:t>
                  </w:r>
                </w:p>
              </w:tc>
              <w:tc>
                <w:tcPr>
                  <w:tcW w:w="1655" w:type="dxa"/>
                  <w:vAlign w:val="center"/>
                </w:tcPr>
                <w:p>
                  <w:pPr>
                    <w:pStyle w:val="48"/>
                    <w:spacing w:line="240" w:lineRule="auto"/>
                    <w:ind w:firstLine="0" w:firstLineChars="0"/>
                    <w:jc w:val="center"/>
                    <w:rPr>
                      <w:sz w:val="21"/>
                      <w:szCs w:val="21"/>
                    </w:rPr>
                  </w:pPr>
                  <w:r>
                    <w:rPr>
                      <w:rFonts w:hint="eastAsia"/>
                      <w:sz w:val="21"/>
                      <w:szCs w:val="21"/>
                    </w:rPr>
                    <w:t>600</w:t>
                  </w:r>
                </w:p>
              </w:tc>
              <w:tc>
                <w:tcPr>
                  <w:tcW w:w="1655" w:type="dxa"/>
                  <w:vAlign w:val="center"/>
                </w:tcPr>
                <w:p>
                  <w:pPr>
                    <w:pStyle w:val="48"/>
                    <w:spacing w:line="240" w:lineRule="auto"/>
                    <w:ind w:firstLine="0" w:firstLineChars="0"/>
                    <w:jc w:val="center"/>
                    <w:rPr>
                      <w:sz w:val="21"/>
                      <w:szCs w:val="21"/>
                    </w:rPr>
                  </w:pPr>
                  <w:r>
                    <w:rPr>
                      <w:rFonts w:hint="eastAsia"/>
                      <w:sz w:val="21"/>
                      <w:szCs w:val="21"/>
                    </w:rPr>
                    <w:t>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vAlign w:val="center"/>
                </w:tcPr>
                <w:p>
                  <w:pPr>
                    <w:pStyle w:val="48"/>
                    <w:spacing w:line="240" w:lineRule="auto"/>
                    <w:ind w:firstLine="0" w:firstLineChars="0"/>
                    <w:jc w:val="center"/>
                    <w:rPr>
                      <w:sz w:val="21"/>
                      <w:szCs w:val="21"/>
                    </w:rPr>
                  </w:pPr>
                </w:p>
              </w:tc>
              <w:tc>
                <w:tcPr>
                  <w:tcW w:w="1378" w:type="dxa"/>
                  <w:vAlign w:val="center"/>
                </w:tcPr>
                <w:p>
                  <w:pPr>
                    <w:pStyle w:val="6"/>
                    <w:spacing w:line="240" w:lineRule="exact"/>
                    <w:ind w:firstLine="0"/>
                    <w:jc w:val="center"/>
                    <w:rPr>
                      <w:szCs w:val="22"/>
                    </w:rPr>
                  </w:pPr>
                  <w:r>
                    <w:rPr>
                      <w:rFonts w:hint="eastAsia"/>
                      <w:szCs w:val="22"/>
                    </w:rPr>
                    <w:t>喷晾漆废气</w:t>
                  </w:r>
                </w:p>
              </w:tc>
              <w:tc>
                <w:tcPr>
                  <w:tcW w:w="1373" w:type="dxa"/>
                  <w:vAlign w:val="center"/>
                </w:tcPr>
                <w:p>
                  <w:pPr>
                    <w:pStyle w:val="48"/>
                    <w:spacing w:line="240" w:lineRule="auto"/>
                    <w:ind w:firstLine="0" w:firstLineChars="0"/>
                    <w:jc w:val="center"/>
                    <w:rPr>
                      <w:sz w:val="21"/>
                      <w:szCs w:val="21"/>
                    </w:rPr>
                  </w:pPr>
                  <w:r>
                    <w:rPr>
                      <w:rFonts w:hint="eastAsia"/>
                      <w:sz w:val="21"/>
                      <w:szCs w:val="21"/>
                    </w:rPr>
                    <w:t>60</w:t>
                  </w:r>
                </w:p>
              </w:tc>
              <w:tc>
                <w:tcPr>
                  <w:tcW w:w="1572" w:type="dxa"/>
                  <w:vAlign w:val="center"/>
                </w:tcPr>
                <w:p>
                  <w:pPr>
                    <w:pStyle w:val="48"/>
                    <w:spacing w:line="240" w:lineRule="auto"/>
                    <w:ind w:firstLine="0" w:firstLineChars="0"/>
                    <w:jc w:val="center"/>
                    <w:rPr>
                      <w:sz w:val="21"/>
                      <w:szCs w:val="21"/>
                    </w:rPr>
                  </w:pPr>
                  <w:r>
                    <w:rPr>
                      <w:rFonts w:hint="eastAsia"/>
                      <w:sz w:val="21"/>
                      <w:szCs w:val="21"/>
                    </w:rPr>
                    <w:t>30000</w:t>
                  </w:r>
                </w:p>
              </w:tc>
              <w:tc>
                <w:tcPr>
                  <w:tcW w:w="1655" w:type="dxa"/>
                  <w:vAlign w:val="center"/>
                </w:tcPr>
                <w:p>
                  <w:pPr>
                    <w:pStyle w:val="48"/>
                    <w:spacing w:line="240" w:lineRule="auto"/>
                    <w:ind w:firstLine="0" w:firstLineChars="0"/>
                    <w:jc w:val="center"/>
                    <w:rPr>
                      <w:sz w:val="21"/>
                      <w:szCs w:val="21"/>
                    </w:rPr>
                  </w:pPr>
                  <w:r>
                    <w:rPr>
                      <w:rFonts w:hint="eastAsia"/>
                      <w:sz w:val="21"/>
                      <w:szCs w:val="21"/>
                    </w:rPr>
                    <w:t>2000</w:t>
                  </w:r>
                </w:p>
              </w:tc>
              <w:tc>
                <w:tcPr>
                  <w:tcW w:w="1655" w:type="dxa"/>
                  <w:vAlign w:val="center"/>
                </w:tcPr>
                <w:p>
                  <w:pPr>
                    <w:pStyle w:val="48"/>
                    <w:spacing w:line="240" w:lineRule="auto"/>
                    <w:ind w:firstLine="0" w:firstLineChars="0"/>
                    <w:jc w:val="center"/>
                    <w:rPr>
                      <w:sz w:val="21"/>
                      <w:szCs w:val="21"/>
                    </w:rPr>
                  </w:pPr>
                  <w:r>
                    <w:rPr>
                      <w:rFonts w:hint="eastAsia"/>
                      <w:sz w:val="21"/>
                      <w:szCs w:val="21"/>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7" w:type="dxa"/>
                  <w:gridSpan w:val="2"/>
                  <w:vAlign w:val="center"/>
                </w:tcPr>
                <w:p>
                  <w:pPr>
                    <w:pStyle w:val="6"/>
                    <w:spacing w:line="240" w:lineRule="exact"/>
                    <w:ind w:firstLine="0"/>
                    <w:jc w:val="center"/>
                    <w:rPr>
                      <w:szCs w:val="21"/>
                    </w:rPr>
                  </w:pPr>
                  <w:r>
                    <w:rPr>
                      <w:szCs w:val="21"/>
                    </w:rPr>
                    <w:t>NOx</w:t>
                  </w:r>
                </w:p>
              </w:tc>
              <w:tc>
                <w:tcPr>
                  <w:tcW w:w="1373" w:type="dxa"/>
                  <w:vMerge w:val="restart"/>
                  <w:vAlign w:val="center"/>
                </w:tcPr>
                <w:p>
                  <w:pPr>
                    <w:pStyle w:val="48"/>
                    <w:spacing w:line="240" w:lineRule="auto"/>
                    <w:ind w:firstLine="0" w:firstLineChars="0"/>
                    <w:jc w:val="center"/>
                    <w:rPr>
                      <w:sz w:val="21"/>
                      <w:szCs w:val="21"/>
                    </w:rPr>
                  </w:pPr>
                  <w:r>
                    <w:rPr>
                      <w:rFonts w:hint="eastAsia"/>
                      <w:sz w:val="21"/>
                      <w:szCs w:val="21"/>
                    </w:rPr>
                    <w:t>--</w:t>
                  </w:r>
                </w:p>
              </w:tc>
              <w:tc>
                <w:tcPr>
                  <w:tcW w:w="1572" w:type="dxa"/>
                  <w:vAlign w:val="center"/>
                </w:tcPr>
                <w:p>
                  <w:pPr>
                    <w:pStyle w:val="48"/>
                    <w:spacing w:line="240" w:lineRule="auto"/>
                    <w:ind w:firstLine="0" w:firstLineChars="0"/>
                    <w:jc w:val="center"/>
                    <w:rPr>
                      <w:sz w:val="21"/>
                      <w:szCs w:val="21"/>
                    </w:rPr>
                  </w:pPr>
                  <w:r>
                    <w:rPr>
                      <w:rFonts w:hint="eastAsia"/>
                      <w:sz w:val="21"/>
                      <w:szCs w:val="21"/>
                    </w:rPr>
                    <w:t>0</w:t>
                  </w:r>
                </w:p>
              </w:tc>
              <w:tc>
                <w:tcPr>
                  <w:tcW w:w="1655" w:type="dxa"/>
                  <w:vAlign w:val="center"/>
                </w:tcPr>
                <w:p>
                  <w:pPr>
                    <w:pStyle w:val="48"/>
                    <w:spacing w:line="240" w:lineRule="auto"/>
                    <w:ind w:firstLine="0" w:firstLineChars="0"/>
                    <w:jc w:val="center"/>
                    <w:rPr>
                      <w:sz w:val="21"/>
                      <w:szCs w:val="21"/>
                    </w:rPr>
                  </w:pPr>
                  <w:r>
                    <w:rPr>
                      <w:rFonts w:hint="eastAsia"/>
                      <w:sz w:val="21"/>
                      <w:szCs w:val="21"/>
                    </w:rPr>
                    <w:t>0</w:t>
                  </w:r>
                </w:p>
              </w:tc>
              <w:tc>
                <w:tcPr>
                  <w:tcW w:w="1655" w:type="dxa"/>
                  <w:vAlign w:val="center"/>
                </w:tcPr>
                <w:p>
                  <w:pPr>
                    <w:pStyle w:val="48"/>
                    <w:spacing w:line="240" w:lineRule="auto"/>
                    <w:ind w:firstLine="0" w:firstLineChars="0"/>
                    <w:jc w:val="center"/>
                    <w:rPr>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gridSpan w:val="2"/>
                  <w:vAlign w:val="center"/>
                </w:tcPr>
                <w:p>
                  <w:pPr>
                    <w:pStyle w:val="6"/>
                    <w:spacing w:line="240" w:lineRule="exact"/>
                    <w:ind w:firstLine="0"/>
                    <w:jc w:val="center"/>
                    <w:rPr>
                      <w:szCs w:val="21"/>
                    </w:rPr>
                  </w:pPr>
                  <w:r>
                    <w:rPr>
                      <w:szCs w:val="21"/>
                    </w:rPr>
                    <w:t>SO</w:t>
                  </w:r>
                  <w:r>
                    <w:rPr>
                      <w:szCs w:val="21"/>
                      <w:vertAlign w:val="subscript"/>
                    </w:rPr>
                    <w:t>2</w:t>
                  </w:r>
                </w:p>
              </w:tc>
              <w:tc>
                <w:tcPr>
                  <w:tcW w:w="1373" w:type="dxa"/>
                  <w:vAlign w:val="center"/>
                </w:tcPr>
                <w:p>
                  <w:pPr>
                    <w:pStyle w:val="48"/>
                    <w:spacing w:line="240" w:lineRule="auto"/>
                    <w:ind w:firstLine="0" w:firstLineChars="0"/>
                    <w:jc w:val="center"/>
                    <w:rPr>
                      <w:sz w:val="21"/>
                      <w:szCs w:val="21"/>
                    </w:rPr>
                  </w:pPr>
                  <w:r>
                    <w:rPr>
                      <w:rFonts w:hint="eastAsia"/>
                      <w:sz w:val="21"/>
                      <w:szCs w:val="21"/>
                    </w:rPr>
                    <w:t>--</w:t>
                  </w:r>
                </w:p>
              </w:tc>
              <w:tc>
                <w:tcPr>
                  <w:tcW w:w="1572" w:type="dxa"/>
                  <w:vAlign w:val="center"/>
                </w:tcPr>
                <w:p>
                  <w:pPr>
                    <w:pStyle w:val="48"/>
                    <w:spacing w:line="240" w:lineRule="auto"/>
                    <w:ind w:firstLine="0" w:firstLineChars="0"/>
                    <w:jc w:val="center"/>
                    <w:rPr>
                      <w:sz w:val="21"/>
                      <w:szCs w:val="21"/>
                    </w:rPr>
                  </w:pPr>
                  <w:r>
                    <w:rPr>
                      <w:rFonts w:hint="eastAsia"/>
                      <w:sz w:val="21"/>
                      <w:szCs w:val="21"/>
                    </w:rPr>
                    <w:t>0</w:t>
                  </w:r>
                </w:p>
              </w:tc>
              <w:tc>
                <w:tcPr>
                  <w:tcW w:w="1655" w:type="dxa"/>
                  <w:vAlign w:val="center"/>
                </w:tcPr>
                <w:p>
                  <w:pPr>
                    <w:pStyle w:val="48"/>
                    <w:spacing w:line="240" w:lineRule="auto"/>
                    <w:ind w:firstLine="0" w:firstLineChars="0"/>
                    <w:jc w:val="center"/>
                    <w:rPr>
                      <w:sz w:val="21"/>
                      <w:szCs w:val="21"/>
                    </w:rPr>
                  </w:pPr>
                  <w:r>
                    <w:rPr>
                      <w:rFonts w:hint="eastAsia"/>
                      <w:sz w:val="21"/>
                      <w:szCs w:val="21"/>
                    </w:rPr>
                    <w:t>0</w:t>
                  </w:r>
                </w:p>
              </w:tc>
              <w:tc>
                <w:tcPr>
                  <w:tcW w:w="1655" w:type="dxa"/>
                  <w:vAlign w:val="center"/>
                </w:tcPr>
                <w:p>
                  <w:pPr>
                    <w:pStyle w:val="48"/>
                    <w:spacing w:line="240" w:lineRule="auto"/>
                    <w:ind w:firstLine="0" w:firstLineChars="0"/>
                    <w:jc w:val="center"/>
                    <w:rPr>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gridSpan w:val="2"/>
                  <w:vAlign w:val="center"/>
                </w:tcPr>
                <w:p>
                  <w:pPr>
                    <w:pStyle w:val="48"/>
                    <w:spacing w:line="240" w:lineRule="auto"/>
                    <w:ind w:firstLine="0" w:firstLineChars="0"/>
                    <w:jc w:val="center"/>
                    <w:rPr>
                      <w:sz w:val="21"/>
                      <w:szCs w:val="21"/>
                    </w:rPr>
                  </w:pPr>
                  <w:r>
                    <w:rPr>
                      <w:rFonts w:hint="eastAsia"/>
                      <w:sz w:val="21"/>
                      <w:szCs w:val="21"/>
                    </w:rPr>
                    <w:t>核算公式</w:t>
                  </w:r>
                </w:p>
              </w:tc>
              <w:tc>
                <w:tcPr>
                  <w:tcW w:w="6255" w:type="dxa"/>
                  <w:gridSpan w:val="4"/>
                  <w:vAlign w:val="center"/>
                </w:tcPr>
                <w:p>
                  <w:pPr>
                    <w:pStyle w:val="48"/>
                    <w:spacing w:line="240" w:lineRule="auto"/>
                    <w:ind w:firstLine="0" w:firstLineChars="0"/>
                    <w:jc w:val="center"/>
                    <w:rPr>
                      <w:sz w:val="21"/>
                      <w:szCs w:val="21"/>
                    </w:rPr>
                  </w:pPr>
                  <w:r>
                    <w:rPr>
                      <w:rFonts w:hint="eastAsia"/>
                      <w:sz w:val="21"/>
                      <w:szCs w:val="21"/>
                    </w:rPr>
                    <w:t>污染物排放量（t/a）=污染物浓度（mg/m</w:t>
                  </w:r>
                  <w:r>
                    <w:rPr>
                      <w:rFonts w:hint="eastAsia"/>
                      <w:sz w:val="21"/>
                      <w:szCs w:val="21"/>
                      <w:vertAlign w:val="superscript"/>
                    </w:rPr>
                    <w:t>3</w:t>
                  </w:r>
                  <w:r>
                    <w:rPr>
                      <w:rFonts w:hint="eastAsia"/>
                      <w:sz w:val="21"/>
                      <w:szCs w:val="21"/>
                    </w:rPr>
                    <w:t>）×排气量（m</w:t>
                  </w:r>
                  <w:r>
                    <w:rPr>
                      <w:rFonts w:hint="eastAsia"/>
                      <w:sz w:val="21"/>
                      <w:szCs w:val="21"/>
                      <w:vertAlign w:val="superscript"/>
                    </w:rPr>
                    <w:t>3</w:t>
                  </w:r>
                  <w:r>
                    <w:rPr>
                      <w:rFonts w:hint="eastAsia"/>
                      <w:sz w:val="21"/>
                      <w:szCs w:val="21"/>
                    </w:rPr>
                    <w:t>/h）×运行时间（h/a）/10</w:t>
                  </w:r>
                  <w:r>
                    <w:rPr>
                      <w:rFonts w:hint="eastAsia"/>
                      <w:sz w:val="21"/>
                      <w:szCs w:val="21"/>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gridSpan w:val="2"/>
                  <w:vAlign w:val="center"/>
                </w:tcPr>
                <w:p>
                  <w:pPr>
                    <w:pStyle w:val="48"/>
                    <w:spacing w:line="240" w:lineRule="auto"/>
                    <w:ind w:firstLine="0" w:firstLineChars="0"/>
                    <w:jc w:val="center"/>
                    <w:rPr>
                      <w:sz w:val="21"/>
                      <w:szCs w:val="21"/>
                    </w:rPr>
                  </w:pPr>
                  <w:r>
                    <w:rPr>
                      <w:rFonts w:hint="eastAsia"/>
                      <w:sz w:val="21"/>
                      <w:szCs w:val="21"/>
                    </w:rPr>
                    <w:t>核算结果</w:t>
                  </w:r>
                </w:p>
              </w:tc>
              <w:tc>
                <w:tcPr>
                  <w:tcW w:w="6255" w:type="dxa"/>
                  <w:gridSpan w:val="4"/>
                  <w:vAlign w:val="center"/>
                </w:tcPr>
                <w:p>
                  <w:pPr>
                    <w:pStyle w:val="48"/>
                    <w:spacing w:line="240" w:lineRule="auto"/>
                    <w:ind w:firstLine="0" w:firstLineChars="0"/>
                    <w:jc w:val="center"/>
                    <w:rPr>
                      <w:sz w:val="21"/>
                      <w:szCs w:val="21"/>
                    </w:rPr>
                  </w:pPr>
                  <w:r>
                    <w:rPr>
                      <w:rFonts w:hint="eastAsia"/>
                      <w:sz w:val="21"/>
                      <w:szCs w:val="21"/>
                    </w:rPr>
                    <w:t>项目污染物年排放量分别为：</w:t>
                  </w:r>
                  <w:r>
                    <w:rPr>
                      <w:sz w:val="21"/>
                      <w:szCs w:val="21"/>
                    </w:rPr>
                    <w:t>VOCs</w:t>
                  </w:r>
                  <w:r>
                    <w:rPr>
                      <w:rFonts w:hint="eastAsia"/>
                      <w:sz w:val="21"/>
                      <w:szCs w:val="21"/>
                    </w:rPr>
                    <w:t>：3.840</w:t>
                  </w:r>
                  <w:r>
                    <w:rPr>
                      <w:sz w:val="21"/>
                      <w:szCs w:val="21"/>
                    </w:rPr>
                    <w:t>t/a</w:t>
                  </w:r>
                  <w:r>
                    <w:rPr>
                      <w:rFonts w:hint="eastAsia"/>
                      <w:sz w:val="21"/>
                      <w:szCs w:val="21"/>
                    </w:rPr>
                    <w:t>；</w:t>
                  </w:r>
                  <w:r>
                    <w:rPr>
                      <w:sz w:val="21"/>
                      <w:szCs w:val="21"/>
                    </w:rPr>
                    <w:t>SO</w:t>
                  </w:r>
                  <w:r>
                    <w:rPr>
                      <w:sz w:val="21"/>
                      <w:szCs w:val="21"/>
                      <w:vertAlign w:val="subscript"/>
                    </w:rPr>
                    <w:t>2</w:t>
                  </w:r>
                  <w:r>
                    <w:rPr>
                      <w:rFonts w:hint="eastAsia"/>
                      <w:sz w:val="21"/>
                      <w:szCs w:val="21"/>
                    </w:rPr>
                    <w:t>：0</w:t>
                  </w:r>
                  <w:r>
                    <w:rPr>
                      <w:sz w:val="21"/>
                      <w:szCs w:val="21"/>
                    </w:rPr>
                    <w:t>t/a</w:t>
                  </w:r>
                  <w:r>
                    <w:rPr>
                      <w:rFonts w:hint="eastAsia"/>
                      <w:sz w:val="21"/>
                      <w:szCs w:val="21"/>
                    </w:rPr>
                    <w:t>；</w:t>
                  </w:r>
                  <w:r>
                    <w:rPr>
                      <w:sz w:val="21"/>
                      <w:szCs w:val="21"/>
                    </w:rPr>
                    <w:t>NOx</w:t>
                  </w:r>
                  <w:r>
                    <w:rPr>
                      <w:rFonts w:hint="eastAsia"/>
                      <w:sz w:val="21"/>
                      <w:szCs w:val="21"/>
                    </w:rPr>
                    <w:t>：0</w:t>
                  </w:r>
                  <w:r>
                    <w:rPr>
                      <w:sz w:val="21"/>
                      <w:szCs w:val="21"/>
                    </w:rPr>
                    <w:t>t/a</w:t>
                  </w:r>
                </w:p>
              </w:tc>
            </w:tr>
          </w:tbl>
          <w:p>
            <w:pPr>
              <w:pStyle w:val="48"/>
              <w:ind w:firstLine="0" w:firstLineChars="0"/>
              <w:jc w:val="center"/>
              <w:rPr>
                <w:b/>
                <w:bCs/>
                <w:sz w:val="21"/>
                <w:szCs w:val="21"/>
              </w:rPr>
            </w:pPr>
            <w:r>
              <w:rPr>
                <w:b/>
                <w:bCs/>
                <w:sz w:val="21"/>
                <w:szCs w:val="21"/>
              </w:rPr>
              <w:t>表</w:t>
            </w:r>
            <w:r>
              <w:rPr>
                <w:rFonts w:hint="eastAsia"/>
                <w:b/>
                <w:bCs/>
                <w:sz w:val="21"/>
                <w:szCs w:val="21"/>
              </w:rPr>
              <w:t>16</w:t>
            </w:r>
            <w:r>
              <w:rPr>
                <w:b/>
                <w:bCs/>
                <w:sz w:val="21"/>
                <w:szCs w:val="21"/>
              </w:rPr>
              <w:t xml:space="preserve">    项目废水污染物总量核算表</w:t>
            </w:r>
          </w:p>
          <w:tbl>
            <w:tblPr>
              <w:tblStyle w:val="32"/>
              <w:tblW w:w="8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047"/>
              <w:gridCol w:w="1658"/>
              <w:gridCol w:w="156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pPr>
                    <w:pStyle w:val="48"/>
                    <w:spacing w:line="240" w:lineRule="auto"/>
                    <w:ind w:firstLine="0" w:firstLineChars="0"/>
                    <w:jc w:val="center"/>
                    <w:rPr>
                      <w:kern w:val="2"/>
                      <w:sz w:val="21"/>
                      <w:szCs w:val="21"/>
                    </w:rPr>
                  </w:pPr>
                  <w:r>
                    <w:rPr>
                      <w:rFonts w:hint="eastAsia"/>
                      <w:kern w:val="2"/>
                      <w:sz w:val="21"/>
                      <w:szCs w:val="21"/>
                    </w:rPr>
                    <w:t>项目</w:t>
                  </w:r>
                </w:p>
              </w:tc>
              <w:tc>
                <w:tcPr>
                  <w:tcW w:w="2047" w:type="dxa"/>
                  <w:vAlign w:val="center"/>
                </w:tcPr>
                <w:p>
                  <w:pPr>
                    <w:pStyle w:val="48"/>
                    <w:spacing w:line="240" w:lineRule="auto"/>
                    <w:ind w:firstLine="0" w:firstLineChars="0"/>
                    <w:jc w:val="center"/>
                    <w:rPr>
                      <w:kern w:val="2"/>
                      <w:sz w:val="21"/>
                      <w:szCs w:val="21"/>
                    </w:rPr>
                  </w:pPr>
                  <w:r>
                    <w:rPr>
                      <w:rFonts w:hint="eastAsia"/>
                      <w:sz w:val="21"/>
                      <w:szCs w:val="21"/>
                    </w:rPr>
                    <w:t>标准允许浓度（mg/L）</w:t>
                  </w:r>
                </w:p>
              </w:tc>
              <w:tc>
                <w:tcPr>
                  <w:tcW w:w="1658" w:type="dxa"/>
                  <w:vAlign w:val="center"/>
                </w:tcPr>
                <w:p>
                  <w:pPr>
                    <w:pStyle w:val="48"/>
                    <w:spacing w:line="240" w:lineRule="auto"/>
                    <w:ind w:firstLine="0" w:firstLineChars="0"/>
                    <w:jc w:val="center"/>
                    <w:rPr>
                      <w:kern w:val="2"/>
                      <w:sz w:val="21"/>
                      <w:szCs w:val="21"/>
                    </w:rPr>
                  </w:pPr>
                  <w:r>
                    <w:rPr>
                      <w:rFonts w:hint="eastAsia"/>
                      <w:kern w:val="2"/>
                      <w:sz w:val="21"/>
                      <w:szCs w:val="21"/>
                    </w:rPr>
                    <w:t>废水量（m</w:t>
                  </w:r>
                  <w:r>
                    <w:rPr>
                      <w:rFonts w:hint="eastAsia"/>
                      <w:kern w:val="2"/>
                      <w:sz w:val="21"/>
                      <w:szCs w:val="21"/>
                      <w:vertAlign w:val="superscript"/>
                    </w:rPr>
                    <w:t>3</w:t>
                  </w:r>
                  <w:r>
                    <w:rPr>
                      <w:rFonts w:hint="eastAsia"/>
                      <w:kern w:val="2"/>
                      <w:sz w:val="21"/>
                      <w:szCs w:val="21"/>
                    </w:rPr>
                    <w:t>/d）</w:t>
                  </w:r>
                </w:p>
              </w:tc>
              <w:tc>
                <w:tcPr>
                  <w:tcW w:w="1568" w:type="dxa"/>
                  <w:vAlign w:val="center"/>
                </w:tcPr>
                <w:p>
                  <w:pPr>
                    <w:pStyle w:val="48"/>
                    <w:spacing w:line="240" w:lineRule="auto"/>
                    <w:ind w:firstLine="0" w:firstLineChars="0"/>
                    <w:jc w:val="center"/>
                    <w:rPr>
                      <w:kern w:val="2"/>
                      <w:sz w:val="21"/>
                      <w:szCs w:val="21"/>
                    </w:rPr>
                  </w:pPr>
                  <w:r>
                    <w:rPr>
                      <w:rFonts w:hint="eastAsia"/>
                      <w:kern w:val="2"/>
                      <w:sz w:val="21"/>
                      <w:szCs w:val="21"/>
                    </w:rPr>
                    <w:t>运行时间（d/a）</w:t>
                  </w:r>
                </w:p>
              </w:tc>
              <w:tc>
                <w:tcPr>
                  <w:tcW w:w="1748" w:type="dxa"/>
                  <w:vAlign w:val="center"/>
                </w:tcPr>
                <w:p>
                  <w:pPr>
                    <w:pStyle w:val="48"/>
                    <w:spacing w:line="240" w:lineRule="auto"/>
                    <w:ind w:firstLine="0" w:firstLineChars="0"/>
                    <w:jc w:val="center"/>
                    <w:rPr>
                      <w:kern w:val="2"/>
                      <w:sz w:val="21"/>
                      <w:szCs w:val="21"/>
                    </w:rPr>
                  </w:pPr>
                  <w:r>
                    <w:rPr>
                      <w:rFonts w:hint="eastAsia"/>
                      <w:kern w:val="2"/>
                      <w:sz w:val="21"/>
                      <w:szCs w:val="21"/>
                    </w:rPr>
                    <w:t>污染物排放量（t/a）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pPr>
                    <w:pStyle w:val="48"/>
                    <w:spacing w:line="240" w:lineRule="auto"/>
                    <w:ind w:firstLine="0" w:firstLineChars="0"/>
                    <w:jc w:val="center"/>
                    <w:rPr>
                      <w:kern w:val="2"/>
                      <w:sz w:val="21"/>
                      <w:szCs w:val="21"/>
                    </w:rPr>
                  </w:pPr>
                  <w:r>
                    <w:rPr>
                      <w:rFonts w:hint="eastAsia"/>
                      <w:kern w:val="2"/>
                      <w:sz w:val="21"/>
                      <w:szCs w:val="21"/>
                    </w:rPr>
                    <w:t>COD</w:t>
                  </w:r>
                </w:p>
              </w:tc>
              <w:tc>
                <w:tcPr>
                  <w:tcW w:w="2047" w:type="dxa"/>
                  <w:vAlign w:val="center"/>
                </w:tcPr>
                <w:p>
                  <w:pPr>
                    <w:pStyle w:val="48"/>
                    <w:spacing w:line="240" w:lineRule="auto"/>
                    <w:ind w:firstLine="0" w:firstLineChars="0"/>
                    <w:jc w:val="center"/>
                    <w:rPr>
                      <w:kern w:val="2"/>
                      <w:sz w:val="21"/>
                      <w:szCs w:val="21"/>
                    </w:rPr>
                  </w:pPr>
                  <w:r>
                    <w:rPr>
                      <w:rFonts w:hint="eastAsia"/>
                      <w:kern w:val="2"/>
                      <w:sz w:val="21"/>
                      <w:szCs w:val="21"/>
                    </w:rPr>
                    <w:t>--</w:t>
                  </w:r>
                </w:p>
              </w:tc>
              <w:tc>
                <w:tcPr>
                  <w:tcW w:w="1658" w:type="dxa"/>
                  <w:vMerge w:val="restart"/>
                  <w:vAlign w:val="center"/>
                </w:tcPr>
                <w:p>
                  <w:pPr>
                    <w:pStyle w:val="48"/>
                    <w:spacing w:line="240" w:lineRule="auto"/>
                    <w:ind w:firstLine="0" w:firstLineChars="0"/>
                    <w:jc w:val="center"/>
                    <w:rPr>
                      <w:kern w:val="2"/>
                      <w:sz w:val="21"/>
                      <w:szCs w:val="21"/>
                    </w:rPr>
                  </w:pPr>
                  <w:r>
                    <w:rPr>
                      <w:rFonts w:hint="eastAsia"/>
                      <w:kern w:val="2"/>
                      <w:sz w:val="21"/>
                      <w:szCs w:val="21"/>
                    </w:rPr>
                    <w:t>0</w:t>
                  </w:r>
                </w:p>
              </w:tc>
              <w:tc>
                <w:tcPr>
                  <w:tcW w:w="1568" w:type="dxa"/>
                  <w:vMerge w:val="restart"/>
                  <w:vAlign w:val="center"/>
                </w:tcPr>
                <w:p>
                  <w:pPr>
                    <w:pStyle w:val="48"/>
                    <w:spacing w:line="240" w:lineRule="auto"/>
                    <w:ind w:firstLine="0" w:firstLineChars="0"/>
                    <w:jc w:val="center"/>
                    <w:rPr>
                      <w:kern w:val="2"/>
                      <w:sz w:val="21"/>
                      <w:szCs w:val="21"/>
                    </w:rPr>
                  </w:pPr>
                  <w:r>
                    <w:rPr>
                      <w:rFonts w:hint="eastAsia"/>
                      <w:kern w:val="2"/>
                      <w:sz w:val="21"/>
                      <w:szCs w:val="21"/>
                    </w:rPr>
                    <w:t>0</w:t>
                  </w:r>
                </w:p>
              </w:tc>
              <w:tc>
                <w:tcPr>
                  <w:tcW w:w="1748" w:type="dxa"/>
                  <w:vAlign w:val="center"/>
                </w:tcPr>
                <w:p>
                  <w:pPr>
                    <w:pStyle w:val="48"/>
                    <w:spacing w:line="240" w:lineRule="auto"/>
                    <w:ind w:firstLine="0" w:firstLineChars="0"/>
                    <w:jc w:val="center"/>
                    <w:rPr>
                      <w:kern w:val="2"/>
                      <w:sz w:val="21"/>
                      <w:szCs w:val="21"/>
                    </w:rPr>
                  </w:pPr>
                  <w:r>
                    <w:rPr>
                      <w:rFonts w:hint="eastAsia"/>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pPr>
                    <w:pStyle w:val="48"/>
                    <w:spacing w:line="240" w:lineRule="auto"/>
                    <w:ind w:firstLine="0" w:firstLineChars="0"/>
                    <w:jc w:val="center"/>
                    <w:rPr>
                      <w:kern w:val="2"/>
                      <w:sz w:val="21"/>
                      <w:szCs w:val="21"/>
                    </w:rPr>
                  </w:pPr>
                  <w:r>
                    <w:rPr>
                      <w:rFonts w:hint="eastAsia"/>
                      <w:kern w:val="2"/>
                      <w:sz w:val="21"/>
                      <w:szCs w:val="21"/>
                    </w:rPr>
                    <w:t>NH</w:t>
                  </w:r>
                  <w:r>
                    <w:rPr>
                      <w:rFonts w:hint="eastAsia"/>
                      <w:kern w:val="2"/>
                      <w:sz w:val="21"/>
                      <w:szCs w:val="21"/>
                      <w:vertAlign w:val="subscript"/>
                    </w:rPr>
                    <w:t>3</w:t>
                  </w:r>
                  <w:r>
                    <w:rPr>
                      <w:rFonts w:hint="eastAsia"/>
                      <w:kern w:val="2"/>
                      <w:sz w:val="21"/>
                      <w:szCs w:val="21"/>
                    </w:rPr>
                    <w:t>-N</w:t>
                  </w:r>
                </w:p>
              </w:tc>
              <w:tc>
                <w:tcPr>
                  <w:tcW w:w="2047" w:type="dxa"/>
                  <w:vAlign w:val="center"/>
                </w:tcPr>
                <w:p>
                  <w:pPr>
                    <w:pStyle w:val="48"/>
                    <w:spacing w:line="240" w:lineRule="auto"/>
                    <w:ind w:firstLine="0" w:firstLineChars="0"/>
                    <w:jc w:val="center"/>
                    <w:rPr>
                      <w:kern w:val="2"/>
                      <w:sz w:val="21"/>
                      <w:szCs w:val="21"/>
                    </w:rPr>
                  </w:pPr>
                  <w:r>
                    <w:rPr>
                      <w:rFonts w:hint="eastAsia"/>
                      <w:kern w:val="2"/>
                      <w:sz w:val="21"/>
                      <w:szCs w:val="21"/>
                    </w:rPr>
                    <w:t>--</w:t>
                  </w:r>
                </w:p>
              </w:tc>
              <w:tc>
                <w:tcPr>
                  <w:tcW w:w="1658" w:type="dxa"/>
                  <w:vMerge w:val="continue"/>
                  <w:vAlign w:val="center"/>
                </w:tcPr>
                <w:p>
                  <w:pPr>
                    <w:pStyle w:val="48"/>
                    <w:spacing w:line="240" w:lineRule="auto"/>
                    <w:ind w:firstLine="0" w:firstLineChars="0"/>
                    <w:jc w:val="center"/>
                    <w:rPr>
                      <w:kern w:val="2"/>
                      <w:sz w:val="21"/>
                      <w:szCs w:val="21"/>
                    </w:rPr>
                  </w:pPr>
                </w:p>
              </w:tc>
              <w:tc>
                <w:tcPr>
                  <w:tcW w:w="1568" w:type="dxa"/>
                  <w:vMerge w:val="continue"/>
                  <w:vAlign w:val="center"/>
                </w:tcPr>
                <w:p>
                  <w:pPr>
                    <w:pStyle w:val="48"/>
                    <w:spacing w:line="240" w:lineRule="auto"/>
                    <w:ind w:firstLine="0" w:firstLineChars="0"/>
                    <w:jc w:val="center"/>
                    <w:rPr>
                      <w:kern w:val="2"/>
                      <w:sz w:val="21"/>
                      <w:szCs w:val="21"/>
                    </w:rPr>
                  </w:pPr>
                </w:p>
              </w:tc>
              <w:tc>
                <w:tcPr>
                  <w:tcW w:w="1748" w:type="dxa"/>
                  <w:vAlign w:val="center"/>
                </w:tcPr>
                <w:p>
                  <w:pPr>
                    <w:pStyle w:val="48"/>
                    <w:spacing w:line="240" w:lineRule="auto"/>
                    <w:ind w:firstLine="0" w:firstLineChars="0"/>
                    <w:jc w:val="center"/>
                    <w:rPr>
                      <w:kern w:val="2"/>
                      <w:sz w:val="21"/>
                      <w:szCs w:val="21"/>
                    </w:rPr>
                  </w:pPr>
                  <w:r>
                    <w:rPr>
                      <w:rFonts w:hint="eastAsia"/>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7" w:type="dxa"/>
                  <w:vAlign w:val="center"/>
                </w:tcPr>
                <w:p>
                  <w:pPr>
                    <w:pStyle w:val="48"/>
                    <w:spacing w:line="240" w:lineRule="auto"/>
                    <w:ind w:firstLine="0" w:firstLineChars="0"/>
                    <w:jc w:val="center"/>
                    <w:rPr>
                      <w:kern w:val="2"/>
                      <w:sz w:val="21"/>
                      <w:szCs w:val="21"/>
                    </w:rPr>
                  </w:pPr>
                  <w:r>
                    <w:rPr>
                      <w:rFonts w:hint="eastAsia"/>
                      <w:kern w:val="2"/>
                      <w:sz w:val="21"/>
                      <w:szCs w:val="21"/>
                    </w:rPr>
                    <w:t>核算公式</w:t>
                  </w:r>
                </w:p>
              </w:tc>
              <w:tc>
                <w:tcPr>
                  <w:tcW w:w="7021" w:type="dxa"/>
                  <w:gridSpan w:val="4"/>
                  <w:vAlign w:val="center"/>
                </w:tcPr>
                <w:p>
                  <w:pPr>
                    <w:pStyle w:val="48"/>
                    <w:spacing w:line="240" w:lineRule="auto"/>
                    <w:ind w:firstLine="0" w:firstLineChars="0"/>
                    <w:jc w:val="center"/>
                    <w:rPr>
                      <w:kern w:val="2"/>
                      <w:sz w:val="21"/>
                      <w:szCs w:val="21"/>
                    </w:rPr>
                  </w:pPr>
                  <w:r>
                    <w:rPr>
                      <w:rFonts w:hint="eastAsia"/>
                      <w:sz w:val="21"/>
                      <w:szCs w:val="21"/>
                    </w:rPr>
                    <w:t>污染物排放量（t/a）=污染物浓度（mg/L）×废水量（m</w:t>
                  </w:r>
                  <w:r>
                    <w:rPr>
                      <w:rFonts w:hint="eastAsia"/>
                      <w:sz w:val="21"/>
                      <w:szCs w:val="21"/>
                      <w:vertAlign w:val="superscript"/>
                    </w:rPr>
                    <w:t>3</w:t>
                  </w:r>
                  <w:r>
                    <w:rPr>
                      <w:rFonts w:hint="eastAsia"/>
                      <w:sz w:val="21"/>
                      <w:szCs w:val="21"/>
                    </w:rPr>
                    <w:t>/d）×生产时间（d/a）/10</w:t>
                  </w:r>
                  <w:r>
                    <w:rPr>
                      <w:rFonts w:hint="eastAsia"/>
                      <w:sz w:val="21"/>
                      <w:szCs w:val="21"/>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pPr>
                    <w:pStyle w:val="48"/>
                    <w:spacing w:line="240" w:lineRule="auto"/>
                    <w:ind w:firstLine="0" w:firstLineChars="0"/>
                    <w:jc w:val="center"/>
                    <w:rPr>
                      <w:kern w:val="2"/>
                      <w:sz w:val="21"/>
                      <w:szCs w:val="21"/>
                    </w:rPr>
                  </w:pPr>
                  <w:r>
                    <w:rPr>
                      <w:rFonts w:hint="eastAsia"/>
                      <w:kern w:val="2"/>
                      <w:sz w:val="21"/>
                      <w:szCs w:val="21"/>
                    </w:rPr>
                    <w:t>核算结果</w:t>
                  </w:r>
                </w:p>
              </w:tc>
              <w:tc>
                <w:tcPr>
                  <w:tcW w:w="7021" w:type="dxa"/>
                  <w:gridSpan w:val="4"/>
                  <w:vAlign w:val="center"/>
                </w:tcPr>
                <w:p>
                  <w:pPr>
                    <w:pStyle w:val="48"/>
                    <w:spacing w:line="240" w:lineRule="auto"/>
                    <w:ind w:firstLine="0" w:firstLineChars="0"/>
                    <w:jc w:val="center"/>
                    <w:rPr>
                      <w:kern w:val="2"/>
                      <w:sz w:val="21"/>
                      <w:szCs w:val="21"/>
                    </w:rPr>
                  </w:pPr>
                  <w:r>
                    <w:rPr>
                      <w:rFonts w:hint="eastAsia"/>
                      <w:kern w:val="2"/>
                      <w:sz w:val="21"/>
                      <w:szCs w:val="21"/>
                    </w:rPr>
                    <w:t>项目污染物年排放量分别为：COD：0t/a；SS：0t/a；NH</w:t>
                  </w:r>
                  <w:r>
                    <w:rPr>
                      <w:rFonts w:hint="eastAsia"/>
                      <w:kern w:val="2"/>
                      <w:sz w:val="21"/>
                      <w:szCs w:val="21"/>
                      <w:vertAlign w:val="subscript"/>
                    </w:rPr>
                    <w:t>3</w:t>
                  </w:r>
                  <w:r>
                    <w:rPr>
                      <w:rFonts w:hint="eastAsia"/>
                      <w:kern w:val="2"/>
                      <w:sz w:val="21"/>
                      <w:szCs w:val="21"/>
                    </w:rPr>
                    <w:t>-N：0t/a</w:t>
                  </w:r>
                </w:p>
              </w:tc>
            </w:tr>
          </w:tbl>
          <w:p>
            <w:pPr>
              <w:pStyle w:val="48"/>
              <w:spacing w:line="480" w:lineRule="exact"/>
              <w:rPr>
                <w:szCs w:val="24"/>
              </w:rPr>
            </w:pPr>
            <w:r>
              <w:rPr>
                <w:rFonts w:hint="eastAsia"/>
                <w:szCs w:val="24"/>
              </w:rPr>
              <w:t>结合企业实际情况，按照</w:t>
            </w:r>
            <w:r>
              <w:rPr>
                <w:szCs w:val="24"/>
              </w:rPr>
              <w:t>河北省环保厅文件《关于进一步改革和优化建设项目主要污染物排放总量核定工作的通知》(冀环总[2014]283号)</w:t>
            </w:r>
            <w:r>
              <w:rPr>
                <w:rFonts w:hint="eastAsia"/>
                <w:szCs w:val="24"/>
              </w:rPr>
              <w:t>中</w:t>
            </w:r>
            <w:r>
              <w:rPr>
                <w:szCs w:val="24"/>
              </w:rPr>
              <w:t>的</w:t>
            </w:r>
            <w:r>
              <w:rPr>
                <w:rFonts w:hint="eastAsia"/>
                <w:szCs w:val="24"/>
              </w:rPr>
              <w:t>相关</w:t>
            </w:r>
            <w:r>
              <w:rPr>
                <w:szCs w:val="24"/>
              </w:rPr>
              <w:t>规定，</w:t>
            </w:r>
            <w:r>
              <w:rPr>
                <w:rFonts w:hint="eastAsia"/>
                <w:szCs w:val="24"/>
              </w:rPr>
              <w:t>以国家、地方污染物标准对项目总量核算，最终本评价建议</w:t>
            </w:r>
            <w:r>
              <w:rPr>
                <w:szCs w:val="24"/>
              </w:rPr>
              <w:t>VOCs</w:t>
            </w:r>
            <w:r>
              <w:rPr>
                <w:rFonts w:hint="eastAsia"/>
                <w:szCs w:val="24"/>
              </w:rPr>
              <w:t>以污染物预测量作为本项目总量控制指标</w:t>
            </w:r>
            <w:r>
              <w:rPr>
                <w:szCs w:val="24"/>
              </w:rPr>
              <w:t>。</w:t>
            </w:r>
          </w:p>
          <w:p>
            <w:pPr>
              <w:pStyle w:val="48"/>
              <w:spacing w:line="480" w:lineRule="exact"/>
              <w:rPr>
                <w:bCs/>
                <w:spacing w:val="6"/>
              </w:rPr>
            </w:pPr>
            <w:r>
              <w:rPr>
                <w:szCs w:val="24"/>
              </w:rPr>
              <w:t>根据《</w:t>
            </w:r>
            <w:r>
              <w:rPr>
                <w:rFonts w:hint="eastAsia"/>
                <w:szCs w:val="24"/>
              </w:rPr>
              <w:t>“</w:t>
            </w:r>
            <w:r>
              <w:rPr>
                <w:szCs w:val="24"/>
              </w:rPr>
              <w:t>十三五</w:t>
            </w:r>
            <w:r>
              <w:rPr>
                <w:rFonts w:hint="eastAsia"/>
                <w:szCs w:val="24"/>
              </w:rPr>
              <w:t>”</w:t>
            </w:r>
            <w:r>
              <w:rPr>
                <w:szCs w:val="24"/>
              </w:rPr>
              <w:t>生态环境保护规划》，根据达标排放原则，本环评建议</w:t>
            </w:r>
            <w:r>
              <w:rPr>
                <w:rFonts w:hint="eastAsia"/>
                <w:szCs w:val="24"/>
              </w:rPr>
              <w:t>技改</w:t>
            </w:r>
            <w:r>
              <w:rPr>
                <w:szCs w:val="24"/>
              </w:rPr>
              <w:t>项目污染物的总量控制指标为SO</w:t>
            </w:r>
            <w:r>
              <w:rPr>
                <w:szCs w:val="24"/>
                <w:vertAlign w:val="subscript"/>
              </w:rPr>
              <w:t>2</w:t>
            </w:r>
            <w:r>
              <w:rPr>
                <w:szCs w:val="24"/>
              </w:rPr>
              <w:t>：</w:t>
            </w:r>
            <w:r>
              <w:rPr>
                <w:rFonts w:hint="eastAsia"/>
                <w:szCs w:val="24"/>
              </w:rPr>
              <w:t>0</w:t>
            </w:r>
            <w:r>
              <w:rPr>
                <w:szCs w:val="24"/>
              </w:rPr>
              <w:t>t/a，NOx：</w:t>
            </w:r>
            <w:r>
              <w:rPr>
                <w:rFonts w:hint="eastAsia"/>
                <w:szCs w:val="24"/>
              </w:rPr>
              <w:t>0</w:t>
            </w:r>
            <w:r>
              <w:rPr>
                <w:szCs w:val="24"/>
              </w:rPr>
              <w:t>t/a</w:t>
            </w:r>
            <w:r>
              <w:rPr>
                <w:rFonts w:hint="eastAsia"/>
                <w:szCs w:val="24"/>
              </w:rPr>
              <w:t>，</w:t>
            </w:r>
            <w:r>
              <w:rPr>
                <w:rFonts w:hint="eastAsia"/>
                <w:szCs w:val="21"/>
              </w:rPr>
              <w:t>VOCs</w:t>
            </w:r>
            <w:r>
              <w:rPr>
                <w:szCs w:val="24"/>
              </w:rPr>
              <w:t>：</w:t>
            </w:r>
            <w:r>
              <w:rPr>
                <w:rFonts w:hint="eastAsia"/>
                <w:szCs w:val="24"/>
              </w:rPr>
              <w:t>3.840</w:t>
            </w:r>
            <w:r>
              <w:rPr>
                <w:szCs w:val="24"/>
              </w:rPr>
              <w:t>t/a</w:t>
            </w:r>
            <w:r>
              <w:rPr>
                <w:rFonts w:hint="eastAsia"/>
                <w:szCs w:val="24"/>
              </w:rPr>
              <w:t>，COD</w:t>
            </w:r>
            <w:r>
              <w:rPr>
                <w:szCs w:val="24"/>
              </w:rPr>
              <w:t>：</w:t>
            </w:r>
            <w:r>
              <w:rPr>
                <w:rFonts w:hint="eastAsia"/>
                <w:szCs w:val="24"/>
              </w:rPr>
              <w:t>0</w:t>
            </w:r>
            <w:r>
              <w:rPr>
                <w:szCs w:val="24"/>
              </w:rPr>
              <w:t>t/a</w:t>
            </w:r>
            <w:r>
              <w:rPr>
                <w:rFonts w:hint="eastAsia"/>
                <w:szCs w:val="24"/>
              </w:rPr>
              <w:t>，氨氮：0</w:t>
            </w:r>
            <w:r>
              <w:rPr>
                <w:szCs w:val="24"/>
              </w:rPr>
              <w:t>t/a。</w:t>
            </w:r>
            <w:r>
              <w:rPr>
                <w:bCs/>
                <w:spacing w:val="6"/>
              </w:rPr>
              <w:t>技改后</w:t>
            </w:r>
            <w:r>
              <w:rPr>
                <w:rFonts w:hint="eastAsia"/>
                <w:bCs/>
                <w:spacing w:val="6"/>
              </w:rPr>
              <w:t>本工程</w:t>
            </w:r>
            <w:r>
              <w:rPr>
                <w:bCs/>
                <w:spacing w:val="6"/>
              </w:rPr>
              <w:t>污染物总量指标变化情况见表</w:t>
            </w:r>
            <w:r>
              <w:rPr>
                <w:rFonts w:hint="eastAsia"/>
                <w:bCs/>
                <w:spacing w:val="6"/>
              </w:rPr>
              <w:t>17。</w:t>
            </w:r>
          </w:p>
          <w:p>
            <w:pPr>
              <w:spacing w:line="480" w:lineRule="exact"/>
              <w:ind w:firstLine="420" w:firstLineChars="200"/>
              <w:jc w:val="center"/>
              <w:rPr>
                <w:rFonts w:hAnsi="宋体"/>
                <w:b/>
                <w:szCs w:val="21"/>
                <w:lang w:val="de-DE"/>
              </w:rPr>
            </w:pPr>
            <w:r>
              <w:rPr>
                <w:rFonts w:hAnsi="宋体"/>
                <w:b/>
                <w:szCs w:val="21"/>
                <w:lang w:val="de-DE"/>
              </w:rPr>
              <w:t>表</w:t>
            </w:r>
            <w:r>
              <w:rPr>
                <w:rFonts w:hint="eastAsia" w:hAnsi="宋体"/>
                <w:b/>
                <w:szCs w:val="21"/>
              </w:rPr>
              <w:t>17</w:t>
            </w:r>
            <w:r>
              <w:rPr>
                <w:rFonts w:hint="eastAsia"/>
                <w:b/>
                <w:szCs w:val="21"/>
                <w:lang w:val="de-DE"/>
              </w:rPr>
              <w:t xml:space="preserve">   </w:t>
            </w:r>
            <w:r>
              <w:rPr>
                <w:rFonts w:hint="eastAsia"/>
                <w:b/>
                <w:szCs w:val="21"/>
              </w:rPr>
              <w:t>技改</w:t>
            </w:r>
            <w:r>
              <w:rPr>
                <w:rFonts w:hAnsi="宋体"/>
                <w:b/>
                <w:szCs w:val="21"/>
                <w:lang w:val="de-DE"/>
              </w:rPr>
              <w:t>项目实施后污染物</w:t>
            </w:r>
            <w:r>
              <w:rPr>
                <w:rFonts w:hint="eastAsia" w:hAnsi="宋体"/>
                <w:b/>
                <w:szCs w:val="21"/>
                <w:lang w:val="de-DE"/>
              </w:rPr>
              <w:t>“三本账”</w:t>
            </w:r>
            <w:r>
              <w:rPr>
                <w:rFonts w:hAnsi="宋体"/>
                <w:b/>
                <w:szCs w:val="21"/>
                <w:lang w:val="de-DE"/>
              </w:rPr>
              <w:t>一览表</w:t>
            </w:r>
            <w:r>
              <w:rPr>
                <w:rFonts w:hint="eastAsia" w:hAnsi="宋体"/>
                <w:b/>
                <w:szCs w:val="21"/>
              </w:rPr>
              <w:t xml:space="preserve">    t/a</w:t>
            </w:r>
          </w:p>
          <w:tbl>
            <w:tblPr>
              <w:tblStyle w:val="31"/>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64"/>
              <w:gridCol w:w="1042"/>
              <w:gridCol w:w="1144"/>
              <w:gridCol w:w="1072"/>
              <w:gridCol w:w="1051"/>
              <w:gridCol w:w="1057"/>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jc w:val="center"/>
                    <w:rPr>
                      <w:szCs w:val="21"/>
                    </w:rPr>
                  </w:pPr>
                  <w:r>
                    <w:rPr>
                      <w:szCs w:val="21"/>
                    </w:rPr>
                    <w:t>项目</w:t>
                  </w:r>
                </w:p>
              </w:tc>
              <w:tc>
                <w:tcPr>
                  <w:tcW w:w="964" w:type="dxa"/>
                  <w:vAlign w:val="center"/>
                </w:tcPr>
                <w:p>
                  <w:pPr>
                    <w:jc w:val="center"/>
                    <w:rPr>
                      <w:spacing w:val="-14"/>
                      <w:szCs w:val="21"/>
                    </w:rPr>
                  </w:pPr>
                  <w:r>
                    <w:rPr>
                      <w:spacing w:val="-14"/>
                      <w:szCs w:val="21"/>
                    </w:rPr>
                    <w:t>污染</w:t>
                  </w:r>
                </w:p>
                <w:p>
                  <w:pPr>
                    <w:jc w:val="center"/>
                    <w:rPr>
                      <w:spacing w:val="-14"/>
                      <w:szCs w:val="21"/>
                    </w:rPr>
                  </w:pPr>
                  <w:r>
                    <w:rPr>
                      <w:spacing w:val="-14"/>
                      <w:szCs w:val="21"/>
                    </w:rPr>
                    <w:t>因子</w:t>
                  </w:r>
                </w:p>
              </w:tc>
              <w:tc>
                <w:tcPr>
                  <w:tcW w:w="1042" w:type="dxa"/>
                  <w:vAlign w:val="center"/>
                </w:tcPr>
                <w:p>
                  <w:pPr>
                    <w:jc w:val="center"/>
                    <w:rPr>
                      <w:szCs w:val="21"/>
                    </w:rPr>
                  </w:pPr>
                  <w:r>
                    <w:rPr>
                      <w:rFonts w:hint="eastAsia"/>
                      <w:szCs w:val="21"/>
                    </w:rPr>
                    <w:t>技改</w:t>
                  </w:r>
                  <w:r>
                    <w:rPr>
                      <w:szCs w:val="21"/>
                    </w:rPr>
                    <w:t>前</w:t>
                  </w:r>
                </w:p>
                <w:p>
                  <w:pPr>
                    <w:jc w:val="center"/>
                    <w:rPr>
                      <w:szCs w:val="21"/>
                    </w:rPr>
                  </w:pPr>
                  <w:r>
                    <w:rPr>
                      <w:szCs w:val="21"/>
                    </w:rPr>
                    <w:t>排放量</w:t>
                  </w:r>
                </w:p>
              </w:tc>
              <w:tc>
                <w:tcPr>
                  <w:tcW w:w="1144" w:type="dxa"/>
                  <w:vAlign w:val="center"/>
                </w:tcPr>
                <w:p>
                  <w:pPr>
                    <w:jc w:val="center"/>
                    <w:rPr>
                      <w:szCs w:val="21"/>
                    </w:rPr>
                  </w:pPr>
                  <w:r>
                    <w:rPr>
                      <w:spacing w:val="-18"/>
                      <w:szCs w:val="21"/>
                    </w:rPr>
                    <w:t>“</w:t>
                  </w:r>
                  <w:r>
                    <w:rPr>
                      <w:spacing w:val="-16"/>
                      <w:szCs w:val="21"/>
                    </w:rPr>
                    <w:t>以新带老”削减量</w:t>
                  </w:r>
                </w:p>
              </w:tc>
              <w:tc>
                <w:tcPr>
                  <w:tcW w:w="1072" w:type="dxa"/>
                  <w:vAlign w:val="center"/>
                </w:tcPr>
                <w:p>
                  <w:pPr>
                    <w:jc w:val="center"/>
                    <w:rPr>
                      <w:spacing w:val="-14"/>
                      <w:szCs w:val="21"/>
                    </w:rPr>
                  </w:pPr>
                  <w:r>
                    <w:rPr>
                      <w:rFonts w:hint="eastAsia"/>
                      <w:spacing w:val="-14"/>
                      <w:szCs w:val="21"/>
                    </w:rPr>
                    <w:t>技改项目排放量</w:t>
                  </w:r>
                </w:p>
              </w:tc>
              <w:tc>
                <w:tcPr>
                  <w:tcW w:w="1051" w:type="dxa"/>
                  <w:vAlign w:val="center"/>
                </w:tcPr>
                <w:p>
                  <w:pPr>
                    <w:jc w:val="center"/>
                    <w:rPr>
                      <w:szCs w:val="21"/>
                    </w:rPr>
                  </w:pPr>
                  <w:r>
                    <w:rPr>
                      <w:rFonts w:hint="eastAsia"/>
                      <w:szCs w:val="21"/>
                    </w:rPr>
                    <w:t>技改</w:t>
                  </w:r>
                  <w:r>
                    <w:rPr>
                      <w:szCs w:val="21"/>
                    </w:rPr>
                    <w:t>后</w:t>
                  </w:r>
                </w:p>
                <w:p>
                  <w:pPr>
                    <w:jc w:val="center"/>
                    <w:rPr>
                      <w:szCs w:val="21"/>
                    </w:rPr>
                  </w:pPr>
                  <w:r>
                    <w:rPr>
                      <w:szCs w:val="21"/>
                    </w:rPr>
                    <w:t>排放量</w:t>
                  </w:r>
                </w:p>
              </w:tc>
              <w:tc>
                <w:tcPr>
                  <w:tcW w:w="1057" w:type="dxa"/>
                  <w:vAlign w:val="center"/>
                </w:tcPr>
                <w:p>
                  <w:pPr>
                    <w:jc w:val="center"/>
                    <w:rPr>
                      <w:szCs w:val="21"/>
                    </w:rPr>
                  </w:pPr>
                  <w:r>
                    <w:rPr>
                      <w:rFonts w:hint="eastAsia"/>
                      <w:szCs w:val="21"/>
                    </w:rPr>
                    <w:t>增减</w:t>
                  </w:r>
                </w:p>
                <w:p>
                  <w:pPr>
                    <w:jc w:val="center"/>
                    <w:rPr>
                      <w:szCs w:val="21"/>
                    </w:rPr>
                  </w:pPr>
                  <w:r>
                    <w:rPr>
                      <w:rFonts w:hint="eastAsia"/>
                      <w:szCs w:val="21"/>
                    </w:rPr>
                    <w:t>排放量</w:t>
                  </w:r>
                </w:p>
              </w:tc>
              <w:tc>
                <w:tcPr>
                  <w:tcW w:w="1384" w:type="dxa"/>
                  <w:vAlign w:val="center"/>
                </w:tcPr>
                <w:p>
                  <w:pPr>
                    <w:jc w:val="center"/>
                    <w:rPr>
                      <w:spacing w:val="-14"/>
                      <w:szCs w:val="21"/>
                    </w:rPr>
                  </w:pPr>
                  <w:r>
                    <w:rPr>
                      <w:rFonts w:hint="eastAsia"/>
                      <w:spacing w:val="-14"/>
                      <w:szCs w:val="21"/>
                    </w:rPr>
                    <w:t>本环评建议总量控制指标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85" w:type="dxa"/>
                  <w:vMerge w:val="restart"/>
                  <w:vAlign w:val="center"/>
                </w:tcPr>
                <w:p>
                  <w:pPr>
                    <w:jc w:val="center"/>
                    <w:rPr>
                      <w:szCs w:val="21"/>
                    </w:rPr>
                  </w:pPr>
                  <w:r>
                    <w:rPr>
                      <w:szCs w:val="21"/>
                    </w:rPr>
                    <w:t>废气</w:t>
                  </w:r>
                </w:p>
              </w:tc>
              <w:tc>
                <w:tcPr>
                  <w:tcW w:w="964" w:type="dxa"/>
                  <w:vAlign w:val="center"/>
                </w:tcPr>
                <w:p>
                  <w:pPr>
                    <w:jc w:val="center"/>
                    <w:rPr>
                      <w:szCs w:val="21"/>
                    </w:rPr>
                  </w:pPr>
                  <w:r>
                    <w:rPr>
                      <w:szCs w:val="21"/>
                    </w:rPr>
                    <w:t>SO</w:t>
                  </w:r>
                  <w:r>
                    <w:rPr>
                      <w:szCs w:val="21"/>
                      <w:vertAlign w:val="subscript"/>
                    </w:rPr>
                    <w:t>2</w:t>
                  </w:r>
                </w:p>
              </w:tc>
              <w:tc>
                <w:tcPr>
                  <w:tcW w:w="1042" w:type="dxa"/>
                  <w:vAlign w:val="center"/>
                </w:tcPr>
                <w:p>
                  <w:pPr>
                    <w:jc w:val="center"/>
                    <w:rPr>
                      <w:szCs w:val="21"/>
                    </w:rPr>
                  </w:pPr>
                  <w:r>
                    <w:rPr>
                      <w:rFonts w:hint="eastAsia"/>
                      <w:szCs w:val="21"/>
                    </w:rPr>
                    <w:t>0</w:t>
                  </w:r>
                </w:p>
              </w:tc>
              <w:tc>
                <w:tcPr>
                  <w:tcW w:w="1144" w:type="dxa"/>
                  <w:vAlign w:val="center"/>
                </w:tcPr>
                <w:p>
                  <w:pPr>
                    <w:jc w:val="center"/>
                    <w:rPr>
                      <w:szCs w:val="21"/>
                    </w:rPr>
                  </w:pPr>
                  <w:r>
                    <w:rPr>
                      <w:rFonts w:hint="eastAsia"/>
                      <w:szCs w:val="21"/>
                    </w:rPr>
                    <w:t>0</w:t>
                  </w:r>
                </w:p>
              </w:tc>
              <w:tc>
                <w:tcPr>
                  <w:tcW w:w="1072" w:type="dxa"/>
                  <w:vAlign w:val="center"/>
                </w:tcPr>
                <w:p>
                  <w:pPr>
                    <w:jc w:val="center"/>
                    <w:rPr>
                      <w:szCs w:val="21"/>
                    </w:rPr>
                  </w:pPr>
                  <w:r>
                    <w:rPr>
                      <w:rFonts w:hint="eastAsia"/>
                      <w:szCs w:val="21"/>
                    </w:rPr>
                    <w:t>0</w:t>
                  </w:r>
                </w:p>
              </w:tc>
              <w:tc>
                <w:tcPr>
                  <w:tcW w:w="1051" w:type="dxa"/>
                  <w:vAlign w:val="center"/>
                </w:tcPr>
                <w:p>
                  <w:pPr>
                    <w:jc w:val="center"/>
                    <w:rPr>
                      <w:szCs w:val="21"/>
                    </w:rPr>
                  </w:pPr>
                  <w:r>
                    <w:rPr>
                      <w:rFonts w:hint="eastAsia"/>
                      <w:szCs w:val="21"/>
                    </w:rPr>
                    <w:t>0</w:t>
                  </w:r>
                </w:p>
              </w:tc>
              <w:tc>
                <w:tcPr>
                  <w:tcW w:w="1057" w:type="dxa"/>
                  <w:vAlign w:val="center"/>
                </w:tcPr>
                <w:p>
                  <w:pPr>
                    <w:jc w:val="center"/>
                    <w:rPr>
                      <w:szCs w:val="21"/>
                    </w:rPr>
                  </w:pPr>
                  <w:r>
                    <w:rPr>
                      <w:rFonts w:hint="eastAsia"/>
                      <w:szCs w:val="21"/>
                    </w:rPr>
                    <w:t>0</w:t>
                  </w:r>
                </w:p>
              </w:tc>
              <w:tc>
                <w:tcPr>
                  <w:tcW w:w="1384"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85" w:type="dxa"/>
                  <w:vMerge w:val="continue"/>
                  <w:vAlign w:val="center"/>
                </w:tcPr>
                <w:p>
                  <w:pPr>
                    <w:jc w:val="center"/>
                    <w:rPr>
                      <w:szCs w:val="21"/>
                    </w:rPr>
                  </w:pPr>
                </w:p>
              </w:tc>
              <w:tc>
                <w:tcPr>
                  <w:tcW w:w="964" w:type="dxa"/>
                  <w:vAlign w:val="center"/>
                </w:tcPr>
                <w:p>
                  <w:pPr>
                    <w:jc w:val="center"/>
                    <w:rPr>
                      <w:szCs w:val="21"/>
                    </w:rPr>
                  </w:pPr>
                  <w:r>
                    <w:rPr>
                      <w:rFonts w:hint="eastAsia"/>
                      <w:szCs w:val="21"/>
                    </w:rPr>
                    <w:t>NO</w:t>
                  </w:r>
                  <w:r>
                    <w:rPr>
                      <w:rFonts w:hint="eastAsia"/>
                      <w:szCs w:val="21"/>
                      <w:vertAlign w:val="subscript"/>
                    </w:rPr>
                    <w:t>X</w:t>
                  </w:r>
                </w:p>
              </w:tc>
              <w:tc>
                <w:tcPr>
                  <w:tcW w:w="1042" w:type="dxa"/>
                  <w:vAlign w:val="center"/>
                </w:tcPr>
                <w:p>
                  <w:pPr>
                    <w:jc w:val="center"/>
                    <w:rPr>
                      <w:szCs w:val="21"/>
                    </w:rPr>
                  </w:pPr>
                  <w:r>
                    <w:rPr>
                      <w:rFonts w:hint="eastAsia"/>
                      <w:szCs w:val="21"/>
                    </w:rPr>
                    <w:t>0</w:t>
                  </w:r>
                </w:p>
              </w:tc>
              <w:tc>
                <w:tcPr>
                  <w:tcW w:w="1144" w:type="dxa"/>
                  <w:vAlign w:val="center"/>
                </w:tcPr>
                <w:p>
                  <w:pPr>
                    <w:jc w:val="center"/>
                    <w:rPr>
                      <w:szCs w:val="21"/>
                    </w:rPr>
                  </w:pPr>
                  <w:r>
                    <w:rPr>
                      <w:rFonts w:hint="eastAsia"/>
                      <w:szCs w:val="21"/>
                    </w:rPr>
                    <w:t>0</w:t>
                  </w:r>
                </w:p>
              </w:tc>
              <w:tc>
                <w:tcPr>
                  <w:tcW w:w="1072" w:type="dxa"/>
                  <w:vAlign w:val="center"/>
                </w:tcPr>
                <w:p>
                  <w:pPr>
                    <w:jc w:val="center"/>
                    <w:rPr>
                      <w:szCs w:val="21"/>
                    </w:rPr>
                  </w:pPr>
                  <w:r>
                    <w:rPr>
                      <w:rFonts w:hint="eastAsia"/>
                      <w:szCs w:val="21"/>
                    </w:rPr>
                    <w:t>0</w:t>
                  </w:r>
                </w:p>
              </w:tc>
              <w:tc>
                <w:tcPr>
                  <w:tcW w:w="1051" w:type="dxa"/>
                  <w:vAlign w:val="center"/>
                </w:tcPr>
                <w:p>
                  <w:pPr>
                    <w:jc w:val="center"/>
                    <w:rPr>
                      <w:szCs w:val="21"/>
                    </w:rPr>
                  </w:pPr>
                  <w:r>
                    <w:rPr>
                      <w:rFonts w:hint="eastAsia"/>
                      <w:szCs w:val="21"/>
                    </w:rPr>
                    <w:t>0</w:t>
                  </w:r>
                </w:p>
              </w:tc>
              <w:tc>
                <w:tcPr>
                  <w:tcW w:w="1057" w:type="dxa"/>
                  <w:vAlign w:val="center"/>
                </w:tcPr>
                <w:p>
                  <w:pPr>
                    <w:jc w:val="center"/>
                    <w:rPr>
                      <w:szCs w:val="21"/>
                    </w:rPr>
                  </w:pPr>
                  <w:r>
                    <w:rPr>
                      <w:rFonts w:hint="eastAsia"/>
                      <w:szCs w:val="21"/>
                    </w:rPr>
                    <w:t>0</w:t>
                  </w:r>
                </w:p>
              </w:tc>
              <w:tc>
                <w:tcPr>
                  <w:tcW w:w="1384"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85" w:type="dxa"/>
                  <w:vMerge w:val="continue"/>
                  <w:vAlign w:val="center"/>
                </w:tcPr>
                <w:p>
                  <w:pPr>
                    <w:jc w:val="center"/>
                    <w:rPr>
                      <w:szCs w:val="21"/>
                    </w:rPr>
                  </w:pPr>
                </w:p>
              </w:tc>
              <w:tc>
                <w:tcPr>
                  <w:tcW w:w="964" w:type="dxa"/>
                  <w:vAlign w:val="center"/>
                </w:tcPr>
                <w:p>
                  <w:pPr>
                    <w:jc w:val="center"/>
                    <w:rPr>
                      <w:szCs w:val="21"/>
                    </w:rPr>
                  </w:pPr>
                  <w:r>
                    <w:rPr>
                      <w:rFonts w:hint="eastAsia"/>
                      <w:szCs w:val="21"/>
                    </w:rPr>
                    <w:t>VOCs</w:t>
                  </w:r>
                </w:p>
              </w:tc>
              <w:tc>
                <w:tcPr>
                  <w:tcW w:w="1042" w:type="dxa"/>
                  <w:vAlign w:val="center"/>
                </w:tcPr>
                <w:p>
                  <w:pPr>
                    <w:jc w:val="center"/>
                    <w:rPr>
                      <w:szCs w:val="21"/>
                    </w:rPr>
                  </w:pPr>
                  <w:r>
                    <w:rPr>
                      <w:rFonts w:hint="eastAsia"/>
                      <w:szCs w:val="21"/>
                    </w:rPr>
                    <w:t>0</w:t>
                  </w:r>
                </w:p>
              </w:tc>
              <w:tc>
                <w:tcPr>
                  <w:tcW w:w="1144" w:type="dxa"/>
                  <w:vAlign w:val="center"/>
                </w:tcPr>
                <w:p>
                  <w:pPr>
                    <w:jc w:val="center"/>
                    <w:rPr>
                      <w:szCs w:val="21"/>
                    </w:rPr>
                  </w:pPr>
                  <w:r>
                    <w:rPr>
                      <w:rFonts w:hint="eastAsia"/>
                      <w:szCs w:val="21"/>
                    </w:rPr>
                    <w:t>0</w:t>
                  </w:r>
                </w:p>
              </w:tc>
              <w:tc>
                <w:tcPr>
                  <w:tcW w:w="1072" w:type="dxa"/>
                  <w:vAlign w:val="center"/>
                </w:tcPr>
                <w:p>
                  <w:pPr>
                    <w:jc w:val="center"/>
                    <w:rPr>
                      <w:szCs w:val="21"/>
                    </w:rPr>
                  </w:pPr>
                  <w:r>
                    <w:rPr>
                      <w:rFonts w:hint="eastAsia"/>
                      <w:szCs w:val="21"/>
                    </w:rPr>
                    <w:t>3.840</w:t>
                  </w:r>
                </w:p>
              </w:tc>
              <w:tc>
                <w:tcPr>
                  <w:tcW w:w="1051" w:type="dxa"/>
                  <w:vAlign w:val="center"/>
                </w:tcPr>
                <w:p>
                  <w:pPr>
                    <w:jc w:val="center"/>
                    <w:rPr>
                      <w:szCs w:val="21"/>
                    </w:rPr>
                  </w:pPr>
                  <w:r>
                    <w:rPr>
                      <w:rFonts w:hint="eastAsia"/>
                      <w:szCs w:val="21"/>
                    </w:rPr>
                    <w:t>3.840</w:t>
                  </w:r>
                </w:p>
              </w:tc>
              <w:tc>
                <w:tcPr>
                  <w:tcW w:w="1057" w:type="dxa"/>
                  <w:vAlign w:val="center"/>
                </w:tcPr>
                <w:p>
                  <w:pPr>
                    <w:jc w:val="center"/>
                    <w:rPr>
                      <w:szCs w:val="21"/>
                    </w:rPr>
                  </w:pPr>
                  <w:r>
                    <w:rPr>
                      <w:rFonts w:hint="eastAsia"/>
                      <w:szCs w:val="21"/>
                    </w:rPr>
                    <w:t>+3.840</w:t>
                  </w:r>
                </w:p>
              </w:tc>
              <w:tc>
                <w:tcPr>
                  <w:tcW w:w="1384" w:type="dxa"/>
                  <w:vAlign w:val="center"/>
                </w:tcPr>
                <w:p>
                  <w:pPr>
                    <w:jc w:val="center"/>
                    <w:rPr>
                      <w:szCs w:val="21"/>
                    </w:rPr>
                  </w:pPr>
                  <w:r>
                    <w:rPr>
                      <w:rFonts w:hint="eastAsia"/>
                      <w:szCs w:val="21"/>
                    </w:rPr>
                    <w:t>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85" w:type="dxa"/>
                  <w:vMerge w:val="restart"/>
                  <w:vAlign w:val="center"/>
                </w:tcPr>
                <w:p>
                  <w:pPr>
                    <w:jc w:val="center"/>
                    <w:rPr>
                      <w:szCs w:val="21"/>
                    </w:rPr>
                  </w:pPr>
                  <w:r>
                    <w:rPr>
                      <w:rFonts w:hint="eastAsia"/>
                      <w:szCs w:val="21"/>
                    </w:rPr>
                    <w:t>废水</w:t>
                  </w:r>
                </w:p>
              </w:tc>
              <w:tc>
                <w:tcPr>
                  <w:tcW w:w="964" w:type="dxa"/>
                  <w:vAlign w:val="center"/>
                </w:tcPr>
                <w:p>
                  <w:pPr>
                    <w:jc w:val="center"/>
                    <w:rPr>
                      <w:szCs w:val="21"/>
                    </w:rPr>
                  </w:pPr>
                  <w:r>
                    <w:rPr>
                      <w:rFonts w:hint="eastAsia"/>
                      <w:szCs w:val="21"/>
                    </w:rPr>
                    <w:t>COD</w:t>
                  </w:r>
                </w:p>
              </w:tc>
              <w:tc>
                <w:tcPr>
                  <w:tcW w:w="1042" w:type="dxa"/>
                  <w:vAlign w:val="center"/>
                </w:tcPr>
                <w:p>
                  <w:pPr>
                    <w:jc w:val="center"/>
                    <w:rPr>
                      <w:szCs w:val="21"/>
                    </w:rPr>
                  </w:pPr>
                  <w:r>
                    <w:rPr>
                      <w:rFonts w:hint="eastAsia"/>
                      <w:szCs w:val="21"/>
                    </w:rPr>
                    <w:t>0</w:t>
                  </w:r>
                </w:p>
              </w:tc>
              <w:tc>
                <w:tcPr>
                  <w:tcW w:w="1144" w:type="dxa"/>
                  <w:vAlign w:val="center"/>
                </w:tcPr>
                <w:p>
                  <w:pPr>
                    <w:jc w:val="center"/>
                    <w:rPr>
                      <w:szCs w:val="21"/>
                    </w:rPr>
                  </w:pPr>
                  <w:r>
                    <w:rPr>
                      <w:rFonts w:hint="eastAsia"/>
                      <w:szCs w:val="21"/>
                    </w:rPr>
                    <w:t>0</w:t>
                  </w:r>
                </w:p>
              </w:tc>
              <w:tc>
                <w:tcPr>
                  <w:tcW w:w="1072" w:type="dxa"/>
                  <w:vAlign w:val="center"/>
                </w:tcPr>
                <w:p>
                  <w:pPr>
                    <w:jc w:val="center"/>
                    <w:rPr>
                      <w:szCs w:val="21"/>
                    </w:rPr>
                  </w:pPr>
                  <w:r>
                    <w:rPr>
                      <w:rFonts w:hint="eastAsia"/>
                      <w:szCs w:val="21"/>
                    </w:rPr>
                    <w:t>0</w:t>
                  </w:r>
                </w:p>
              </w:tc>
              <w:tc>
                <w:tcPr>
                  <w:tcW w:w="1051" w:type="dxa"/>
                  <w:vAlign w:val="center"/>
                </w:tcPr>
                <w:p>
                  <w:pPr>
                    <w:jc w:val="center"/>
                    <w:rPr>
                      <w:szCs w:val="21"/>
                    </w:rPr>
                  </w:pPr>
                  <w:r>
                    <w:rPr>
                      <w:rFonts w:hint="eastAsia"/>
                      <w:szCs w:val="21"/>
                    </w:rPr>
                    <w:t>0</w:t>
                  </w:r>
                </w:p>
              </w:tc>
              <w:tc>
                <w:tcPr>
                  <w:tcW w:w="1057" w:type="dxa"/>
                  <w:vAlign w:val="center"/>
                </w:tcPr>
                <w:p>
                  <w:pPr>
                    <w:jc w:val="center"/>
                    <w:rPr>
                      <w:szCs w:val="21"/>
                    </w:rPr>
                  </w:pPr>
                  <w:r>
                    <w:rPr>
                      <w:rFonts w:hint="eastAsia"/>
                      <w:szCs w:val="21"/>
                    </w:rPr>
                    <w:t>0</w:t>
                  </w:r>
                </w:p>
              </w:tc>
              <w:tc>
                <w:tcPr>
                  <w:tcW w:w="1384"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85" w:type="dxa"/>
                  <w:vMerge w:val="continue"/>
                  <w:vAlign w:val="center"/>
                </w:tcPr>
                <w:p>
                  <w:pPr>
                    <w:jc w:val="center"/>
                    <w:rPr>
                      <w:szCs w:val="21"/>
                    </w:rPr>
                  </w:pPr>
                </w:p>
              </w:tc>
              <w:tc>
                <w:tcPr>
                  <w:tcW w:w="964" w:type="dxa"/>
                  <w:vAlign w:val="center"/>
                </w:tcPr>
                <w:p>
                  <w:pPr>
                    <w:jc w:val="center"/>
                    <w:rPr>
                      <w:szCs w:val="21"/>
                    </w:rPr>
                  </w:pPr>
                  <w:r>
                    <w:rPr>
                      <w:rFonts w:hint="eastAsia"/>
                      <w:szCs w:val="21"/>
                    </w:rPr>
                    <w:t>氨氮</w:t>
                  </w:r>
                </w:p>
              </w:tc>
              <w:tc>
                <w:tcPr>
                  <w:tcW w:w="1042" w:type="dxa"/>
                  <w:vAlign w:val="center"/>
                </w:tcPr>
                <w:p>
                  <w:pPr>
                    <w:jc w:val="center"/>
                    <w:rPr>
                      <w:szCs w:val="21"/>
                    </w:rPr>
                  </w:pPr>
                  <w:r>
                    <w:rPr>
                      <w:rFonts w:hint="eastAsia"/>
                      <w:szCs w:val="21"/>
                    </w:rPr>
                    <w:t>0</w:t>
                  </w:r>
                </w:p>
              </w:tc>
              <w:tc>
                <w:tcPr>
                  <w:tcW w:w="1144" w:type="dxa"/>
                  <w:vAlign w:val="center"/>
                </w:tcPr>
                <w:p>
                  <w:pPr>
                    <w:jc w:val="center"/>
                    <w:rPr>
                      <w:szCs w:val="21"/>
                    </w:rPr>
                  </w:pPr>
                  <w:r>
                    <w:rPr>
                      <w:rFonts w:hint="eastAsia"/>
                      <w:szCs w:val="21"/>
                    </w:rPr>
                    <w:t>0</w:t>
                  </w:r>
                </w:p>
              </w:tc>
              <w:tc>
                <w:tcPr>
                  <w:tcW w:w="1072" w:type="dxa"/>
                  <w:vAlign w:val="center"/>
                </w:tcPr>
                <w:p>
                  <w:pPr>
                    <w:jc w:val="center"/>
                    <w:rPr>
                      <w:szCs w:val="21"/>
                    </w:rPr>
                  </w:pPr>
                  <w:r>
                    <w:rPr>
                      <w:rFonts w:hint="eastAsia"/>
                      <w:szCs w:val="21"/>
                    </w:rPr>
                    <w:t>0</w:t>
                  </w:r>
                </w:p>
              </w:tc>
              <w:tc>
                <w:tcPr>
                  <w:tcW w:w="1051" w:type="dxa"/>
                  <w:vAlign w:val="center"/>
                </w:tcPr>
                <w:p>
                  <w:pPr>
                    <w:jc w:val="center"/>
                    <w:rPr>
                      <w:szCs w:val="21"/>
                    </w:rPr>
                  </w:pPr>
                  <w:r>
                    <w:rPr>
                      <w:rFonts w:hint="eastAsia"/>
                      <w:szCs w:val="21"/>
                    </w:rPr>
                    <w:t>0</w:t>
                  </w:r>
                </w:p>
              </w:tc>
              <w:tc>
                <w:tcPr>
                  <w:tcW w:w="1057" w:type="dxa"/>
                  <w:vAlign w:val="center"/>
                </w:tcPr>
                <w:p>
                  <w:pPr>
                    <w:jc w:val="center"/>
                    <w:rPr>
                      <w:szCs w:val="21"/>
                    </w:rPr>
                  </w:pPr>
                  <w:r>
                    <w:rPr>
                      <w:rFonts w:hint="eastAsia"/>
                      <w:szCs w:val="21"/>
                    </w:rPr>
                    <w:t>0</w:t>
                  </w:r>
                </w:p>
              </w:tc>
              <w:tc>
                <w:tcPr>
                  <w:tcW w:w="1384" w:type="dxa"/>
                  <w:vAlign w:val="center"/>
                </w:tcPr>
                <w:p>
                  <w:pPr>
                    <w:jc w:val="center"/>
                    <w:rPr>
                      <w:szCs w:val="21"/>
                    </w:rPr>
                  </w:pPr>
                  <w:r>
                    <w:rPr>
                      <w:rFonts w:hint="eastAsia"/>
                      <w:szCs w:val="21"/>
                    </w:rPr>
                    <w:t>0</w:t>
                  </w:r>
                </w:p>
              </w:tc>
            </w:tr>
          </w:tbl>
          <w:p>
            <w:pPr>
              <w:pStyle w:val="6"/>
              <w:spacing w:line="340" w:lineRule="exact"/>
              <w:ind w:firstLine="0"/>
              <w:rPr>
                <w:color w:val="0000FF"/>
                <w:sz w:val="24"/>
              </w:rPr>
            </w:pPr>
          </w:p>
          <w:p>
            <w:pPr>
              <w:pStyle w:val="6"/>
              <w:spacing w:line="340" w:lineRule="exact"/>
              <w:ind w:firstLine="0"/>
              <w:rPr>
                <w:color w:val="0000FF"/>
                <w:sz w:val="24"/>
              </w:rPr>
            </w:pPr>
          </w:p>
          <w:p>
            <w:pPr>
              <w:pStyle w:val="6"/>
              <w:spacing w:line="340" w:lineRule="exact"/>
              <w:ind w:firstLine="0"/>
              <w:rPr>
                <w:color w:val="0000FF"/>
                <w:sz w:val="24"/>
              </w:rPr>
            </w:pPr>
          </w:p>
          <w:p>
            <w:pPr>
              <w:pStyle w:val="6"/>
              <w:spacing w:line="340" w:lineRule="exact"/>
              <w:ind w:firstLine="0"/>
              <w:rPr>
                <w:color w:val="0000FF"/>
                <w:sz w:val="24"/>
              </w:rPr>
            </w:pPr>
          </w:p>
          <w:p>
            <w:pPr>
              <w:pStyle w:val="6"/>
              <w:spacing w:line="340" w:lineRule="exact"/>
              <w:ind w:firstLine="0"/>
              <w:rPr>
                <w:color w:val="0000FF"/>
                <w:sz w:val="24"/>
              </w:rPr>
            </w:pPr>
          </w:p>
          <w:p>
            <w:pPr>
              <w:pStyle w:val="6"/>
              <w:spacing w:line="340" w:lineRule="exact"/>
              <w:ind w:firstLine="0"/>
              <w:rPr>
                <w:color w:val="0000FF"/>
                <w:sz w:val="24"/>
              </w:rPr>
            </w:pPr>
          </w:p>
          <w:p>
            <w:pPr>
              <w:pStyle w:val="6"/>
              <w:spacing w:line="340" w:lineRule="exact"/>
              <w:ind w:firstLine="0"/>
              <w:rPr>
                <w:color w:val="0000FF"/>
                <w:sz w:val="24"/>
              </w:rPr>
            </w:pPr>
          </w:p>
          <w:p>
            <w:pPr>
              <w:pStyle w:val="6"/>
              <w:spacing w:line="340" w:lineRule="exact"/>
              <w:ind w:firstLine="0"/>
              <w:rPr>
                <w:color w:val="0000FF"/>
                <w:sz w:val="24"/>
              </w:rPr>
            </w:pPr>
          </w:p>
          <w:p>
            <w:pPr>
              <w:pStyle w:val="6"/>
              <w:spacing w:line="340" w:lineRule="exact"/>
              <w:ind w:firstLine="0"/>
              <w:rPr>
                <w:color w:val="0000FF"/>
                <w:sz w:val="24"/>
              </w:rPr>
            </w:pPr>
          </w:p>
          <w:p>
            <w:pPr>
              <w:pStyle w:val="6"/>
              <w:spacing w:line="340" w:lineRule="exact"/>
              <w:ind w:firstLine="0"/>
              <w:rPr>
                <w:color w:val="0000FF"/>
                <w:sz w:val="24"/>
              </w:rPr>
            </w:pPr>
          </w:p>
          <w:p>
            <w:pPr>
              <w:pStyle w:val="6"/>
              <w:spacing w:line="340" w:lineRule="exact"/>
              <w:ind w:firstLine="0"/>
              <w:rPr>
                <w:color w:val="0000FF"/>
                <w:sz w:val="24"/>
              </w:rPr>
            </w:pPr>
          </w:p>
          <w:p>
            <w:pPr>
              <w:pStyle w:val="6"/>
              <w:spacing w:line="340" w:lineRule="exact"/>
              <w:ind w:firstLine="0"/>
              <w:rPr>
                <w:color w:val="0000FF"/>
                <w:sz w:val="24"/>
              </w:rPr>
            </w:pPr>
          </w:p>
          <w:p>
            <w:pPr>
              <w:pStyle w:val="6"/>
              <w:spacing w:line="340" w:lineRule="exact"/>
              <w:ind w:firstLine="0"/>
              <w:rPr>
                <w:color w:val="0000FF"/>
                <w:sz w:val="24"/>
              </w:rPr>
            </w:pPr>
          </w:p>
          <w:p>
            <w:pPr>
              <w:pStyle w:val="6"/>
              <w:spacing w:line="340" w:lineRule="exact"/>
              <w:ind w:firstLine="0"/>
              <w:rPr>
                <w:color w:val="0000FF"/>
                <w:sz w:val="24"/>
              </w:rPr>
            </w:pPr>
          </w:p>
        </w:tc>
      </w:tr>
    </w:tbl>
    <w:p>
      <w:pPr>
        <w:outlineLvl w:val="0"/>
        <w:rPr>
          <w:rFonts w:eastAsia="黑体"/>
          <w:b/>
          <w:bCs/>
          <w:color w:val="0000FF"/>
          <w:sz w:val="32"/>
        </w:rPr>
      </w:pPr>
      <w:r>
        <w:rPr>
          <w:rFonts w:eastAsia="黑体"/>
          <w:b/>
          <w:bCs/>
          <w:color w:val="0000FF"/>
          <w:sz w:val="32"/>
        </w:rPr>
        <w:br w:type="page"/>
      </w:r>
      <w:r>
        <w:rPr>
          <w:rFonts w:eastAsia="黑体"/>
          <w:b/>
          <w:bCs/>
          <w:sz w:val="32"/>
        </w:rPr>
        <w:t>建设项目工程分析</w:t>
      </w:r>
    </w:p>
    <w:tbl>
      <w:tblPr>
        <w:tblStyle w:val="3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9" w:type="dxa"/>
          </w:tcPr>
          <w:p>
            <w:pPr>
              <w:spacing w:line="360" w:lineRule="auto"/>
              <w:jc w:val="left"/>
              <w:rPr>
                <w:rFonts w:ascii="宋体" w:hAnsi="宋体"/>
                <w:b/>
                <w:sz w:val="28"/>
              </w:rPr>
            </w:pPr>
            <w:r>
              <w:rPr>
                <w:rFonts w:hint="eastAsia" w:ascii="宋体" w:hAnsi="宋体"/>
                <w:b/>
                <w:sz w:val="28"/>
              </w:rPr>
              <w:t>工艺流程简述(图示)：</w:t>
            </w:r>
          </w:p>
          <w:p>
            <w:pPr>
              <w:tabs>
                <w:tab w:val="left" w:pos="9072"/>
              </w:tabs>
              <w:spacing w:line="360" w:lineRule="auto"/>
              <w:ind w:firstLine="480" w:firstLineChars="200"/>
              <w:rPr>
                <w:bCs/>
                <w:sz w:val="24"/>
              </w:rPr>
            </w:pPr>
            <w:r>
              <w:rPr>
                <w:rFonts w:hint="eastAsia"/>
                <w:bCs/>
                <w:sz w:val="24"/>
              </w:rPr>
              <w:t>（1）</w:t>
            </w:r>
            <w:commentRangeStart w:id="4"/>
            <w:r>
              <w:rPr>
                <w:rFonts w:hint="eastAsia"/>
                <w:bCs/>
                <w:sz w:val="24"/>
              </w:rPr>
              <w:t>技改前项目生产工艺</w:t>
            </w:r>
            <w:commentRangeEnd w:id="4"/>
            <w:r>
              <w:rPr>
                <w:rStyle w:val="45"/>
              </w:rPr>
              <w:commentReference w:id="4"/>
            </w:r>
          </w:p>
          <w:tbl>
            <w:tblPr>
              <w:tblStyle w:val="32"/>
              <w:tblW w:w="89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53" w:type="dxa"/>
                </w:tcPr>
                <w:p>
                  <w:pPr>
                    <w:tabs>
                      <w:tab w:val="left" w:pos="9072"/>
                    </w:tabs>
                    <w:spacing w:line="360" w:lineRule="auto"/>
                    <w:rPr>
                      <w:bCs/>
                      <w:color w:val="0000FF"/>
                      <w:sz w:val="24"/>
                      <w:vertAlign w:val="baseline"/>
                    </w:rPr>
                  </w:pPr>
                  <w:r>
                    <w:rPr>
                      <w:color w:val="auto"/>
                      <w:sz w:val="24"/>
                    </w:rPr>
                    <mc:AlternateContent>
                      <mc:Choice Requires="wpg">
                        <w:drawing>
                          <wp:anchor distT="0" distB="0" distL="114300" distR="114300" simplePos="0" relativeHeight="251664384" behindDoc="0" locked="0" layoutInCell="1" allowOverlap="1">
                            <wp:simplePos x="0" y="0"/>
                            <wp:positionH relativeFrom="column">
                              <wp:posOffset>-6350</wp:posOffset>
                            </wp:positionH>
                            <wp:positionV relativeFrom="paragraph">
                              <wp:posOffset>234315</wp:posOffset>
                            </wp:positionV>
                            <wp:extent cx="5610860" cy="1668145"/>
                            <wp:effectExtent l="4445" t="4445" r="23495" b="22860"/>
                            <wp:wrapNone/>
                            <wp:docPr id="74" name="组合 24"/>
                            <wp:cNvGraphicFramePr/>
                            <a:graphic xmlns:a="http://schemas.openxmlformats.org/drawingml/2006/main">
                              <a:graphicData uri="http://schemas.microsoft.com/office/word/2010/wordprocessingGroup">
                                <wpg:wgp>
                                  <wpg:cNvGrpSpPr/>
                                  <wpg:grpSpPr>
                                    <a:xfrm>
                                      <a:off x="1021080" y="1933575"/>
                                      <a:ext cx="5610860" cy="1668145"/>
                                      <a:chOff x="5490" y="2235"/>
                                      <a:chExt cx="8836" cy="2627"/>
                                    </a:xfrm>
                                    <a:effectLst/>
                                  </wpg:grpSpPr>
                                  <wpg:grpSp>
                                    <wpg:cNvPr id="68" name="组合 18"/>
                                    <wpg:cNvGrpSpPr/>
                                    <wpg:grpSpPr>
                                      <a:xfrm>
                                        <a:off x="5490" y="2235"/>
                                        <a:ext cx="8836" cy="2627"/>
                                        <a:chOff x="5490" y="2235"/>
                                        <a:chExt cx="8836" cy="2627"/>
                                      </a:xfrm>
                                      <a:effectLst/>
                                    </wpg:grpSpPr>
                                    <wps:wsp>
                                      <wps:cNvPr id="53" name="文本框 2"/>
                                      <wps:cNvSpPr txBox="1"/>
                                      <wps:spPr>
                                        <a:xfrm>
                                          <a:off x="5490" y="3870"/>
                                          <a:ext cx="1382" cy="936"/>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lang w:val="en-US" w:eastAsia="zh-CN"/>
                                              </w:rPr>
                                            </w:pPr>
                                            <w:r>
                                              <w:rPr>
                                                <w:rFonts w:hint="eastAsia" w:eastAsia="宋体"/>
                                                <w:lang w:val="en-US" w:eastAsia="zh-CN"/>
                                              </w:rPr>
                                              <w:t>钢材</w:t>
                                            </w:r>
                                          </w:p>
                                          <w:p>
                                            <w:pPr>
                                              <w:pStyle w:val="48"/>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外协件</w:t>
                                            </w:r>
                                          </w:p>
                                          <w:p>
                                            <w:pPr>
                                              <w:pStyle w:val="48"/>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外购件</w:t>
                                            </w:r>
                                          </w:p>
                                        </w:txbxContent>
                                      </wps:txbx>
                                      <wps:bodyPr vert="horz" wrap="square" anchor="t" upright="1"/>
                                    </wps:wsp>
                                    <wps:wsp>
                                      <wps:cNvPr id="54" name="文本框 3"/>
                                      <wps:cNvSpPr txBox="1"/>
                                      <wps:spPr>
                                        <a:xfrm>
                                          <a:off x="7530" y="4005"/>
                                          <a:ext cx="527" cy="665"/>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lang w:val="en-US" w:eastAsia="zh-CN"/>
                                              </w:rPr>
                                            </w:pPr>
                                            <w:r>
                                              <w:rPr>
                                                <w:rFonts w:hint="eastAsia"/>
                                                <w:lang w:val="en-US" w:eastAsia="zh-CN"/>
                                              </w:rPr>
                                              <w:t>下料</w:t>
                                            </w:r>
                                          </w:p>
                                        </w:txbxContent>
                                      </wps:txbx>
                                      <wps:bodyPr vert="horz" wrap="square" anchor="t" upright="1"/>
                                    </wps:wsp>
                                    <wps:wsp>
                                      <wps:cNvPr id="55" name="文本框 3"/>
                                      <wps:cNvSpPr txBox="1"/>
                                      <wps:spPr>
                                        <a:xfrm>
                                          <a:off x="8730" y="3825"/>
                                          <a:ext cx="587" cy="860"/>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lang w:val="en-US" w:eastAsia="zh-CN"/>
                                              </w:rPr>
                                            </w:pPr>
                                            <w:r>
                                              <w:rPr>
                                                <w:rFonts w:hint="eastAsia"/>
                                                <w:lang w:val="en-US" w:eastAsia="zh-CN"/>
                                              </w:rPr>
                                              <w:t>机加工</w:t>
                                            </w:r>
                                          </w:p>
                                        </w:txbxContent>
                                      </wps:txbx>
                                      <wps:bodyPr vert="horz" wrap="square" anchor="t" upright="1"/>
                                    </wps:wsp>
                                    <wps:wsp>
                                      <wps:cNvPr id="56" name="文本框 3"/>
                                      <wps:cNvSpPr txBox="1"/>
                                      <wps:spPr>
                                        <a:xfrm>
                                          <a:off x="10080" y="3705"/>
                                          <a:ext cx="602" cy="1113"/>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lang w:val="en-US" w:eastAsia="zh-CN"/>
                                              </w:rPr>
                                            </w:pPr>
                                            <w:r>
                                              <w:rPr>
                                                <w:rFonts w:hint="eastAsia"/>
                                                <w:lang w:val="en-US" w:eastAsia="zh-CN"/>
                                              </w:rPr>
                                              <w:t>零件入库</w:t>
                                            </w:r>
                                          </w:p>
                                        </w:txbxContent>
                                      </wps:txbx>
                                      <wps:bodyPr vert="horz" wrap="square" anchor="t" upright="1"/>
                                    </wps:wsp>
                                    <wps:wsp>
                                      <wps:cNvPr id="57" name="文本框 3"/>
                                      <wps:cNvSpPr txBox="1"/>
                                      <wps:spPr>
                                        <a:xfrm>
                                          <a:off x="11325" y="3750"/>
                                          <a:ext cx="602" cy="1113"/>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lang w:val="en-US" w:eastAsia="zh-CN"/>
                                              </w:rPr>
                                            </w:pPr>
                                            <w:r>
                                              <w:rPr>
                                                <w:rFonts w:hint="eastAsia"/>
                                                <w:lang w:val="en-US" w:eastAsia="zh-CN"/>
                                              </w:rPr>
                                              <w:t>总装调试</w:t>
                                            </w:r>
                                          </w:p>
                                        </w:txbxContent>
                                      </wps:txbx>
                                      <wps:bodyPr vert="horz" wrap="square" anchor="t" upright="1"/>
                                    </wps:wsp>
                                    <wps:wsp>
                                      <wps:cNvPr id="58" name="文本框 3"/>
                                      <wps:cNvSpPr txBox="1"/>
                                      <wps:spPr>
                                        <a:xfrm>
                                          <a:off x="12555" y="3750"/>
                                          <a:ext cx="602" cy="1113"/>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lang w:val="en-US" w:eastAsia="zh-CN"/>
                                              </w:rPr>
                                            </w:pPr>
                                            <w:r>
                                              <w:rPr>
                                                <w:rFonts w:hint="eastAsia"/>
                                                <w:lang w:val="en-US" w:eastAsia="zh-CN"/>
                                              </w:rPr>
                                              <w:t>产品入库</w:t>
                                            </w:r>
                                          </w:p>
                                        </w:txbxContent>
                                      </wps:txbx>
                                      <wps:bodyPr vert="horz" wrap="square" anchor="t" upright="1"/>
                                    </wps:wsp>
                                    <wps:wsp>
                                      <wps:cNvPr id="59" name="文本框 3"/>
                                      <wps:cNvSpPr txBox="1"/>
                                      <wps:spPr>
                                        <a:xfrm>
                                          <a:off x="10065" y="2235"/>
                                          <a:ext cx="527" cy="665"/>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lang w:val="en-US" w:eastAsia="zh-CN"/>
                                              </w:rPr>
                                            </w:pPr>
                                            <w:r>
                                              <w:rPr>
                                                <w:rFonts w:hint="eastAsia"/>
                                                <w:lang w:val="en-US" w:eastAsia="zh-CN"/>
                                              </w:rPr>
                                              <w:t>焊接</w:t>
                                            </w:r>
                                          </w:p>
                                        </w:txbxContent>
                                      </wps:txbx>
                                      <wps:bodyPr vert="horz" wrap="square" anchor="t" upright="1"/>
                                    </wps:wsp>
                                    <wps:wsp>
                                      <wps:cNvPr id="60" name="直接箭头连接符 8"/>
                                      <wps:cNvCnPr>
                                        <a:stCxn id="53" idx="3"/>
                                        <a:endCxn id="54" idx="1"/>
                                      </wps:cNvCnPr>
                                      <wps:spPr>
                                        <a:xfrm>
                                          <a:off x="6872" y="4338"/>
                                          <a:ext cx="658" cy="0"/>
                                        </a:xfrm>
                                        <a:prstGeom prst="straightConnector1">
                                          <a:avLst/>
                                        </a:prstGeom>
                                        <a:ln w="9525" cap="flat" cmpd="sng">
                                          <a:solidFill>
                                            <a:srgbClr val="000000"/>
                                          </a:solidFill>
                                          <a:prstDash val="solid"/>
                                          <a:round/>
                                          <a:headEnd type="none" w="med" len="med"/>
                                          <a:tailEnd type="triangle" w="med" len="med"/>
                                        </a:ln>
                                        <a:effectLst/>
                                      </wps:spPr>
                                      <wps:bodyPr/>
                                    </wps:wsp>
                                    <wps:wsp>
                                      <wps:cNvPr id="61" name="直接箭头连接符 9"/>
                                      <wps:cNvCnPr>
                                        <a:stCxn id="53" idx="3"/>
                                        <a:endCxn id="54" idx="1"/>
                                      </wps:cNvCnPr>
                                      <wps:spPr>
                                        <a:xfrm>
                                          <a:off x="8042" y="4338"/>
                                          <a:ext cx="658" cy="0"/>
                                        </a:xfrm>
                                        <a:prstGeom prst="straightConnector1">
                                          <a:avLst/>
                                        </a:prstGeom>
                                        <a:ln w="9525" cap="flat" cmpd="sng">
                                          <a:solidFill>
                                            <a:srgbClr val="000000"/>
                                          </a:solidFill>
                                          <a:prstDash val="solid"/>
                                          <a:round/>
                                          <a:headEnd type="none" w="med" len="med"/>
                                          <a:tailEnd type="triangle" w="med" len="med"/>
                                        </a:ln>
                                        <a:effectLst/>
                                      </wps:spPr>
                                      <wps:bodyPr/>
                                    </wps:wsp>
                                    <wps:wsp>
                                      <wps:cNvPr id="62" name="直接箭头连接符 10"/>
                                      <wps:cNvCnPr>
                                        <a:stCxn id="53" idx="3"/>
                                        <a:endCxn id="54" idx="1"/>
                                      </wps:cNvCnPr>
                                      <wps:spPr>
                                        <a:xfrm>
                                          <a:off x="9347" y="4323"/>
                                          <a:ext cx="680" cy="0"/>
                                        </a:xfrm>
                                        <a:prstGeom prst="straightConnector1">
                                          <a:avLst/>
                                        </a:prstGeom>
                                        <a:ln w="9525" cap="flat" cmpd="sng">
                                          <a:solidFill>
                                            <a:srgbClr val="000000"/>
                                          </a:solidFill>
                                          <a:prstDash val="solid"/>
                                          <a:round/>
                                          <a:headEnd type="none" w="med" len="med"/>
                                          <a:tailEnd type="triangle" w="med" len="med"/>
                                        </a:ln>
                                        <a:effectLst/>
                                      </wps:spPr>
                                      <wps:bodyPr/>
                                    </wps:wsp>
                                    <wps:wsp>
                                      <wps:cNvPr id="63" name="直接箭头连接符 11"/>
                                      <wps:cNvCnPr>
                                        <a:stCxn id="53" idx="3"/>
                                        <a:endCxn id="54" idx="1"/>
                                      </wps:cNvCnPr>
                                      <wps:spPr>
                                        <a:xfrm>
                                          <a:off x="10682" y="4338"/>
                                          <a:ext cx="658" cy="0"/>
                                        </a:xfrm>
                                        <a:prstGeom prst="straightConnector1">
                                          <a:avLst/>
                                        </a:prstGeom>
                                        <a:ln w="9525" cap="flat" cmpd="sng">
                                          <a:solidFill>
                                            <a:srgbClr val="000000"/>
                                          </a:solidFill>
                                          <a:prstDash val="solid"/>
                                          <a:round/>
                                          <a:headEnd type="none" w="med" len="med"/>
                                          <a:tailEnd type="triangle" w="med" len="med"/>
                                        </a:ln>
                                        <a:effectLst/>
                                      </wps:spPr>
                                      <wps:bodyPr/>
                                    </wps:wsp>
                                    <wps:wsp>
                                      <wps:cNvPr id="64" name="直接箭头连接符 12"/>
                                      <wps:cNvCnPr>
                                        <a:stCxn id="53" idx="3"/>
                                        <a:endCxn id="54" idx="1"/>
                                      </wps:cNvCnPr>
                                      <wps:spPr>
                                        <a:xfrm>
                                          <a:off x="11942" y="4353"/>
                                          <a:ext cx="658" cy="0"/>
                                        </a:xfrm>
                                        <a:prstGeom prst="straightConnector1">
                                          <a:avLst/>
                                        </a:prstGeom>
                                        <a:ln w="9525" cap="flat" cmpd="sng">
                                          <a:solidFill>
                                            <a:srgbClr val="000000"/>
                                          </a:solidFill>
                                          <a:prstDash val="solid"/>
                                          <a:round/>
                                          <a:headEnd type="none" w="med" len="med"/>
                                          <a:tailEnd type="triangle" w="med" len="med"/>
                                        </a:ln>
                                        <a:effectLst/>
                                      </wps:spPr>
                                      <wps:bodyPr/>
                                    </wps:wsp>
                                    <wps:wsp>
                                      <wps:cNvPr id="65" name="直接箭头连接符 13"/>
                                      <wps:cNvCnPr>
                                        <a:stCxn id="53" idx="3"/>
                                        <a:endCxn id="54" idx="1"/>
                                      </wps:cNvCnPr>
                                      <wps:spPr>
                                        <a:xfrm flipV="1">
                                          <a:off x="10365" y="2883"/>
                                          <a:ext cx="0" cy="850"/>
                                        </a:xfrm>
                                        <a:prstGeom prst="straightConnector1">
                                          <a:avLst/>
                                        </a:prstGeom>
                                        <a:ln w="9525" cap="flat" cmpd="sng">
                                          <a:solidFill>
                                            <a:srgbClr val="000000"/>
                                          </a:solidFill>
                                          <a:prstDash val="solid"/>
                                          <a:round/>
                                          <a:headEnd type="none" w="med" len="med"/>
                                          <a:tailEnd type="triangle" w="med" len="med"/>
                                        </a:ln>
                                        <a:effectLst/>
                                      </wps:spPr>
                                      <wps:bodyPr/>
                                    </wps:wsp>
                                    <wps:wsp>
                                      <wps:cNvPr id="66" name="文本框 3"/>
                                      <wps:cNvSpPr txBox="1"/>
                                      <wps:spPr>
                                        <a:xfrm>
                                          <a:off x="13800" y="4050"/>
                                          <a:ext cx="527" cy="665"/>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lang w:val="en-US" w:eastAsia="zh-CN"/>
                                              </w:rPr>
                                            </w:pPr>
                                            <w:r>
                                              <w:rPr>
                                                <w:rFonts w:hint="eastAsia"/>
                                                <w:lang w:val="en-US" w:eastAsia="zh-CN"/>
                                              </w:rPr>
                                              <w:t>销售</w:t>
                                            </w:r>
                                          </w:p>
                                        </w:txbxContent>
                                      </wps:txbx>
                                      <wps:bodyPr vert="horz" wrap="square" anchor="t" upright="1"/>
                                    </wps:wsp>
                                    <wps:wsp>
                                      <wps:cNvPr id="67" name="直接箭头连接符 17"/>
                                      <wps:cNvCnPr>
                                        <a:stCxn id="53" idx="3"/>
                                        <a:endCxn id="54" idx="1"/>
                                      </wps:cNvCnPr>
                                      <wps:spPr>
                                        <a:xfrm>
                                          <a:off x="13157" y="4353"/>
                                          <a:ext cx="658" cy="0"/>
                                        </a:xfrm>
                                        <a:prstGeom prst="straightConnector1">
                                          <a:avLst/>
                                        </a:prstGeom>
                                        <a:ln w="9525" cap="flat" cmpd="sng">
                                          <a:solidFill>
                                            <a:srgbClr val="000000"/>
                                          </a:solidFill>
                                          <a:prstDash val="solid"/>
                                          <a:round/>
                                          <a:headEnd type="none" w="med" len="med"/>
                                          <a:tailEnd type="triangle" w="med" len="med"/>
                                        </a:ln>
                                        <a:effectLst/>
                                      </wps:spPr>
                                      <wps:bodyPr/>
                                    </wps:wsp>
                                  </wpg:grpSp>
                                  <wps:wsp>
                                    <wps:cNvPr id="69" name="直接箭头连接符 19"/>
                                    <wps:cNvCnPr>
                                      <a:stCxn id="55" idx="0"/>
                                      <a:endCxn id="54" idx="1"/>
                                    </wps:cNvCnPr>
                                    <wps:spPr>
                                      <a:xfrm flipH="1" flipV="1">
                                        <a:off x="8985" y="2805"/>
                                        <a:ext cx="1" cy="1020"/>
                                      </a:xfrm>
                                      <a:prstGeom prst="straightConnector1">
                                        <a:avLst/>
                                      </a:prstGeom>
                                      <a:ln w="12700" cap="flat" cmpd="sng">
                                        <a:solidFill>
                                          <a:srgbClr val="000000"/>
                                        </a:solidFill>
                                        <a:prstDash val="solid"/>
                                        <a:round/>
                                        <a:headEnd type="none" w="med" len="med"/>
                                        <a:tailEnd type="none" w="med" len="med"/>
                                      </a:ln>
                                      <a:effectLst/>
                                    </wps:spPr>
                                    <wps:bodyPr/>
                                  </wps:wsp>
                                  <wps:wsp>
                                    <wps:cNvPr id="70" name="直接箭头连接符 20"/>
                                    <wps:cNvCnPr>
                                      <a:stCxn id="55" idx="0"/>
                                      <a:endCxn id="54" idx="1"/>
                                    </wps:cNvCnPr>
                                    <wps:spPr>
                                      <a:xfrm>
                                        <a:off x="9000" y="2820"/>
                                        <a:ext cx="1077" cy="0"/>
                                      </a:xfrm>
                                      <a:prstGeom prst="straightConnector1">
                                        <a:avLst/>
                                      </a:prstGeom>
                                      <a:ln w="9525" cap="flat" cmpd="sng">
                                        <a:solidFill>
                                          <a:srgbClr val="000000"/>
                                        </a:solidFill>
                                        <a:prstDash val="solid"/>
                                        <a:round/>
                                        <a:headEnd type="none" w="med" len="med"/>
                                        <a:tailEnd type="triangle" w="med" len="med"/>
                                      </a:ln>
                                      <a:effectLst/>
                                    </wps:spPr>
                                    <wps:bodyPr/>
                                  </wps:wsp>
                                  <wps:wsp>
                                    <wps:cNvPr id="71" name="直接箭头连接符 21"/>
                                    <wps:cNvCnPr>
                                      <a:stCxn id="55" idx="0"/>
                                      <a:endCxn id="54" idx="1"/>
                                    </wps:cNvCnPr>
                                    <wps:spPr>
                                      <a:xfrm>
                                        <a:off x="10576" y="2808"/>
                                        <a:ext cx="2294" cy="15"/>
                                      </a:xfrm>
                                      <a:prstGeom prst="straightConnector1">
                                        <a:avLst/>
                                      </a:prstGeom>
                                      <a:ln w="12700" cap="flat" cmpd="sng">
                                        <a:solidFill>
                                          <a:srgbClr val="000000"/>
                                        </a:solidFill>
                                        <a:prstDash val="solid"/>
                                        <a:round/>
                                        <a:headEnd type="none" w="med" len="med"/>
                                        <a:tailEnd type="none" w="med" len="med"/>
                                      </a:ln>
                                      <a:effectLst/>
                                    </wps:spPr>
                                    <wps:bodyPr/>
                                  </wps:wsp>
                                  <wps:wsp>
                                    <wps:cNvPr id="72" name="直接箭头连接符 22"/>
                                    <wps:cNvCnPr>
                                      <a:stCxn id="55" idx="0"/>
                                      <a:endCxn id="54" idx="1"/>
                                    </wps:cNvCnPr>
                                    <wps:spPr>
                                      <a:xfrm flipH="1">
                                        <a:off x="11603" y="2834"/>
                                        <a:ext cx="1" cy="907"/>
                                      </a:xfrm>
                                      <a:prstGeom prst="straightConnector1">
                                        <a:avLst/>
                                      </a:prstGeom>
                                      <a:ln w="9525" cap="flat" cmpd="sng">
                                        <a:solidFill>
                                          <a:srgbClr val="000000"/>
                                        </a:solidFill>
                                        <a:prstDash val="solid"/>
                                        <a:round/>
                                        <a:headEnd type="none" w="med" len="med"/>
                                        <a:tailEnd type="triangle" w="med" len="med"/>
                                      </a:ln>
                                      <a:effectLst/>
                                    </wps:spPr>
                                    <wps:bodyPr/>
                                  </wps:wsp>
                                  <wps:wsp>
                                    <wps:cNvPr id="73" name="直接箭头连接符 23"/>
                                    <wps:cNvCnPr>
                                      <a:stCxn id="55" idx="0"/>
                                      <a:endCxn id="54" idx="1"/>
                                    </wps:cNvCnPr>
                                    <wps:spPr>
                                      <a:xfrm flipH="1">
                                        <a:off x="12870" y="2823"/>
                                        <a:ext cx="1" cy="964"/>
                                      </a:xfrm>
                                      <a:prstGeom prst="straightConnector1">
                                        <a:avLst/>
                                      </a:prstGeom>
                                      <a:ln w="9525" cap="flat" cmpd="sng">
                                        <a:solidFill>
                                          <a:srgbClr val="000000"/>
                                        </a:solidFill>
                                        <a:prstDash val="solid"/>
                                        <a:round/>
                                        <a:headEnd type="none" w="med" len="med"/>
                                        <a:tailEnd type="triangle" w="med" len="med"/>
                                      </a:ln>
                                      <a:effectLst/>
                                    </wps:spPr>
                                    <wps:bodyPr/>
                                  </wps:wsp>
                                </wpg:wgp>
                              </a:graphicData>
                            </a:graphic>
                          </wp:anchor>
                        </w:drawing>
                      </mc:Choice>
                      <mc:Fallback>
                        <w:pict>
                          <v:group id="组合 24" o:spid="_x0000_s1026" o:spt="203" style="position:absolute;left:0pt;margin-left:-0.5pt;margin-top:18.45pt;height:131.35pt;width:441.8pt;z-index:251664384;mso-width-relative:page;mso-height-relative:page;" coordorigin="5490,2235" coordsize="8836,2627" o:gfxdata="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">
                            <o:lock v:ext="edit" aspectratio="f"/>
                            <v:group id="组合 18" o:spid="_x0000_s1026" o:spt="203" style="position:absolute;left:5490;top:2235;height:2627;width:8836;" coordorigin="5490,2235" coordsize="8836,2627"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shape id="文本框 2" o:spid="_x0000_s1026" o:spt="202" type="#_x0000_t202" style="position:absolute;left:5490;top:3870;height:936;width:1382;" filled="f" stroked="t" coordsize="21600,21600" o:gfxdata="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uKg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lang w:val="en-US" w:eastAsia="zh-CN"/>
                                        </w:rPr>
                                      </w:pPr>
                                      <w:r>
                                        <w:rPr>
                                          <w:rFonts w:hint="eastAsia" w:eastAsia="宋体"/>
                                          <w:lang w:val="en-US" w:eastAsia="zh-CN"/>
                                        </w:rPr>
                                        <w:t>钢材</w:t>
                                      </w:r>
                                    </w:p>
                                    <w:p>
                                      <w:pPr>
                                        <w:pStyle w:val="48"/>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外协件</w:t>
                                      </w:r>
                                    </w:p>
                                    <w:p>
                                      <w:pPr>
                                        <w:pStyle w:val="48"/>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外购件</w:t>
                                      </w:r>
                                    </w:p>
                                  </w:txbxContent>
                                </v:textbox>
                              </v:shape>
                              <v:shape id="文本框 3" o:spid="_x0000_s1026" o:spt="202" type="#_x0000_t202" style="position:absolute;left:7530;top:4005;height:665;width:527;" filled="f" stroked="t" coordsize="21600,21600" o:gfxdata="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IS9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lang w:val="en-US" w:eastAsia="zh-CN"/>
                                        </w:rPr>
                                      </w:pPr>
                                      <w:r>
                                        <w:rPr>
                                          <w:rFonts w:hint="eastAsia"/>
                                          <w:lang w:val="en-US" w:eastAsia="zh-CN"/>
                                        </w:rPr>
                                        <w:t>下料</w:t>
                                      </w:r>
                                    </w:p>
                                  </w:txbxContent>
                                </v:textbox>
                              </v:shape>
                              <v:shape id="文本框 3" o:spid="_x0000_s1026" o:spt="202" type="#_x0000_t202" style="position:absolute;left:8730;top:3825;height:860;width:587;" filled="f" stroked="t" coordsize="21600,21600" o:gfxdata="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Z63b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lang w:val="en-US" w:eastAsia="zh-CN"/>
                                        </w:rPr>
                                      </w:pPr>
                                      <w:r>
                                        <w:rPr>
                                          <w:rFonts w:hint="eastAsia"/>
                                          <w:lang w:val="en-US" w:eastAsia="zh-CN"/>
                                        </w:rPr>
                                        <w:t>机加工</w:t>
                                      </w:r>
                                    </w:p>
                                  </w:txbxContent>
                                </v:textbox>
                              </v:shape>
                              <v:shape id="文本框 3" o:spid="_x0000_s1026" o:spt="202" type="#_x0000_t202" style="position:absolute;left:10080;top:3705;height:1113;width:602;" filled="f" stroked="t" coordsize="21600,21600" o:gfxdata="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UwpG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lang w:val="en-US" w:eastAsia="zh-CN"/>
                                        </w:rPr>
                                      </w:pPr>
                                      <w:r>
                                        <w:rPr>
                                          <w:rFonts w:hint="eastAsia"/>
                                          <w:lang w:val="en-US" w:eastAsia="zh-CN"/>
                                        </w:rPr>
                                        <w:t>零件入库</w:t>
                                      </w:r>
                                    </w:p>
                                  </w:txbxContent>
                                </v:textbox>
                              </v:shape>
                              <v:shape id="文本框 3" o:spid="_x0000_s1026" o:spt="202" type="#_x0000_t202" style="position:absolute;left:11325;top:3750;height:1113;width:602;" filled="f" stroked="t" coordsize="21600,21600" o:gfxdata="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AIyB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lang w:val="en-US" w:eastAsia="zh-CN"/>
                                        </w:rPr>
                                      </w:pPr>
                                      <w:r>
                                        <w:rPr>
                                          <w:rFonts w:hint="eastAsia"/>
                                          <w:lang w:val="en-US" w:eastAsia="zh-CN"/>
                                        </w:rPr>
                                        <w:t>总装调试</w:t>
                                      </w:r>
                                    </w:p>
                                  </w:txbxContent>
                                </v:textbox>
                              </v:shape>
                              <v:shape id="文本框 3" o:spid="_x0000_s1026" o:spt="202" type="#_x0000_t202" style="position:absolute;left:12555;top:3750;height:1113;width:602;" filled="f" stroked="t" coordsize="21600,21600" o:gfxdata="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8Y8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lang w:val="en-US" w:eastAsia="zh-CN"/>
                                        </w:rPr>
                                      </w:pPr>
                                      <w:r>
                                        <w:rPr>
                                          <w:rFonts w:hint="eastAsia"/>
                                          <w:lang w:val="en-US" w:eastAsia="zh-CN"/>
                                        </w:rPr>
                                        <w:t>产品入库</w:t>
                                      </w:r>
                                    </w:p>
                                  </w:txbxContent>
                                </v:textbox>
                              </v:shape>
                              <v:shape id="文本框 3" o:spid="_x0000_s1026" o:spt="202" type="#_x0000_t202" style="position:absolute;left:10065;top:2235;height:665;width:527;" filled="f" stroked="t" coordsize="21600,21600" o:gfxdata="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9a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lang w:val="en-US" w:eastAsia="zh-CN"/>
                                        </w:rPr>
                                      </w:pPr>
                                      <w:r>
                                        <w:rPr>
                                          <w:rFonts w:hint="eastAsia"/>
                                          <w:lang w:val="en-US" w:eastAsia="zh-CN"/>
                                        </w:rPr>
                                        <w:t>焊接</w:t>
                                      </w:r>
                                    </w:p>
                                  </w:txbxContent>
                                </v:textbox>
                              </v:shape>
                              <v:shape id="直接箭头连接符 8" o:spid="_x0000_s1026" o:spt="32" type="#_x0000_t32" style="position:absolute;left:6872;top:4338;height:0;width:658;" filled="f" stroked="t" coordsize="21600,21600" o:gfxdata="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ipqH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直接箭头连接符 9" o:spid="_x0000_s1026" o:spt="32" type="#_x0000_t32" style="position:absolute;left:8042;top:4338;height:0;width:658;" filled="f" stroked="t" coordsize="21600,21600" o:gfxdata="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xj8c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直接箭头连接符 10" o:spid="_x0000_s1026" o:spt="32" type="#_x0000_t32" style="position:absolute;left:9347;top:4323;height:0;width:680;" filled="f" stroked="t" coordsize="21600,21600" o:gfxdata="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FKF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直接箭头连接符 11" o:spid="_x0000_s1026" o:spt="32" type="#_x0000_t32" style="position:absolute;left:10682;top:4338;height:0;width:658;" filled="f" stroked="t" coordsize="21600,21600" o:gfxdata="UEsDBAoAAAAAAIdO4kAAAAAAAAAAAAAAAAAEAAAAZHJzL1BLAwQUAAAACACHTuJAt1gE8L8AAADb&#10;AAAADwAAAGRycy9kb3ducmV2LnhtbEWPzWrDMBCE74G8g9hAb4nsFEz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YBP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直接箭头连接符 12" o:spid="_x0000_s1026" o:spt="32" type="#_x0000_t32" style="position:absolute;left:11942;top:4353;height:0;width:658;" filled="f" stroked="t" coordsize="21600,21600" o:gfxdata="UEsDBAoAAAAAAIdO4kAAAAAAAAAAAAAAAAAEAAAAZHJzL1BLAwQUAAAACACHTuJAOLGchL8AAADb&#10;AAAADwAAAGRycy9kb3ducmV2LnhtbEWPzWrDMBCE74G8g9hAb4nsUEz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xnI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直接箭头连接符 13" o:spid="_x0000_s1026" o:spt="32" type="#_x0000_t32" style="position:absolute;left:10365;top:2883;flip:y;height:850;width:0;" filled="f" stroked="t" coordsize="21600,21600" o:gfxdata="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xss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3" o:spid="_x0000_s1026" o:spt="202" type="#_x0000_t202" style="position:absolute;left:13800;top:4050;height:665;width:527;" filled="f" stroked="t" coordsize="21600,21600" o:gfxdata="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Djp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lang w:val="en-US" w:eastAsia="zh-CN"/>
                                        </w:rPr>
                                      </w:pPr>
                                      <w:r>
                                        <w:rPr>
                                          <w:rFonts w:hint="eastAsia"/>
                                          <w:lang w:val="en-US" w:eastAsia="zh-CN"/>
                                        </w:rPr>
                                        <w:t>销售</w:t>
                                      </w:r>
                                    </w:p>
                                  </w:txbxContent>
                                </v:textbox>
                              </v:shape>
                              <v:shape id="直接箭头连接符 17" o:spid="_x0000_s1026" o:spt="32" type="#_x0000_t32" style="position:absolute;left:13157;top:4353;height:0;width:658;" filled="f" stroked="t" coordsize="21600,21600" o:gfxdata="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jAv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shape id="直接箭头连接符 19" o:spid="_x0000_s1026" o:spt="32" type="#_x0000_t32" style="position:absolute;left:8985;top:2805;flip:x y;height:1020;width:1;" filled="f" stroked="t" coordsize="21600,21600" o:gfxdata="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iWj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shape>
                            <v:shape id="直接箭头连接符 20" o:spid="_x0000_s1026" o:spt="32" type="#_x0000_t32" style="position:absolute;left:9000;top:2820;height:0;width:1077;" filled="f" stroked="t" coordsize="21600,21600" o:gfxdata="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TDFq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直接箭头连接符 21" o:spid="_x0000_s1026" o:spt="32" type="#_x0000_t32" style="position:absolute;left:10576;top:2808;height:15;width:2294;" filled="f" stroked="t" coordsize="21600,21600" o:gfxdata="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Mtrc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shape id="直接箭头连接符 22" o:spid="_x0000_s1026" o:spt="32" type="#_x0000_t32" style="position:absolute;left:11603;top:2834;flip:x;height:907;width:1;" filled="f" stroked="t" coordsize="21600,21600" o:gfxdata="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vGIY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直接箭头连接符 23" o:spid="_x0000_s1026" o:spt="32" type="#_x0000_t32" style="position:absolute;left:12870;top:2823;flip:x;height:964;width:1;" filled="f" stroked="t" coordsize="21600,21600" o:gfxdata="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DHg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tc>
            </w:tr>
          </w:tbl>
          <w:p>
            <w:pPr>
              <w:tabs>
                <w:tab w:val="left" w:pos="9072"/>
              </w:tabs>
              <w:spacing w:line="360" w:lineRule="auto"/>
              <w:ind w:firstLine="480" w:firstLineChars="200"/>
              <w:rPr>
                <w:bCs/>
                <w:color w:val="0000FF"/>
                <w:sz w:val="24"/>
              </w:rPr>
            </w:pPr>
          </w:p>
          <w:p>
            <w:pPr>
              <w:pStyle w:val="48"/>
              <w:rPr>
                <w:bCs/>
                <w:color w:val="0000FF"/>
              </w:rPr>
            </w:pPr>
          </w:p>
          <w:p>
            <w:pPr>
              <w:pStyle w:val="48"/>
              <w:rPr>
                <w:bCs/>
                <w:color w:val="0000FF"/>
              </w:rPr>
            </w:pPr>
          </w:p>
          <w:p>
            <w:pPr>
              <w:pStyle w:val="48"/>
              <w:rPr>
                <w:bCs/>
                <w:color w:val="0000FF"/>
              </w:rPr>
            </w:pPr>
          </w:p>
          <w:p>
            <w:pPr>
              <w:pStyle w:val="48"/>
              <w:rPr>
                <w:bCs/>
                <w:color w:val="FF0000"/>
              </w:rPr>
            </w:pPr>
          </w:p>
          <w:p>
            <w:pPr>
              <w:pStyle w:val="48"/>
              <w:spacing w:line="480" w:lineRule="exact"/>
              <w:ind w:firstLine="0" w:firstLineChars="0"/>
              <w:jc w:val="center"/>
              <w:rPr>
                <w:bCs/>
                <w:color w:val="FF0000"/>
              </w:rPr>
            </w:pPr>
            <w:r>
              <w:rPr>
                <w:rFonts w:hint="eastAsia"/>
                <w:b/>
                <w:color w:val="FF0000"/>
                <w:sz w:val="21"/>
                <w:szCs w:val="21"/>
              </w:rPr>
              <w:t>图1   技改前生产工艺</w:t>
            </w:r>
            <w:r>
              <w:rPr>
                <w:rFonts w:hint="eastAsia"/>
                <w:b/>
                <w:color w:val="FF0000"/>
                <w:kern w:val="2"/>
                <w:sz w:val="21"/>
                <w:szCs w:val="21"/>
              </w:rPr>
              <w:t>流程图</w:t>
            </w:r>
          </w:p>
          <w:p>
            <w:pPr>
              <w:pStyle w:val="48"/>
              <w:spacing w:line="480" w:lineRule="exact"/>
              <w:rPr>
                <w:bCs/>
              </w:rPr>
            </w:pPr>
            <w:r>
              <w:rPr>
                <w:rFonts w:hint="eastAsia"/>
                <w:bCs/>
              </w:rPr>
              <w:t>（2）技改后项目生产工艺</w:t>
            </w:r>
          </w:p>
          <w:p>
            <w:pPr>
              <w:pStyle w:val="48"/>
              <w:spacing w:line="480" w:lineRule="exact"/>
              <w:rPr>
                <w:bCs/>
              </w:rPr>
            </w:pPr>
            <w:r>
              <w:rPr>
                <w:rFonts w:hint="eastAsia"/>
                <w:bCs/>
              </w:rPr>
              <w:t>本次技改项目增加对工件热处理、喷砂及喷漆的工艺处理和切割废气治理。技改后生产工艺见图5。</w:t>
            </w:r>
          </w:p>
          <w:tbl>
            <w:tblPr>
              <w:tblStyle w:val="32"/>
              <w:tblW w:w="8953" w:type="dxa"/>
              <w:tblInd w:w="5"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53" w:type="dxa"/>
                </w:tcPr>
                <w:p>
                  <w:pPr>
                    <w:pStyle w:val="48"/>
                    <w:spacing w:line="480" w:lineRule="exact"/>
                    <w:rPr>
                      <w:bCs/>
                      <w:color w:val="0000FF"/>
                      <w:vertAlign w:val="baseline"/>
                    </w:rPr>
                  </w:pPr>
                  <w:r>
                    <w:rPr>
                      <w:sz w:val="24"/>
                    </w:rPr>
                    <mc:AlternateContent>
                      <mc:Choice Requires="wpg">
                        <w:drawing>
                          <wp:anchor distT="0" distB="0" distL="114300" distR="114300" simplePos="0" relativeHeight="251668480" behindDoc="0" locked="0" layoutInCell="1" allowOverlap="1">
                            <wp:simplePos x="0" y="0"/>
                            <wp:positionH relativeFrom="column">
                              <wp:posOffset>-46990</wp:posOffset>
                            </wp:positionH>
                            <wp:positionV relativeFrom="paragraph">
                              <wp:posOffset>116840</wp:posOffset>
                            </wp:positionV>
                            <wp:extent cx="5793740" cy="1482725"/>
                            <wp:effectExtent l="5080" t="0" r="0" b="22225"/>
                            <wp:wrapNone/>
                            <wp:docPr id="99" name="组合 29"/>
                            <wp:cNvGraphicFramePr/>
                            <a:graphic xmlns:a="http://schemas.openxmlformats.org/drawingml/2006/main">
                              <a:graphicData uri="http://schemas.microsoft.com/office/word/2010/wordprocessingGroup">
                                <wpg:wgp>
                                  <wpg:cNvGrpSpPr/>
                                  <wpg:grpSpPr>
                                    <a:xfrm>
                                      <a:off x="980440" y="4950460"/>
                                      <a:ext cx="5793740" cy="1482725"/>
                                      <a:chOff x="4776" y="2232"/>
                                      <a:chExt cx="9124" cy="2335"/>
                                    </a:xfrm>
                                    <a:effectLst/>
                                  </wpg:grpSpPr>
                                  <wps:wsp>
                                    <wps:cNvPr id="75" name="文本框 3"/>
                                    <wps:cNvSpPr txBox="1"/>
                                    <wps:spPr>
                                      <a:xfrm>
                                        <a:off x="8813" y="2232"/>
                                        <a:ext cx="953" cy="503"/>
                                      </a:xfrm>
                                      <a:prstGeom prst="rect">
                                        <a:avLst/>
                                      </a:prstGeom>
                                      <a:noFill/>
                                      <a:ln w="9525">
                                        <a:noFill/>
                                      </a:ln>
                                      <a:effectLst/>
                                    </wps:spPr>
                                    <wps:txbx>
                                      <w:txbxContent>
                                        <w:p>
                                          <w:pPr>
                                            <w:jc w:val="center"/>
                                            <w:rPr>
                                              <w:rFonts w:hint="eastAsia" w:eastAsia="宋体"/>
                                              <w:lang w:eastAsia="zh-CN"/>
                                            </w:rPr>
                                          </w:pPr>
                                          <w:r>
                                            <w:rPr>
                                              <w:rFonts w:hint="eastAsia"/>
                                              <w:lang w:eastAsia="zh-CN"/>
                                            </w:rPr>
                                            <w:t>外购件</w:t>
                                          </w:r>
                                        </w:p>
                                      </w:txbxContent>
                                    </wps:txbx>
                                    <wps:bodyPr vert="horz" wrap="square" anchor="t" upright="1"/>
                                  </wps:wsp>
                                  <wps:wsp>
                                    <wps:cNvPr id="76" name="文本框 4"/>
                                    <wps:cNvSpPr txBox="1"/>
                                    <wps:spPr>
                                      <a:xfrm>
                                        <a:off x="4776" y="2953"/>
                                        <a:ext cx="791" cy="503"/>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lang w:eastAsia="zh-CN"/>
                                            </w:rPr>
                                            <w:t>钢材</w:t>
                                          </w:r>
                                        </w:p>
                                      </w:txbxContent>
                                    </wps:txbx>
                                    <wps:bodyPr vert="horz" wrap="square" anchor="t" upright="1"/>
                                  </wps:wsp>
                                  <wps:wsp>
                                    <wps:cNvPr id="77" name="文本框 5"/>
                                    <wps:cNvSpPr txBox="1"/>
                                    <wps:spPr>
                                      <a:xfrm>
                                        <a:off x="6150" y="2971"/>
                                        <a:ext cx="1191" cy="503"/>
                                      </a:xfrm>
                                      <a:prstGeom prst="rect">
                                        <a:avLst/>
                                      </a:prstGeom>
                                      <a:noFill/>
                                      <a:ln w="9525" cap="flat" cmpd="sng">
                                        <a:solidFill>
                                          <a:srgbClr val="000000"/>
                                        </a:solidFill>
                                        <a:prstDash val="solid"/>
                                        <a:miter/>
                                        <a:headEnd type="none" w="med" len="med"/>
                                        <a:tailEnd type="none" w="med" len="med"/>
                                      </a:ln>
                                      <a:effectLst/>
                                    </wps:spPr>
                                    <wps:txbx>
                                      <w:txbxContent>
                                        <w:p>
                                          <w:pPr>
                                            <w:rPr>
                                              <w:rFonts w:hint="eastAsia" w:eastAsia="宋体"/>
                                              <w:lang w:eastAsia="zh-CN"/>
                                            </w:rPr>
                                          </w:pPr>
                                          <w:r>
                                            <w:rPr>
                                              <w:rFonts w:hint="eastAsia"/>
                                              <w:lang w:eastAsia="zh-CN"/>
                                            </w:rPr>
                                            <w:t>切割下料</w:t>
                                          </w:r>
                                        </w:p>
                                      </w:txbxContent>
                                    </wps:txbx>
                                    <wps:bodyPr vert="horz" wrap="square" anchor="t" upright="1"/>
                                  </wps:wsp>
                                  <wps:wsp>
                                    <wps:cNvPr id="78" name="文本框 6"/>
                                    <wps:cNvSpPr txBox="1"/>
                                    <wps:spPr>
                                      <a:xfrm>
                                        <a:off x="7989" y="2975"/>
                                        <a:ext cx="940" cy="503"/>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lang w:eastAsia="zh-CN"/>
                                            </w:rPr>
                                            <w:t>机加工</w:t>
                                          </w:r>
                                        </w:p>
                                      </w:txbxContent>
                                    </wps:txbx>
                                    <wps:bodyPr vert="horz" wrap="square" anchor="t" upright="1"/>
                                  </wps:wsp>
                                  <wps:wsp>
                                    <wps:cNvPr id="79" name="文本框 7"/>
                                    <wps:cNvSpPr txBox="1"/>
                                    <wps:spPr>
                                      <a:xfrm>
                                        <a:off x="11101" y="3009"/>
                                        <a:ext cx="777" cy="461"/>
                                      </a:xfrm>
                                      <a:prstGeom prst="rect">
                                        <a:avLst/>
                                      </a:prstGeom>
                                      <a:noFill/>
                                      <a:ln w="9525" cap="flat" cmpd="sng">
                                        <a:solidFill>
                                          <a:srgbClr val="000000"/>
                                        </a:solidFill>
                                        <a:prstDash val="dash"/>
                                        <a:miter/>
                                        <a:headEnd type="none" w="med" len="med"/>
                                        <a:tailEnd type="none" w="med" len="med"/>
                                      </a:ln>
                                      <a:effectLst/>
                                    </wps:spPr>
                                    <wps:txbx>
                                      <w:txbxContent>
                                        <w:p>
                                          <w:pPr>
                                            <w:jc w:val="center"/>
                                            <w:rPr>
                                              <w:rFonts w:hint="eastAsia" w:eastAsia="宋体"/>
                                              <w:lang w:eastAsia="zh-CN"/>
                                            </w:rPr>
                                          </w:pPr>
                                          <w:r>
                                            <w:rPr>
                                              <w:rFonts w:hint="eastAsia"/>
                                              <w:lang w:eastAsia="zh-CN"/>
                                            </w:rPr>
                                            <w:t>回火</w:t>
                                          </w:r>
                                        </w:p>
                                      </w:txbxContent>
                                    </wps:txbx>
                                    <wps:bodyPr vert="horz" wrap="square" anchor="t" upright="1"/>
                                  </wps:wsp>
                                  <wps:wsp>
                                    <wps:cNvPr id="80" name="文本框 9"/>
                                    <wps:cNvSpPr txBox="1"/>
                                    <wps:spPr>
                                      <a:xfrm>
                                        <a:off x="12488" y="2980"/>
                                        <a:ext cx="1077" cy="503"/>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lang w:eastAsia="zh-CN"/>
                                            </w:rPr>
                                            <w:t>喷、晾漆</w:t>
                                          </w:r>
                                        </w:p>
                                      </w:txbxContent>
                                    </wps:txbx>
                                    <wps:bodyPr vert="horz" wrap="square" anchor="t" upright="1"/>
                                  </wps:wsp>
                                  <wps:wsp>
                                    <wps:cNvPr id="81" name="文本框 10"/>
                                    <wps:cNvSpPr txBox="1"/>
                                    <wps:spPr>
                                      <a:xfrm>
                                        <a:off x="12476" y="4059"/>
                                        <a:ext cx="1158" cy="503"/>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lang w:eastAsia="zh-CN"/>
                                            </w:rPr>
                                            <w:t>总装调试</w:t>
                                          </w:r>
                                        </w:p>
                                      </w:txbxContent>
                                    </wps:txbx>
                                    <wps:bodyPr vert="horz" wrap="square" anchor="t" upright="1"/>
                                  </wps:wsp>
                                  <wps:wsp>
                                    <wps:cNvPr id="82" name="文本框 11"/>
                                    <wps:cNvSpPr txBox="1"/>
                                    <wps:spPr>
                                      <a:xfrm>
                                        <a:off x="10591" y="4064"/>
                                        <a:ext cx="1158" cy="503"/>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lang w:eastAsia="zh-CN"/>
                                            </w:rPr>
                                            <w:t>产品入库</w:t>
                                          </w:r>
                                        </w:p>
                                      </w:txbxContent>
                                    </wps:txbx>
                                    <wps:bodyPr vert="horz" wrap="square" anchor="t" upright="1"/>
                                  </wps:wsp>
                                  <wps:wsp>
                                    <wps:cNvPr id="83" name="文本框 12"/>
                                    <wps:cNvSpPr txBox="1"/>
                                    <wps:spPr>
                                      <a:xfrm>
                                        <a:off x="9041" y="4045"/>
                                        <a:ext cx="818" cy="503"/>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lang w:eastAsia="zh-CN"/>
                                            </w:rPr>
                                            <w:t>销售</w:t>
                                          </w:r>
                                        </w:p>
                                      </w:txbxContent>
                                    </wps:txbx>
                                    <wps:bodyPr vert="horz" wrap="square" anchor="t" upright="1"/>
                                  </wps:wsp>
                                  <wps:wsp>
                                    <wps:cNvPr id="84" name="直线 13"/>
                                    <wps:cNvCnPr>
                                      <a:stCxn id="55" idx="0"/>
                                      <a:endCxn id="54" idx="1"/>
                                    </wps:cNvCnPr>
                                    <wps:spPr>
                                      <a:xfrm flipV="1">
                                        <a:off x="5577" y="3204"/>
                                        <a:ext cx="567" cy="1"/>
                                      </a:xfrm>
                                      <a:prstGeom prst="line">
                                        <a:avLst/>
                                      </a:prstGeom>
                                      <a:ln w="9525" cap="flat" cmpd="sng">
                                        <a:solidFill>
                                          <a:srgbClr val="000000"/>
                                        </a:solidFill>
                                        <a:prstDash val="solid"/>
                                        <a:round/>
                                        <a:headEnd type="none" w="med" len="med"/>
                                        <a:tailEnd type="triangle" w="med" len="med"/>
                                      </a:ln>
                                      <a:effectLst/>
                                    </wps:spPr>
                                    <wps:bodyPr/>
                                  </wps:wsp>
                                  <wps:wsp>
                                    <wps:cNvPr id="85" name="直线 14"/>
                                    <wps:cNvCnPr>
                                      <a:stCxn id="55" idx="0"/>
                                      <a:endCxn id="54" idx="1"/>
                                    </wps:cNvCnPr>
                                    <wps:spPr>
                                      <a:xfrm flipV="1">
                                        <a:off x="10438" y="3214"/>
                                        <a:ext cx="680" cy="1"/>
                                      </a:xfrm>
                                      <a:prstGeom prst="line">
                                        <a:avLst/>
                                      </a:prstGeom>
                                      <a:ln w="9525" cap="flat" cmpd="sng">
                                        <a:solidFill>
                                          <a:srgbClr val="000000"/>
                                        </a:solidFill>
                                        <a:prstDash val="solid"/>
                                        <a:round/>
                                        <a:headEnd type="none" w="med" len="med"/>
                                        <a:tailEnd type="triangle" w="med" len="med"/>
                                      </a:ln>
                                      <a:effectLst/>
                                    </wps:spPr>
                                    <wps:bodyPr/>
                                  </wps:wsp>
                                  <wps:wsp>
                                    <wps:cNvPr id="86" name="直线 15"/>
                                    <wps:cNvCnPr>
                                      <a:stCxn id="55" idx="0"/>
                                      <a:endCxn id="54" idx="1"/>
                                    </wps:cNvCnPr>
                                    <wps:spPr>
                                      <a:xfrm flipV="1">
                                        <a:off x="8923" y="3262"/>
                                        <a:ext cx="737" cy="1"/>
                                      </a:xfrm>
                                      <a:prstGeom prst="line">
                                        <a:avLst/>
                                      </a:prstGeom>
                                      <a:ln w="9525" cap="flat" cmpd="sng">
                                        <a:solidFill>
                                          <a:srgbClr val="000000"/>
                                        </a:solidFill>
                                        <a:prstDash val="solid"/>
                                        <a:round/>
                                        <a:headEnd type="none" w="med" len="med"/>
                                        <a:tailEnd type="triangle" w="med" len="med"/>
                                      </a:ln>
                                      <a:effectLst/>
                                    </wps:spPr>
                                    <wps:bodyPr/>
                                  </wps:wsp>
                                  <wps:wsp>
                                    <wps:cNvPr id="87" name="直线 16"/>
                                    <wps:cNvCnPr>
                                      <a:stCxn id="55" idx="0"/>
                                      <a:endCxn id="54" idx="1"/>
                                    </wps:cNvCnPr>
                                    <wps:spPr>
                                      <a:xfrm flipV="1">
                                        <a:off x="7350" y="3229"/>
                                        <a:ext cx="680" cy="1"/>
                                      </a:xfrm>
                                      <a:prstGeom prst="line">
                                        <a:avLst/>
                                      </a:prstGeom>
                                      <a:ln w="9525" cap="flat" cmpd="sng">
                                        <a:solidFill>
                                          <a:srgbClr val="000000"/>
                                        </a:solidFill>
                                        <a:prstDash val="solid"/>
                                        <a:round/>
                                        <a:headEnd type="none" w="med" len="med"/>
                                        <a:tailEnd type="triangle" w="med" len="med"/>
                                      </a:ln>
                                      <a:effectLst/>
                                    </wps:spPr>
                                    <wps:bodyPr/>
                                  </wps:wsp>
                                  <wps:wsp>
                                    <wps:cNvPr id="88" name="直线 17"/>
                                    <wps:cNvCnPr>
                                      <a:stCxn id="55" idx="0"/>
                                      <a:endCxn id="54" idx="1"/>
                                    </wps:cNvCnPr>
                                    <wps:spPr>
                                      <a:xfrm flipV="1">
                                        <a:off x="11907" y="3223"/>
                                        <a:ext cx="624" cy="1"/>
                                      </a:xfrm>
                                      <a:prstGeom prst="line">
                                        <a:avLst/>
                                      </a:prstGeom>
                                      <a:ln w="9525" cap="flat" cmpd="sng">
                                        <a:solidFill>
                                          <a:srgbClr val="000000"/>
                                        </a:solidFill>
                                        <a:prstDash val="solid"/>
                                        <a:round/>
                                        <a:headEnd type="none" w="med" len="med"/>
                                        <a:tailEnd type="triangle" w="med" len="med"/>
                                      </a:ln>
                                      <a:effectLst/>
                                    </wps:spPr>
                                    <wps:bodyPr/>
                                  </wps:wsp>
                                  <wps:wsp>
                                    <wps:cNvPr id="89" name="直线 19"/>
                                    <wps:cNvCnPr>
                                      <a:stCxn id="55" idx="0"/>
                                      <a:endCxn id="54" idx="1"/>
                                    </wps:cNvCnPr>
                                    <wps:spPr>
                                      <a:xfrm>
                                        <a:off x="13024" y="3496"/>
                                        <a:ext cx="1" cy="567"/>
                                      </a:xfrm>
                                      <a:prstGeom prst="line">
                                        <a:avLst/>
                                      </a:prstGeom>
                                      <a:ln w="9525" cap="flat" cmpd="sng">
                                        <a:solidFill>
                                          <a:srgbClr val="000000"/>
                                        </a:solidFill>
                                        <a:prstDash val="solid"/>
                                        <a:round/>
                                        <a:headEnd type="none" w="med" len="med"/>
                                        <a:tailEnd type="triangle" w="med" len="med"/>
                                      </a:ln>
                                      <a:effectLst/>
                                    </wps:spPr>
                                    <wps:bodyPr/>
                                  </wps:wsp>
                                  <wps:wsp>
                                    <wps:cNvPr id="90" name="直线 20"/>
                                    <wps:cNvCnPr>
                                      <a:stCxn id="55" idx="0"/>
                                      <a:endCxn id="54" idx="1"/>
                                    </wps:cNvCnPr>
                                    <wps:spPr>
                                      <a:xfrm flipH="1" flipV="1">
                                        <a:off x="11737" y="4312"/>
                                        <a:ext cx="737" cy="1"/>
                                      </a:xfrm>
                                      <a:prstGeom prst="line">
                                        <a:avLst/>
                                      </a:prstGeom>
                                      <a:ln w="9525" cap="flat" cmpd="sng">
                                        <a:solidFill>
                                          <a:srgbClr val="000000"/>
                                        </a:solidFill>
                                        <a:prstDash val="solid"/>
                                        <a:round/>
                                        <a:headEnd type="none" w="med" len="med"/>
                                        <a:tailEnd type="triangle" w="med" len="med"/>
                                      </a:ln>
                                      <a:effectLst/>
                                    </wps:spPr>
                                    <wps:bodyPr/>
                                  </wps:wsp>
                                  <wps:wsp>
                                    <wps:cNvPr id="91" name="文本框 21"/>
                                    <wps:cNvSpPr txBox="1"/>
                                    <wps:spPr>
                                      <a:xfrm>
                                        <a:off x="9631" y="2983"/>
                                        <a:ext cx="791" cy="503"/>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lang w:eastAsia="zh-CN"/>
                                            </w:rPr>
                                            <w:t>焊接</w:t>
                                          </w:r>
                                        </w:p>
                                      </w:txbxContent>
                                    </wps:txbx>
                                    <wps:bodyPr vert="horz" wrap="square" anchor="t" upright="1"/>
                                  </wps:wsp>
                                  <wps:wsp>
                                    <wps:cNvPr id="92" name="直线 22"/>
                                    <wps:cNvCnPr>
                                      <a:stCxn id="55" idx="0"/>
                                      <a:endCxn id="54" idx="1"/>
                                    </wps:cNvCnPr>
                                    <wps:spPr>
                                      <a:xfrm flipH="1" flipV="1">
                                        <a:off x="9860" y="4303"/>
                                        <a:ext cx="737" cy="1"/>
                                      </a:xfrm>
                                      <a:prstGeom prst="line">
                                        <a:avLst/>
                                      </a:prstGeom>
                                      <a:ln w="9525" cap="flat" cmpd="sng">
                                        <a:solidFill>
                                          <a:srgbClr val="000000"/>
                                        </a:solidFill>
                                        <a:prstDash val="solid"/>
                                        <a:round/>
                                        <a:headEnd type="none" w="med" len="med"/>
                                        <a:tailEnd type="triangle" w="med" len="med"/>
                                      </a:ln>
                                      <a:effectLst/>
                                    </wps:spPr>
                                    <wps:bodyPr/>
                                  </wps:wsp>
                                  <wps:wsp>
                                    <wps:cNvPr id="93" name="直线 23"/>
                                    <wps:cNvCnPr>
                                      <a:stCxn id="55" idx="0"/>
                                      <a:endCxn id="54" idx="1"/>
                                    </wps:cNvCnPr>
                                    <wps:spPr>
                                      <a:xfrm>
                                        <a:off x="9312" y="2585"/>
                                        <a:ext cx="11" cy="624"/>
                                      </a:xfrm>
                                      <a:prstGeom prst="line">
                                        <a:avLst/>
                                      </a:prstGeom>
                                      <a:ln w="9525" cap="flat" cmpd="sng">
                                        <a:solidFill>
                                          <a:srgbClr val="000000"/>
                                        </a:solidFill>
                                        <a:prstDash val="solid"/>
                                        <a:round/>
                                        <a:headEnd type="none" w="med" len="med"/>
                                        <a:tailEnd type="triangle" w="med" len="med"/>
                                      </a:ln>
                                      <a:effectLst/>
                                    </wps:spPr>
                                    <wps:bodyPr/>
                                  </wps:wsp>
                                  <wps:wsp>
                                    <wps:cNvPr id="94" name="文本框 24"/>
                                    <wps:cNvSpPr txBox="1"/>
                                    <wps:spPr>
                                      <a:xfrm>
                                        <a:off x="5965" y="2624"/>
                                        <a:ext cx="1444" cy="477"/>
                                      </a:xfrm>
                                      <a:prstGeom prst="rect">
                                        <a:avLst/>
                                      </a:prstGeom>
                                      <a:noFill/>
                                      <a:ln w="9525">
                                        <a:noFill/>
                                      </a:ln>
                                      <a:effectLst/>
                                    </wps:spPr>
                                    <wps:txbx>
                                      <w:txbxContent>
                                        <w:p>
                                          <w:pPr>
                                            <w:jc w:val="center"/>
                                            <w:rPr>
                                              <w:rFonts w:hint="eastAsia" w:eastAsia="宋体"/>
                                              <w:lang w:val="en-US" w:eastAsia="zh-CN"/>
                                            </w:rPr>
                                          </w:pPr>
                                          <w:r>
                                            <w:rPr>
                                              <w:rFonts w:hint="eastAsia"/>
                                              <w:lang w:val="en-US" w:eastAsia="zh-CN"/>
                                            </w:rPr>
                                            <w:t>G1、S1、N1</w:t>
                                          </w:r>
                                        </w:p>
                                      </w:txbxContent>
                                    </wps:txbx>
                                    <wps:bodyPr vert="horz" wrap="square" anchor="t" upright="1"/>
                                  </wps:wsp>
                                  <wps:wsp>
                                    <wps:cNvPr id="95" name="文本框 25"/>
                                    <wps:cNvSpPr txBox="1"/>
                                    <wps:spPr>
                                      <a:xfrm>
                                        <a:off x="7857" y="2645"/>
                                        <a:ext cx="1102" cy="477"/>
                                      </a:xfrm>
                                      <a:prstGeom prst="rect">
                                        <a:avLst/>
                                      </a:prstGeom>
                                      <a:noFill/>
                                      <a:ln w="9525">
                                        <a:noFill/>
                                      </a:ln>
                                      <a:effectLst/>
                                    </wps:spPr>
                                    <wps:txbx>
                                      <w:txbxContent>
                                        <w:p>
                                          <w:pPr>
                                            <w:jc w:val="center"/>
                                            <w:rPr>
                                              <w:rFonts w:hint="eastAsia" w:eastAsia="宋体"/>
                                              <w:lang w:val="en-US" w:eastAsia="zh-CN"/>
                                            </w:rPr>
                                          </w:pPr>
                                          <w:r>
                                            <w:rPr>
                                              <w:rFonts w:hint="eastAsia"/>
                                              <w:lang w:val="en-US" w:eastAsia="zh-CN"/>
                                            </w:rPr>
                                            <w:t>S2、N2</w:t>
                                          </w:r>
                                        </w:p>
                                      </w:txbxContent>
                                    </wps:txbx>
                                    <wps:bodyPr vert="horz" wrap="square" anchor="t" upright="1"/>
                                  </wps:wsp>
                                  <wps:wsp>
                                    <wps:cNvPr id="96" name="文本框 26"/>
                                    <wps:cNvSpPr txBox="1"/>
                                    <wps:spPr>
                                      <a:xfrm>
                                        <a:off x="9472" y="2644"/>
                                        <a:ext cx="1089" cy="409"/>
                                      </a:xfrm>
                                      <a:prstGeom prst="rect">
                                        <a:avLst/>
                                      </a:prstGeom>
                                      <a:noFill/>
                                      <a:ln w="9525">
                                        <a:noFill/>
                                      </a:ln>
                                      <a:effectLst/>
                                    </wps:spPr>
                                    <wps:txbx>
                                      <w:txbxContent>
                                        <w:p>
                                          <w:pPr>
                                            <w:jc w:val="center"/>
                                            <w:rPr>
                                              <w:rFonts w:hint="eastAsia" w:eastAsia="宋体"/>
                                              <w:lang w:val="en-US" w:eastAsia="zh-CN"/>
                                            </w:rPr>
                                          </w:pPr>
                                          <w:r>
                                            <w:rPr>
                                              <w:rFonts w:hint="eastAsia"/>
                                              <w:lang w:val="en-US" w:eastAsia="zh-CN"/>
                                            </w:rPr>
                                            <w:t>G2、N3</w:t>
                                          </w:r>
                                        </w:p>
                                      </w:txbxContent>
                                    </wps:txbx>
                                    <wps:bodyPr vert="horz" wrap="square" anchor="t" upright="1"/>
                                  </wps:wsp>
                                  <wps:wsp>
                                    <wps:cNvPr id="97" name="文本框 27"/>
                                    <wps:cNvSpPr txBox="1"/>
                                    <wps:spPr>
                                      <a:xfrm>
                                        <a:off x="11007" y="2666"/>
                                        <a:ext cx="1089" cy="409"/>
                                      </a:xfrm>
                                      <a:prstGeom prst="rect">
                                        <a:avLst/>
                                      </a:prstGeom>
                                      <a:noFill/>
                                      <a:ln w="9525">
                                        <a:noFill/>
                                      </a:ln>
                                      <a:effectLst/>
                                    </wps:spPr>
                                    <wps:txbx>
                                      <w:txbxContent>
                                        <w:p>
                                          <w:pPr>
                                            <w:jc w:val="center"/>
                                            <w:rPr>
                                              <w:rFonts w:hint="eastAsia" w:eastAsia="宋体"/>
                                              <w:lang w:val="en-US" w:eastAsia="zh-CN"/>
                                            </w:rPr>
                                          </w:pPr>
                                          <w:r>
                                            <w:rPr>
                                              <w:rFonts w:hint="eastAsia"/>
                                              <w:lang w:val="en-US" w:eastAsia="zh-CN"/>
                                            </w:rPr>
                                            <w:t>G3、N4</w:t>
                                          </w:r>
                                        </w:p>
                                      </w:txbxContent>
                                    </wps:txbx>
                                    <wps:bodyPr vert="horz" wrap="square" anchor="t" upright="1"/>
                                  </wps:wsp>
                                  <wps:wsp>
                                    <wps:cNvPr id="98" name="文本框 29"/>
                                    <wps:cNvSpPr txBox="1"/>
                                    <wps:spPr>
                                      <a:xfrm>
                                        <a:off x="12007" y="2637"/>
                                        <a:ext cx="1893" cy="477"/>
                                      </a:xfrm>
                                      <a:prstGeom prst="rect">
                                        <a:avLst/>
                                      </a:prstGeom>
                                      <a:noFill/>
                                      <a:ln w="9525">
                                        <a:noFill/>
                                      </a:ln>
                                      <a:effectLst/>
                                    </wps:spPr>
                                    <wps:txbx>
                                      <w:txbxContent>
                                        <w:p>
                                          <w:pPr>
                                            <w:jc w:val="center"/>
                                            <w:rPr>
                                              <w:rFonts w:hint="eastAsia" w:eastAsia="宋体"/>
                                              <w:lang w:val="en-US" w:eastAsia="zh-CN"/>
                                            </w:rPr>
                                          </w:pPr>
                                          <w:r>
                                            <w:rPr>
                                              <w:rFonts w:hint="eastAsia"/>
                                              <w:lang w:val="en-US" w:eastAsia="zh-CN"/>
                                            </w:rPr>
                                            <w:t>G4、G5、S3、N5</w:t>
                                          </w:r>
                                        </w:p>
                                      </w:txbxContent>
                                    </wps:txbx>
                                    <wps:bodyPr vert="horz" wrap="square" anchor="t" upright="1"/>
                                  </wps:wsp>
                                </wpg:wgp>
                              </a:graphicData>
                            </a:graphic>
                          </wp:anchor>
                        </w:drawing>
                      </mc:Choice>
                      <mc:Fallback>
                        <w:pict>
                          <v:group id="组合 29" o:spid="_x0000_s1026" o:spt="203" style="position:absolute;left:0pt;margin-left:-3.7pt;margin-top:9.2pt;height:116.75pt;width:456.2pt;z-index:251668480;mso-width-relative:page;mso-height-relative:page;" coordorigin="4776,2232" coordsize="9124,2335" o:gfxdata="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">
                            <o:lock v:ext="edit" aspectratio="f"/>
                            <v:shape id="文本框 3" o:spid="_x0000_s1026" o:spt="202" type="#_x0000_t202" style="position:absolute;left:8813;top:2232;height:503;width:953;" filled="f" stroked="f" coordsize="21600,21600" o:gfxdata="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8D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eastAsia" w:eastAsia="宋体"/>
                                        <w:lang w:eastAsia="zh-CN"/>
                                      </w:rPr>
                                    </w:pPr>
                                    <w:r>
                                      <w:rPr>
                                        <w:rFonts w:hint="eastAsia"/>
                                        <w:lang w:eastAsia="zh-CN"/>
                                      </w:rPr>
                                      <w:t>外购件</w:t>
                                    </w:r>
                                  </w:p>
                                </w:txbxContent>
                              </v:textbox>
                            </v:shape>
                            <v:shape id="文本框 4" o:spid="_x0000_s1026" o:spt="202" type="#_x0000_t202" style="position:absolute;left:4776;top:2953;height:503;width:791;" filled="f" stroked="t" coordsize="21600,21600" o:gfxdata="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5dXq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jc w:val="center"/>
                                      <w:rPr>
                                        <w:rFonts w:hint="eastAsia" w:eastAsia="宋体"/>
                                        <w:lang w:eastAsia="zh-CN"/>
                                      </w:rPr>
                                    </w:pPr>
                                    <w:r>
                                      <w:rPr>
                                        <w:rFonts w:hint="eastAsia"/>
                                        <w:lang w:eastAsia="zh-CN"/>
                                      </w:rPr>
                                      <w:t>钢材</w:t>
                                    </w:r>
                                  </w:p>
                                </w:txbxContent>
                              </v:textbox>
                            </v:shape>
                            <v:shape id="文本框 5" o:spid="_x0000_s1026" o:spt="202" type="#_x0000_t202" style="position:absolute;left:6150;top:2971;height:503;width:1191;" filled="f" stroked="t" coordsize="21600,21600" o:gfxdata="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bXQ4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rPr>
                                        <w:rFonts w:hint="eastAsia" w:eastAsia="宋体"/>
                                        <w:lang w:eastAsia="zh-CN"/>
                                      </w:rPr>
                                    </w:pPr>
                                    <w:r>
                                      <w:rPr>
                                        <w:rFonts w:hint="eastAsia"/>
                                        <w:lang w:eastAsia="zh-CN"/>
                                      </w:rPr>
                                      <w:t>切割下料</w:t>
                                    </w:r>
                                  </w:p>
                                </w:txbxContent>
                              </v:textbox>
                            </v:shape>
                            <v:shape id="文本框 6" o:spid="_x0000_s1026" o:spt="202" type="#_x0000_t202" style="position:absolute;left:7989;top:2975;height:503;width:940;" filled="f" stroked="t" coordsize="21600,21600" o:gfxdata="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qRJO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jc w:val="center"/>
                                      <w:rPr>
                                        <w:rFonts w:hint="eastAsia" w:eastAsia="宋体"/>
                                        <w:lang w:eastAsia="zh-CN"/>
                                      </w:rPr>
                                    </w:pPr>
                                    <w:r>
                                      <w:rPr>
                                        <w:rFonts w:hint="eastAsia"/>
                                        <w:lang w:eastAsia="zh-CN"/>
                                      </w:rPr>
                                      <w:t>机加工</w:t>
                                    </w:r>
                                  </w:p>
                                </w:txbxContent>
                              </v:textbox>
                            </v:shape>
                            <v:shape id="文本框 7" o:spid="_x0000_s1026" o:spt="202" type="#_x0000_t202" style="position:absolute;left:11101;top:3009;height:461;width:777;" filled="f" stroked="t" coordsize="21600,21600" o:gfxdata="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h3pVvQAA&#10;ANsAAAAPAAAAAAAAAAEAIAAAACIAAABkcnMvZG93bnJldi54bWxQSwECFAAUAAAACACHTuJAMy8F&#10;njsAAAA5AAAAEAAAAAAAAAABACAAAAAMAQAAZHJzL3NoYXBleG1sLnhtbFBLBQYAAAAABgAGAFsB&#10;AAC2AwAAAAA=&#10;">
                              <v:fill on="f" focussize="0,0"/>
                              <v:stroke color="#000000" joinstyle="miter" dashstyle="dash"/>
                              <v:imagedata o:title=""/>
                              <o:lock v:ext="edit" aspectratio="f"/>
                              <v:textbox>
                                <w:txbxContent>
                                  <w:p>
                                    <w:pPr>
                                      <w:jc w:val="center"/>
                                      <w:rPr>
                                        <w:rFonts w:hint="eastAsia" w:eastAsia="宋体"/>
                                        <w:lang w:eastAsia="zh-CN"/>
                                      </w:rPr>
                                    </w:pPr>
                                    <w:r>
                                      <w:rPr>
                                        <w:rFonts w:hint="eastAsia"/>
                                        <w:lang w:eastAsia="zh-CN"/>
                                      </w:rPr>
                                      <w:t>回火</w:t>
                                    </w:r>
                                  </w:p>
                                </w:txbxContent>
                              </v:textbox>
                            </v:shape>
                            <v:shape id="文本框 9" o:spid="_x0000_s1026" o:spt="202" type="#_x0000_t202" style="position:absolute;left:12488;top:2980;height:503;width:1077;" filled="f" stroked="t" coordsize="21600,21600" o:gfxdata="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iTiy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jc w:val="center"/>
                                      <w:rPr>
                                        <w:rFonts w:hint="eastAsia" w:eastAsia="宋体"/>
                                        <w:lang w:eastAsia="zh-CN"/>
                                      </w:rPr>
                                    </w:pPr>
                                    <w:r>
                                      <w:rPr>
                                        <w:rFonts w:hint="eastAsia"/>
                                        <w:lang w:eastAsia="zh-CN"/>
                                      </w:rPr>
                                      <w:t>喷、晾漆</w:t>
                                    </w:r>
                                  </w:p>
                                </w:txbxContent>
                              </v:textbox>
                            </v:shape>
                            <v:shape id="文本框 10" o:spid="_x0000_s1026" o:spt="202" type="#_x0000_t202" style="position:absolute;left:12476;top:4059;height:503;width:1158;" filled="f" stroked="t" coordsize="21600,21600" o:gfxdata="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FnSm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jc w:val="center"/>
                                      <w:rPr>
                                        <w:rFonts w:hint="eastAsia" w:eastAsia="宋体"/>
                                        <w:lang w:eastAsia="zh-CN"/>
                                      </w:rPr>
                                    </w:pPr>
                                    <w:r>
                                      <w:rPr>
                                        <w:rFonts w:hint="eastAsia"/>
                                        <w:lang w:eastAsia="zh-CN"/>
                                      </w:rPr>
                                      <w:t>总装调试</w:t>
                                    </w:r>
                                  </w:p>
                                </w:txbxContent>
                              </v:textbox>
                            </v:shape>
                            <v:shape id="文本框 11" o:spid="_x0000_s1026" o:spt="202" type="#_x0000_t202" style="position:absolute;left:10591;top:4064;height:503;width:1158;" filled="f" stroked="t" coordsize="21600,21600" o:gfxdata="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cDX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jc w:val="center"/>
                                      <w:rPr>
                                        <w:rFonts w:hint="eastAsia" w:eastAsia="宋体"/>
                                        <w:lang w:eastAsia="zh-CN"/>
                                      </w:rPr>
                                    </w:pPr>
                                    <w:r>
                                      <w:rPr>
                                        <w:rFonts w:hint="eastAsia"/>
                                        <w:lang w:eastAsia="zh-CN"/>
                                      </w:rPr>
                                      <w:t>产品入库</w:t>
                                    </w:r>
                                  </w:p>
                                </w:txbxContent>
                              </v:textbox>
                            </v:shape>
                            <v:shape id="文本框 12" o:spid="_x0000_s1026" o:spt="202" type="#_x0000_t202" style="position:absolute;left:9041;top:4045;height:503;width:818;" filled="f" stroked="t" coordsize="21600,21600" o:gfxdata="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umx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jc w:val="center"/>
                                      <w:rPr>
                                        <w:rFonts w:hint="eastAsia" w:eastAsia="宋体"/>
                                        <w:lang w:eastAsia="zh-CN"/>
                                      </w:rPr>
                                    </w:pPr>
                                    <w:r>
                                      <w:rPr>
                                        <w:rFonts w:hint="eastAsia"/>
                                        <w:lang w:eastAsia="zh-CN"/>
                                      </w:rPr>
                                      <w:t>销售</w:t>
                                    </w:r>
                                  </w:p>
                                </w:txbxContent>
                              </v:textbox>
                            </v:shape>
                            <v:line id="直线 13" o:spid="_x0000_s1026" o:spt="20" style="position:absolute;left:5577;top:3204;flip:y;height:1;width:567;" filled="f" stroked="t" coordsize="21600,21600" o:gfxdata="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NJ8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4" o:spid="_x0000_s1026" o:spt="20" style="position:absolute;left:10438;top:3214;flip:y;height:1;width:680;" filled="f" stroked="t" coordsize="21600,21600" o:gfxdata="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sa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5" o:spid="_x0000_s1026" o:spt="20" style="position:absolute;left:8923;top:3262;flip:y;height:1;width:737;" filled="f" stroked="t" coordsize="21600,21600" o:gfxdata="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1yH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6" o:spid="_x0000_s1026" o:spt="20" style="position:absolute;left:7350;top:3229;flip:y;height:1;width:680;" filled="f" stroked="t" coordsize="21600,21600" o:gfxdata="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R14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7" o:spid="_x0000_s1026" o:spt="20" style="position:absolute;left:11907;top:3223;flip:y;height:1;width:624;" filled="f" stroked="t" coordsize="21600,21600" o:gfxdata="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Q5D9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19" o:spid="_x0000_s1026" o:spt="20" style="position:absolute;left:13024;top:3496;height:567;width:1;" filled="f" stroked="t" coordsize="21600,21600" o:gfxdata="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JnAs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0" o:spid="_x0000_s1026" o:spt="20" style="position:absolute;left:11737;top:4312;flip:x y;height:1;width:737;" filled="f" stroked="t" coordsize="21600,21600" o:gfxdata="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Gjw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文本框 21" o:spid="_x0000_s1026" o:spt="202" type="#_x0000_t202" style="position:absolute;left:9631;top:2983;height:503;width:791;" filled="f" stroked="t" coordsize="21600,21600" o:gfxdata="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Av0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jc w:val="center"/>
                                      <w:rPr>
                                        <w:rFonts w:hint="eastAsia" w:eastAsia="宋体"/>
                                        <w:lang w:eastAsia="zh-CN"/>
                                      </w:rPr>
                                    </w:pPr>
                                    <w:r>
                                      <w:rPr>
                                        <w:rFonts w:hint="eastAsia"/>
                                        <w:lang w:eastAsia="zh-CN"/>
                                      </w:rPr>
                                      <w:t>焊接</w:t>
                                    </w:r>
                                  </w:p>
                                </w:txbxContent>
                              </v:textbox>
                            </v:shape>
                            <v:line id="直线 22" o:spid="_x0000_s1026" o:spt="20" style="position:absolute;left:9860;top:4303;flip:x y;height:1;width:737;" filled="f" stroked="t" coordsize="21600,21600" o:gfxdata="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YL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3" o:spid="_x0000_s1026" o:spt="20" style="position:absolute;left:9312;top:2585;height:624;width:11;" filled="f" stroked="t" coordsize="21600,21600" o:gfxdata="UEsDBAoAAAAAAIdO4kAAAAAAAAAAAAAAAAAEAAAAZHJzL1BLAwQUAAAACACHTuJA9Khhhr8AAADb&#10;AAAADwAAAGRycy9kb3ducmV2LnhtbEWPT2vCQBTE7wW/w/KE3uomFkq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oYY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24" o:spid="_x0000_s1026" o:spt="202" type="#_x0000_t202" style="position:absolute;left:5965;top:2624;height:477;width:1444;" filled="f" stroked="f" coordsize="21600,21600" o:gfxdata="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uDr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hint="eastAsia" w:eastAsia="宋体"/>
                                        <w:lang w:val="en-US" w:eastAsia="zh-CN"/>
                                      </w:rPr>
                                    </w:pPr>
                                    <w:r>
                                      <w:rPr>
                                        <w:rFonts w:hint="eastAsia"/>
                                        <w:lang w:val="en-US" w:eastAsia="zh-CN"/>
                                      </w:rPr>
                                      <w:t>G1、S1、N1</w:t>
                                    </w:r>
                                  </w:p>
                                </w:txbxContent>
                              </v:textbox>
                            </v:shape>
                            <v:shape id="文本框 25" o:spid="_x0000_s1026" o:spt="202" type="#_x0000_t202" style="position:absolute;left:7857;top:2645;height:477;width:1102;" filled="f" stroked="f" coordsize="21600,21600" o:gfxdata="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yY0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eastAsia" w:eastAsia="宋体"/>
                                        <w:lang w:val="en-US" w:eastAsia="zh-CN"/>
                                      </w:rPr>
                                    </w:pPr>
                                    <w:r>
                                      <w:rPr>
                                        <w:rFonts w:hint="eastAsia"/>
                                        <w:lang w:val="en-US" w:eastAsia="zh-CN"/>
                                      </w:rPr>
                                      <w:t>S2、N2</w:t>
                                    </w:r>
                                  </w:p>
                                </w:txbxContent>
                              </v:textbox>
                            </v:shape>
                            <v:shape id="文本框 26" o:spid="_x0000_s1026" o:spt="202" type="#_x0000_t202" style="position:absolute;left:9472;top:2644;height:409;width:1089;" filled="f" stroked="f" coordsize="21600,21600" o:gfxdata="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xbhD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eastAsia" w:eastAsia="宋体"/>
                                        <w:lang w:val="en-US" w:eastAsia="zh-CN"/>
                                      </w:rPr>
                                    </w:pPr>
                                    <w:r>
                                      <w:rPr>
                                        <w:rFonts w:hint="eastAsia"/>
                                        <w:lang w:val="en-US" w:eastAsia="zh-CN"/>
                                      </w:rPr>
                                      <w:t>G2、N3</w:t>
                                    </w:r>
                                  </w:p>
                                </w:txbxContent>
                              </v:textbox>
                            </v:shape>
                            <v:shape id="文本框 27" o:spid="_x0000_s1026" o:spt="202" type="#_x0000_t202" style="position:absolute;left:11007;top:2666;height:409;width:1089;" filled="f" stroked="f" coordsize="21600,21600" o:gfxdata="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iR3Y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eastAsia" w:eastAsia="宋体"/>
                                        <w:lang w:val="en-US" w:eastAsia="zh-CN"/>
                                      </w:rPr>
                                    </w:pPr>
                                    <w:r>
                                      <w:rPr>
                                        <w:rFonts w:hint="eastAsia"/>
                                        <w:lang w:val="en-US" w:eastAsia="zh-CN"/>
                                      </w:rPr>
                                      <w:t>G3、N4</w:t>
                                    </w:r>
                                  </w:p>
                                </w:txbxContent>
                              </v:textbox>
                            </v:shape>
                            <v:shape id="文本框 29" o:spid="_x0000_s1026" o:spt="202" type="#_x0000_t202" style="position:absolute;left:12007;top:2637;height:477;width:1893;" filled="f" stroked="f" coordsize="21600,21600" o:gfxdata="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BaJqr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jc w:val="center"/>
                                      <w:rPr>
                                        <w:rFonts w:hint="eastAsia" w:eastAsia="宋体"/>
                                        <w:lang w:val="en-US" w:eastAsia="zh-CN"/>
                                      </w:rPr>
                                    </w:pPr>
                                    <w:r>
                                      <w:rPr>
                                        <w:rFonts w:hint="eastAsia"/>
                                        <w:lang w:val="en-US" w:eastAsia="zh-CN"/>
                                      </w:rPr>
                                      <w:t>G4、G5、S3、N5</w:t>
                                    </w:r>
                                  </w:p>
                                </w:txbxContent>
                              </v:textbox>
                            </v:shape>
                          </v:group>
                        </w:pict>
                      </mc:Fallback>
                    </mc:AlternateContent>
                  </w:r>
                </w:p>
              </w:tc>
            </w:tr>
          </w:tbl>
          <w:p>
            <w:pPr>
              <w:pStyle w:val="48"/>
              <w:spacing w:line="480" w:lineRule="exact"/>
              <w:rPr>
                <w:bCs/>
                <w:color w:val="0000FF"/>
              </w:rPr>
            </w:pPr>
          </w:p>
          <w:p>
            <w:pPr>
              <w:pStyle w:val="48"/>
              <w:spacing w:line="480" w:lineRule="exact"/>
              <w:rPr>
                <w:bCs/>
                <w:color w:val="0000FF"/>
              </w:rPr>
            </w:pPr>
          </w:p>
          <w:p>
            <w:pPr>
              <w:pStyle w:val="48"/>
              <w:spacing w:line="480" w:lineRule="exact"/>
              <w:rPr>
                <w:bCs/>
                <w:color w:val="0000FF"/>
              </w:rPr>
            </w:pPr>
          </w:p>
          <w:p>
            <w:pPr>
              <w:pStyle w:val="48"/>
              <w:spacing w:line="480" w:lineRule="exact"/>
              <w:rPr>
                <w:bCs/>
                <w:color w:val="0000FF"/>
              </w:rPr>
            </w:pPr>
          </w:p>
          <w:p>
            <w:pPr>
              <w:pStyle w:val="48"/>
              <w:spacing w:line="480" w:lineRule="exact"/>
              <w:rPr>
                <w:bCs/>
                <w:color w:val="0000FF"/>
              </w:rPr>
            </w:pPr>
            <w:bookmarkStart w:id="3" w:name="_GoBack"/>
            <w:bookmarkEnd w:id="3"/>
          </w:p>
          <w:p>
            <w:pPr>
              <w:pStyle w:val="48"/>
              <w:spacing w:line="480" w:lineRule="exact"/>
              <w:rPr>
                <w:bCs/>
                <w:color w:val="0000FF"/>
              </w:rPr>
            </w:pPr>
          </w:p>
          <w:p>
            <w:pPr>
              <w:pStyle w:val="48"/>
              <w:spacing w:line="480" w:lineRule="exact"/>
              <w:ind w:firstLine="0" w:firstLineChars="0"/>
              <w:jc w:val="center"/>
              <w:rPr>
                <w:bCs/>
                <w:color w:val="FF0000"/>
              </w:rPr>
            </w:pPr>
            <w:r>
              <w:rPr>
                <w:rFonts w:hint="eastAsia"/>
                <w:b/>
                <w:color w:val="FF0000"/>
                <w:sz w:val="21"/>
                <w:szCs w:val="21"/>
              </w:rPr>
              <w:t>图2   技改后生产工艺</w:t>
            </w:r>
            <w:r>
              <w:rPr>
                <w:rFonts w:hint="eastAsia"/>
                <w:b/>
                <w:color w:val="FF0000"/>
                <w:kern w:val="2"/>
                <w:sz w:val="21"/>
                <w:szCs w:val="21"/>
              </w:rPr>
              <w:t>流程图</w:t>
            </w:r>
          </w:p>
          <w:p>
            <w:pPr>
              <w:ind w:firstLine="480"/>
              <w:jc w:val="right"/>
              <w:rPr>
                <w:b/>
                <w:bCs/>
                <w:szCs w:val="21"/>
              </w:rPr>
            </w:pPr>
            <w:r>
              <w:t>图例：G-废气；N-噪声；S-固废</w:t>
            </w:r>
          </w:p>
          <w:p>
            <w:pPr>
              <w:pStyle w:val="48"/>
              <w:spacing w:line="480" w:lineRule="exact"/>
              <w:rPr>
                <w:bCs/>
              </w:rPr>
            </w:pPr>
            <w:r>
              <w:rPr>
                <w:rFonts w:hint="eastAsia"/>
                <w:bCs/>
              </w:rPr>
              <w:t>技改后生产工艺描述：</w:t>
            </w:r>
          </w:p>
          <w:p>
            <w:pPr>
              <w:pStyle w:val="48"/>
              <w:spacing w:line="480" w:lineRule="exact"/>
              <w:rPr>
                <w:bCs/>
              </w:rPr>
            </w:pPr>
            <w:r>
              <w:rPr>
                <w:rFonts w:hint="eastAsia"/>
                <w:bCs/>
              </w:rPr>
              <w:t>切割下料：外购的钢材通过等离子切割机进行切割，此过程会产生废气（G1）、噪声（N1）和废钢板（S1）。</w:t>
            </w:r>
          </w:p>
          <w:p>
            <w:pPr>
              <w:pStyle w:val="48"/>
              <w:spacing w:line="480" w:lineRule="exact"/>
              <w:rPr>
                <w:bCs/>
              </w:rPr>
            </w:pPr>
            <w:r>
              <w:rPr>
                <w:rFonts w:hint="eastAsia"/>
                <w:bCs/>
              </w:rPr>
              <w:t>机加工、焊接：钢材经车床、钻床、铣床进行粗加工后形成所需工件。根据产品需要，对工件进行焊接加工。此过程会产生噪声（N2、N3）、焊接烟尘（G2）和废金属屑（S2）。</w:t>
            </w:r>
          </w:p>
          <w:p>
            <w:pPr>
              <w:pStyle w:val="48"/>
              <w:spacing w:line="480" w:lineRule="exact"/>
              <w:rPr>
                <w:bCs/>
              </w:rPr>
            </w:pPr>
            <w:r>
              <w:rPr>
                <w:rFonts w:hint="eastAsia"/>
                <w:bCs/>
              </w:rPr>
              <w:t>回火：部分工件完成以上操作后，需要进行回火处理，来提高工件的延性或韧性。回火的温度为</w:t>
            </w:r>
            <w:r>
              <w:rPr>
                <w:bCs/>
              </w:rPr>
              <w:t>800℃</w:t>
            </w:r>
            <w:r>
              <w:rPr>
                <w:rFonts w:hint="eastAsia"/>
                <w:bCs/>
              </w:rPr>
              <w:t>，热处理的时间为1-2h。</w:t>
            </w:r>
          </w:p>
          <w:p>
            <w:pPr>
              <w:pStyle w:val="48"/>
              <w:spacing w:line="480" w:lineRule="exact"/>
              <w:rPr>
                <w:bCs/>
              </w:rPr>
            </w:pPr>
            <w:r>
              <w:rPr>
                <w:rFonts w:hint="eastAsia"/>
                <w:bCs/>
              </w:rPr>
              <w:t>喷、晾漆：为提高产品质量，对工件进行喷漆。本项目</w:t>
            </w:r>
            <w:r>
              <w:rPr>
                <w:bCs/>
              </w:rPr>
              <w:t>利用喷枪按照设计及工艺要求将丙烯酸磁漆均匀喷涂在工件表面。工件完成喷漆后在</w:t>
            </w:r>
            <w:r>
              <w:rPr>
                <w:rFonts w:hint="eastAsia"/>
                <w:bCs/>
              </w:rPr>
              <w:t>密闭的晾干</w:t>
            </w:r>
            <w:r>
              <w:rPr>
                <w:bCs/>
              </w:rPr>
              <w:t>房内自然晾干。本项目喷漆与晾干为间歇操作，且所用油漆为速干漆，晾干时间较短，喷漆</w:t>
            </w:r>
            <w:r>
              <w:rPr>
                <w:rFonts w:hint="eastAsia"/>
                <w:bCs/>
              </w:rPr>
              <w:t>年工作</w:t>
            </w:r>
            <w:r>
              <w:rPr>
                <w:bCs/>
              </w:rPr>
              <w:t>时间为</w:t>
            </w:r>
            <w:r>
              <w:rPr>
                <w:rFonts w:hint="eastAsia"/>
                <w:bCs/>
              </w:rPr>
              <w:t>600</w:t>
            </w:r>
            <w:r>
              <w:rPr>
                <w:bCs/>
              </w:rPr>
              <w:t>h，自然晾干</w:t>
            </w:r>
            <w:r>
              <w:rPr>
                <w:rFonts w:hint="eastAsia"/>
                <w:bCs/>
              </w:rPr>
              <w:t>600</w:t>
            </w:r>
            <w:r>
              <w:rPr>
                <w:bCs/>
              </w:rPr>
              <w:t>h，即可晾干，满足产品质量要求。</w:t>
            </w:r>
            <w:r>
              <w:rPr>
                <w:rFonts w:hint="eastAsia"/>
                <w:bCs/>
              </w:rPr>
              <w:t>喷漆过程会产生漆雾（G4）、噪声（N5）和漆渣及废油漆桶（S3）、噪声（N5），喷漆完成进行在晾漆房进行晾漆，晾漆时会挥发少量有机废气（G5）。</w:t>
            </w:r>
          </w:p>
          <w:p>
            <w:pPr>
              <w:pStyle w:val="48"/>
              <w:spacing w:line="480" w:lineRule="exact"/>
              <w:rPr>
                <w:bCs/>
              </w:rPr>
            </w:pPr>
            <w:r>
              <w:rPr>
                <w:rFonts w:hint="eastAsia"/>
                <w:bCs/>
              </w:rPr>
              <w:t>总装调试：喷漆晾干后进行组装调试，调试完成后入库待售。</w:t>
            </w:r>
          </w:p>
          <w:p>
            <w:pPr>
              <w:spacing w:line="480" w:lineRule="exact"/>
              <w:jc w:val="center"/>
              <w:rPr>
                <w:b/>
                <w:bCs/>
                <w:szCs w:val="21"/>
              </w:rPr>
            </w:pPr>
            <w:r>
              <w:rPr>
                <w:rFonts w:hint="eastAsia"/>
                <w:b/>
                <w:bCs/>
                <w:szCs w:val="21"/>
              </w:rPr>
              <w:t>表18  技改后项目生产主要排污节点一览表</w:t>
            </w:r>
          </w:p>
          <w:tbl>
            <w:tblPr>
              <w:tblStyle w:val="31"/>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663"/>
              <w:gridCol w:w="1900"/>
              <w:gridCol w:w="2000"/>
              <w:gridCol w:w="814"/>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jc w:val="center"/>
                    <w:rPr>
                      <w:b/>
                      <w:bCs/>
                      <w:szCs w:val="21"/>
                    </w:rPr>
                  </w:pPr>
                  <w:r>
                    <w:rPr>
                      <w:rFonts w:hint="eastAsia"/>
                      <w:b/>
                      <w:bCs/>
                      <w:szCs w:val="21"/>
                    </w:rPr>
                    <w:t>污染类型</w:t>
                  </w:r>
                </w:p>
              </w:tc>
              <w:tc>
                <w:tcPr>
                  <w:tcW w:w="663" w:type="dxa"/>
                  <w:vAlign w:val="center"/>
                </w:tcPr>
                <w:p>
                  <w:pPr>
                    <w:jc w:val="center"/>
                    <w:rPr>
                      <w:b/>
                      <w:bCs/>
                      <w:szCs w:val="21"/>
                    </w:rPr>
                  </w:pPr>
                  <w:r>
                    <w:rPr>
                      <w:rFonts w:hint="eastAsia"/>
                      <w:b/>
                      <w:bCs/>
                      <w:szCs w:val="21"/>
                    </w:rPr>
                    <w:t>序号</w:t>
                  </w:r>
                </w:p>
              </w:tc>
              <w:tc>
                <w:tcPr>
                  <w:tcW w:w="1900" w:type="dxa"/>
                  <w:vAlign w:val="center"/>
                </w:tcPr>
                <w:p>
                  <w:pPr>
                    <w:jc w:val="center"/>
                    <w:rPr>
                      <w:b/>
                      <w:bCs/>
                      <w:szCs w:val="21"/>
                    </w:rPr>
                  </w:pPr>
                  <w:r>
                    <w:rPr>
                      <w:rFonts w:hint="eastAsia"/>
                      <w:b/>
                      <w:bCs/>
                      <w:szCs w:val="21"/>
                    </w:rPr>
                    <w:t>污染源</w:t>
                  </w:r>
                </w:p>
              </w:tc>
              <w:tc>
                <w:tcPr>
                  <w:tcW w:w="2000" w:type="dxa"/>
                  <w:vAlign w:val="center"/>
                </w:tcPr>
                <w:p>
                  <w:pPr>
                    <w:jc w:val="center"/>
                    <w:rPr>
                      <w:b/>
                      <w:bCs/>
                      <w:szCs w:val="21"/>
                    </w:rPr>
                  </w:pPr>
                  <w:r>
                    <w:rPr>
                      <w:rFonts w:hint="eastAsia"/>
                      <w:b/>
                      <w:bCs/>
                      <w:szCs w:val="21"/>
                    </w:rPr>
                    <w:t>污染因子</w:t>
                  </w:r>
                </w:p>
              </w:tc>
              <w:tc>
                <w:tcPr>
                  <w:tcW w:w="814" w:type="dxa"/>
                  <w:vAlign w:val="center"/>
                </w:tcPr>
                <w:p>
                  <w:pPr>
                    <w:jc w:val="center"/>
                    <w:rPr>
                      <w:b/>
                      <w:bCs/>
                      <w:szCs w:val="21"/>
                    </w:rPr>
                  </w:pPr>
                  <w:r>
                    <w:rPr>
                      <w:rFonts w:hint="eastAsia"/>
                      <w:b/>
                      <w:bCs/>
                      <w:szCs w:val="21"/>
                    </w:rPr>
                    <w:t>排放特征</w:t>
                  </w:r>
                </w:p>
              </w:tc>
              <w:tc>
                <w:tcPr>
                  <w:tcW w:w="2613" w:type="dxa"/>
                  <w:vAlign w:val="center"/>
                </w:tcPr>
                <w:p>
                  <w:pPr>
                    <w:jc w:val="center"/>
                    <w:rPr>
                      <w:b/>
                      <w:bCs/>
                      <w:szCs w:val="21"/>
                    </w:rPr>
                  </w:pPr>
                  <w:r>
                    <w:rPr>
                      <w:rFonts w:hint="eastAsia"/>
                      <w:b/>
                      <w:bCs/>
                      <w:szCs w:val="21"/>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Merge w:val="restart"/>
                  <w:vAlign w:val="center"/>
                </w:tcPr>
                <w:p>
                  <w:pPr>
                    <w:jc w:val="center"/>
                    <w:rPr>
                      <w:szCs w:val="21"/>
                    </w:rPr>
                  </w:pPr>
                  <w:r>
                    <w:rPr>
                      <w:rFonts w:hint="eastAsia"/>
                      <w:szCs w:val="21"/>
                    </w:rPr>
                    <w:t>废气</w:t>
                  </w:r>
                </w:p>
              </w:tc>
              <w:tc>
                <w:tcPr>
                  <w:tcW w:w="663" w:type="dxa"/>
                  <w:vAlign w:val="center"/>
                </w:tcPr>
                <w:p>
                  <w:pPr>
                    <w:jc w:val="center"/>
                    <w:rPr>
                      <w:szCs w:val="21"/>
                    </w:rPr>
                  </w:pPr>
                  <w:r>
                    <w:rPr>
                      <w:rFonts w:hint="eastAsia"/>
                      <w:szCs w:val="21"/>
                    </w:rPr>
                    <w:t>G1</w:t>
                  </w:r>
                </w:p>
              </w:tc>
              <w:tc>
                <w:tcPr>
                  <w:tcW w:w="1900" w:type="dxa"/>
                  <w:vAlign w:val="center"/>
                </w:tcPr>
                <w:p>
                  <w:pPr>
                    <w:jc w:val="center"/>
                    <w:rPr>
                      <w:szCs w:val="21"/>
                    </w:rPr>
                  </w:pPr>
                  <w:r>
                    <w:rPr>
                      <w:rFonts w:hint="eastAsia"/>
                      <w:szCs w:val="21"/>
                    </w:rPr>
                    <w:t>切割粉尘</w:t>
                  </w:r>
                </w:p>
              </w:tc>
              <w:tc>
                <w:tcPr>
                  <w:tcW w:w="2000" w:type="dxa"/>
                  <w:vAlign w:val="center"/>
                </w:tcPr>
                <w:p>
                  <w:pPr>
                    <w:jc w:val="center"/>
                    <w:rPr>
                      <w:szCs w:val="21"/>
                    </w:rPr>
                  </w:pPr>
                  <w:r>
                    <w:rPr>
                      <w:rFonts w:hint="eastAsia"/>
                      <w:szCs w:val="21"/>
                    </w:rPr>
                    <w:t>颗粒物</w:t>
                  </w:r>
                </w:p>
              </w:tc>
              <w:tc>
                <w:tcPr>
                  <w:tcW w:w="814" w:type="dxa"/>
                  <w:vAlign w:val="center"/>
                </w:tcPr>
                <w:p>
                  <w:pPr>
                    <w:jc w:val="center"/>
                    <w:rPr>
                      <w:szCs w:val="21"/>
                    </w:rPr>
                  </w:pPr>
                  <w:r>
                    <w:rPr>
                      <w:rFonts w:hint="eastAsia"/>
                      <w:szCs w:val="21"/>
                    </w:rPr>
                    <w:t>间歇</w:t>
                  </w:r>
                </w:p>
              </w:tc>
              <w:tc>
                <w:tcPr>
                  <w:tcW w:w="2613" w:type="dxa"/>
                  <w:vAlign w:val="center"/>
                </w:tcPr>
                <w:p>
                  <w:pPr>
                    <w:jc w:val="center"/>
                    <w:rPr>
                      <w:szCs w:val="21"/>
                    </w:rPr>
                  </w:pPr>
                  <w:r>
                    <w:rPr>
                      <w:rFonts w:hint="eastAsia"/>
                      <w:szCs w:val="21"/>
                    </w:rPr>
                    <w:t>集气罩+布袋除尘器+15m排气筒（P1）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Merge w:val="continue"/>
                  <w:vAlign w:val="center"/>
                </w:tcPr>
                <w:p>
                  <w:pPr>
                    <w:jc w:val="center"/>
                    <w:rPr>
                      <w:szCs w:val="21"/>
                    </w:rPr>
                  </w:pPr>
                </w:p>
              </w:tc>
              <w:tc>
                <w:tcPr>
                  <w:tcW w:w="663" w:type="dxa"/>
                  <w:vAlign w:val="center"/>
                </w:tcPr>
                <w:p>
                  <w:pPr>
                    <w:jc w:val="center"/>
                    <w:rPr>
                      <w:szCs w:val="21"/>
                    </w:rPr>
                  </w:pPr>
                  <w:r>
                    <w:rPr>
                      <w:rFonts w:hint="eastAsia"/>
                      <w:szCs w:val="21"/>
                    </w:rPr>
                    <w:t>G2</w:t>
                  </w:r>
                </w:p>
              </w:tc>
              <w:tc>
                <w:tcPr>
                  <w:tcW w:w="1900" w:type="dxa"/>
                  <w:vAlign w:val="center"/>
                </w:tcPr>
                <w:p>
                  <w:pPr>
                    <w:jc w:val="center"/>
                    <w:rPr>
                      <w:szCs w:val="21"/>
                    </w:rPr>
                  </w:pPr>
                  <w:r>
                    <w:rPr>
                      <w:rFonts w:hint="eastAsia"/>
                      <w:szCs w:val="21"/>
                    </w:rPr>
                    <w:t>焊接烟尘</w:t>
                  </w:r>
                </w:p>
              </w:tc>
              <w:tc>
                <w:tcPr>
                  <w:tcW w:w="2000" w:type="dxa"/>
                  <w:vAlign w:val="center"/>
                </w:tcPr>
                <w:p>
                  <w:pPr>
                    <w:jc w:val="center"/>
                    <w:rPr>
                      <w:szCs w:val="21"/>
                    </w:rPr>
                  </w:pPr>
                  <w:r>
                    <w:rPr>
                      <w:rFonts w:hint="eastAsia"/>
                      <w:szCs w:val="21"/>
                    </w:rPr>
                    <w:t>颗粒物</w:t>
                  </w:r>
                </w:p>
              </w:tc>
              <w:tc>
                <w:tcPr>
                  <w:tcW w:w="814" w:type="dxa"/>
                  <w:vAlign w:val="center"/>
                </w:tcPr>
                <w:p>
                  <w:pPr>
                    <w:jc w:val="center"/>
                    <w:rPr>
                      <w:szCs w:val="21"/>
                    </w:rPr>
                  </w:pPr>
                  <w:r>
                    <w:rPr>
                      <w:rFonts w:hint="eastAsia"/>
                      <w:szCs w:val="21"/>
                    </w:rPr>
                    <w:t>间歇</w:t>
                  </w:r>
                </w:p>
              </w:tc>
              <w:tc>
                <w:tcPr>
                  <w:tcW w:w="2613" w:type="dxa"/>
                  <w:vAlign w:val="center"/>
                </w:tcPr>
                <w:p>
                  <w:pPr>
                    <w:jc w:val="center"/>
                    <w:rPr>
                      <w:szCs w:val="21"/>
                    </w:rPr>
                  </w:pPr>
                  <w:r>
                    <w:rPr>
                      <w:rFonts w:hint="eastAsia"/>
                      <w:szCs w:val="21"/>
                    </w:rPr>
                    <w:t>焊烟净化处理后无组织排放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vMerge w:val="continue"/>
                  <w:vAlign w:val="center"/>
                </w:tcPr>
                <w:p>
                  <w:pPr>
                    <w:jc w:val="center"/>
                    <w:rPr>
                      <w:szCs w:val="21"/>
                    </w:rPr>
                  </w:pPr>
                </w:p>
              </w:tc>
              <w:tc>
                <w:tcPr>
                  <w:tcW w:w="663" w:type="dxa"/>
                  <w:vAlign w:val="center"/>
                </w:tcPr>
                <w:p>
                  <w:pPr>
                    <w:jc w:val="center"/>
                    <w:rPr>
                      <w:szCs w:val="21"/>
                    </w:rPr>
                  </w:pPr>
                  <w:r>
                    <w:rPr>
                      <w:rFonts w:hint="eastAsia"/>
                      <w:szCs w:val="21"/>
                    </w:rPr>
                    <w:t>G3</w:t>
                  </w:r>
                </w:p>
              </w:tc>
              <w:tc>
                <w:tcPr>
                  <w:tcW w:w="1900" w:type="dxa"/>
                  <w:vAlign w:val="center"/>
                </w:tcPr>
                <w:p>
                  <w:pPr>
                    <w:jc w:val="center"/>
                    <w:rPr>
                      <w:szCs w:val="21"/>
                    </w:rPr>
                  </w:pPr>
                  <w:r>
                    <w:rPr>
                      <w:rFonts w:hint="eastAsia"/>
                      <w:szCs w:val="21"/>
                    </w:rPr>
                    <w:t>回火</w:t>
                  </w:r>
                </w:p>
              </w:tc>
              <w:tc>
                <w:tcPr>
                  <w:tcW w:w="2000" w:type="dxa"/>
                  <w:vAlign w:val="center"/>
                </w:tcPr>
                <w:p>
                  <w:pPr>
                    <w:jc w:val="center"/>
                    <w:rPr>
                      <w:szCs w:val="21"/>
                    </w:rPr>
                  </w:pPr>
                  <w:r>
                    <w:rPr>
                      <w:rFonts w:hint="eastAsia"/>
                      <w:szCs w:val="21"/>
                    </w:rPr>
                    <w:t>非甲烷总烃</w:t>
                  </w:r>
                </w:p>
              </w:tc>
              <w:tc>
                <w:tcPr>
                  <w:tcW w:w="814" w:type="dxa"/>
                  <w:vAlign w:val="center"/>
                </w:tcPr>
                <w:p>
                  <w:pPr>
                    <w:jc w:val="center"/>
                    <w:rPr>
                      <w:szCs w:val="21"/>
                    </w:rPr>
                  </w:pPr>
                  <w:r>
                    <w:rPr>
                      <w:rFonts w:hint="eastAsia"/>
                      <w:szCs w:val="21"/>
                    </w:rPr>
                    <w:t>间歇</w:t>
                  </w:r>
                </w:p>
              </w:tc>
              <w:tc>
                <w:tcPr>
                  <w:tcW w:w="2613" w:type="dxa"/>
                  <w:vAlign w:val="center"/>
                </w:tcPr>
                <w:p>
                  <w:pPr>
                    <w:jc w:val="center"/>
                    <w:rPr>
                      <w:szCs w:val="21"/>
                    </w:rPr>
                  </w:pPr>
                  <w:r>
                    <w:rPr>
                      <w:rFonts w:hint="eastAsia"/>
                      <w:szCs w:val="21"/>
                    </w:rPr>
                    <w:t>集气罩+等离子光氧一体机+15m排气筒（P2）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Merge w:val="continue"/>
                  <w:vAlign w:val="center"/>
                </w:tcPr>
                <w:p>
                  <w:pPr>
                    <w:jc w:val="center"/>
                    <w:rPr>
                      <w:szCs w:val="21"/>
                    </w:rPr>
                  </w:pPr>
                </w:p>
              </w:tc>
              <w:tc>
                <w:tcPr>
                  <w:tcW w:w="663" w:type="dxa"/>
                  <w:vAlign w:val="center"/>
                </w:tcPr>
                <w:p>
                  <w:pPr>
                    <w:jc w:val="center"/>
                    <w:rPr>
                      <w:szCs w:val="21"/>
                    </w:rPr>
                  </w:pPr>
                  <w:r>
                    <w:rPr>
                      <w:rFonts w:hint="eastAsia"/>
                      <w:szCs w:val="21"/>
                    </w:rPr>
                    <w:t>G4</w:t>
                  </w:r>
                </w:p>
              </w:tc>
              <w:tc>
                <w:tcPr>
                  <w:tcW w:w="1900" w:type="dxa"/>
                  <w:vAlign w:val="center"/>
                </w:tcPr>
                <w:p>
                  <w:pPr>
                    <w:jc w:val="center"/>
                    <w:rPr>
                      <w:szCs w:val="21"/>
                    </w:rPr>
                  </w:pPr>
                  <w:r>
                    <w:rPr>
                      <w:rFonts w:hint="eastAsia"/>
                      <w:szCs w:val="21"/>
                    </w:rPr>
                    <w:t>喷漆</w:t>
                  </w:r>
                </w:p>
              </w:tc>
              <w:tc>
                <w:tcPr>
                  <w:tcW w:w="2000" w:type="dxa"/>
                  <w:vAlign w:val="center"/>
                </w:tcPr>
                <w:p>
                  <w:pPr>
                    <w:jc w:val="center"/>
                    <w:rPr>
                      <w:szCs w:val="21"/>
                    </w:rPr>
                  </w:pPr>
                  <w:r>
                    <w:rPr>
                      <w:rFonts w:hint="eastAsia"/>
                      <w:szCs w:val="21"/>
                    </w:rPr>
                    <w:t>漆雾、非甲烷总烃、二甲苯</w:t>
                  </w:r>
                </w:p>
              </w:tc>
              <w:tc>
                <w:tcPr>
                  <w:tcW w:w="814" w:type="dxa"/>
                  <w:vAlign w:val="center"/>
                </w:tcPr>
                <w:p>
                  <w:pPr>
                    <w:jc w:val="center"/>
                    <w:rPr>
                      <w:szCs w:val="21"/>
                    </w:rPr>
                  </w:pPr>
                  <w:r>
                    <w:rPr>
                      <w:rFonts w:hint="eastAsia"/>
                      <w:szCs w:val="21"/>
                    </w:rPr>
                    <w:t>间歇</w:t>
                  </w:r>
                </w:p>
              </w:tc>
              <w:tc>
                <w:tcPr>
                  <w:tcW w:w="2613" w:type="dxa"/>
                  <w:vMerge w:val="restart"/>
                  <w:vAlign w:val="center"/>
                </w:tcPr>
                <w:p>
                  <w:pPr>
                    <w:jc w:val="center"/>
                    <w:rPr>
                      <w:szCs w:val="21"/>
                    </w:rPr>
                  </w:pPr>
                  <w:r>
                    <w:rPr>
                      <w:rFonts w:hint="eastAsia"/>
                      <w:szCs w:val="21"/>
                    </w:rPr>
                    <w:t>负压收集+干式过滤器+等离子光氧一体机+15m排气筒（P3）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Merge w:val="continue"/>
                  <w:vAlign w:val="center"/>
                </w:tcPr>
                <w:p>
                  <w:pPr>
                    <w:jc w:val="center"/>
                    <w:rPr>
                      <w:szCs w:val="21"/>
                    </w:rPr>
                  </w:pPr>
                </w:p>
              </w:tc>
              <w:tc>
                <w:tcPr>
                  <w:tcW w:w="663" w:type="dxa"/>
                  <w:vAlign w:val="center"/>
                </w:tcPr>
                <w:p>
                  <w:pPr>
                    <w:jc w:val="center"/>
                    <w:rPr>
                      <w:szCs w:val="21"/>
                    </w:rPr>
                  </w:pPr>
                  <w:r>
                    <w:rPr>
                      <w:rFonts w:hint="eastAsia"/>
                      <w:szCs w:val="21"/>
                    </w:rPr>
                    <w:t>G5</w:t>
                  </w:r>
                </w:p>
              </w:tc>
              <w:tc>
                <w:tcPr>
                  <w:tcW w:w="1900" w:type="dxa"/>
                  <w:vAlign w:val="center"/>
                </w:tcPr>
                <w:p>
                  <w:pPr>
                    <w:jc w:val="center"/>
                    <w:rPr>
                      <w:szCs w:val="21"/>
                    </w:rPr>
                  </w:pPr>
                  <w:r>
                    <w:rPr>
                      <w:rFonts w:hint="eastAsia"/>
                      <w:szCs w:val="21"/>
                    </w:rPr>
                    <w:t>晾漆</w:t>
                  </w:r>
                </w:p>
              </w:tc>
              <w:tc>
                <w:tcPr>
                  <w:tcW w:w="2000" w:type="dxa"/>
                  <w:vAlign w:val="center"/>
                </w:tcPr>
                <w:p>
                  <w:pPr>
                    <w:jc w:val="center"/>
                    <w:rPr>
                      <w:szCs w:val="21"/>
                    </w:rPr>
                  </w:pPr>
                  <w:r>
                    <w:rPr>
                      <w:rFonts w:hint="eastAsia"/>
                      <w:szCs w:val="21"/>
                    </w:rPr>
                    <w:t>非甲烷总烃、二甲苯</w:t>
                  </w:r>
                </w:p>
              </w:tc>
              <w:tc>
                <w:tcPr>
                  <w:tcW w:w="814" w:type="dxa"/>
                  <w:vAlign w:val="center"/>
                </w:tcPr>
                <w:p>
                  <w:pPr>
                    <w:jc w:val="center"/>
                    <w:rPr>
                      <w:szCs w:val="21"/>
                    </w:rPr>
                  </w:pPr>
                  <w:r>
                    <w:rPr>
                      <w:rFonts w:hint="eastAsia"/>
                      <w:szCs w:val="21"/>
                    </w:rPr>
                    <w:t>间歇</w:t>
                  </w:r>
                </w:p>
              </w:tc>
              <w:tc>
                <w:tcPr>
                  <w:tcW w:w="2613"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Merge w:val="restart"/>
                  <w:vAlign w:val="center"/>
                </w:tcPr>
                <w:p>
                  <w:pPr>
                    <w:jc w:val="center"/>
                    <w:rPr>
                      <w:szCs w:val="21"/>
                    </w:rPr>
                  </w:pPr>
                  <w:r>
                    <w:rPr>
                      <w:rFonts w:hint="eastAsia"/>
                      <w:szCs w:val="21"/>
                    </w:rPr>
                    <w:t>噪声</w:t>
                  </w:r>
                </w:p>
              </w:tc>
              <w:tc>
                <w:tcPr>
                  <w:tcW w:w="663" w:type="dxa"/>
                  <w:vAlign w:val="center"/>
                </w:tcPr>
                <w:p>
                  <w:pPr>
                    <w:jc w:val="center"/>
                    <w:rPr>
                      <w:szCs w:val="21"/>
                    </w:rPr>
                  </w:pPr>
                  <w:r>
                    <w:rPr>
                      <w:rFonts w:hint="eastAsia"/>
                      <w:szCs w:val="21"/>
                    </w:rPr>
                    <w:t>N1</w:t>
                  </w:r>
                </w:p>
              </w:tc>
              <w:tc>
                <w:tcPr>
                  <w:tcW w:w="1900" w:type="dxa"/>
                  <w:vAlign w:val="center"/>
                </w:tcPr>
                <w:p>
                  <w:pPr>
                    <w:jc w:val="center"/>
                    <w:rPr>
                      <w:szCs w:val="21"/>
                    </w:rPr>
                  </w:pPr>
                  <w:r>
                    <w:rPr>
                      <w:rFonts w:hint="eastAsia"/>
                      <w:szCs w:val="21"/>
                    </w:rPr>
                    <w:t>切割机</w:t>
                  </w:r>
                </w:p>
              </w:tc>
              <w:tc>
                <w:tcPr>
                  <w:tcW w:w="2000" w:type="dxa"/>
                  <w:vAlign w:val="center"/>
                </w:tcPr>
                <w:p>
                  <w:pPr>
                    <w:jc w:val="center"/>
                    <w:rPr>
                      <w:szCs w:val="21"/>
                    </w:rPr>
                  </w:pPr>
                  <w:r>
                    <w:rPr>
                      <w:rFonts w:hint="eastAsia"/>
                      <w:szCs w:val="21"/>
                    </w:rPr>
                    <w:t>噪声</w:t>
                  </w:r>
                </w:p>
              </w:tc>
              <w:tc>
                <w:tcPr>
                  <w:tcW w:w="814" w:type="dxa"/>
                  <w:vAlign w:val="center"/>
                </w:tcPr>
                <w:p>
                  <w:pPr>
                    <w:jc w:val="center"/>
                    <w:rPr>
                      <w:szCs w:val="21"/>
                    </w:rPr>
                  </w:pPr>
                  <w:r>
                    <w:rPr>
                      <w:rFonts w:hint="eastAsia"/>
                      <w:szCs w:val="21"/>
                    </w:rPr>
                    <w:t>连续</w:t>
                  </w:r>
                </w:p>
              </w:tc>
              <w:tc>
                <w:tcPr>
                  <w:tcW w:w="2613" w:type="dxa"/>
                  <w:vAlign w:val="center"/>
                </w:tcPr>
                <w:p>
                  <w:pPr>
                    <w:jc w:val="center"/>
                    <w:rPr>
                      <w:szCs w:val="21"/>
                    </w:rPr>
                  </w:pPr>
                  <w:r>
                    <w:rPr>
                      <w:szCs w:val="21"/>
                    </w:rPr>
                    <w:t>室内布置</w:t>
                  </w:r>
                  <w:r>
                    <w:rPr>
                      <w:spacing w:val="-10"/>
                      <w:szCs w:val="21"/>
                    </w:rPr>
                    <w:t>+建筑隔声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vMerge w:val="continue"/>
                  <w:vAlign w:val="center"/>
                </w:tcPr>
                <w:p>
                  <w:pPr>
                    <w:jc w:val="center"/>
                    <w:rPr>
                      <w:szCs w:val="21"/>
                    </w:rPr>
                  </w:pPr>
                </w:p>
              </w:tc>
              <w:tc>
                <w:tcPr>
                  <w:tcW w:w="663" w:type="dxa"/>
                  <w:vAlign w:val="center"/>
                </w:tcPr>
                <w:p>
                  <w:pPr>
                    <w:jc w:val="center"/>
                    <w:rPr>
                      <w:szCs w:val="21"/>
                    </w:rPr>
                  </w:pPr>
                  <w:r>
                    <w:rPr>
                      <w:rFonts w:hint="eastAsia"/>
                      <w:szCs w:val="21"/>
                    </w:rPr>
                    <w:t>N2</w:t>
                  </w:r>
                </w:p>
              </w:tc>
              <w:tc>
                <w:tcPr>
                  <w:tcW w:w="1900" w:type="dxa"/>
                  <w:vAlign w:val="center"/>
                </w:tcPr>
                <w:p>
                  <w:pPr>
                    <w:jc w:val="center"/>
                    <w:rPr>
                      <w:szCs w:val="21"/>
                    </w:rPr>
                  </w:pPr>
                  <w:r>
                    <w:rPr>
                      <w:rFonts w:hint="eastAsia"/>
                      <w:szCs w:val="21"/>
                    </w:rPr>
                    <w:t>车床等</w:t>
                  </w:r>
                </w:p>
              </w:tc>
              <w:tc>
                <w:tcPr>
                  <w:tcW w:w="2000" w:type="dxa"/>
                  <w:vAlign w:val="center"/>
                </w:tcPr>
                <w:p>
                  <w:pPr>
                    <w:jc w:val="center"/>
                    <w:rPr>
                      <w:szCs w:val="21"/>
                    </w:rPr>
                  </w:pPr>
                  <w:r>
                    <w:rPr>
                      <w:rFonts w:hint="eastAsia"/>
                      <w:szCs w:val="21"/>
                    </w:rPr>
                    <w:t>噪声</w:t>
                  </w:r>
                </w:p>
              </w:tc>
              <w:tc>
                <w:tcPr>
                  <w:tcW w:w="814" w:type="dxa"/>
                  <w:vAlign w:val="center"/>
                </w:tcPr>
                <w:p>
                  <w:pPr>
                    <w:jc w:val="center"/>
                    <w:rPr>
                      <w:szCs w:val="21"/>
                    </w:rPr>
                  </w:pPr>
                  <w:r>
                    <w:rPr>
                      <w:rFonts w:hint="eastAsia"/>
                      <w:szCs w:val="21"/>
                    </w:rPr>
                    <w:t>连续</w:t>
                  </w:r>
                </w:p>
              </w:tc>
              <w:tc>
                <w:tcPr>
                  <w:tcW w:w="2613" w:type="dxa"/>
                  <w:vAlign w:val="center"/>
                </w:tcPr>
                <w:p>
                  <w:pPr>
                    <w:jc w:val="center"/>
                    <w:rPr>
                      <w:szCs w:val="21"/>
                    </w:rPr>
                  </w:pPr>
                  <w:r>
                    <w:rPr>
                      <w:szCs w:val="21"/>
                    </w:rPr>
                    <w:t>室内布置</w:t>
                  </w:r>
                  <w:r>
                    <w:rPr>
                      <w:spacing w:val="-10"/>
                      <w:szCs w:val="21"/>
                    </w:rPr>
                    <w:t>+建筑隔声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Merge w:val="continue"/>
                  <w:vAlign w:val="center"/>
                </w:tcPr>
                <w:p>
                  <w:pPr>
                    <w:jc w:val="center"/>
                    <w:rPr>
                      <w:szCs w:val="21"/>
                    </w:rPr>
                  </w:pPr>
                </w:p>
              </w:tc>
              <w:tc>
                <w:tcPr>
                  <w:tcW w:w="663" w:type="dxa"/>
                  <w:vAlign w:val="center"/>
                </w:tcPr>
                <w:p>
                  <w:pPr>
                    <w:jc w:val="center"/>
                    <w:rPr>
                      <w:szCs w:val="21"/>
                    </w:rPr>
                  </w:pPr>
                  <w:r>
                    <w:rPr>
                      <w:rFonts w:hint="eastAsia"/>
                      <w:szCs w:val="21"/>
                    </w:rPr>
                    <w:t>N3</w:t>
                  </w:r>
                </w:p>
              </w:tc>
              <w:tc>
                <w:tcPr>
                  <w:tcW w:w="1900" w:type="dxa"/>
                  <w:vAlign w:val="center"/>
                </w:tcPr>
                <w:p>
                  <w:pPr>
                    <w:jc w:val="center"/>
                    <w:rPr>
                      <w:szCs w:val="21"/>
                    </w:rPr>
                  </w:pPr>
                  <w:r>
                    <w:rPr>
                      <w:rFonts w:hint="eastAsia"/>
                      <w:szCs w:val="21"/>
                    </w:rPr>
                    <w:t>焊接机</w:t>
                  </w:r>
                </w:p>
              </w:tc>
              <w:tc>
                <w:tcPr>
                  <w:tcW w:w="2000" w:type="dxa"/>
                  <w:vAlign w:val="center"/>
                </w:tcPr>
                <w:p>
                  <w:pPr>
                    <w:jc w:val="center"/>
                    <w:rPr>
                      <w:szCs w:val="21"/>
                    </w:rPr>
                  </w:pPr>
                  <w:r>
                    <w:rPr>
                      <w:rFonts w:hint="eastAsia"/>
                      <w:szCs w:val="21"/>
                    </w:rPr>
                    <w:t>噪声</w:t>
                  </w:r>
                </w:p>
              </w:tc>
              <w:tc>
                <w:tcPr>
                  <w:tcW w:w="814" w:type="dxa"/>
                  <w:vAlign w:val="center"/>
                </w:tcPr>
                <w:p>
                  <w:pPr>
                    <w:jc w:val="center"/>
                    <w:rPr>
                      <w:szCs w:val="21"/>
                    </w:rPr>
                  </w:pPr>
                  <w:r>
                    <w:rPr>
                      <w:rFonts w:hint="eastAsia"/>
                      <w:szCs w:val="21"/>
                    </w:rPr>
                    <w:t>连续</w:t>
                  </w:r>
                </w:p>
              </w:tc>
              <w:tc>
                <w:tcPr>
                  <w:tcW w:w="2613" w:type="dxa"/>
                  <w:vAlign w:val="center"/>
                </w:tcPr>
                <w:p>
                  <w:pPr>
                    <w:jc w:val="center"/>
                    <w:rPr>
                      <w:szCs w:val="21"/>
                    </w:rPr>
                  </w:pPr>
                  <w:r>
                    <w:rPr>
                      <w:szCs w:val="21"/>
                    </w:rPr>
                    <w:t>室内布置</w:t>
                  </w:r>
                  <w:r>
                    <w:rPr>
                      <w:spacing w:val="-10"/>
                      <w:szCs w:val="21"/>
                    </w:rPr>
                    <w:t>+建筑隔声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Merge w:val="continue"/>
                  <w:vAlign w:val="center"/>
                </w:tcPr>
                <w:p>
                  <w:pPr>
                    <w:jc w:val="center"/>
                    <w:rPr>
                      <w:szCs w:val="21"/>
                    </w:rPr>
                  </w:pPr>
                </w:p>
              </w:tc>
              <w:tc>
                <w:tcPr>
                  <w:tcW w:w="663" w:type="dxa"/>
                  <w:vAlign w:val="center"/>
                </w:tcPr>
                <w:p>
                  <w:pPr>
                    <w:jc w:val="center"/>
                    <w:rPr>
                      <w:szCs w:val="21"/>
                    </w:rPr>
                  </w:pPr>
                  <w:r>
                    <w:rPr>
                      <w:rFonts w:hint="eastAsia"/>
                      <w:szCs w:val="21"/>
                    </w:rPr>
                    <w:t>N4</w:t>
                  </w:r>
                </w:p>
              </w:tc>
              <w:tc>
                <w:tcPr>
                  <w:tcW w:w="1900" w:type="dxa"/>
                  <w:vAlign w:val="center"/>
                </w:tcPr>
                <w:p>
                  <w:pPr>
                    <w:jc w:val="center"/>
                    <w:rPr>
                      <w:szCs w:val="21"/>
                    </w:rPr>
                  </w:pPr>
                  <w:r>
                    <w:rPr>
                      <w:rFonts w:hint="eastAsia"/>
                      <w:szCs w:val="21"/>
                    </w:rPr>
                    <w:t>热处理</w:t>
                  </w:r>
                </w:p>
              </w:tc>
              <w:tc>
                <w:tcPr>
                  <w:tcW w:w="2000" w:type="dxa"/>
                  <w:vAlign w:val="center"/>
                </w:tcPr>
                <w:p>
                  <w:pPr>
                    <w:jc w:val="center"/>
                    <w:rPr>
                      <w:szCs w:val="21"/>
                    </w:rPr>
                  </w:pPr>
                  <w:r>
                    <w:rPr>
                      <w:rFonts w:hint="eastAsia"/>
                      <w:szCs w:val="21"/>
                    </w:rPr>
                    <w:t>噪声</w:t>
                  </w:r>
                </w:p>
              </w:tc>
              <w:tc>
                <w:tcPr>
                  <w:tcW w:w="814" w:type="dxa"/>
                  <w:vAlign w:val="center"/>
                </w:tcPr>
                <w:p>
                  <w:pPr>
                    <w:jc w:val="center"/>
                    <w:rPr>
                      <w:szCs w:val="21"/>
                    </w:rPr>
                  </w:pPr>
                  <w:r>
                    <w:rPr>
                      <w:rFonts w:hint="eastAsia"/>
                      <w:szCs w:val="21"/>
                    </w:rPr>
                    <w:t>连续</w:t>
                  </w:r>
                </w:p>
              </w:tc>
              <w:tc>
                <w:tcPr>
                  <w:tcW w:w="2613" w:type="dxa"/>
                  <w:vAlign w:val="center"/>
                </w:tcPr>
                <w:p>
                  <w:pPr>
                    <w:jc w:val="center"/>
                    <w:rPr>
                      <w:szCs w:val="21"/>
                    </w:rPr>
                  </w:pPr>
                  <w:r>
                    <w:rPr>
                      <w:szCs w:val="21"/>
                    </w:rPr>
                    <w:t>室内布置</w:t>
                  </w:r>
                  <w:r>
                    <w:rPr>
                      <w:spacing w:val="-10"/>
                      <w:szCs w:val="21"/>
                    </w:rPr>
                    <w:t>+建筑隔声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Merge w:val="continue"/>
                  <w:vAlign w:val="center"/>
                </w:tcPr>
                <w:p>
                  <w:pPr>
                    <w:jc w:val="center"/>
                    <w:rPr>
                      <w:szCs w:val="21"/>
                    </w:rPr>
                  </w:pPr>
                </w:p>
              </w:tc>
              <w:tc>
                <w:tcPr>
                  <w:tcW w:w="663" w:type="dxa"/>
                  <w:vAlign w:val="center"/>
                </w:tcPr>
                <w:p>
                  <w:pPr>
                    <w:jc w:val="center"/>
                    <w:rPr>
                      <w:szCs w:val="21"/>
                    </w:rPr>
                  </w:pPr>
                  <w:r>
                    <w:rPr>
                      <w:rFonts w:hint="eastAsia"/>
                      <w:szCs w:val="21"/>
                    </w:rPr>
                    <w:t>N5</w:t>
                  </w:r>
                </w:p>
              </w:tc>
              <w:tc>
                <w:tcPr>
                  <w:tcW w:w="1900" w:type="dxa"/>
                  <w:vAlign w:val="center"/>
                </w:tcPr>
                <w:p>
                  <w:pPr>
                    <w:jc w:val="center"/>
                    <w:rPr>
                      <w:szCs w:val="21"/>
                    </w:rPr>
                  </w:pPr>
                  <w:r>
                    <w:rPr>
                      <w:rFonts w:hint="eastAsia"/>
                      <w:szCs w:val="21"/>
                    </w:rPr>
                    <w:t>喷漆</w:t>
                  </w:r>
                </w:p>
              </w:tc>
              <w:tc>
                <w:tcPr>
                  <w:tcW w:w="2000" w:type="dxa"/>
                  <w:vAlign w:val="center"/>
                </w:tcPr>
                <w:p>
                  <w:pPr>
                    <w:jc w:val="center"/>
                    <w:rPr>
                      <w:szCs w:val="21"/>
                    </w:rPr>
                  </w:pPr>
                  <w:r>
                    <w:rPr>
                      <w:rFonts w:hint="eastAsia"/>
                      <w:szCs w:val="21"/>
                    </w:rPr>
                    <w:t>噪声</w:t>
                  </w:r>
                </w:p>
              </w:tc>
              <w:tc>
                <w:tcPr>
                  <w:tcW w:w="814" w:type="dxa"/>
                  <w:vAlign w:val="center"/>
                </w:tcPr>
                <w:p>
                  <w:pPr>
                    <w:jc w:val="center"/>
                    <w:rPr>
                      <w:szCs w:val="21"/>
                    </w:rPr>
                  </w:pPr>
                  <w:r>
                    <w:rPr>
                      <w:rFonts w:hint="eastAsia"/>
                      <w:szCs w:val="21"/>
                    </w:rPr>
                    <w:t>连续</w:t>
                  </w:r>
                </w:p>
              </w:tc>
              <w:tc>
                <w:tcPr>
                  <w:tcW w:w="2613" w:type="dxa"/>
                  <w:vAlign w:val="center"/>
                </w:tcPr>
                <w:p>
                  <w:pPr>
                    <w:jc w:val="center"/>
                    <w:rPr>
                      <w:szCs w:val="21"/>
                    </w:rPr>
                  </w:pPr>
                  <w:r>
                    <w:rPr>
                      <w:szCs w:val="21"/>
                    </w:rPr>
                    <w:t>室内布置</w:t>
                  </w:r>
                  <w:r>
                    <w:rPr>
                      <w:spacing w:val="-10"/>
                      <w:szCs w:val="21"/>
                    </w:rPr>
                    <w:t>+建筑隔声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vMerge w:val="restart"/>
                  <w:vAlign w:val="center"/>
                </w:tcPr>
                <w:p>
                  <w:pPr>
                    <w:jc w:val="center"/>
                    <w:rPr>
                      <w:szCs w:val="21"/>
                    </w:rPr>
                  </w:pPr>
                  <w:r>
                    <w:rPr>
                      <w:rFonts w:hint="eastAsia"/>
                      <w:szCs w:val="21"/>
                    </w:rPr>
                    <w:t>固废</w:t>
                  </w:r>
                </w:p>
              </w:tc>
              <w:tc>
                <w:tcPr>
                  <w:tcW w:w="663" w:type="dxa"/>
                  <w:vAlign w:val="center"/>
                </w:tcPr>
                <w:p>
                  <w:pPr>
                    <w:jc w:val="center"/>
                    <w:rPr>
                      <w:szCs w:val="21"/>
                    </w:rPr>
                  </w:pPr>
                  <w:r>
                    <w:rPr>
                      <w:rFonts w:hint="eastAsia"/>
                      <w:szCs w:val="21"/>
                    </w:rPr>
                    <w:t>S1</w:t>
                  </w:r>
                </w:p>
              </w:tc>
              <w:tc>
                <w:tcPr>
                  <w:tcW w:w="1900" w:type="dxa"/>
                  <w:vAlign w:val="center"/>
                </w:tcPr>
                <w:p>
                  <w:pPr>
                    <w:jc w:val="center"/>
                    <w:rPr>
                      <w:szCs w:val="21"/>
                    </w:rPr>
                  </w:pPr>
                  <w:r>
                    <w:rPr>
                      <w:rFonts w:hint="eastAsia"/>
                      <w:szCs w:val="21"/>
                    </w:rPr>
                    <w:t>废钢板</w:t>
                  </w:r>
                </w:p>
              </w:tc>
              <w:tc>
                <w:tcPr>
                  <w:tcW w:w="2000" w:type="dxa"/>
                  <w:vAlign w:val="center"/>
                </w:tcPr>
                <w:p>
                  <w:pPr>
                    <w:jc w:val="center"/>
                    <w:rPr>
                      <w:szCs w:val="21"/>
                    </w:rPr>
                  </w:pPr>
                  <w:r>
                    <w:rPr>
                      <w:rFonts w:hint="eastAsia"/>
                      <w:szCs w:val="21"/>
                    </w:rPr>
                    <w:t>废钢板</w:t>
                  </w:r>
                </w:p>
              </w:tc>
              <w:tc>
                <w:tcPr>
                  <w:tcW w:w="814" w:type="dxa"/>
                  <w:vAlign w:val="center"/>
                </w:tcPr>
                <w:p>
                  <w:pPr>
                    <w:jc w:val="center"/>
                    <w:rPr>
                      <w:szCs w:val="21"/>
                    </w:rPr>
                  </w:pPr>
                  <w:r>
                    <w:rPr>
                      <w:rFonts w:hint="eastAsia"/>
                      <w:szCs w:val="21"/>
                    </w:rPr>
                    <w:t>间歇</w:t>
                  </w:r>
                </w:p>
              </w:tc>
              <w:tc>
                <w:tcPr>
                  <w:tcW w:w="2613"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Merge w:val="continue"/>
                  <w:vAlign w:val="center"/>
                </w:tcPr>
                <w:p>
                  <w:pPr>
                    <w:jc w:val="center"/>
                    <w:rPr>
                      <w:szCs w:val="21"/>
                    </w:rPr>
                  </w:pPr>
                </w:p>
              </w:tc>
              <w:tc>
                <w:tcPr>
                  <w:tcW w:w="663" w:type="dxa"/>
                  <w:vAlign w:val="center"/>
                </w:tcPr>
                <w:p>
                  <w:pPr>
                    <w:jc w:val="center"/>
                    <w:rPr>
                      <w:szCs w:val="21"/>
                    </w:rPr>
                  </w:pPr>
                  <w:r>
                    <w:rPr>
                      <w:rFonts w:hint="eastAsia"/>
                      <w:szCs w:val="21"/>
                    </w:rPr>
                    <w:t>S2、S3</w:t>
                  </w:r>
                </w:p>
              </w:tc>
              <w:tc>
                <w:tcPr>
                  <w:tcW w:w="1900" w:type="dxa"/>
                  <w:vAlign w:val="center"/>
                </w:tcPr>
                <w:p>
                  <w:pPr>
                    <w:jc w:val="center"/>
                    <w:rPr>
                      <w:szCs w:val="21"/>
                    </w:rPr>
                  </w:pPr>
                  <w:r>
                    <w:rPr>
                      <w:rFonts w:hint="eastAsia"/>
                      <w:szCs w:val="21"/>
                    </w:rPr>
                    <w:t>废金属碎屑</w:t>
                  </w:r>
                </w:p>
              </w:tc>
              <w:tc>
                <w:tcPr>
                  <w:tcW w:w="2000" w:type="dxa"/>
                  <w:vAlign w:val="center"/>
                </w:tcPr>
                <w:p>
                  <w:pPr>
                    <w:jc w:val="center"/>
                    <w:rPr>
                      <w:szCs w:val="21"/>
                    </w:rPr>
                  </w:pPr>
                  <w:r>
                    <w:rPr>
                      <w:rFonts w:hint="eastAsia"/>
                      <w:szCs w:val="21"/>
                    </w:rPr>
                    <w:t>废金属碎屑</w:t>
                  </w:r>
                </w:p>
              </w:tc>
              <w:tc>
                <w:tcPr>
                  <w:tcW w:w="814" w:type="dxa"/>
                  <w:vAlign w:val="center"/>
                </w:tcPr>
                <w:p>
                  <w:pPr>
                    <w:jc w:val="center"/>
                    <w:rPr>
                      <w:szCs w:val="21"/>
                    </w:rPr>
                  </w:pPr>
                  <w:r>
                    <w:rPr>
                      <w:rFonts w:hint="eastAsia"/>
                      <w:szCs w:val="21"/>
                    </w:rPr>
                    <w:t>间歇</w:t>
                  </w:r>
                </w:p>
              </w:tc>
              <w:tc>
                <w:tcPr>
                  <w:tcW w:w="2613"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Merge w:val="continue"/>
                  <w:vAlign w:val="center"/>
                </w:tcPr>
                <w:p>
                  <w:pPr>
                    <w:jc w:val="center"/>
                    <w:rPr>
                      <w:szCs w:val="21"/>
                    </w:rPr>
                  </w:pPr>
                </w:p>
              </w:tc>
              <w:tc>
                <w:tcPr>
                  <w:tcW w:w="663" w:type="dxa"/>
                  <w:vAlign w:val="center"/>
                </w:tcPr>
                <w:p>
                  <w:pPr>
                    <w:jc w:val="center"/>
                    <w:rPr>
                      <w:szCs w:val="21"/>
                    </w:rPr>
                  </w:pPr>
                  <w:r>
                    <w:rPr>
                      <w:rFonts w:hint="eastAsia"/>
                      <w:szCs w:val="21"/>
                    </w:rPr>
                    <w:t>S4</w:t>
                  </w:r>
                </w:p>
              </w:tc>
              <w:tc>
                <w:tcPr>
                  <w:tcW w:w="1900" w:type="dxa"/>
                  <w:vAlign w:val="center"/>
                </w:tcPr>
                <w:p>
                  <w:pPr>
                    <w:jc w:val="center"/>
                    <w:rPr>
                      <w:szCs w:val="21"/>
                    </w:rPr>
                  </w:pPr>
                  <w:r>
                    <w:rPr>
                      <w:rFonts w:hint="eastAsia"/>
                      <w:szCs w:val="21"/>
                    </w:rPr>
                    <w:t>喷漆</w:t>
                  </w:r>
                </w:p>
              </w:tc>
              <w:tc>
                <w:tcPr>
                  <w:tcW w:w="2000" w:type="dxa"/>
                  <w:vAlign w:val="center"/>
                </w:tcPr>
                <w:p>
                  <w:pPr>
                    <w:jc w:val="center"/>
                    <w:rPr>
                      <w:szCs w:val="21"/>
                    </w:rPr>
                  </w:pPr>
                  <w:r>
                    <w:rPr>
                      <w:rFonts w:hint="eastAsia"/>
                      <w:szCs w:val="21"/>
                    </w:rPr>
                    <w:t>漆渣、废油漆桶</w:t>
                  </w:r>
                </w:p>
              </w:tc>
              <w:tc>
                <w:tcPr>
                  <w:tcW w:w="814" w:type="dxa"/>
                  <w:vAlign w:val="center"/>
                </w:tcPr>
                <w:p>
                  <w:pPr>
                    <w:jc w:val="center"/>
                    <w:rPr>
                      <w:szCs w:val="21"/>
                    </w:rPr>
                  </w:pPr>
                  <w:r>
                    <w:rPr>
                      <w:rFonts w:hint="eastAsia"/>
                      <w:szCs w:val="21"/>
                    </w:rPr>
                    <w:t>间歇</w:t>
                  </w:r>
                </w:p>
              </w:tc>
              <w:tc>
                <w:tcPr>
                  <w:tcW w:w="2613" w:type="dxa"/>
                  <w:vMerge w:val="restart"/>
                  <w:vAlign w:val="center"/>
                </w:tcPr>
                <w:p>
                  <w:pPr>
                    <w:jc w:val="center"/>
                    <w:rPr>
                      <w:szCs w:val="21"/>
                    </w:rPr>
                  </w:pPr>
                  <w:r>
                    <w:rPr>
                      <w:rFonts w:hint="eastAsia"/>
                      <w:szCs w:val="21"/>
                    </w:rPr>
                    <w:t>集中收集后，暂存于危废间，定期交由有资质单位处理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Merge w:val="continue"/>
                  <w:vAlign w:val="center"/>
                </w:tcPr>
                <w:p>
                  <w:pPr>
                    <w:jc w:val="center"/>
                    <w:rPr>
                      <w:szCs w:val="21"/>
                    </w:rPr>
                  </w:pPr>
                </w:p>
              </w:tc>
              <w:tc>
                <w:tcPr>
                  <w:tcW w:w="663" w:type="dxa"/>
                  <w:vAlign w:val="center"/>
                </w:tcPr>
                <w:p>
                  <w:pPr>
                    <w:jc w:val="center"/>
                    <w:rPr>
                      <w:szCs w:val="21"/>
                    </w:rPr>
                  </w:pPr>
                  <w:r>
                    <w:rPr>
                      <w:rFonts w:hint="eastAsia"/>
                      <w:szCs w:val="21"/>
                    </w:rPr>
                    <w:t>/</w:t>
                  </w:r>
                </w:p>
              </w:tc>
              <w:tc>
                <w:tcPr>
                  <w:tcW w:w="1900" w:type="dxa"/>
                  <w:vAlign w:val="center"/>
                </w:tcPr>
                <w:p>
                  <w:pPr>
                    <w:jc w:val="center"/>
                    <w:rPr>
                      <w:szCs w:val="21"/>
                    </w:rPr>
                  </w:pPr>
                  <w:r>
                    <w:rPr>
                      <w:rFonts w:hint="eastAsia"/>
                      <w:szCs w:val="21"/>
                    </w:rPr>
                    <w:t>设备</w:t>
                  </w:r>
                </w:p>
              </w:tc>
              <w:tc>
                <w:tcPr>
                  <w:tcW w:w="2000" w:type="dxa"/>
                  <w:vAlign w:val="center"/>
                </w:tcPr>
                <w:p>
                  <w:pPr>
                    <w:jc w:val="center"/>
                    <w:rPr>
                      <w:szCs w:val="21"/>
                    </w:rPr>
                  </w:pPr>
                  <w:r>
                    <w:rPr>
                      <w:rFonts w:hint="eastAsia"/>
                      <w:szCs w:val="21"/>
                    </w:rPr>
                    <w:t>废机油、废切削液</w:t>
                  </w:r>
                </w:p>
              </w:tc>
              <w:tc>
                <w:tcPr>
                  <w:tcW w:w="814" w:type="dxa"/>
                  <w:vAlign w:val="center"/>
                </w:tcPr>
                <w:p>
                  <w:pPr>
                    <w:jc w:val="center"/>
                    <w:rPr>
                      <w:szCs w:val="21"/>
                    </w:rPr>
                  </w:pPr>
                  <w:r>
                    <w:rPr>
                      <w:rFonts w:hint="eastAsia"/>
                      <w:szCs w:val="21"/>
                    </w:rPr>
                    <w:t>间歇</w:t>
                  </w:r>
                </w:p>
              </w:tc>
              <w:tc>
                <w:tcPr>
                  <w:tcW w:w="2613" w:type="dxa"/>
                  <w:vMerge w:val="continue"/>
                  <w:vAlign w:val="center"/>
                </w:tcPr>
                <w:p>
                  <w:pPr>
                    <w:jc w:val="center"/>
                    <w:rPr>
                      <w:szCs w:val="21"/>
                    </w:rPr>
                  </w:pPr>
                </w:p>
              </w:tc>
            </w:tr>
          </w:tbl>
          <w:p>
            <w:pPr>
              <w:tabs>
                <w:tab w:val="left" w:pos="9072"/>
              </w:tabs>
              <w:spacing w:line="240" w:lineRule="exact"/>
              <w:ind w:firstLine="480" w:firstLineChars="200"/>
              <w:rPr>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69" w:type="dxa"/>
          </w:tcPr>
          <w:p>
            <w:pPr>
              <w:spacing w:line="360" w:lineRule="auto"/>
              <w:rPr>
                <w:b/>
                <w:sz w:val="28"/>
              </w:rPr>
            </w:pPr>
            <w:r>
              <w:rPr>
                <w:b/>
                <w:sz w:val="28"/>
              </w:rPr>
              <w:t>主要污染工序：</w:t>
            </w:r>
          </w:p>
          <w:p>
            <w:pPr>
              <w:tabs>
                <w:tab w:val="left" w:pos="2865"/>
              </w:tabs>
              <w:spacing w:line="360" w:lineRule="auto"/>
              <w:ind w:firstLine="480" w:firstLineChars="200"/>
              <w:rPr>
                <w:b/>
                <w:bCs/>
                <w:sz w:val="24"/>
                <w:szCs w:val="24"/>
              </w:rPr>
            </w:pPr>
            <w:r>
              <w:rPr>
                <w:rFonts w:hint="eastAsia"/>
                <w:b/>
                <w:bCs/>
                <w:sz w:val="24"/>
              </w:rPr>
              <w:t>一</w:t>
            </w:r>
            <w:r>
              <w:rPr>
                <w:rFonts w:hint="eastAsia"/>
                <w:b/>
                <w:bCs/>
                <w:sz w:val="24"/>
                <w:szCs w:val="24"/>
              </w:rPr>
              <w:t>、施工期</w:t>
            </w:r>
          </w:p>
          <w:p>
            <w:pPr>
              <w:spacing w:line="480" w:lineRule="exact"/>
              <w:ind w:firstLine="480" w:firstLineChars="200"/>
              <w:rPr>
                <w:sz w:val="24"/>
              </w:rPr>
            </w:pPr>
            <w:r>
              <w:rPr>
                <w:rFonts w:hint="eastAsia"/>
                <w:sz w:val="24"/>
              </w:rPr>
              <w:t>本项目施工过程中产生的污染工序如下：</w:t>
            </w:r>
          </w:p>
          <w:p>
            <w:pPr>
              <w:spacing w:line="480" w:lineRule="exact"/>
              <w:ind w:firstLine="480" w:firstLineChars="200"/>
              <w:rPr>
                <w:sz w:val="24"/>
              </w:rPr>
            </w:pPr>
            <w:r>
              <w:rPr>
                <w:sz w:val="24"/>
              </w:rPr>
              <w:t>1、施工扬尘：</w:t>
            </w:r>
            <w:r>
              <w:rPr>
                <w:rFonts w:hint="eastAsia"/>
                <w:sz w:val="24"/>
              </w:rPr>
              <w:t>技改项目建设生产车间、原料储存库各1座，会有少量的</w:t>
            </w:r>
            <w:r>
              <w:rPr>
                <w:sz w:val="24"/>
              </w:rPr>
              <w:t>土方施工、物料运输、物料堆置</w:t>
            </w:r>
            <w:r>
              <w:rPr>
                <w:rFonts w:hint="eastAsia"/>
                <w:sz w:val="24"/>
              </w:rPr>
              <w:t>、钢结构焊接</w:t>
            </w:r>
            <w:r>
              <w:rPr>
                <w:sz w:val="24"/>
              </w:rPr>
              <w:t>过程等均会有</w:t>
            </w:r>
            <w:r>
              <w:rPr>
                <w:rFonts w:hint="eastAsia"/>
                <w:sz w:val="24"/>
              </w:rPr>
              <w:t>少量</w:t>
            </w:r>
            <w:r>
              <w:rPr>
                <w:sz w:val="24"/>
              </w:rPr>
              <w:t>扬尘产生。</w:t>
            </w:r>
          </w:p>
          <w:p>
            <w:pPr>
              <w:spacing w:line="480" w:lineRule="exact"/>
              <w:ind w:firstLine="480" w:firstLineChars="200"/>
              <w:rPr>
                <w:sz w:val="24"/>
              </w:rPr>
            </w:pPr>
            <w:r>
              <w:rPr>
                <w:sz w:val="24"/>
              </w:rPr>
              <w:t>2、施工噪声：在基础挖掘、物料运输、混凝土浇注、</w:t>
            </w:r>
            <w:r>
              <w:rPr>
                <w:rFonts w:hint="eastAsia"/>
                <w:sz w:val="24"/>
              </w:rPr>
              <w:t>钢结构厂房焊接</w:t>
            </w:r>
            <w:r>
              <w:rPr>
                <w:sz w:val="24"/>
              </w:rPr>
              <w:t>过程中，产生的噪声带来的影响。</w:t>
            </w:r>
          </w:p>
          <w:p>
            <w:pPr>
              <w:spacing w:line="480" w:lineRule="exact"/>
              <w:ind w:firstLine="480" w:firstLineChars="200"/>
              <w:rPr>
                <w:sz w:val="24"/>
              </w:rPr>
            </w:pPr>
            <w:r>
              <w:rPr>
                <w:sz w:val="24"/>
              </w:rPr>
              <w:t>3、施工废水：主要为施工期施工人员生活污水。</w:t>
            </w:r>
          </w:p>
          <w:p>
            <w:pPr>
              <w:spacing w:line="480" w:lineRule="exact"/>
              <w:ind w:firstLine="480" w:firstLineChars="200"/>
              <w:rPr>
                <w:sz w:val="24"/>
              </w:rPr>
            </w:pPr>
            <w:r>
              <w:rPr>
                <w:sz w:val="24"/>
              </w:rPr>
              <w:t>4、施工固废：主要为施工建筑垃圾、挖方弃土和生活垃圾。</w:t>
            </w:r>
          </w:p>
          <w:p>
            <w:pPr>
              <w:tabs>
                <w:tab w:val="left" w:pos="2865"/>
              </w:tabs>
              <w:spacing w:line="480" w:lineRule="exact"/>
              <w:ind w:firstLine="480" w:firstLineChars="200"/>
              <w:rPr>
                <w:b/>
                <w:bCs/>
                <w:sz w:val="24"/>
              </w:rPr>
            </w:pPr>
            <w:r>
              <w:rPr>
                <w:rFonts w:hint="eastAsia"/>
                <w:b/>
                <w:bCs/>
                <w:sz w:val="24"/>
              </w:rPr>
              <w:t>二、营运期</w:t>
            </w:r>
          </w:p>
          <w:p>
            <w:pPr>
              <w:spacing w:line="480" w:lineRule="exact"/>
              <w:ind w:firstLine="480" w:firstLineChars="200"/>
              <w:rPr>
                <w:sz w:val="24"/>
              </w:rPr>
            </w:pPr>
            <w:r>
              <w:rPr>
                <w:sz w:val="24"/>
                <w:szCs w:val="24"/>
              </w:rPr>
              <w:t>1、废气</w:t>
            </w:r>
          </w:p>
          <w:p>
            <w:pPr>
              <w:spacing w:line="480" w:lineRule="exact"/>
              <w:ind w:firstLine="480" w:firstLineChars="200"/>
              <w:rPr>
                <w:sz w:val="24"/>
                <w:szCs w:val="24"/>
              </w:rPr>
            </w:pPr>
            <w:r>
              <w:rPr>
                <w:rFonts w:hint="eastAsia"/>
                <w:sz w:val="24"/>
                <w:szCs w:val="24"/>
              </w:rPr>
              <w:t>技改项目产生的废气主要是切割粉尘、焊接烟尘、回火炉废气及喷晾漆废气。</w:t>
            </w:r>
          </w:p>
          <w:p>
            <w:pPr>
              <w:spacing w:line="480" w:lineRule="exact"/>
              <w:ind w:firstLine="480" w:firstLineChars="200"/>
              <w:rPr>
                <w:sz w:val="24"/>
                <w:szCs w:val="24"/>
              </w:rPr>
            </w:pPr>
            <w:r>
              <w:rPr>
                <w:rFonts w:hint="eastAsia"/>
                <w:sz w:val="24"/>
                <w:szCs w:val="24"/>
              </w:rPr>
              <w:t>（1）切割粉尘</w:t>
            </w:r>
          </w:p>
          <w:p>
            <w:pPr>
              <w:spacing w:line="480" w:lineRule="exact"/>
              <w:ind w:firstLine="480" w:firstLineChars="200"/>
              <w:rPr>
                <w:color w:val="0000FF"/>
                <w:sz w:val="24"/>
                <w:szCs w:val="24"/>
              </w:rPr>
            </w:pPr>
            <w:r>
              <w:rPr>
                <w:rFonts w:hint="eastAsia"/>
                <w:sz w:val="24"/>
                <w:szCs w:val="24"/>
              </w:rPr>
              <w:t>对钢材进行切割时会产生少量粉尘，在等离子切割机下方安装吸尘管道，粉尘经负压收集，布袋除尘器处理后，由1根15m排气筒（P1）外排。类比同类企业环境监测数据，粉尘排放量为0.1kg/h，年有效工作时间按1600h，年排放粉尘0.16t/a。负压收集效率是95%，布袋除尘器处理效率为99%，风机风量20000m</w:t>
            </w:r>
            <w:r>
              <w:rPr>
                <w:rFonts w:hint="eastAsia"/>
                <w:sz w:val="24"/>
                <w:szCs w:val="24"/>
                <w:vertAlign w:val="superscript"/>
              </w:rPr>
              <w:t>3</w:t>
            </w:r>
            <w:r>
              <w:rPr>
                <w:rFonts w:hint="eastAsia"/>
                <w:sz w:val="24"/>
                <w:szCs w:val="24"/>
              </w:rPr>
              <w:t>/h，则粉尘有组织产生量为0.152t/a，产生浓度为4.75mg/m</w:t>
            </w:r>
            <w:r>
              <w:rPr>
                <w:rFonts w:hint="eastAsia"/>
                <w:sz w:val="24"/>
                <w:szCs w:val="24"/>
                <w:vertAlign w:val="superscript"/>
              </w:rPr>
              <w:t>3</w:t>
            </w:r>
            <w:r>
              <w:rPr>
                <w:rFonts w:hint="eastAsia"/>
                <w:sz w:val="24"/>
                <w:szCs w:val="24"/>
              </w:rPr>
              <w:t>，经布袋除尘器处理后，粉尘的排放量为0.002t/a，排放速率为0.001kg/h，排放浓度为0.048mg/m</w:t>
            </w:r>
            <w:r>
              <w:rPr>
                <w:rFonts w:hint="eastAsia"/>
                <w:sz w:val="24"/>
                <w:szCs w:val="24"/>
                <w:vertAlign w:val="superscript"/>
              </w:rPr>
              <w:t>3</w:t>
            </w:r>
            <w:r>
              <w:rPr>
                <w:rFonts w:hint="eastAsia"/>
                <w:sz w:val="24"/>
                <w:szCs w:val="24"/>
              </w:rPr>
              <w:t>。未被吸尘管道收集的粉尘无组织排放，无组织排放量为0.008t/a，无组织排放速率为0.005kg/h。</w:t>
            </w:r>
          </w:p>
          <w:p>
            <w:pPr>
              <w:spacing w:line="480" w:lineRule="exact"/>
              <w:ind w:firstLine="480" w:firstLineChars="200"/>
              <w:rPr>
                <w:sz w:val="24"/>
                <w:szCs w:val="24"/>
              </w:rPr>
            </w:pPr>
            <w:r>
              <w:rPr>
                <w:rFonts w:hint="eastAsia"/>
                <w:sz w:val="24"/>
                <w:szCs w:val="24"/>
              </w:rPr>
              <w:t>（2）焊接烟尘</w:t>
            </w:r>
          </w:p>
          <w:p>
            <w:pPr>
              <w:spacing w:line="480" w:lineRule="exact"/>
              <w:ind w:firstLine="480" w:firstLineChars="200"/>
              <w:rPr>
                <w:sz w:val="24"/>
                <w:szCs w:val="24"/>
              </w:rPr>
            </w:pPr>
            <w:r>
              <w:rPr>
                <w:rFonts w:hint="eastAsia"/>
                <w:sz w:val="24"/>
                <w:szCs w:val="24"/>
              </w:rPr>
              <w:t>本项目</w:t>
            </w:r>
            <w:r>
              <w:rPr>
                <w:sz w:val="24"/>
                <w:szCs w:val="24"/>
              </w:rPr>
              <w:t>金属焊接过程中有一定量的</w:t>
            </w:r>
            <w:r>
              <w:rPr>
                <w:rFonts w:hint="eastAsia"/>
                <w:sz w:val="24"/>
                <w:szCs w:val="24"/>
              </w:rPr>
              <w:t>焊接烟尘</w:t>
            </w:r>
            <w:r>
              <w:rPr>
                <w:sz w:val="24"/>
                <w:szCs w:val="24"/>
              </w:rPr>
              <w:t>产生，</w:t>
            </w:r>
            <w:r>
              <w:rPr>
                <w:rFonts w:hint="eastAsia"/>
                <w:sz w:val="24"/>
                <w:szCs w:val="24"/>
              </w:rPr>
              <w:t>在焊接过程中，焊丝与被焊件之间的电弧区40℃的高温使金属及金属物被熔化、汽化而产生较小的蒸汽和烟尘。据《焊接车间环境污染及控制技术进展》，二氧化碳保护焊，实芯焊丝(直径1.2mm)材料的焊接烟尘量7～10g/kg，为确保安全，本评价使用量选择最大值10g/kg计算。技改项目年使用焊丝量为5t，则该项目产生的焊接烟尘量为0.05t/a。本项目新增二保焊机4台（2用2备），自动龙门焊4台（2用2备），油缸焊接机1台，油嘴焊接1台，移动式焊烟净化器4台（2台单头，2台双头）。</w:t>
            </w:r>
          </w:p>
          <w:p>
            <w:pPr>
              <w:spacing w:line="480" w:lineRule="exact"/>
              <w:ind w:firstLine="480" w:firstLineChars="200"/>
              <w:rPr>
                <w:sz w:val="24"/>
                <w:szCs w:val="24"/>
              </w:rPr>
            </w:pPr>
            <w:r>
              <w:rPr>
                <w:rFonts w:hint="eastAsia"/>
                <w:sz w:val="24"/>
                <w:szCs w:val="24"/>
              </w:rPr>
              <w:t>在焊接工位设移动式焊烟净化器（2台单头，2台双头），利用净化器自带的收集各焊接工位产生的焊接烟尘，捕集率大于98%，收集到的焊烟通过管道送入净化系统净化处理后，通过车间上部的通风扇排放。烟尘净化器捕集的烟尘，经净化处理后（处理效率大于98%），排至厂房上部，通过车间上部的通风扇无组织排放（不考虑车间内沉降），</w:t>
            </w:r>
            <w:r>
              <w:rPr>
                <w:sz w:val="24"/>
                <w:szCs w:val="24"/>
              </w:rPr>
              <w:t>按年</w:t>
            </w:r>
            <w:r>
              <w:rPr>
                <w:rFonts w:hint="eastAsia"/>
                <w:sz w:val="24"/>
                <w:szCs w:val="24"/>
              </w:rPr>
              <w:t>作业</w:t>
            </w:r>
            <w:r>
              <w:rPr>
                <w:sz w:val="24"/>
                <w:szCs w:val="24"/>
              </w:rPr>
              <w:t>时间（</w:t>
            </w:r>
            <w:r>
              <w:rPr>
                <w:rFonts w:hint="eastAsia"/>
                <w:sz w:val="24"/>
                <w:szCs w:val="24"/>
              </w:rPr>
              <w:t>1000</w:t>
            </w:r>
            <w:r>
              <w:rPr>
                <w:sz w:val="24"/>
                <w:szCs w:val="24"/>
              </w:rPr>
              <w:t>h）计算，烟尘无组织排放量</w:t>
            </w:r>
            <w:r>
              <w:rPr>
                <w:rFonts w:hint="eastAsia"/>
                <w:sz w:val="24"/>
                <w:szCs w:val="24"/>
              </w:rPr>
              <w:t>0.001t/a，排放速率为0.001kg/h</w:t>
            </w:r>
            <w:r>
              <w:rPr>
                <w:sz w:val="24"/>
                <w:szCs w:val="24"/>
              </w:rPr>
              <w:t>。</w:t>
            </w:r>
          </w:p>
          <w:p>
            <w:pPr>
              <w:pStyle w:val="48"/>
              <w:spacing w:line="480" w:lineRule="exact"/>
              <w:rPr>
                <w:szCs w:val="24"/>
              </w:rPr>
            </w:pPr>
            <w:r>
              <w:rPr>
                <w:rFonts w:hint="eastAsia"/>
                <w:szCs w:val="24"/>
              </w:rPr>
              <w:t>（3）回火炉废气</w:t>
            </w:r>
          </w:p>
          <w:p>
            <w:pPr>
              <w:spacing w:line="480" w:lineRule="exact"/>
              <w:ind w:firstLine="480" w:firstLineChars="200"/>
              <w:rPr>
                <w:color w:val="0000FF"/>
                <w:sz w:val="24"/>
                <w:szCs w:val="24"/>
              </w:rPr>
            </w:pPr>
            <w:r>
              <w:rPr>
                <w:rFonts w:hint="eastAsia"/>
                <w:sz w:val="24"/>
                <w:szCs w:val="24"/>
              </w:rPr>
              <w:t>技改项目新增回火工序，增加</w:t>
            </w:r>
            <w:r>
              <w:rPr>
                <w:rFonts w:hint="eastAsia"/>
                <w:bCs/>
                <w:sz w:val="24"/>
              </w:rPr>
              <w:t>工件的延性或韧性。在回火过程工件所带的机油会有部分挥发（以非甲烷总烃计）。本项目机油年用量为0.85t/a，工件携带量占5%，加热时的挥发量为携带量的80%，则非甲烷总烃的产生量为0.034t/a。在工业电阻炉和工业台式炉的出口上方各安装1个集气罩，经集气罩收集后的非甲烷总烃，由1台等离子光氧一体机处理后，由1根</w:t>
            </w:r>
            <w:r>
              <w:rPr>
                <w:rFonts w:hint="eastAsia"/>
                <w:sz w:val="24"/>
                <w:szCs w:val="24"/>
              </w:rPr>
              <w:t>15m排气筒（P2）外排。集气罩收集效率为90%，等离子光氧一体机的处理效率为90%，风机风量为5000m</w:t>
            </w:r>
            <w:r>
              <w:rPr>
                <w:rFonts w:hint="eastAsia"/>
                <w:sz w:val="24"/>
                <w:szCs w:val="24"/>
                <w:vertAlign w:val="superscript"/>
              </w:rPr>
              <w:t>3</w:t>
            </w:r>
            <w:r>
              <w:rPr>
                <w:rFonts w:hint="eastAsia"/>
                <w:sz w:val="24"/>
                <w:szCs w:val="24"/>
              </w:rPr>
              <w:t>/h，年工作时间600h，非甲烷总烃有组织产生量为0.031t/a，产生浓度为10.2mg/m</w:t>
            </w:r>
            <w:r>
              <w:rPr>
                <w:rFonts w:hint="eastAsia"/>
                <w:sz w:val="24"/>
                <w:szCs w:val="24"/>
                <w:vertAlign w:val="superscript"/>
              </w:rPr>
              <w:t>3</w:t>
            </w:r>
            <w:r>
              <w:rPr>
                <w:rFonts w:hint="eastAsia"/>
                <w:sz w:val="24"/>
                <w:szCs w:val="24"/>
              </w:rPr>
              <w:t>，经等离子光氧一体机处理后，非甲烷总烃的排放量为0.003t/a，排放速率为0.005kg/h，排放浓度为1.02mg/m</w:t>
            </w:r>
            <w:r>
              <w:rPr>
                <w:rFonts w:hint="eastAsia"/>
                <w:sz w:val="24"/>
                <w:szCs w:val="24"/>
                <w:vertAlign w:val="superscript"/>
              </w:rPr>
              <w:t>3</w:t>
            </w:r>
            <w:r>
              <w:rPr>
                <w:rFonts w:hint="eastAsia"/>
                <w:sz w:val="24"/>
                <w:szCs w:val="24"/>
              </w:rPr>
              <w:t>。未经集气罩收集的粉尘无组织排放，无组织排放量为0.003t/a，无组织排放速率为0.006kg/h。</w:t>
            </w:r>
          </w:p>
          <w:p>
            <w:pPr>
              <w:pStyle w:val="48"/>
              <w:spacing w:line="480" w:lineRule="exact"/>
              <w:rPr>
                <w:szCs w:val="24"/>
              </w:rPr>
            </w:pPr>
            <w:r>
              <w:rPr>
                <w:rFonts w:hint="eastAsia"/>
                <w:szCs w:val="24"/>
              </w:rPr>
              <w:t>（4）喷晾漆废气</w:t>
            </w:r>
          </w:p>
          <w:p>
            <w:pPr>
              <w:pStyle w:val="48"/>
            </w:pPr>
            <w:r>
              <w:t>本项目在喷漆过程中产生漆雾（以颗粒物计）和挥发性有机废气（以非甲烷总烃计）及二甲苯，经调查及查阅资料本项目所用的</w:t>
            </w:r>
            <w:r>
              <w:rPr>
                <w:bCs/>
              </w:rPr>
              <w:t>丙烯酸磁漆</w:t>
            </w:r>
            <w:r>
              <w:t>及</w:t>
            </w:r>
            <w:r>
              <w:rPr>
                <w:bCs/>
              </w:rPr>
              <w:t>丙烯酸</w:t>
            </w:r>
            <w:r>
              <w:rPr>
                <w:rFonts w:hint="eastAsia"/>
                <w:bCs/>
              </w:rPr>
              <w:t>漆</w:t>
            </w:r>
            <w:r>
              <w:t>稀释剂不含甲苯。根据《挥发性有机化合物( VOCs) 源强核算方法的研究》，物料衡算法以质量守恒定律为基础对物料平衡进行计算，其核算原则是在单位时间内进入系统的全部物料质量必定等于离开该系统的全部物料质量再加上损失和积累的物科质量，</w:t>
            </w:r>
          </w:p>
          <w:p>
            <w:pPr>
              <w:pStyle w:val="48"/>
            </w:pPr>
            <w:r>
              <w:t>其表达式为:Σ</w:t>
            </w:r>
            <w:r>
              <w:rPr>
                <w:vertAlign w:val="subscript"/>
              </w:rPr>
              <w:t>G产生</w:t>
            </w:r>
            <w:r>
              <w:t>=Σ</w:t>
            </w:r>
            <w:r>
              <w:rPr>
                <w:szCs w:val="22"/>
                <w:vertAlign w:val="subscript"/>
              </w:rPr>
              <w:t>G投入</w:t>
            </w:r>
            <w:r>
              <w:t>－Σ</w:t>
            </w:r>
            <w:r>
              <w:rPr>
                <w:szCs w:val="22"/>
                <w:vertAlign w:val="subscript"/>
              </w:rPr>
              <w:t>G回收</w:t>
            </w:r>
            <w:r>
              <w:t>－Σ</w:t>
            </w:r>
            <w:r>
              <w:rPr>
                <w:szCs w:val="22"/>
                <w:vertAlign w:val="subscript"/>
              </w:rPr>
              <w:t>G转化</w:t>
            </w:r>
            <w:r>
              <w:t>－Σ</w:t>
            </w:r>
            <w:r>
              <w:rPr>
                <w:szCs w:val="22"/>
                <w:vertAlign w:val="subscript"/>
              </w:rPr>
              <w:t>G产品</w:t>
            </w:r>
          </w:p>
          <w:p>
            <w:pPr>
              <w:pStyle w:val="48"/>
            </w:pPr>
            <w:r>
              <w:t>式中:Σ</w:t>
            </w:r>
            <w:r>
              <w:rPr>
                <w:vertAlign w:val="subscript"/>
              </w:rPr>
              <w:t>G产生</w:t>
            </w:r>
            <w:r>
              <w:t>为某物质以污染物形式产生的总量;</w:t>
            </w:r>
          </w:p>
          <w:p>
            <w:pPr>
              <w:pStyle w:val="48"/>
            </w:pPr>
            <w:r>
              <w:t>Σ</w:t>
            </w:r>
            <w:r>
              <w:rPr>
                <w:szCs w:val="22"/>
                <w:vertAlign w:val="subscript"/>
              </w:rPr>
              <w:t>G投入</w:t>
            </w:r>
            <w:r>
              <w:t>为投入物料中的某物质总量;</w:t>
            </w:r>
          </w:p>
          <w:p>
            <w:pPr>
              <w:pStyle w:val="48"/>
            </w:pPr>
            <w:r>
              <w:t>Σ</w:t>
            </w:r>
            <w:r>
              <w:rPr>
                <w:szCs w:val="22"/>
                <w:vertAlign w:val="subscript"/>
              </w:rPr>
              <w:t>G回收</w:t>
            </w:r>
            <w:r>
              <w:t>为进入回收产品中的某物质总量;</w:t>
            </w:r>
          </w:p>
          <w:p>
            <w:pPr>
              <w:pStyle w:val="48"/>
            </w:pPr>
            <w:r>
              <w:t>Σ</w:t>
            </w:r>
            <w:r>
              <w:rPr>
                <w:szCs w:val="22"/>
                <w:vertAlign w:val="subscript"/>
              </w:rPr>
              <w:t>G转化</w:t>
            </w:r>
            <w:r>
              <w:t>为生产过程中被分解、转化的某物质总量;</w:t>
            </w:r>
          </w:p>
          <w:p>
            <w:pPr>
              <w:pStyle w:val="48"/>
              <w:rPr>
                <w:color w:val="FF0000"/>
              </w:rPr>
            </w:pPr>
            <w:r>
              <w:t>Σ</w:t>
            </w:r>
            <w:r>
              <w:rPr>
                <w:szCs w:val="22"/>
                <w:vertAlign w:val="subscript"/>
              </w:rPr>
              <w:t>G产品</w:t>
            </w:r>
            <w:r>
              <w:t>为进入产品结构中的某物质总量。</w:t>
            </w:r>
          </w:p>
          <w:p>
            <w:pPr>
              <w:pStyle w:val="48"/>
            </w:pPr>
            <w:r>
              <w:t>本项目不涉及VOCs的转化反应，则物料衡算表达式为:</w:t>
            </w:r>
          </w:p>
          <w:p>
            <w:pPr>
              <w:pStyle w:val="48"/>
            </w:pPr>
            <w:r>
              <w:t>Σ</w:t>
            </w:r>
            <w:r>
              <w:rPr>
                <w:vertAlign w:val="subscript"/>
              </w:rPr>
              <w:t>G产生</w:t>
            </w:r>
            <w:r>
              <w:t>=Σ</w:t>
            </w:r>
            <w:r>
              <w:rPr>
                <w:szCs w:val="22"/>
                <w:vertAlign w:val="subscript"/>
              </w:rPr>
              <w:t>G投入</w:t>
            </w:r>
            <w:r>
              <w:t>－Σ</w:t>
            </w:r>
            <w:r>
              <w:rPr>
                <w:szCs w:val="22"/>
                <w:vertAlign w:val="subscript"/>
              </w:rPr>
              <w:t>G回收</w:t>
            </w:r>
            <w:r>
              <w:t>－Σ</w:t>
            </w:r>
            <w:r>
              <w:rPr>
                <w:szCs w:val="22"/>
                <w:vertAlign w:val="subscript"/>
              </w:rPr>
              <w:t>G产品</w:t>
            </w:r>
          </w:p>
          <w:p>
            <w:pPr>
              <w:pStyle w:val="48"/>
            </w:pPr>
            <w:r>
              <w:t>本项目喷漆及晾干</w:t>
            </w:r>
            <w:r>
              <w:rPr>
                <w:rFonts w:hint="eastAsia"/>
              </w:rPr>
              <w:t>均</w:t>
            </w:r>
            <w:r>
              <w:t>在</w:t>
            </w:r>
            <w:r>
              <w:rPr>
                <w:rFonts w:hint="eastAsia"/>
              </w:rPr>
              <w:t>单独的</w:t>
            </w:r>
            <w:r>
              <w:t>一体式密闭</w:t>
            </w:r>
            <w:r>
              <w:rPr>
                <w:rFonts w:hint="eastAsia"/>
              </w:rPr>
              <w:t>房间</w:t>
            </w:r>
            <w:r>
              <w:t>中进行，喷漆</w:t>
            </w:r>
            <w:r>
              <w:rPr>
                <w:rFonts w:hint="eastAsia"/>
              </w:rPr>
              <w:t>废气为</w:t>
            </w:r>
            <w:r>
              <w:rPr>
                <w:szCs w:val="24"/>
              </w:rPr>
              <w:t>密闭负压收集</w:t>
            </w:r>
            <w:r>
              <w:t>。喷漆房丙烯酸磁漆（配比后）用量为</w:t>
            </w:r>
            <w:r>
              <w:rPr>
                <w:rFonts w:hint="eastAsia"/>
              </w:rPr>
              <w:t>3.25</w:t>
            </w:r>
            <w:r>
              <w:t>t，喷漆方式为空气喷涂(喷枪)，喷漆效率，查表1</w:t>
            </w:r>
            <w:r>
              <w:rPr>
                <w:rFonts w:hint="eastAsia"/>
              </w:rPr>
              <w:t>9</w:t>
            </w:r>
            <w:r>
              <w:t>，取平均值为45%。</w:t>
            </w:r>
          </w:p>
          <w:p>
            <w:pPr>
              <w:pStyle w:val="48"/>
              <w:ind w:firstLine="422"/>
              <w:jc w:val="center"/>
              <w:rPr>
                <w:b/>
                <w:bCs/>
                <w:sz w:val="21"/>
                <w:szCs w:val="21"/>
              </w:rPr>
            </w:pPr>
            <w:r>
              <w:rPr>
                <w:b/>
                <w:bCs/>
                <w:sz w:val="21"/>
                <w:szCs w:val="21"/>
              </w:rPr>
              <w:t>表1</w:t>
            </w:r>
            <w:r>
              <w:rPr>
                <w:rFonts w:hint="eastAsia"/>
                <w:b/>
                <w:bCs/>
                <w:sz w:val="21"/>
                <w:szCs w:val="21"/>
              </w:rPr>
              <w:t>9</w:t>
            </w:r>
            <w:r>
              <w:rPr>
                <w:b/>
                <w:bCs/>
                <w:sz w:val="21"/>
                <w:szCs w:val="21"/>
              </w:rPr>
              <w:t xml:space="preserve">  不同涂装方式的涂装效率</w:t>
            </w:r>
          </w:p>
          <w:tbl>
            <w:tblPr>
              <w:tblStyle w:val="31"/>
              <w:tblW w:w="8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6"/>
              <w:gridCol w:w="4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6" w:type="dxa"/>
                  <w:vAlign w:val="center"/>
                </w:tcPr>
                <w:p>
                  <w:pPr>
                    <w:pStyle w:val="48"/>
                    <w:spacing w:line="240" w:lineRule="auto"/>
                    <w:ind w:firstLine="0" w:firstLineChars="0"/>
                    <w:jc w:val="center"/>
                    <w:rPr>
                      <w:b/>
                      <w:bCs/>
                      <w:sz w:val="21"/>
                      <w:szCs w:val="21"/>
                    </w:rPr>
                  </w:pPr>
                  <w:r>
                    <w:rPr>
                      <w:b/>
                      <w:bCs/>
                      <w:sz w:val="21"/>
                      <w:szCs w:val="21"/>
                    </w:rPr>
                    <w:t>涂装方式</w:t>
                  </w:r>
                </w:p>
              </w:tc>
              <w:tc>
                <w:tcPr>
                  <w:tcW w:w="4477" w:type="dxa"/>
                  <w:vAlign w:val="center"/>
                </w:tcPr>
                <w:p>
                  <w:pPr>
                    <w:pStyle w:val="48"/>
                    <w:spacing w:line="240" w:lineRule="auto"/>
                    <w:ind w:firstLine="0" w:firstLineChars="0"/>
                    <w:jc w:val="center"/>
                    <w:rPr>
                      <w:b/>
                      <w:bCs/>
                      <w:sz w:val="21"/>
                      <w:szCs w:val="21"/>
                    </w:rPr>
                  </w:pPr>
                  <w:r>
                    <w:rPr>
                      <w:b/>
                      <w:bCs/>
                      <w:sz w:val="21"/>
                      <w:szCs w:val="21"/>
                    </w:rPr>
                    <w:t>涂装效率(涂料利用率)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6" w:type="dxa"/>
                  <w:vAlign w:val="center"/>
                </w:tcPr>
                <w:p>
                  <w:pPr>
                    <w:pStyle w:val="48"/>
                    <w:spacing w:line="240" w:lineRule="auto"/>
                    <w:ind w:firstLine="0" w:firstLineChars="0"/>
                    <w:jc w:val="center"/>
                    <w:rPr>
                      <w:sz w:val="21"/>
                      <w:szCs w:val="21"/>
                    </w:rPr>
                  </w:pPr>
                  <w:r>
                    <w:rPr>
                      <w:sz w:val="21"/>
                      <w:szCs w:val="21"/>
                    </w:rPr>
                    <w:t>空气喷涂(喷枪)</w:t>
                  </w:r>
                </w:p>
              </w:tc>
              <w:tc>
                <w:tcPr>
                  <w:tcW w:w="4477" w:type="dxa"/>
                  <w:vAlign w:val="center"/>
                </w:tcPr>
                <w:p>
                  <w:pPr>
                    <w:pStyle w:val="48"/>
                    <w:spacing w:line="240" w:lineRule="auto"/>
                    <w:ind w:firstLine="0" w:firstLineChars="0"/>
                    <w:jc w:val="center"/>
                    <w:rPr>
                      <w:sz w:val="21"/>
                      <w:szCs w:val="21"/>
                    </w:rPr>
                  </w:pPr>
                  <w:r>
                    <w:rPr>
                      <w:sz w:val="21"/>
                      <w:szCs w:val="21"/>
                    </w:rP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6" w:type="dxa"/>
                  <w:vAlign w:val="center"/>
                </w:tcPr>
                <w:p>
                  <w:pPr>
                    <w:pStyle w:val="48"/>
                    <w:spacing w:line="240" w:lineRule="auto"/>
                    <w:ind w:firstLine="0" w:firstLineChars="0"/>
                    <w:jc w:val="center"/>
                    <w:rPr>
                      <w:sz w:val="21"/>
                      <w:szCs w:val="21"/>
                    </w:rPr>
                  </w:pPr>
                  <w:r>
                    <w:rPr>
                      <w:sz w:val="21"/>
                      <w:szCs w:val="21"/>
                    </w:rPr>
                    <w:t>静电涂装</w:t>
                  </w:r>
                </w:p>
              </w:tc>
              <w:tc>
                <w:tcPr>
                  <w:tcW w:w="4477" w:type="dxa"/>
                  <w:vAlign w:val="center"/>
                </w:tcPr>
                <w:p>
                  <w:pPr>
                    <w:pStyle w:val="48"/>
                    <w:spacing w:line="240" w:lineRule="auto"/>
                    <w:ind w:firstLine="0" w:firstLineChars="0"/>
                    <w:jc w:val="center"/>
                    <w:rPr>
                      <w:sz w:val="21"/>
                      <w:szCs w:val="21"/>
                    </w:rPr>
                  </w:pPr>
                  <w:r>
                    <w:rPr>
                      <w:sz w:val="21"/>
                      <w:szCs w:val="21"/>
                    </w:rPr>
                    <w:t>80%以上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76" w:type="dxa"/>
                  <w:vAlign w:val="center"/>
                </w:tcPr>
                <w:p>
                  <w:pPr>
                    <w:pStyle w:val="48"/>
                    <w:spacing w:line="240" w:lineRule="auto"/>
                    <w:ind w:firstLine="0" w:firstLineChars="0"/>
                    <w:jc w:val="center"/>
                    <w:rPr>
                      <w:sz w:val="21"/>
                      <w:szCs w:val="21"/>
                    </w:rPr>
                  </w:pPr>
                  <w:r>
                    <w:rPr>
                      <w:sz w:val="21"/>
                      <w:szCs w:val="21"/>
                    </w:rPr>
                    <w:t>电泳涂装</w:t>
                  </w:r>
                </w:p>
              </w:tc>
              <w:tc>
                <w:tcPr>
                  <w:tcW w:w="4477" w:type="dxa"/>
                  <w:vAlign w:val="center"/>
                </w:tcPr>
                <w:p>
                  <w:pPr>
                    <w:pStyle w:val="48"/>
                    <w:spacing w:line="240" w:lineRule="auto"/>
                    <w:ind w:firstLine="0" w:firstLineChars="0"/>
                    <w:jc w:val="center"/>
                    <w:rPr>
                      <w:sz w:val="21"/>
                      <w:szCs w:val="21"/>
                    </w:rPr>
                  </w:pPr>
                  <w:r>
                    <w:rPr>
                      <w:sz w:val="21"/>
                      <w:szCs w:val="21"/>
                    </w:rPr>
                    <w:t>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6" w:type="dxa"/>
                  <w:vAlign w:val="center"/>
                </w:tcPr>
                <w:p>
                  <w:pPr>
                    <w:pStyle w:val="48"/>
                    <w:spacing w:line="240" w:lineRule="auto"/>
                    <w:ind w:firstLine="0" w:firstLineChars="0"/>
                    <w:jc w:val="center"/>
                    <w:rPr>
                      <w:sz w:val="21"/>
                      <w:szCs w:val="21"/>
                    </w:rPr>
                  </w:pPr>
                  <w:r>
                    <w:rPr>
                      <w:sz w:val="21"/>
                      <w:szCs w:val="21"/>
                    </w:rPr>
                    <w:t>粉末涂装</w:t>
                  </w:r>
                </w:p>
              </w:tc>
              <w:tc>
                <w:tcPr>
                  <w:tcW w:w="4477" w:type="dxa"/>
                  <w:vAlign w:val="center"/>
                </w:tcPr>
                <w:p>
                  <w:pPr>
                    <w:pStyle w:val="48"/>
                    <w:spacing w:line="240" w:lineRule="auto"/>
                    <w:ind w:firstLine="0" w:firstLineChars="0"/>
                    <w:jc w:val="center"/>
                    <w:rPr>
                      <w:sz w:val="21"/>
                      <w:szCs w:val="21"/>
                    </w:rPr>
                  </w:pPr>
                  <w:r>
                    <w:rPr>
                      <w:sz w:val="21"/>
                      <w:szCs w:val="21"/>
                    </w:rPr>
                    <w:t>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6" w:type="dxa"/>
                  <w:vAlign w:val="center"/>
                </w:tcPr>
                <w:p>
                  <w:pPr>
                    <w:pStyle w:val="48"/>
                    <w:spacing w:line="240" w:lineRule="auto"/>
                    <w:ind w:firstLine="0" w:firstLineChars="0"/>
                    <w:jc w:val="center"/>
                    <w:rPr>
                      <w:sz w:val="21"/>
                      <w:szCs w:val="21"/>
                    </w:rPr>
                  </w:pPr>
                  <w:r>
                    <w:rPr>
                      <w:sz w:val="21"/>
                      <w:szCs w:val="21"/>
                    </w:rPr>
                    <w:t>粉末热熔射喷涂</w:t>
                  </w:r>
                </w:p>
              </w:tc>
              <w:tc>
                <w:tcPr>
                  <w:tcW w:w="4477" w:type="dxa"/>
                  <w:vAlign w:val="center"/>
                </w:tcPr>
                <w:p>
                  <w:pPr>
                    <w:pStyle w:val="48"/>
                    <w:spacing w:line="240" w:lineRule="auto"/>
                    <w:ind w:firstLine="0" w:firstLineChars="0"/>
                    <w:jc w:val="center"/>
                    <w:rPr>
                      <w:sz w:val="21"/>
                      <w:szCs w:val="21"/>
                    </w:rPr>
                  </w:pPr>
                  <w:r>
                    <w:rPr>
                      <w:sz w:val="21"/>
                      <w:szCs w:val="21"/>
                    </w:rPr>
                    <w:t>70%</w:t>
                  </w:r>
                </w:p>
              </w:tc>
            </w:tr>
          </w:tbl>
          <w:p>
            <w:pPr>
              <w:pStyle w:val="48"/>
            </w:pPr>
            <w:r>
              <w:t>根据表8可知油漆中二甲苯的含量为5%，醋酸丁酯含量为4%，固体分含量为91%；喷漆过程中未被利用的固体分成为废气中的颗粒物。</w:t>
            </w:r>
          </w:p>
          <w:p>
            <w:pPr>
              <w:pStyle w:val="48"/>
            </w:pPr>
            <w:r>
              <w:t>本项目喷漆及晾干工序的废气污染物源强核算如下：</w:t>
            </w:r>
          </w:p>
          <w:p>
            <w:pPr>
              <w:pStyle w:val="48"/>
              <w:spacing w:line="480" w:lineRule="exact"/>
            </w:pPr>
            <w:r>
              <w:t>喷漆过程散发到废气中非甲烷总烃</w:t>
            </w:r>
            <w:r>
              <w:rPr>
                <w:rFonts w:hint="eastAsia"/>
              </w:rPr>
              <w:t>量为0.07t/a</w:t>
            </w:r>
            <w:r>
              <w:t>，二甲苯</w:t>
            </w:r>
            <w:r>
              <w:rPr>
                <w:rFonts w:hint="eastAsia"/>
              </w:rPr>
              <w:t>量0.09t/a</w:t>
            </w:r>
            <w:r>
              <w:t>，颗粒物</w:t>
            </w:r>
            <w:r>
              <w:rPr>
                <w:rFonts w:hint="eastAsia"/>
              </w:rPr>
              <w:t>量1.63t/a</w:t>
            </w:r>
            <w:r>
              <w:t>。</w:t>
            </w:r>
          </w:p>
          <w:p>
            <w:pPr>
              <w:pStyle w:val="48"/>
              <w:spacing w:line="480" w:lineRule="exact"/>
              <w:rPr>
                <w:color w:val="FF0000"/>
              </w:rPr>
            </w:pPr>
            <w:r>
              <w:t>晾干过程中附着于被喷涂组件中的VOCs在常温下60%挥发，附着的固分全部留于组件表面，因此晾干过程中散发到废气中的非甲烷总烃</w:t>
            </w:r>
            <w:r>
              <w:rPr>
                <w:rFonts w:hint="eastAsia"/>
              </w:rPr>
              <w:t>量</w:t>
            </w:r>
            <w:r>
              <w:t>为</w:t>
            </w:r>
            <w:r>
              <w:rPr>
                <w:rFonts w:hint="eastAsia"/>
              </w:rPr>
              <w:t>0.03t/a</w:t>
            </w:r>
            <w:r>
              <w:t>，二甲苯</w:t>
            </w:r>
            <w:r>
              <w:rPr>
                <w:rFonts w:hint="eastAsia"/>
              </w:rPr>
              <w:t>量</w:t>
            </w:r>
            <w:r>
              <w:t>为</w:t>
            </w:r>
            <w:r>
              <w:rPr>
                <w:rFonts w:hint="eastAsia"/>
              </w:rPr>
              <w:t>0.04t/a</w:t>
            </w:r>
            <w:r>
              <w:t>。喷</w:t>
            </w:r>
            <w:r>
              <w:rPr>
                <w:rFonts w:hint="eastAsia"/>
              </w:rPr>
              <w:t>、</w:t>
            </w:r>
            <w:r>
              <w:t>晾漆废气由引风机引入</w:t>
            </w:r>
            <w:r>
              <w:rPr>
                <w:rFonts w:hint="eastAsia"/>
              </w:rPr>
              <w:t>干式过滤器</w:t>
            </w:r>
            <w:r>
              <w:t>，经</w:t>
            </w:r>
            <w:r>
              <w:rPr>
                <w:rFonts w:hint="eastAsia"/>
              </w:rPr>
              <w:t>等离子光氧一体机</w:t>
            </w:r>
            <w:r>
              <w:t>处理后，由15m高排气筒P</w:t>
            </w:r>
            <w:r>
              <w:rPr>
                <w:rFonts w:hint="eastAsia"/>
              </w:rPr>
              <w:t>3</w:t>
            </w:r>
            <w:r>
              <w:t>外排。喷漆年工作时间为</w:t>
            </w:r>
            <w:r>
              <w:rPr>
                <w:rFonts w:hint="eastAsia"/>
              </w:rPr>
              <w:t>1000</w:t>
            </w:r>
            <w:r>
              <w:t>h，</w:t>
            </w:r>
            <w:r>
              <w:rPr>
                <w:rFonts w:hint="eastAsia"/>
              </w:rPr>
              <w:t>晾干年工作时间为1000h，干式过滤器</w:t>
            </w:r>
            <w:r>
              <w:t>颗粒物去除效率为</w:t>
            </w:r>
            <w:r>
              <w:rPr>
                <w:rFonts w:hint="eastAsia"/>
              </w:rPr>
              <w:t>85</w:t>
            </w:r>
            <w:r>
              <w:t>%，</w:t>
            </w:r>
            <w:r>
              <w:rPr>
                <w:rFonts w:hint="eastAsia"/>
              </w:rPr>
              <w:t>等离子光氧一体机有机废气</w:t>
            </w:r>
            <w:r>
              <w:t>的</w:t>
            </w:r>
            <w:r>
              <w:rPr>
                <w:szCs w:val="24"/>
              </w:rPr>
              <w:t>去除率≥90%（本次以90%计）。则经</w:t>
            </w:r>
            <w:r>
              <w:t>P</w:t>
            </w:r>
            <w:r>
              <w:rPr>
                <w:rFonts w:hint="eastAsia"/>
              </w:rPr>
              <w:t>3</w:t>
            </w:r>
            <w:r>
              <w:t>排气筒排放的</w:t>
            </w:r>
            <w:r>
              <w:rPr>
                <w:szCs w:val="24"/>
              </w:rPr>
              <w:t>废气中颗粒物产生量为</w:t>
            </w:r>
            <w:r>
              <w:rPr>
                <w:rFonts w:hint="eastAsia"/>
                <w:szCs w:val="24"/>
              </w:rPr>
              <w:t>1.63</w:t>
            </w:r>
            <w:r>
              <w:rPr>
                <w:szCs w:val="24"/>
              </w:rPr>
              <w:t>t/a，产生浓度为</w:t>
            </w:r>
            <w:r>
              <w:rPr>
                <w:rFonts w:hint="eastAsia"/>
                <w:szCs w:val="24"/>
              </w:rPr>
              <w:t>27.11</w:t>
            </w:r>
            <w:r>
              <w:rPr>
                <w:szCs w:val="24"/>
              </w:rPr>
              <w:t>mg/</w:t>
            </w:r>
            <w:r>
              <w:t>m</w:t>
            </w:r>
            <w:r>
              <w:rPr>
                <w:vertAlign w:val="superscript"/>
              </w:rPr>
              <w:t>3</w:t>
            </w:r>
            <w:r>
              <w:rPr>
                <w:rFonts w:hint="eastAsia"/>
              </w:rPr>
              <w:t>；</w:t>
            </w:r>
            <w:r>
              <w:t>非甲烷总烃</w:t>
            </w:r>
            <w:r>
              <w:rPr>
                <w:szCs w:val="24"/>
              </w:rPr>
              <w:t>产生量为</w:t>
            </w:r>
            <w:r>
              <w:rPr>
                <w:rFonts w:hint="eastAsia"/>
                <w:szCs w:val="24"/>
              </w:rPr>
              <w:t>0.10</w:t>
            </w:r>
            <w:r>
              <w:rPr>
                <w:szCs w:val="24"/>
              </w:rPr>
              <w:t>t/a，产生浓度为</w:t>
            </w:r>
            <w:r>
              <w:rPr>
                <w:rFonts w:hint="eastAsia"/>
                <w:szCs w:val="24"/>
              </w:rPr>
              <w:t>1.76</w:t>
            </w:r>
            <w:r>
              <w:rPr>
                <w:szCs w:val="24"/>
              </w:rPr>
              <w:t>mg/</w:t>
            </w:r>
            <w:r>
              <w:t>m</w:t>
            </w:r>
            <w:r>
              <w:rPr>
                <w:vertAlign w:val="superscript"/>
              </w:rPr>
              <w:t>3</w:t>
            </w:r>
            <w:r>
              <w:rPr>
                <w:rFonts w:hint="eastAsia"/>
              </w:rPr>
              <w:t>；</w:t>
            </w:r>
            <w:r>
              <w:t>二甲苯</w:t>
            </w:r>
            <w:r>
              <w:rPr>
                <w:szCs w:val="24"/>
              </w:rPr>
              <w:t>产生量为</w:t>
            </w:r>
            <w:r>
              <w:rPr>
                <w:rFonts w:hint="eastAsia"/>
                <w:szCs w:val="24"/>
              </w:rPr>
              <w:t>0.13</w:t>
            </w:r>
            <w:r>
              <w:rPr>
                <w:szCs w:val="24"/>
              </w:rPr>
              <w:t>t/a，产生浓度为</w:t>
            </w:r>
            <w:r>
              <w:rPr>
                <w:rFonts w:hint="eastAsia"/>
                <w:szCs w:val="24"/>
              </w:rPr>
              <w:t>2.24</w:t>
            </w:r>
            <w:r>
              <w:rPr>
                <w:szCs w:val="24"/>
              </w:rPr>
              <w:t>mg/</w:t>
            </w:r>
            <w:r>
              <w:t>m</w:t>
            </w:r>
            <w:r>
              <w:rPr>
                <w:vertAlign w:val="superscript"/>
              </w:rPr>
              <w:t>3</w:t>
            </w:r>
            <w:r>
              <w:t>，处理后废气</w:t>
            </w:r>
            <w:r>
              <w:rPr>
                <w:szCs w:val="24"/>
              </w:rPr>
              <w:t>颗粒物排放量为</w:t>
            </w:r>
            <w:r>
              <w:rPr>
                <w:rFonts w:hint="eastAsia"/>
                <w:szCs w:val="24"/>
              </w:rPr>
              <w:t>0.24</w:t>
            </w:r>
            <w:r>
              <w:rPr>
                <w:szCs w:val="24"/>
              </w:rPr>
              <w:t>t/a，排放浓度为</w:t>
            </w:r>
            <w:r>
              <w:rPr>
                <w:rFonts w:hint="eastAsia"/>
                <w:szCs w:val="24"/>
              </w:rPr>
              <w:t>4.07</w:t>
            </w:r>
            <w:r>
              <w:rPr>
                <w:szCs w:val="24"/>
              </w:rPr>
              <w:t>mg/</w:t>
            </w:r>
            <w:r>
              <w:t>m</w:t>
            </w:r>
            <w:r>
              <w:rPr>
                <w:vertAlign w:val="superscript"/>
              </w:rPr>
              <w:t>3</w:t>
            </w:r>
            <w:r>
              <w:t>，排放速率为</w:t>
            </w:r>
            <w:r>
              <w:rPr>
                <w:rFonts w:hint="eastAsia"/>
              </w:rPr>
              <w:t>0.121</w:t>
            </w:r>
            <w:r>
              <w:t>kg/h，非甲烷总烃</w:t>
            </w:r>
            <w:r>
              <w:rPr>
                <w:szCs w:val="24"/>
              </w:rPr>
              <w:t>排放量为</w:t>
            </w:r>
            <w:r>
              <w:rPr>
                <w:rFonts w:hint="eastAsia"/>
                <w:szCs w:val="24"/>
              </w:rPr>
              <w:t>0.01</w:t>
            </w:r>
            <w:r>
              <w:rPr>
                <w:szCs w:val="24"/>
              </w:rPr>
              <w:t>t/a，</w:t>
            </w:r>
            <w:r>
              <w:t>排放</w:t>
            </w:r>
            <w:r>
              <w:rPr>
                <w:szCs w:val="24"/>
              </w:rPr>
              <w:t>浓度为</w:t>
            </w:r>
            <w:r>
              <w:rPr>
                <w:rFonts w:hint="eastAsia"/>
                <w:szCs w:val="24"/>
              </w:rPr>
              <w:t>0.16</w:t>
            </w:r>
            <w:r>
              <w:rPr>
                <w:szCs w:val="24"/>
              </w:rPr>
              <w:t>mg/</w:t>
            </w:r>
            <w:r>
              <w:t>m</w:t>
            </w:r>
            <w:r>
              <w:rPr>
                <w:vertAlign w:val="superscript"/>
              </w:rPr>
              <w:t>3</w:t>
            </w:r>
            <w:r>
              <w:t>，排放速率为</w:t>
            </w:r>
            <w:r>
              <w:rPr>
                <w:rFonts w:hint="eastAsia"/>
              </w:rPr>
              <w:t>0.005</w:t>
            </w:r>
            <w:r>
              <w:t>kg/h，</w:t>
            </w:r>
            <w:r>
              <w:rPr>
                <w:szCs w:val="24"/>
              </w:rPr>
              <w:t>二甲苯排放量为</w:t>
            </w:r>
            <w:r>
              <w:rPr>
                <w:rFonts w:hint="eastAsia"/>
                <w:szCs w:val="24"/>
              </w:rPr>
              <w:t>0.01</w:t>
            </w:r>
            <w:r>
              <w:rPr>
                <w:szCs w:val="24"/>
              </w:rPr>
              <w:t>t/a，排放浓度为</w:t>
            </w:r>
            <w:r>
              <w:rPr>
                <w:rFonts w:hint="eastAsia"/>
                <w:szCs w:val="24"/>
              </w:rPr>
              <w:t>0.22</w:t>
            </w:r>
            <w:r>
              <w:rPr>
                <w:szCs w:val="24"/>
              </w:rPr>
              <w:t>mg/</w:t>
            </w:r>
            <w:r>
              <w:t>m</w:t>
            </w:r>
            <w:r>
              <w:rPr>
                <w:vertAlign w:val="superscript"/>
              </w:rPr>
              <w:t>3</w:t>
            </w:r>
            <w:r>
              <w:t>，排放速率为</w:t>
            </w:r>
            <w:r>
              <w:rPr>
                <w:rFonts w:hint="eastAsia"/>
              </w:rPr>
              <w:t>0.007</w:t>
            </w:r>
            <w:r>
              <w:t>kg/h；</w:t>
            </w:r>
          </w:p>
          <w:p>
            <w:pPr>
              <w:spacing w:line="480" w:lineRule="exact"/>
              <w:ind w:firstLine="480" w:firstLineChars="200"/>
              <w:rPr>
                <w:sz w:val="24"/>
              </w:rPr>
            </w:pPr>
            <w:r>
              <w:rPr>
                <w:sz w:val="24"/>
              </w:rPr>
              <w:t>喷漆房虽密闭，仍有极少量废气以无组织形式逸散，项目喷漆及晾干房无组织废气中非甲烷总烃排放量为0.001t/a，二甲苯排放量为0.001t/a，颗粒物排放量0.003t/a</w:t>
            </w:r>
            <w:r>
              <w:rPr>
                <w:rFonts w:hint="eastAsia"/>
                <w:sz w:val="24"/>
              </w:rPr>
              <w:t>，</w:t>
            </w:r>
          </w:p>
          <w:p>
            <w:pPr>
              <w:pStyle w:val="48"/>
              <w:ind w:firstLine="0" w:firstLineChars="0"/>
            </w:pPr>
            <w:r>
              <w:rPr>
                <w:rFonts w:hint="eastAsia"/>
              </w:rPr>
              <w:t>排放速率分别为0.002</w:t>
            </w:r>
            <w:r>
              <w:t>kg/h</w:t>
            </w:r>
            <w:r>
              <w:rPr>
                <w:rFonts w:hint="eastAsia"/>
              </w:rPr>
              <w:t>、0.0008</w:t>
            </w:r>
            <w:r>
              <w:t>kg/h</w:t>
            </w:r>
            <w:r>
              <w:rPr>
                <w:rFonts w:hint="eastAsia"/>
              </w:rPr>
              <w:t>、0.0008</w:t>
            </w:r>
            <w:r>
              <w:t>kg/h</w:t>
            </w:r>
            <w:r>
              <w:rPr>
                <w:rFonts w:hint="eastAsia"/>
              </w:rPr>
              <w:t>。</w:t>
            </w:r>
          </w:p>
          <w:p>
            <w:pPr>
              <w:spacing w:line="480" w:lineRule="exact"/>
              <w:ind w:firstLine="480" w:firstLineChars="200"/>
              <w:jc w:val="left"/>
              <w:rPr>
                <w:sz w:val="24"/>
                <w:szCs w:val="24"/>
              </w:rPr>
            </w:pPr>
            <w:r>
              <w:rPr>
                <w:rFonts w:hint="eastAsia"/>
                <w:sz w:val="24"/>
                <w:szCs w:val="24"/>
              </w:rPr>
              <w:t>2、</w:t>
            </w:r>
            <w:r>
              <w:rPr>
                <w:sz w:val="24"/>
                <w:szCs w:val="24"/>
              </w:rPr>
              <w:t>废水</w:t>
            </w:r>
          </w:p>
          <w:p>
            <w:pPr>
              <w:spacing w:line="360" w:lineRule="auto"/>
              <w:ind w:firstLine="480" w:firstLineChars="200"/>
              <w:rPr>
                <w:b/>
                <w:szCs w:val="21"/>
              </w:rPr>
            </w:pPr>
            <w:r>
              <w:rPr>
                <w:sz w:val="24"/>
                <w:szCs w:val="24"/>
              </w:rPr>
              <w:t>本次技</w:t>
            </w:r>
            <w:r>
              <w:rPr>
                <w:rFonts w:hint="eastAsia"/>
                <w:sz w:val="24"/>
                <w:szCs w:val="24"/>
              </w:rPr>
              <w:t>项目</w:t>
            </w:r>
            <w:r>
              <w:rPr>
                <w:sz w:val="24"/>
                <w:szCs w:val="24"/>
              </w:rPr>
              <w:t>改</w:t>
            </w:r>
            <w:r>
              <w:rPr>
                <w:rFonts w:hint="eastAsia"/>
                <w:sz w:val="24"/>
                <w:szCs w:val="24"/>
              </w:rPr>
              <w:t>不涉及给排水</w:t>
            </w:r>
          </w:p>
          <w:p>
            <w:pPr>
              <w:spacing w:line="460" w:lineRule="exact"/>
              <w:ind w:firstLine="480" w:firstLineChars="200"/>
              <w:jc w:val="left"/>
              <w:rPr>
                <w:bCs/>
                <w:sz w:val="24"/>
                <w:szCs w:val="24"/>
              </w:rPr>
            </w:pPr>
            <w:r>
              <w:rPr>
                <w:sz w:val="24"/>
                <w:szCs w:val="24"/>
              </w:rPr>
              <w:t>3、噪声</w:t>
            </w:r>
            <w:r>
              <w:rPr>
                <w:rFonts w:hint="eastAsia"/>
                <w:sz w:val="24"/>
                <w:szCs w:val="24"/>
              </w:rPr>
              <w:t>：</w:t>
            </w:r>
            <w:r>
              <w:rPr>
                <w:rFonts w:hint="eastAsia"/>
                <w:bCs/>
                <w:sz w:val="24"/>
                <w:szCs w:val="24"/>
              </w:rPr>
              <w:t>技改</w:t>
            </w:r>
            <w:r>
              <w:rPr>
                <w:bCs/>
                <w:sz w:val="24"/>
                <w:szCs w:val="24"/>
              </w:rPr>
              <w:t>项目产生噪声的设备主要有</w:t>
            </w:r>
            <w:r>
              <w:rPr>
                <w:rFonts w:hint="eastAsia"/>
                <w:bCs/>
                <w:sz w:val="24"/>
                <w:szCs w:val="24"/>
              </w:rPr>
              <w:t>二保焊机、数控车床、钻床、铣床</w:t>
            </w:r>
            <w:r>
              <w:rPr>
                <w:bCs/>
                <w:sz w:val="24"/>
                <w:szCs w:val="24"/>
              </w:rPr>
              <w:t>等</w:t>
            </w:r>
            <w:r>
              <w:rPr>
                <w:rFonts w:hint="eastAsia"/>
                <w:bCs/>
                <w:sz w:val="24"/>
                <w:szCs w:val="24"/>
              </w:rPr>
              <w:t>，</w:t>
            </w:r>
            <w:r>
              <w:rPr>
                <w:bCs/>
                <w:sz w:val="24"/>
                <w:szCs w:val="24"/>
              </w:rPr>
              <w:t>噪声级在</w:t>
            </w:r>
            <w:r>
              <w:rPr>
                <w:rFonts w:hint="eastAsia"/>
                <w:bCs/>
                <w:sz w:val="24"/>
                <w:szCs w:val="24"/>
              </w:rPr>
              <w:t>70~95</w:t>
            </w:r>
            <w:r>
              <w:rPr>
                <w:bCs/>
                <w:sz w:val="24"/>
                <w:szCs w:val="24"/>
              </w:rPr>
              <w:t>dB</w:t>
            </w:r>
            <w:r>
              <w:rPr>
                <w:rFonts w:hint="eastAsia"/>
                <w:bCs/>
                <w:sz w:val="24"/>
                <w:szCs w:val="24"/>
              </w:rPr>
              <w:t>（</w:t>
            </w:r>
            <w:r>
              <w:rPr>
                <w:bCs/>
                <w:sz w:val="24"/>
                <w:szCs w:val="24"/>
              </w:rPr>
              <w:t>A</w:t>
            </w:r>
            <w:r>
              <w:rPr>
                <w:rFonts w:hint="eastAsia"/>
                <w:bCs/>
                <w:sz w:val="24"/>
                <w:szCs w:val="24"/>
              </w:rPr>
              <w:t>）</w:t>
            </w:r>
            <w:r>
              <w:rPr>
                <w:bCs/>
                <w:sz w:val="24"/>
                <w:szCs w:val="24"/>
              </w:rPr>
              <w:t>之间</w:t>
            </w:r>
            <w:r>
              <w:rPr>
                <w:rFonts w:hint="eastAsia"/>
                <w:bCs/>
                <w:sz w:val="24"/>
                <w:szCs w:val="24"/>
              </w:rPr>
              <w:t>。</w:t>
            </w:r>
          </w:p>
          <w:p>
            <w:pPr>
              <w:spacing w:line="460" w:lineRule="exact"/>
              <w:ind w:firstLine="480" w:firstLineChars="200"/>
              <w:rPr>
                <w:sz w:val="24"/>
                <w:szCs w:val="24"/>
              </w:rPr>
            </w:pPr>
            <w:r>
              <w:rPr>
                <w:sz w:val="24"/>
                <w:szCs w:val="24"/>
              </w:rPr>
              <w:t>4、</w:t>
            </w:r>
            <w:r>
              <w:rPr>
                <w:rFonts w:hint="eastAsia"/>
                <w:sz w:val="24"/>
              </w:rPr>
              <w:t>固体废物</w:t>
            </w:r>
          </w:p>
          <w:p>
            <w:pPr>
              <w:spacing w:line="460" w:lineRule="exact"/>
              <w:ind w:firstLine="480" w:firstLineChars="200"/>
              <w:rPr>
                <w:sz w:val="24"/>
                <w:szCs w:val="24"/>
              </w:rPr>
            </w:pPr>
            <w:r>
              <w:rPr>
                <w:rFonts w:hint="eastAsia"/>
                <w:sz w:val="24"/>
                <w:szCs w:val="24"/>
              </w:rPr>
              <w:t>技改项目产生的固废主要为废滤芯、废油漆桶、废机油。</w:t>
            </w:r>
          </w:p>
          <w:p>
            <w:pPr>
              <w:spacing w:line="460" w:lineRule="exact"/>
              <w:ind w:left="420" w:leftChars="200"/>
              <w:rPr>
                <w:sz w:val="24"/>
                <w:szCs w:val="24"/>
              </w:rPr>
            </w:pPr>
            <w:r>
              <w:rPr>
                <w:rFonts w:hint="eastAsia"/>
                <w:sz w:val="24"/>
                <w:szCs w:val="24"/>
              </w:rPr>
              <w:t>（1）废滤芯</w:t>
            </w:r>
          </w:p>
          <w:p>
            <w:pPr>
              <w:spacing w:line="460" w:lineRule="exact"/>
              <w:ind w:firstLine="480" w:firstLineChars="200"/>
              <w:rPr>
                <w:sz w:val="24"/>
                <w:szCs w:val="24"/>
              </w:rPr>
            </w:pPr>
            <w:r>
              <w:rPr>
                <w:rFonts w:hint="eastAsia"/>
                <w:sz w:val="24"/>
                <w:szCs w:val="24"/>
              </w:rPr>
              <w:t>喷漆过程需要干式过滤器对漆雾进行过滤处理，滤芯需要定期更换，滤芯每次更换量为50kg，每四个月更换一次，则废滤芯的产生量为0.15t/a，根据《国家危险废物名录（2016年）》中相关规定，废滤芯（含漆渣）属危险废物HW12类。委托有资质单位处理。</w:t>
            </w:r>
          </w:p>
          <w:p>
            <w:pPr>
              <w:spacing w:line="460" w:lineRule="exact"/>
              <w:ind w:firstLine="480" w:firstLineChars="200"/>
              <w:rPr>
                <w:sz w:val="24"/>
                <w:szCs w:val="24"/>
              </w:rPr>
            </w:pPr>
            <w:r>
              <w:rPr>
                <w:rFonts w:hint="eastAsia"/>
                <w:sz w:val="24"/>
                <w:szCs w:val="24"/>
              </w:rPr>
              <w:t>（2）废油漆桶</w:t>
            </w:r>
          </w:p>
          <w:p>
            <w:pPr>
              <w:spacing w:line="460" w:lineRule="exact"/>
              <w:ind w:firstLine="480" w:firstLineChars="200"/>
              <w:rPr>
                <w:sz w:val="24"/>
                <w:szCs w:val="24"/>
              </w:rPr>
            </w:pPr>
            <w:r>
              <w:rPr>
                <w:snapToGrid w:val="0"/>
                <w:kern w:val="0"/>
                <w:sz w:val="24"/>
                <w:szCs w:val="24"/>
              </w:rPr>
              <w:t>废油漆桶</w:t>
            </w:r>
            <w:r>
              <w:rPr>
                <w:sz w:val="24"/>
              </w:rPr>
              <w:t>以每个桶重量为0.2kg，年使用油漆</w:t>
            </w:r>
            <w:r>
              <w:rPr>
                <w:rFonts w:hint="eastAsia"/>
                <w:sz w:val="24"/>
              </w:rPr>
              <w:t>13</w:t>
            </w:r>
            <w:r>
              <w:rPr>
                <w:sz w:val="24"/>
              </w:rPr>
              <w:t>0桶，废油漆桶的产生量为</w:t>
            </w:r>
            <w:r>
              <w:rPr>
                <w:rFonts w:hint="eastAsia"/>
                <w:sz w:val="24"/>
              </w:rPr>
              <w:t>0.26</w:t>
            </w:r>
            <w:r>
              <w:rPr>
                <w:sz w:val="24"/>
              </w:rPr>
              <w:t>t/a</w:t>
            </w:r>
            <w:r>
              <w:rPr>
                <w:snapToGrid w:val="0"/>
                <w:kern w:val="0"/>
                <w:sz w:val="24"/>
                <w:szCs w:val="24"/>
              </w:rPr>
              <w:t>，</w:t>
            </w:r>
            <w:r>
              <w:rPr>
                <w:rFonts w:hint="eastAsia"/>
                <w:sz w:val="24"/>
                <w:szCs w:val="24"/>
              </w:rPr>
              <w:t>根据《国家危险废物名录（2016年）》中相关规定，</w:t>
            </w:r>
            <w:r>
              <w:rPr>
                <w:snapToGrid w:val="0"/>
                <w:kern w:val="0"/>
                <w:sz w:val="24"/>
                <w:szCs w:val="24"/>
              </w:rPr>
              <w:t>废油漆桶</w:t>
            </w:r>
            <w:r>
              <w:rPr>
                <w:rFonts w:hint="eastAsia"/>
                <w:sz w:val="24"/>
                <w:szCs w:val="24"/>
              </w:rPr>
              <w:t>属危险废物HW12类。</w:t>
            </w:r>
            <w:r>
              <w:rPr>
                <w:snapToGrid w:val="0"/>
                <w:kern w:val="0"/>
                <w:sz w:val="24"/>
                <w:szCs w:val="24"/>
              </w:rPr>
              <w:t>集中收集后，交有资质单位处理。</w:t>
            </w:r>
          </w:p>
          <w:p>
            <w:pPr>
              <w:spacing w:line="460" w:lineRule="exact"/>
              <w:ind w:firstLine="480" w:firstLineChars="200"/>
              <w:rPr>
                <w:rFonts w:hint="eastAsia" w:eastAsia="宋体"/>
                <w:sz w:val="24"/>
                <w:szCs w:val="24"/>
                <w:lang w:eastAsia="zh-CN"/>
              </w:rPr>
            </w:pPr>
            <w:r>
              <w:rPr>
                <w:rFonts w:hint="eastAsia"/>
                <w:sz w:val="24"/>
                <w:szCs w:val="24"/>
              </w:rPr>
              <w:t>（3）废机油</w:t>
            </w:r>
            <w:r>
              <w:rPr>
                <w:rFonts w:hint="eastAsia"/>
                <w:sz w:val="24"/>
                <w:szCs w:val="24"/>
                <w:lang w:eastAsia="zh-CN"/>
              </w:rPr>
              <w:t>及废机油桶</w:t>
            </w:r>
          </w:p>
          <w:p>
            <w:pPr>
              <w:spacing w:line="460" w:lineRule="exact"/>
              <w:ind w:firstLine="480" w:firstLineChars="200"/>
              <w:rPr>
                <w:rFonts w:hint="eastAsia" w:eastAsia="宋体"/>
                <w:sz w:val="24"/>
                <w:szCs w:val="24"/>
                <w:lang w:val="en-US" w:eastAsia="zh-CN"/>
              </w:rPr>
            </w:pPr>
            <w:r>
              <w:rPr>
                <w:rFonts w:hint="eastAsia"/>
                <w:sz w:val="24"/>
                <w:szCs w:val="24"/>
              </w:rPr>
              <w:t>废机油的产生量为0.05t/a，根据《国家危险废物名录（2016年）》中相关规定，废机油属危险废物HW08类，委托有资质单位处理。</w:t>
            </w:r>
            <w:r>
              <w:rPr>
                <w:rFonts w:hint="eastAsia"/>
                <w:color w:val="FF0000"/>
                <w:sz w:val="24"/>
                <w:szCs w:val="24"/>
                <w:lang w:eastAsia="zh-CN"/>
              </w:rPr>
              <w:t>废机油桶属于一般固废，产生量为</w:t>
            </w:r>
            <w:r>
              <w:rPr>
                <w:rFonts w:hint="eastAsia"/>
                <w:color w:val="FF0000"/>
                <w:sz w:val="24"/>
                <w:szCs w:val="24"/>
                <w:lang w:val="en-US" w:eastAsia="zh-CN"/>
              </w:rPr>
              <w:t>0.2t/a，集中收集后，由原厂家回收。</w:t>
            </w:r>
          </w:p>
          <w:p>
            <w:pPr>
              <w:spacing w:line="460" w:lineRule="exact"/>
              <w:ind w:firstLine="480" w:firstLineChars="200"/>
              <w:rPr>
                <w:color w:val="0000FF"/>
                <w:sz w:val="24"/>
                <w:szCs w:val="24"/>
              </w:rPr>
            </w:pPr>
          </w:p>
          <w:p>
            <w:pPr>
              <w:spacing w:line="460" w:lineRule="exact"/>
              <w:ind w:firstLine="480" w:firstLineChars="200"/>
              <w:rPr>
                <w:color w:val="0000FF"/>
                <w:sz w:val="24"/>
                <w:szCs w:val="24"/>
              </w:rPr>
            </w:pPr>
          </w:p>
          <w:p>
            <w:pPr>
              <w:pStyle w:val="48"/>
              <w:rPr>
                <w:color w:val="0000FF"/>
                <w:szCs w:val="24"/>
              </w:rPr>
            </w:pPr>
          </w:p>
          <w:p>
            <w:pPr>
              <w:pStyle w:val="48"/>
              <w:rPr>
                <w:color w:val="0000FF"/>
                <w:szCs w:val="24"/>
              </w:rPr>
            </w:pPr>
          </w:p>
          <w:p>
            <w:pPr>
              <w:pStyle w:val="48"/>
              <w:rPr>
                <w:color w:val="0000FF"/>
                <w:szCs w:val="24"/>
              </w:rPr>
            </w:pPr>
          </w:p>
          <w:p>
            <w:pPr>
              <w:pStyle w:val="48"/>
              <w:rPr>
                <w:color w:val="0000FF"/>
                <w:szCs w:val="24"/>
              </w:rPr>
            </w:pPr>
          </w:p>
          <w:p>
            <w:pPr>
              <w:pStyle w:val="48"/>
              <w:rPr>
                <w:color w:val="0000FF"/>
                <w:szCs w:val="24"/>
              </w:rPr>
            </w:pPr>
          </w:p>
          <w:p>
            <w:pPr>
              <w:pStyle w:val="48"/>
              <w:rPr>
                <w:color w:val="0000FF"/>
                <w:szCs w:val="24"/>
              </w:rPr>
            </w:pPr>
          </w:p>
          <w:p>
            <w:pPr>
              <w:pStyle w:val="48"/>
              <w:rPr>
                <w:color w:val="0000FF"/>
                <w:szCs w:val="24"/>
              </w:rPr>
            </w:pPr>
          </w:p>
          <w:p>
            <w:pPr>
              <w:pStyle w:val="48"/>
              <w:rPr>
                <w:color w:val="0000FF"/>
                <w:szCs w:val="24"/>
              </w:rPr>
            </w:pPr>
          </w:p>
          <w:p>
            <w:pPr>
              <w:pStyle w:val="48"/>
              <w:rPr>
                <w:color w:val="0000FF"/>
                <w:szCs w:val="24"/>
              </w:rPr>
            </w:pPr>
          </w:p>
          <w:p>
            <w:pPr>
              <w:pStyle w:val="48"/>
              <w:ind w:left="0" w:leftChars="0" w:firstLine="0" w:firstLineChars="0"/>
              <w:rPr>
                <w:color w:val="0000FF"/>
                <w:szCs w:val="24"/>
              </w:rPr>
            </w:pPr>
          </w:p>
          <w:p>
            <w:pPr>
              <w:spacing w:line="460" w:lineRule="exact"/>
              <w:rPr>
                <w:color w:val="0000FF"/>
                <w:sz w:val="24"/>
                <w:szCs w:val="24"/>
              </w:rPr>
            </w:pPr>
          </w:p>
        </w:tc>
      </w:tr>
    </w:tbl>
    <w:p>
      <w:pPr>
        <w:outlineLvl w:val="0"/>
        <w:rPr>
          <w:rFonts w:eastAsia="黑体"/>
          <w:color w:val="0000FF"/>
          <w:sz w:val="32"/>
        </w:rPr>
      </w:pPr>
      <w:r>
        <w:rPr>
          <w:rFonts w:eastAsia="黑体"/>
          <w:b/>
          <w:bCs/>
          <w:color w:val="0000FF"/>
          <w:sz w:val="32"/>
        </w:rPr>
        <w:br w:type="page"/>
      </w:r>
      <w:r>
        <w:rPr>
          <w:rFonts w:eastAsia="黑体"/>
          <w:b/>
          <w:bCs/>
          <w:sz w:val="32"/>
        </w:rPr>
        <w:t>项目主要污染物产生及预计排放情况</w:t>
      </w:r>
    </w:p>
    <w:tbl>
      <w:tblPr>
        <w:tblStyle w:val="31"/>
        <w:tblW w:w="900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9"/>
        <w:gridCol w:w="1404"/>
        <w:gridCol w:w="1471"/>
        <w:gridCol w:w="2581"/>
        <w:gridCol w:w="263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8" w:space="0"/>
              <w:bottom w:val="single" w:color="auto" w:sz="6" w:space="0"/>
              <w:tl2br w:val="single" w:color="auto" w:sz="6" w:space="0"/>
            </w:tcBorders>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right"/>
              <w:textAlignment w:val="auto"/>
              <w:outlineLvl w:val="9"/>
              <w:rPr>
                <w:b/>
                <w:sz w:val="28"/>
              </w:rPr>
            </w:pPr>
            <w:r>
              <w:rPr>
                <w:b/>
                <w:sz w:val="28"/>
              </w:rPr>
              <w:t>内容</w:t>
            </w:r>
          </w:p>
          <w:p>
            <w:pPr>
              <w:keepNext w:val="0"/>
              <w:keepLines w:val="0"/>
              <w:pageBreakBefore w:val="0"/>
              <w:widowControl w:val="0"/>
              <w:tabs>
                <w:tab w:val="left" w:pos="630"/>
              </w:tabs>
              <w:kinsoku/>
              <w:wordWrap/>
              <w:overflowPunct/>
              <w:topLinePunct w:val="0"/>
              <w:autoSpaceDE/>
              <w:autoSpaceDN/>
              <w:bidi w:val="0"/>
              <w:adjustRightInd/>
              <w:snapToGrid/>
              <w:spacing w:line="240" w:lineRule="auto"/>
              <w:textAlignment w:val="auto"/>
              <w:outlineLvl w:val="9"/>
              <w:rPr>
                <w:b/>
                <w:sz w:val="28"/>
              </w:rPr>
            </w:pPr>
            <w:r>
              <w:rPr>
                <w:b/>
                <w:sz w:val="28"/>
              </w:rPr>
              <w:t>类型</w:t>
            </w:r>
          </w:p>
        </w:tc>
        <w:tc>
          <w:tcPr>
            <w:tcW w:w="1404" w:type="dxa"/>
            <w:tcBorders>
              <w:top w:val="single" w:color="auto" w:sz="8" w:space="0"/>
              <w:bottom w:val="single" w:color="auto" w:sz="6" w:space="0"/>
            </w:tcBorders>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r>
              <w:rPr>
                <w:b/>
                <w:sz w:val="28"/>
              </w:rPr>
              <w:t>排放源</w:t>
            </w:r>
          </w:p>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r>
              <w:rPr>
                <w:rFonts w:hint="eastAsia"/>
                <w:b/>
                <w:sz w:val="28"/>
              </w:rPr>
              <w:t>(</w:t>
            </w:r>
            <w:r>
              <w:rPr>
                <w:b/>
                <w:sz w:val="28"/>
              </w:rPr>
              <w:t>编号</w:t>
            </w:r>
            <w:r>
              <w:rPr>
                <w:rFonts w:hint="eastAsia"/>
                <w:b/>
                <w:sz w:val="28"/>
              </w:rPr>
              <w:t>)</w:t>
            </w:r>
          </w:p>
        </w:tc>
        <w:tc>
          <w:tcPr>
            <w:tcW w:w="1471" w:type="dxa"/>
            <w:tcBorders>
              <w:top w:val="single" w:color="auto" w:sz="8" w:space="0"/>
              <w:bottom w:val="single" w:color="auto" w:sz="6" w:space="0"/>
            </w:tcBorders>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r>
              <w:rPr>
                <w:b/>
                <w:sz w:val="28"/>
              </w:rPr>
              <w:t>污染物</w:t>
            </w:r>
          </w:p>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r>
              <w:rPr>
                <w:b/>
                <w:sz w:val="28"/>
              </w:rPr>
              <w:t>名称</w:t>
            </w:r>
          </w:p>
        </w:tc>
        <w:tc>
          <w:tcPr>
            <w:tcW w:w="2581" w:type="dxa"/>
            <w:tcBorders>
              <w:top w:val="single" w:color="auto" w:sz="8" w:space="0"/>
              <w:bottom w:val="single" w:color="auto" w:sz="6" w:space="0"/>
            </w:tcBorders>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r>
              <w:rPr>
                <w:b/>
                <w:sz w:val="28"/>
              </w:rPr>
              <w:t>处理前产生浓度及产生量</w:t>
            </w:r>
            <w:r>
              <w:rPr>
                <w:rFonts w:hint="eastAsia"/>
                <w:b/>
                <w:sz w:val="28"/>
              </w:rPr>
              <w:t>(</w:t>
            </w:r>
            <w:r>
              <w:rPr>
                <w:b/>
                <w:sz w:val="28"/>
              </w:rPr>
              <w:t>单位</w:t>
            </w:r>
            <w:r>
              <w:rPr>
                <w:rFonts w:hint="eastAsia"/>
                <w:b/>
                <w:sz w:val="28"/>
              </w:rPr>
              <w:t>)</w:t>
            </w:r>
          </w:p>
        </w:tc>
        <w:tc>
          <w:tcPr>
            <w:tcW w:w="2638" w:type="dxa"/>
            <w:tcBorders>
              <w:top w:val="single" w:color="auto" w:sz="8" w:space="0"/>
              <w:bottom w:val="single" w:color="auto" w:sz="6" w:space="0"/>
            </w:tcBorders>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r>
              <w:rPr>
                <w:b/>
                <w:sz w:val="28"/>
              </w:rPr>
              <w:t>排放浓度及排放量</w:t>
            </w:r>
            <w:r>
              <w:rPr>
                <w:rFonts w:hint="eastAsia"/>
                <w:b/>
                <w:sz w:val="28"/>
              </w:rPr>
              <w:t>(</w:t>
            </w:r>
            <w:r>
              <w:rPr>
                <w:b/>
                <w:sz w:val="28"/>
              </w:rPr>
              <w:t>单位</w:t>
            </w:r>
            <w:r>
              <w:rPr>
                <w:rFonts w:hint="eastAsia"/>
                <w:b/>
                <w:sz w:val="2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vMerge w:val="restart"/>
            <w:tcBorders>
              <w:top w:val="single" w:color="auto" w:sz="6" w:space="0"/>
            </w:tcBorders>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r>
              <w:rPr>
                <w:b/>
                <w:sz w:val="28"/>
              </w:rPr>
              <w:t>大</w:t>
            </w:r>
          </w:p>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r>
              <w:rPr>
                <w:b/>
                <w:sz w:val="28"/>
              </w:rPr>
              <w:t>气</w:t>
            </w:r>
          </w:p>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r>
              <w:rPr>
                <w:b/>
                <w:sz w:val="28"/>
              </w:rPr>
              <w:t>污</w:t>
            </w:r>
          </w:p>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r>
              <w:rPr>
                <w:b/>
                <w:sz w:val="28"/>
              </w:rPr>
              <w:t>染</w:t>
            </w:r>
          </w:p>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r>
              <w:rPr>
                <w:b/>
                <w:sz w:val="28"/>
              </w:rPr>
              <w:t>物</w:t>
            </w:r>
          </w:p>
        </w:tc>
        <w:tc>
          <w:tcPr>
            <w:tcW w:w="1404" w:type="dxa"/>
            <w:vMerge w:val="restart"/>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szCs w:val="24"/>
              </w:rPr>
              <w:t>切割粉尘</w:t>
            </w:r>
          </w:p>
        </w:tc>
        <w:tc>
          <w:tcPr>
            <w:tcW w:w="1471" w:type="dxa"/>
            <w:tcBorders>
              <w:top w:val="single" w:color="auto"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sz w:val="24"/>
                <w:szCs w:val="24"/>
              </w:rPr>
            </w:pPr>
            <w:r>
              <w:rPr>
                <w:rFonts w:hint="eastAsia"/>
                <w:sz w:val="24"/>
                <w:szCs w:val="24"/>
              </w:rPr>
              <w:t>颗粒物</w:t>
            </w:r>
            <w:r>
              <w:rPr>
                <w:rFonts w:hint="eastAsia"/>
                <w:bCs/>
                <w:spacing w:val="-4"/>
                <w:sz w:val="24"/>
                <w:szCs w:val="24"/>
                <w:lang w:val="en-GB"/>
              </w:rPr>
              <w:t>（</w:t>
            </w:r>
            <w:r>
              <w:rPr>
                <w:rFonts w:hint="eastAsia"/>
                <w:bCs/>
                <w:spacing w:val="-4"/>
                <w:sz w:val="24"/>
                <w:szCs w:val="24"/>
              </w:rPr>
              <w:t>有组织</w:t>
            </w:r>
            <w:r>
              <w:rPr>
                <w:rFonts w:hint="eastAsia"/>
                <w:bCs/>
                <w:spacing w:val="-4"/>
                <w:sz w:val="24"/>
                <w:szCs w:val="24"/>
                <w:lang w:val="en-GB"/>
              </w:rPr>
              <w:t>）</w:t>
            </w:r>
          </w:p>
        </w:tc>
        <w:tc>
          <w:tcPr>
            <w:tcW w:w="2581" w:type="dxa"/>
            <w:tcBorders>
              <w:top w:val="single" w:color="auto"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szCs w:val="24"/>
              </w:rPr>
              <w:t>4.75</w:t>
            </w:r>
            <w:r>
              <w:rPr>
                <w:sz w:val="24"/>
                <w:szCs w:val="24"/>
              </w:rPr>
              <w:t>mg/m</w:t>
            </w:r>
            <w:r>
              <w:rPr>
                <w:sz w:val="24"/>
                <w:szCs w:val="24"/>
                <w:vertAlign w:val="superscript"/>
              </w:rPr>
              <w:t>3</w:t>
            </w:r>
            <w:r>
              <w:rPr>
                <w:rFonts w:hint="eastAsia"/>
                <w:sz w:val="24"/>
                <w:szCs w:val="24"/>
              </w:rPr>
              <w:t>，0.16</w:t>
            </w:r>
            <w:r>
              <w:rPr>
                <w:bCs/>
                <w:spacing w:val="-4"/>
                <w:sz w:val="24"/>
              </w:rPr>
              <w:t>t/a</w:t>
            </w:r>
          </w:p>
        </w:tc>
        <w:tc>
          <w:tcPr>
            <w:tcW w:w="2638" w:type="dxa"/>
            <w:tcBorders>
              <w:top w:val="single" w:color="auto"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szCs w:val="24"/>
              </w:rPr>
              <w:t>0.048</w:t>
            </w:r>
            <w:r>
              <w:rPr>
                <w:sz w:val="24"/>
                <w:szCs w:val="24"/>
              </w:rPr>
              <w:t>mg/m</w:t>
            </w:r>
            <w:r>
              <w:rPr>
                <w:sz w:val="24"/>
                <w:szCs w:val="24"/>
                <w:vertAlign w:val="superscript"/>
              </w:rPr>
              <w:t>3</w:t>
            </w:r>
            <w:r>
              <w:rPr>
                <w:rFonts w:hint="eastAsia"/>
                <w:sz w:val="24"/>
                <w:szCs w:val="24"/>
              </w:rPr>
              <w:t>，0.002</w:t>
            </w:r>
            <w:r>
              <w:rPr>
                <w:bCs/>
                <w:spacing w:val="-4"/>
                <w:sz w:val="24"/>
              </w:rPr>
              <w:t>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vMerge w:val="continue"/>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p>
        </w:tc>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p>
        </w:tc>
        <w:tc>
          <w:tcPr>
            <w:tcW w:w="1471" w:type="dxa"/>
            <w:tcBorders>
              <w:top w:val="single" w:color="auto"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szCs w:val="24"/>
              </w:rPr>
              <w:t>颗粒物</w:t>
            </w:r>
            <w:r>
              <w:rPr>
                <w:rFonts w:hint="eastAsia"/>
                <w:bCs/>
                <w:spacing w:val="-4"/>
                <w:sz w:val="24"/>
                <w:szCs w:val="24"/>
                <w:lang w:val="en-GB"/>
              </w:rPr>
              <w:t>（</w:t>
            </w:r>
            <w:r>
              <w:rPr>
                <w:rFonts w:hint="eastAsia"/>
                <w:bCs/>
                <w:spacing w:val="-4"/>
                <w:sz w:val="24"/>
                <w:szCs w:val="24"/>
              </w:rPr>
              <w:t>无组织</w:t>
            </w:r>
            <w:r>
              <w:rPr>
                <w:rFonts w:hint="eastAsia"/>
                <w:bCs/>
                <w:spacing w:val="-4"/>
                <w:sz w:val="24"/>
                <w:szCs w:val="24"/>
                <w:lang w:val="en-GB"/>
              </w:rPr>
              <w:t>）</w:t>
            </w:r>
          </w:p>
        </w:tc>
        <w:tc>
          <w:tcPr>
            <w:tcW w:w="2581" w:type="dxa"/>
            <w:tcBorders>
              <w:top w:val="single" w:color="auto"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bCs/>
                <w:spacing w:val="-4"/>
                <w:sz w:val="24"/>
              </w:rPr>
            </w:pPr>
            <w:r>
              <w:rPr>
                <w:rFonts w:hint="eastAsia"/>
                <w:sz w:val="24"/>
                <w:szCs w:val="24"/>
              </w:rPr>
              <w:t>0.008t/a</w:t>
            </w:r>
          </w:p>
        </w:tc>
        <w:tc>
          <w:tcPr>
            <w:tcW w:w="2638" w:type="dxa"/>
            <w:tcBorders>
              <w:top w:val="single" w:color="auto"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bCs/>
                <w:spacing w:val="-4"/>
                <w:sz w:val="24"/>
              </w:rPr>
            </w:pPr>
            <w:r>
              <w:rPr>
                <w:rFonts w:hint="eastAsia"/>
                <w:sz w:val="24"/>
                <w:szCs w:val="24"/>
              </w:rPr>
              <w:t>0.008t/a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jc w:val="center"/>
        </w:trPr>
        <w:tc>
          <w:tcPr>
            <w:tcW w:w="909" w:type="dxa"/>
            <w:vMerge w:val="continue"/>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p>
        </w:tc>
        <w:tc>
          <w:tcPr>
            <w:tcW w:w="1404"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szCs w:val="24"/>
              </w:rPr>
              <w:t>焊接烟尘</w:t>
            </w:r>
          </w:p>
        </w:tc>
        <w:tc>
          <w:tcPr>
            <w:tcW w:w="1471"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szCs w:val="24"/>
              </w:rPr>
              <w:t>颗粒物</w:t>
            </w:r>
            <w:r>
              <w:rPr>
                <w:rFonts w:hint="eastAsia"/>
                <w:bCs/>
                <w:spacing w:val="-4"/>
                <w:sz w:val="24"/>
                <w:szCs w:val="24"/>
                <w:lang w:val="en-GB"/>
              </w:rPr>
              <w:t>（</w:t>
            </w:r>
            <w:r>
              <w:rPr>
                <w:rFonts w:hint="eastAsia"/>
                <w:bCs/>
                <w:spacing w:val="-4"/>
                <w:sz w:val="24"/>
                <w:szCs w:val="24"/>
              </w:rPr>
              <w:t>无组织</w:t>
            </w:r>
            <w:r>
              <w:rPr>
                <w:rFonts w:hint="eastAsia"/>
                <w:bCs/>
                <w:spacing w:val="-4"/>
                <w:sz w:val="24"/>
                <w:szCs w:val="24"/>
                <w:lang w:val="en-GB"/>
              </w:rPr>
              <w:t>）</w:t>
            </w:r>
          </w:p>
        </w:tc>
        <w:tc>
          <w:tcPr>
            <w:tcW w:w="2581"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szCs w:val="24"/>
              </w:rPr>
              <w:t>0.001t/a</w:t>
            </w:r>
          </w:p>
        </w:tc>
        <w:tc>
          <w:tcPr>
            <w:tcW w:w="2638" w:type="dxa"/>
            <w:tcBorders>
              <w:top w:val="single" w:color="auto"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szCs w:val="24"/>
              </w:rPr>
              <w:t>0.001t/a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vMerge w:val="continue"/>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p>
        </w:tc>
        <w:tc>
          <w:tcPr>
            <w:tcW w:w="140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szCs w:val="24"/>
              </w:rPr>
              <w:t>回火炉废气</w:t>
            </w:r>
          </w:p>
        </w:tc>
        <w:tc>
          <w:tcPr>
            <w:tcW w:w="1471" w:type="dxa"/>
            <w:tcBorders>
              <w:top w:val="single" w:color="auto"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szCs w:val="24"/>
              </w:rPr>
              <w:t>非甲烷总烃（有组织）</w:t>
            </w:r>
          </w:p>
        </w:tc>
        <w:tc>
          <w:tcPr>
            <w:tcW w:w="25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szCs w:val="24"/>
              </w:rPr>
              <w:t>10.2</w:t>
            </w:r>
            <w:r>
              <w:rPr>
                <w:sz w:val="24"/>
                <w:szCs w:val="24"/>
              </w:rPr>
              <w:t>mg/m</w:t>
            </w:r>
            <w:r>
              <w:rPr>
                <w:sz w:val="24"/>
                <w:szCs w:val="24"/>
                <w:vertAlign w:val="superscript"/>
              </w:rPr>
              <w:t>3</w:t>
            </w:r>
            <w:r>
              <w:rPr>
                <w:rFonts w:hint="eastAsia"/>
                <w:sz w:val="24"/>
                <w:szCs w:val="24"/>
              </w:rPr>
              <w:t>，</w:t>
            </w:r>
            <w:r>
              <w:rPr>
                <w:rFonts w:hint="eastAsia"/>
                <w:bCs/>
                <w:spacing w:val="-4"/>
                <w:sz w:val="24"/>
              </w:rPr>
              <w:t>0.031</w:t>
            </w:r>
            <w:r>
              <w:rPr>
                <w:bCs/>
                <w:spacing w:val="-4"/>
                <w:sz w:val="24"/>
              </w:rPr>
              <w:t>t/a</w:t>
            </w: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szCs w:val="24"/>
              </w:rPr>
              <w:t>1.02</w:t>
            </w:r>
            <w:r>
              <w:rPr>
                <w:sz w:val="24"/>
                <w:szCs w:val="24"/>
              </w:rPr>
              <w:t>mg/m</w:t>
            </w:r>
            <w:r>
              <w:rPr>
                <w:sz w:val="24"/>
                <w:szCs w:val="24"/>
                <w:vertAlign w:val="superscript"/>
              </w:rPr>
              <w:t>3</w:t>
            </w:r>
            <w:r>
              <w:rPr>
                <w:rFonts w:hint="eastAsia"/>
                <w:sz w:val="24"/>
                <w:szCs w:val="24"/>
              </w:rPr>
              <w:t>，</w:t>
            </w:r>
            <w:r>
              <w:rPr>
                <w:rFonts w:hint="eastAsia"/>
                <w:bCs/>
                <w:spacing w:val="-4"/>
                <w:sz w:val="24"/>
              </w:rPr>
              <w:t>0.003</w:t>
            </w:r>
            <w:r>
              <w:rPr>
                <w:bCs/>
                <w:spacing w:val="-4"/>
                <w:sz w:val="24"/>
              </w:rPr>
              <w:t>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vMerge w:val="continue"/>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p>
        </w:tc>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p>
        </w:tc>
        <w:tc>
          <w:tcPr>
            <w:tcW w:w="1471"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bCs/>
                <w:spacing w:val="-4"/>
                <w:sz w:val="24"/>
                <w:szCs w:val="24"/>
                <w:lang w:val="en-GB"/>
              </w:rPr>
            </w:pPr>
            <w:r>
              <w:rPr>
                <w:rFonts w:hint="eastAsia"/>
                <w:sz w:val="24"/>
                <w:szCs w:val="24"/>
              </w:rPr>
              <w:t>非甲烷总烃（无组织）</w:t>
            </w:r>
          </w:p>
        </w:tc>
        <w:tc>
          <w:tcPr>
            <w:tcW w:w="25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szCs w:val="24"/>
              </w:rPr>
              <w:t>0.003t/a</w:t>
            </w: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szCs w:val="24"/>
              </w:rPr>
              <w:t>0.003t/a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vMerge w:val="continue"/>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p>
        </w:tc>
        <w:tc>
          <w:tcPr>
            <w:tcW w:w="140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华文中宋"/>
                <w:sz w:val="24"/>
              </w:rPr>
            </w:pPr>
            <w:r>
              <w:rPr>
                <w:rFonts w:hint="eastAsia"/>
                <w:sz w:val="24"/>
                <w:szCs w:val="24"/>
              </w:rPr>
              <w:t>喷晾漆废气</w:t>
            </w:r>
          </w:p>
        </w:tc>
        <w:tc>
          <w:tcPr>
            <w:tcW w:w="1471" w:type="dxa"/>
            <w:tcBorders>
              <w:top w:val="single" w:color="auto"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bCs/>
                <w:spacing w:val="-4"/>
                <w:sz w:val="24"/>
                <w:szCs w:val="24"/>
                <w:lang w:val="en-GB"/>
              </w:rPr>
            </w:pPr>
            <w:r>
              <w:rPr>
                <w:sz w:val="24"/>
              </w:rPr>
              <w:t>颗粒物</w:t>
            </w:r>
          </w:p>
        </w:tc>
        <w:tc>
          <w:tcPr>
            <w:tcW w:w="25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kern w:val="44"/>
                <w:sz w:val="24"/>
                <w:szCs w:val="22"/>
              </w:rPr>
              <w:t>27.11</w:t>
            </w:r>
            <w:r>
              <w:rPr>
                <w:kern w:val="44"/>
                <w:sz w:val="24"/>
                <w:szCs w:val="22"/>
              </w:rPr>
              <w:t>mg/m</w:t>
            </w:r>
            <w:r>
              <w:rPr>
                <w:kern w:val="44"/>
                <w:sz w:val="24"/>
                <w:szCs w:val="22"/>
                <w:vertAlign w:val="superscript"/>
              </w:rPr>
              <w:t>3</w:t>
            </w:r>
            <w:r>
              <w:rPr>
                <w:kern w:val="44"/>
                <w:sz w:val="24"/>
                <w:szCs w:val="22"/>
              </w:rPr>
              <w:t>，</w:t>
            </w:r>
            <w:r>
              <w:rPr>
                <w:rFonts w:hint="eastAsia"/>
                <w:kern w:val="44"/>
                <w:sz w:val="24"/>
                <w:szCs w:val="22"/>
              </w:rPr>
              <w:t>1.63</w:t>
            </w:r>
            <w:r>
              <w:rPr>
                <w:kern w:val="44"/>
                <w:sz w:val="24"/>
                <w:szCs w:val="22"/>
              </w:rPr>
              <w:t>t/a</w:t>
            </w: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kern w:val="44"/>
                <w:sz w:val="24"/>
                <w:szCs w:val="22"/>
              </w:rPr>
              <w:t>4.07</w:t>
            </w:r>
            <w:r>
              <w:rPr>
                <w:kern w:val="44"/>
                <w:sz w:val="24"/>
                <w:szCs w:val="22"/>
              </w:rPr>
              <w:t>mg/m</w:t>
            </w:r>
            <w:r>
              <w:rPr>
                <w:kern w:val="44"/>
                <w:sz w:val="24"/>
                <w:szCs w:val="22"/>
                <w:vertAlign w:val="superscript"/>
              </w:rPr>
              <w:t>3</w:t>
            </w:r>
            <w:r>
              <w:rPr>
                <w:kern w:val="44"/>
                <w:sz w:val="24"/>
                <w:szCs w:val="22"/>
              </w:rPr>
              <w:t>，0.</w:t>
            </w:r>
            <w:r>
              <w:rPr>
                <w:rFonts w:hint="eastAsia"/>
                <w:kern w:val="44"/>
                <w:sz w:val="24"/>
                <w:szCs w:val="22"/>
              </w:rPr>
              <w:t>24</w:t>
            </w:r>
            <w:r>
              <w:rPr>
                <w:kern w:val="44"/>
                <w:sz w:val="24"/>
                <w:szCs w:val="22"/>
              </w:rPr>
              <w:t>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jc w:val="center"/>
        </w:trPr>
        <w:tc>
          <w:tcPr>
            <w:tcW w:w="909" w:type="dxa"/>
            <w:vMerge w:val="continue"/>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p>
        </w:tc>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华文中宋"/>
                <w:sz w:val="24"/>
              </w:rPr>
            </w:pPr>
          </w:p>
        </w:tc>
        <w:tc>
          <w:tcPr>
            <w:tcW w:w="1471" w:type="dxa"/>
            <w:tcBorders>
              <w:top w:val="single" w:color="auto"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bCs/>
                <w:spacing w:val="-4"/>
                <w:sz w:val="24"/>
                <w:szCs w:val="24"/>
                <w:lang w:val="en-GB"/>
              </w:rPr>
            </w:pPr>
            <w:r>
              <w:rPr>
                <w:sz w:val="24"/>
              </w:rPr>
              <w:t>非甲烷总烃</w:t>
            </w:r>
          </w:p>
        </w:tc>
        <w:tc>
          <w:tcPr>
            <w:tcW w:w="25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kern w:val="44"/>
                <w:sz w:val="24"/>
                <w:szCs w:val="22"/>
              </w:rPr>
              <w:t>1.76</w:t>
            </w:r>
            <w:r>
              <w:rPr>
                <w:kern w:val="44"/>
                <w:sz w:val="24"/>
                <w:szCs w:val="22"/>
              </w:rPr>
              <w:t>mg/m</w:t>
            </w:r>
            <w:r>
              <w:rPr>
                <w:kern w:val="44"/>
                <w:sz w:val="24"/>
                <w:szCs w:val="22"/>
                <w:vertAlign w:val="superscript"/>
              </w:rPr>
              <w:t>3</w:t>
            </w:r>
            <w:r>
              <w:rPr>
                <w:kern w:val="44"/>
                <w:sz w:val="24"/>
                <w:szCs w:val="22"/>
              </w:rPr>
              <w:t>，</w:t>
            </w:r>
            <w:r>
              <w:rPr>
                <w:rFonts w:hint="eastAsia"/>
                <w:kern w:val="44"/>
                <w:sz w:val="24"/>
                <w:szCs w:val="22"/>
              </w:rPr>
              <w:t>0.10</w:t>
            </w:r>
            <w:r>
              <w:rPr>
                <w:kern w:val="44"/>
                <w:sz w:val="24"/>
                <w:szCs w:val="22"/>
              </w:rPr>
              <w:t>t/a</w:t>
            </w: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kern w:val="44"/>
                <w:sz w:val="24"/>
                <w:szCs w:val="22"/>
              </w:rPr>
              <w:t>0.16</w:t>
            </w:r>
            <w:r>
              <w:rPr>
                <w:kern w:val="44"/>
                <w:sz w:val="24"/>
                <w:szCs w:val="22"/>
              </w:rPr>
              <w:t>mg/m</w:t>
            </w:r>
            <w:r>
              <w:rPr>
                <w:kern w:val="44"/>
                <w:sz w:val="24"/>
                <w:szCs w:val="22"/>
                <w:vertAlign w:val="superscript"/>
              </w:rPr>
              <w:t>3</w:t>
            </w:r>
            <w:r>
              <w:rPr>
                <w:kern w:val="44"/>
                <w:sz w:val="24"/>
                <w:szCs w:val="22"/>
              </w:rPr>
              <w:t>，</w:t>
            </w:r>
            <w:r>
              <w:rPr>
                <w:rFonts w:hint="eastAsia"/>
                <w:kern w:val="44"/>
                <w:sz w:val="24"/>
                <w:szCs w:val="22"/>
              </w:rPr>
              <w:t>0.01</w:t>
            </w:r>
            <w:r>
              <w:rPr>
                <w:kern w:val="44"/>
                <w:sz w:val="24"/>
                <w:szCs w:val="22"/>
              </w:rPr>
              <w:t>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vMerge w:val="continue"/>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p>
        </w:tc>
        <w:tc>
          <w:tcPr>
            <w:tcW w:w="1404"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华文中宋"/>
                <w:sz w:val="24"/>
              </w:rPr>
            </w:pPr>
          </w:p>
        </w:tc>
        <w:tc>
          <w:tcPr>
            <w:tcW w:w="1471" w:type="dxa"/>
            <w:tcBorders>
              <w:top w:val="single" w:color="auto"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bCs/>
                <w:spacing w:val="-4"/>
                <w:sz w:val="24"/>
                <w:szCs w:val="24"/>
                <w:lang w:val="en-GB"/>
              </w:rPr>
            </w:pPr>
            <w:r>
              <w:rPr>
                <w:sz w:val="24"/>
              </w:rPr>
              <w:t>二甲苯</w:t>
            </w:r>
          </w:p>
        </w:tc>
        <w:tc>
          <w:tcPr>
            <w:tcW w:w="25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kern w:val="44"/>
                <w:sz w:val="24"/>
                <w:szCs w:val="22"/>
              </w:rPr>
              <w:t>2.24</w:t>
            </w:r>
            <w:r>
              <w:rPr>
                <w:kern w:val="44"/>
                <w:sz w:val="24"/>
                <w:szCs w:val="22"/>
              </w:rPr>
              <w:t>mg/m</w:t>
            </w:r>
            <w:r>
              <w:rPr>
                <w:kern w:val="44"/>
                <w:sz w:val="24"/>
                <w:szCs w:val="22"/>
                <w:vertAlign w:val="superscript"/>
              </w:rPr>
              <w:t>3</w:t>
            </w:r>
            <w:r>
              <w:rPr>
                <w:kern w:val="44"/>
                <w:sz w:val="24"/>
                <w:szCs w:val="22"/>
              </w:rPr>
              <w:t>，</w:t>
            </w:r>
            <w:r>
              <w:rPr>
                <w:rFonts w:hint="eastAsia"/>
                <w:kern w:val="44"/>
                <w:sz w:val="24"/>
                <w:szCs w:val="22"/>
              </w:rPr>
              <w:t>0.13</w:t>
            </w:r>
            <w:r>
              <w:rPr>
                <w:kern w:val="44"/>
                <w:sz w:val="24"/>
                <w:szCs w:val="22"/>
              </w:rPr>
              <w:t>t/a</w:t>
            </w: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kern w:val="44"/>
                <w:sz w:val="24"/>
                <w:szCs w:val="22"/>
              </w:rPr>
              <w:t>0.22</w:t>
            </w:r>
            <w:r>
              <w:rPr>
                <w:kern w:val="44"/>
                <w:sz w:val="24"/>
                <w:szCs w:val="22"/>
              </w:rPr>
              <w:t>mg/m</w:t>
            </w:r>
            <w:r>
              <w:rPr>
                <w:kern w:val="44"/>
                <w:sz w:val="24"/>
                <w:szCs w:val="22"/>
                <w:vertAlign w:val="superscript"/>
              </w:rPr>
              <w:t>3</w:t>
            </w:r>
            <w:r>
              <w:rPr>
                <w:kern w:val="44"/>
                <w:sz w:val="24"/>
                <w:szCs w:val="22"/>
              </w:rPr>
              <w:t>，0.0</w:t>
            </w:r>
            <w:r>
              <w:rPr>
                <w:rFonts w:hint="eastAsia"/>
                <w:kern w:val="44"/>
                <w:sz w:val="24"/>
                <w:szCs w:val="22"/>
              </w:rPr>
              <w:t>1</w:t>
            </w:r>
            <w:r>
              <w:rPr>
                <w:kern w:val="44"/>
                <w:sz w:val="24"/>
                <w:szCs w:val="22"/>
              </w:rPr>
              <w:t>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vMerge w:val="continue"/>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p>
        </w:tc>
        <w:tc>
          <w:tcPr>
            <w:tcW w:w="140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华文中宋"/>
                <w:sz w:val="24"/>
              </w:rPr>
            </w:pPr>
            <w:r>
              <w:rPr>
                <w:sz w:val="24"/>
                <w:szCs w:val="24"/>
              </w:rPr>
              <w:t>喷漆车间逸散废气</w:t>
            </w:r>
          </w:p>
        </w:tc>
        <w:tc>
          <w:tcPr>
            <w:tcW w:w="1471" w:type="dxa"/>
            <w:tcBorders>
              <w:top w:val="single" w:color="auto"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bCs/>
                <w:spacing w:val="-4"/>
                <w:sz w:val="24"/>
                <w:szCs w:val="24"/>
                <w:lang w:val="en-GB"/>
              </w:rPr>
            </w:pPr>
            <w:r>
              <w:rPr>
                <w:sz w:val="24"/>
              </w:rPr>
              <w:t>颗粒物</w:t>
            </w:r>
          </w:p>
        </w:tc>
        <w:tc>
          <w:tcPr>
            <w:tcW w:w="25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szCs w:val="24"/>
              </w:rPr>
              <w:t>0.003</w:t>
            </w:r>
            <w:r>
              <w:rPr>
                <w:kern w:val="44"/>
                <w:sz w:val="24"/>
                <w:szCs w:val="22"/>
              </w:rPr>
              <w:t>t/a</w:t>
            </w: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szCs w:val="24"/>
              </w:rPr>
              <w:t>0.003</w:t>
            </w:r>
            <w:r>
              <w:rPr>
                <w:kern w:val="44"/>
                <w:sz w:val="24"/>
                <w:szCs w:val="22"/>
              </w:rPr>
              <w:t>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vMerge w:val="continue"/>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p>
        </w:tc>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华文中宋"/>
                <w:sz w:val="24"/>
              </w:rPr>
            </w:pPr>
          </w:p>
        </w:tc>
        <w:tc>
          <w:tcPr>
            <w:tcW w:w="1471" w:type="dxa"/>
            <w:tcBorders>
              <w:top w:val="single" w:color="auto"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bCs/>
                <w:spacing w:val="-4"/>
                <w:sz w:val="24"/>
                <w:szCs w:val="24"/>
                <w:lang w:val="en-GB"/>
              </w:rPr>
            </w:pPr>
            <w:r>
              <w:rPr>
                <w:sz w:val="24"/>
              </w:rPr>
              <w:t>非甲烷总烃</w:t>
            </w:r>
          </w:p>
        </w:tc>
        <w:tc>
          <w:tcPr>
            <w:tcW w:w="25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szCs w:val="24"/>
              </w:rPr>
              <w:t>0.001</w:t>
            </w:r>
            <w:r>
              <w:rPr>
                <w:kern w:val="44"/>
                <w:sz w:val="24"/>
                <w:szCs w:val="22"/>
              </w:rPr>
              <w:t>t/a</w:t>
            </w: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szCs w:val="24"/>
              </w:rPr>
              <w:t>0.001</w:t>
            </w:r>
            <w:r>
              <w:rPr>
                <w:kern w:val="44"/>
                <w:sz w:val="24"/>
                <w:szCs w:val="22"/>
              </w:rPr>
              <w:t>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jc w:val="center"/>
        </w:trPr>
        <w:tc>
          <w:tcPr>
            <w:tcW w:w="909" w:type="dxa"/>
            <w:vMerge w:val="continue"/>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p>
        </w:tc>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华文中宋"/>
                <w:sz w:val="24"/>
              </w:rPr>
            </w:pPr>
          </w:p>
        </w:tc>
        <w:tc>
          <w:tcPr>
            <w:tcW w:w="1471"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rPr>
            </w:pPr>
            <w:r>
              <w:rPr>
                <w:sz w:val="24"/>
              </w:rPr>
              <w:t>二甲苯</w:t>
            </w:r>
          </w:p>
        </w:tc>
        <w:tc>
          <w:tcPr>
            <w:tcW w:w="25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szCs w:val="24"/>
              </w:rPr>
              <w:t>0.001</w:t>
            </w:r>
            <w:r>
              <w:rPr>
                <w:kern w:val="44"/>
                <w:sz w:val="24"/>
                <w:szCs w:val="22"/>
              </w:rPr>
              <w:t>t/a</w:t>
            </w: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szCs w:val="24"/>
              </w:rPr>
              <w:t>0.001</w:t>
            </w:r>
            <w:r>
              <w:rPr>
                <w:kern w:val="44"/>
                <w:sz w:val="24"/>
                <w:szCs w:val="22"/>
              </w:rPr>
              <w:t>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909" w:type="dxa"/>
            <w:tcBorders>
              <w:top w:val="single" w:color="auto" w:sz="4" w:space="0"/>
            </w:tcBorders>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r>
              <w:rPr>
                <w:b/>
                <w:sz w:val="28"/>
              </w:rPr>
              <w:t>水</w:t>
            </w:r>
          </w:p>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r>
              <w:rPr>
                <w:b/>
                <w:sz w:val="28"/>
              </w:rPr>
              <w:t>污</w:t>
            </w:r>
          </w:p>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r>
              <w:rPr>
                <w:b/>
                <w:sz w:val="28"/>
              </w:rPr>
              <w:t>染</w:t>
            </w:r>
          </w:p>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r>
              <w:rPr>
                <w:b/>
                <w:sz w:val="28"/>
              </w:rPr>
              <w:t>物</w:t>
            </w:r>
          </w:p>
        </w:tc>
        <w:tc>
          <w:tcPr>
            <w:tcW w:w="1404"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rPr>
              <w:t>——</w:t>
            </w:r>
          </w:p>
        </w:tc>
        <w:tc>
          <w:tcPr>
            <w:tcW w:w="1471"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rPr>
              <w:t>——</w:t>
            </w:r>
          </w:p>
        </w:tc>
        <w:tc>
          <w:tcPr>
            <w:tcW w:w="2581"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rPr>
              <w:t>——</w:t>
            </w:r>
          </w:p>
        </w:tc>
        <w:tc>
          <w:tcPr>
            <w:tcW w:w="2638"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909" w:type="dxa"/>
            <w:vMerge w:val="restart"/>
            <w:tcBorders>
              <w:top w:val="single" w:color="auto" w:sz="6" w:space="0"/>
            </w:tcBorders>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r>
              <w:rPr>
                <w:b/>
                <w:sz w:val="28"/>
              </w:rPr>
              <w:t>固</w:t>
            </w:r>
          </w:p>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r>
              <w:rPr>
                <w:b/>
                <w:sz w:val="28"/>
              </w:rPr>
              <w:t>体</w:t>
            </w:r>
          </w:p>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r>
              <w:rPr>
                <w:b/>
                <w:sz w:val="28"/>
              </w:rPr>
              <w:t>废</w:t>
            </w:r>
          </w:p>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r>
              <w:rPr>
                <w:b/>
                <w:sz w:val="28"/>
              </w:rPr>
              <w:t>物</w:t>
            </w:r>
          </w:p>
        </w:tc>
        <w:tc>
          <w:tcPr>
            <w:tcW w:w="1404" w:type="dxa"/>
            <w:vMerge w:val="restart"/>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rPr>
            </w:pPr>
            <w:r>
              <w:rPr>
                <w:rFonts w:hint="eastAsia"/>
                <w:sz w:val="24"/>
                <w:szCs w:val="24"/>
              </w:rPr>
              <w:t>生产过程</w:t>
            </w:r>
          </w:p>
        </w:tc>
        <w:tc>
          <w:tcPr>
            <w:tcW w:w="1471"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rPr>
            </w:pPr>
            <w:r>
              <w:rPr>
                <w:rFonts w:hint="eastAsia"/>
                <w:sz w:val="24"/>
              </w:rPr>
              <w:t>废滤芯</w:t>
            </w:r>
          </w:p>
        </w:tc>
        <w:tc>
          <w:tcPr>
            <w:tcW w:w="2581"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rPr>
            </w:pPr>
            <w:r>
              <w:rPr>
                <w:rFonts w:hint="eastAsia"/>
                <w:sz w:val="24"/>
              </w:rPr>
              <w:t>0.15t/a</w:t>
            </w:r>
          </w:p>
        </w:tc>
        <w:tc>
          <w:tcPr>
            <w:tcW w:w="2638" w:type="dxa"/>
            <w:vMerge w:val="restart"/>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rPr>
            </w:pPr>
            <w:r>
              <w:rPr>
                <w:rFonts w:hint="eastAsia"/>
                <w:sz w:val="24"/>
              </w:rPr>
              <w:t>集中收集后，暂存于危废间，定期交由有资质单位处理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909" w:type="dxa"/>
            <w:vMerge w:val="continue"/>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p>
        </w:tc>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rPr>
            </w:pPr>
          </w:p>
        </w:tc>
        <w:tc>
          <w:tcPr>
            <w:tcW w:w="1471"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rPr>
            </w:pPr>
            <w:r>
              <w:rPr>
                <w:rFonts w:hint="eastAsia"/>
                <w:sz w:val="24"/>
              </w:rPr>
              <w:t>废油漆桶</w:t>
            </w:r>
          </w:p>
        </w:tc>
        <w:tc>
          <w:tcPr>
            <w:tcW w:w="2581"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rPr>
            </w:pPr>
            <w:r>
              <w:rPr>
                <w:rFonts w:hint="eastAsia"/>
                <w:sz w:val="24"/>
              </w:rPr>
              <w:t>0.26t/a</w:t>
            </w:r>
          </w:p>
        </w:tc>
        <w:tc>
          <w:tcPr>
            <w:tcW w:w="26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vMerge w:val="continue"/>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p>
        </w:tc>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rPr>
            </w:pPr>
          </w:p>
        </w:tc>
        <w:tc>
          <w:tcPr>
            <w:tcW w:w="1471"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szCs w:val="24"/>
              </w:rPr>
            </w:pPr>
            <w:r>
              <w:rPr>
                <w:rFonts w:hint="eastAsia"/>
                <w:sz w:val="24"/>
                <w:szCs w:val="24"/>
              </w:rPr>
              <w:t>废机油</w:t>
            </w:r>
          </w:p>
        </w:tc>
        <w:tc>
          <w:tcPr>
            <w:tcW w:w="2581"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rPr>
            </w:pPr>
            <w:r>
              <w:rPr>
                <w:rFonts w:hint="eastAsia"/>
                <w:sz w:val="24"/>
              </w:rPr>
              <w:t>0.05t/a</w:t>
            </w:r>
          </w:p>
        </w:tc>
        <w:tc>
          <w:tcPr>
            <w:tcW w:w="26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vMerge w:val="continue"/>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p>
        </w:tc>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4"/>
              </w:rPr>
            </w:pPr>
          </w:p>
        </w:tc>
        <w:tc>
          <w:tcPr>
            <w:tcW w:w="1471"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eastAsia="宋体"/>
                <w:sz w:val="24"/>
                <w:szCs w:val="24"/>
                <w:lang w:eastAsia="zh-CN"/>
              </w:rPr>
            </w:pPr>
            <w:r>
              <w:rPr>
                <w:rFonts w:hint="eastAsia"/>
                <w:sz w:val="24"/>
                <w:szCs w:val="24"/>
                <w:lang w:eastAsia="zh-CN"/>
              </w:rPr>
              <w:t>废机油桶</w:t>
            </w:r>
          </w:p>
        </w:tc>
        <w:tc>
          <w:tcPr>
            <w:tcW w:w="2581"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eastAsia="宋体"/>
                <w:sz w:val="24"/>
                <w:lang w:val="en-US" w:eastAsia="zh-CN"/>
              </w:rPr>
            </w:pPr>
            <w:r>
              <w:rPr>
                <w:rFonts w:hint="eastAsia"/>
                <w:sz w:val="24"/>
                <w:lang w:val="en-US" w:eastAsia="zh-CN"/>
              </w:rPr>
              <w:t>0.2</w:t>
            </w:r>
            <w:r>
              <w:rPr>
                <w:rFonts w:hint="eastAsia"/>
                <w:sz w:val="24"/>
              </w:rPr>
              <w:t>t/a</w:t>
            </w: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eastAsia="宋体"/>
                <w:sz w:val="24"/>
                <w:lang w:eastAsia="zh-CN"/>
              </w:rPr>
            </w:pPr>
            <w:r>
              <w:rPr>
                <w:rFonts w:hint="eastAsia"/>
                <w:sz w:val="24"/>
                <w:lang w:eastAsia="zh-CN"/>
              </w:rPr>
              <w:t>集中收集后，由原厂家回收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6" w:space="0"/>
              <w:bottom w:val="single" w:color="auto" w:sz="6" w:space="0"/>
            </w:tcBorders>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r>
              <w:rPr>
                <w:b/>
                <w:sz w:val="28"/>
              </w:rPr>
              <w:t>噪</w:t>
            </w:r>
          </w:p>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18"/>
              </w:rPr>
            </w:pPr>
            <w:r>
              <w:rPr>
                <w:b/>
                <w:sz w:val="28"/>
              </w:rPr>
              <w:t>声</w:t>
            </w:r>
          </w:p>
        </w:tc>
        <w:tc>
          <w:tcPr>
            <w:tcW w:w="8094" w:type="dxa"/>
            <w:gridSpan w:val="4"/>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bCs/>
                <w:sz w:val="24"/>
                <w:szCs w:val="24"/>
              </w:rPr>
            </w:pPr>
            <w:r>
              <w:rPr>
                <w:rFonts w:hint="eastAsia"/>
                <w:bCs/>
                <w:sz w:val="24"/>
                <w:szCs w:val="24"/>
              </w:rPr>
              <w:t>技改</w:t>
            </w:r>
            <w:r>
              <w:rPr>
                <w:bCs/>
                <w:sz w:val="24"/>
                <w:szCs w:val="24"/>
              </w:rPr>
              <w:t>项目产生噪声的设备主要有</w:t>
            </w:r>
            <w:r>
              <w:rPr>
                <w:rFonts w:hint="eastAsia"/>
                <w:bCs/>
                <w:sz w:val="24"/>
                <w:szCs w:val="24"/>
              </w:rPr>
              <w:t>二保焊机、数控车床、钻床、铣床</w:t>
            </w:r>
            <w:r>
              <w:rPr>
                <w:bCs/>
                <w:sz w:val="24"/>
                <w:szCs w:val="24"/>
              </w:rPr>
              <w:t>等</w:t>
            </w:r>
            <w:r>
              <w:rPr>
                <w:rFonts w:hint="eastAsia"/>
                <w:bCs/>
                <w:sz w:val="24"/>
                <w:szCs w:val="24"/>
              </w:rPr>
              <w:t>，</w:t>
            </w:r>
            <w:r>
              <w:rPr>
                <w:bCs/>
                <w:sz w:val="24"/>
                <w:szCs w:val="24"/>
              </w:rPr>
              <w:t>噪声级在</w:t>
            </w:r>
            <w:r>
              <w:rPr>
                <w:rFonts w:hint="eastAsia"/>
                <w:bCs/>
                <w:sz w:val="24"/>
                <w:szCs w:val="24"/>
              </w:rPr>
              <w:t>70~95</w:t>
            </w:r>
            <w:r>
              <w:rPr>
                <w:bCs/>
                <w:sz w:val="24"/>
                <w:szCs w:val="24"/>
              </w:rPr>
              <w:t>dB</w:t>
            </w:r>
            <w:r>
              <w:rPr>
                <w:rFonts w:hint="eastAsia"/>
                <w:bCs/>
                <w:sz w:val="24"/>
                <w:szCs w:val="24"/>
              </w:rPr>
              <w:t>（</w:t>
            </w:r>
            <w:r>
              <w:rPr>
                <w:bCs/>
                <w:sz w:val="24"/>
                <w:szCs w:val="24"/>
              </w:rPr>
              <w:t>A</w:t>
            </w:r>
            <w:r>
              <w:rPr>
                <w:rFonts w:hint="eastAsia"/>
                <w:bCs/>
                <w:sz w:val="24"/>
                <w:szCs w:val="24"/>
              </w:rPr>
              <w:t>）</w:t>
            </w:r>
            <w:r>
              <w:rPr>
                <w:bCs/>
                <w:sz w:val="24"/>
                <w:szCs w:val="24"/>
              </w:rPr>
              <w:t>之间</w:t>
            </w:r>
            <w:r>
              <w:rPr>
                <w:rFonts w:hint="eastAsia"/>
                <w:bCs/>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tcBorders>
              <w:top w:val="single" w:color="auto" w:sz="6" w:space="0"/>
              <w:bottom w:val="single" w:color="auto" w:sz="6" w:space="0"/>
            </w:tcBorders>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28"/>
              </w:rPr>
            </w:pPr>
            <w:r>
              <w:rPr>
                <w:b/>
                <w:sz w:val="28"/>
              </w:rPr>
              <w:t>其</w:t>
            </w:r>
          </w:p>
          <w:p>
            <w:pPr>
              <w:keepNext w:val="0"/>
              <w:keepLines w:val="0"/>
              <w:pageBreakBefore w:val="0"/>
              <w:widowControl w:val="0"/>
              <w:tabs>
                <w:tab w:val="left" w:pos="630"/>
              </w:tabs>
              <w:kinsoku/>
              <w:wordWrap/>
              <w:overflowPunct/>
              <w:topLinePunct w:val="0"/>
              <w:autoSpaceDE/>
              <w:autoSpaceDN/>
              <w:bidi w:val="0"/>
              <w:adjustRightInd/>
              <w:snapToGrid/>
              <w:spacing w:line="240" w:lineRule="auto"/>
              <w:jc w:val="center"/>
              <w:textAlignment w:val="auto"/>
              <w:outlineLvl w:val="9"/>
              <w:rPr>
                <w:b/>
                <w:sz w:val="18"/>
              </w:rPr>
            </w:pPr>
            <w:r>
              <w:rPr>
                <w:b/>
                <w:sz w:val="28"/>
              </w:rPr>
              <w:t>他</w:t>
            </w:r>
          </w:p>
        </w:tc>
        <w:tc>
          <w:tcPr>
            <w:tcW w:w="8094" w:type="dxa"/>
            <w:gridSpan w:val="4"/>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sz w:val="24"/>
                <w:szCs w:val="24"/>
              </w:rPr>
            </w:pPr>
            <w:r>
              <w:rPr>
                <w:sz w:val="24"/>
                <w:szCs w:val="24"/>
              </w:rPr>
              <w:t>一般防渗区域：</w:t>
            </w:r>
            <w:r>
              <w:rPr>
                <w:rFonts w:hint="eastAsia"/>
                <w:sz w:val="24"/>
                <w:szCs w:val="24"/>
              </w:rPr>
              <w:t>原料储存库</w:t>
            </w:r>
            <w:r>
              <w:rPr>
                <w:sz w:val="24"/>
                <w:szCs w:val="24"/>
              </w:rPr>
              <w:t>用水泥硬化（防渗水池底部用8～10cm的水泥浇底），采取防渗措施后，防渗系数应达到10</w:t>
            </w:r>
            <w:r>
              <w:rPr>
                <w:sz w:val="24"/>
                <w:szCs w:val="24"/>
                <w:vertAlign w:val="superscript"/>
              </w:rPr>
              <w:t>-7</w:t>
            </w:r>
            <w:r>
              <w:rPr>
                <w:sz w:val="24"/>
                <w:szCs w:val="24"/>
              </w:rPr>
              <w:t>cm/s，使总体防渗层达到极微透水～弱透水级。重点防渗区域：危险间地面进行防腐、防渗处理，地基之上采用采用水泥混凝土地面+环氧树脂漆做防渗处理，门口设置不低于10cm防溢流围堰</w:t>
            </w:r>
            <w:r>
              <w:rPr>
                <w:rFonts w:hint="eastAsia"/>
                <w:sz w:val="24"/>
                <w:szCs w:val="24"/>
              </w:rPr>
              <w:t>；污水处理站槽底、污水管道及其附近区域等容易引起污染物泄漏以及引起跑、冒、滴、漏的区域</w:t>
            </w:r>
            <w:r>
              <w:rPr>
                <w:sz w:val="24"/>
                <w:szCs w:val="24"/>
              </w:rPr>
              <w:t>进行防腐、防渗处理，整体渗透系数低于10</w:t>
            </w:r>
            <w:r>
              <w:rPr>
                <w:sz w:val="24"/>
                <w:szCs w:val="24"/>
                <w:vertAlign w:val="superscript"/>
              </w:rPr>
              <w:t>-10</w:t>
            </w:r>
            <w:r>
              <w:rPr>
                <w:sz w:val="24"/>
                <w:szCs w:val="24"/>
              </w:rPr>
              <w:t>cm/s</w:t>
            </w:r>
            <w:r>
              <w:rPr>
                <w:rFonts w:hint="eastAsia"/>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9003" w:type="dxa"/>
            <w:gridSpan w:val="5"/>
            <w:tcBorders>
              <w:top w:val="single" w:color="auto" w:sz="6" w:space="0"/>
              <w:bottom w:val="single" w:color="auto" w:sz="8" w:space="0"/>
            </w:tcBorders>
          </w:tcPr>
          <w:p>
            <w:pPr>
              <w:keepNext w:val="0"/>
              <w:keepLines w:val="0"/>
              <w:pageBreakBefore w:val="0"/>
              <w:widowControl w:val="0"/>
              <w:tabs>
                <w:tab w:val="left" w:pos="630"/>
              </w:tabs>
              <w:kinsoku/>
              <w:wordWrap/>
              <w:overflowPunct/>
              <w:topLinePunct w:val="0"/>
              <w:autoSpaceDE/>
              <w:autoSpaceDN/>
              <w:bidi w:val="0"/>
              <w:adjustRightInd/>
              <w:snapToGrid/>
              <w:spacing w:line="240" w:lineRule="auto"/>
              <w:textAlignment w:val="auto"/>
              <w:outlineLvl w:val="9"/>
              <w:rPr>
                <w:b/>
                <w:sz w:val="28"/>
              </w:rPr>
            </w:pPr>
            <w:r>
              <w:rPr>
                <w:b/>
                <w:sz w:val="28"/>
              </w:rPr>
              <w:t>主要生态影响</w:t>
            </w:r>
            <w:r>
              <w:rPr>
                <w:rFonts w:hint="eastAsia"/>
                <w:b/>
                <w:sz w:val="28"/>
              </w:rPr>
              <w:t>(</w:t>
            </w:r>
            <w:r>
              <w:rPr>
                <w:b/>
                <w:sz w:val="28"/>
              </w:rPr>
              <w:t>不够时可附另页</w:t>
            </w:r>
            <w:r>
              <w:rPr>
                <w:rFonts w:hint="eastAsia"/>
                <w:b/>
                <w:sz w:val="28"/>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r>
              <w:rPr>
                <w:rFonts w:hint="eastAsia" w:hAnsi="宋体"/>
                <w:sz w:val="24"/>
                <w:szCs w:val="24"/>
              </w:rPr>
              <w:t>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rPr>
            </w:pPr>
          </w:p>
        </w:tc>
      </w:tr>
    </w:tbl>
    <w:p>
      <w:pPr>
        <w:spacing w:line="500" w:lineRule="exact"/>
        <w:outlineLvl w:val="0"/>
        <w:rPr>
          <w:rFonts w:eastAsia="黑体"/>
          <w:b/>
          <w:bCs/>
          <w:color w:val="0000FF"/>
          <w:sz w:val="32"/>
        </w:rPr>
      </w:pPr>
      <w:r>
        <w:rPr>
          <w:rFonts w:eastAsia="黑体"/>
          <w:b/>
          <w:bCs/>
          <w:color w:val="0000FF"/>
          <w:sz w:val="32"/>
        </w:rPr>
        <w:br w:type="page"/>
      </w:r>
      <w:r>
        <w:rPr>
          <w:rFonts w:eastAsia="黑体"/>
          <w:b/>
          <w:bCs/>
          <w:sz w:val="32"/>
        </w:rPr>
        <w:t>环境影响分析</w:t>
      </w:r>
    </w:p>
    <w:tbl>
      <w:tblPr>
        <w:tblStyle w:val="31"/>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227" w:type="dxa"/>
          </w:tcPr>
          <w:p>
            <w:pPr>
              <w:spacing w:line="480" w:lineRule="exact"/>
              <w:jc w:val="left"/>
              <w:rPr>
                <w:b/>
                <w:sz w:val="28"/>
              </w:rPr>
            </w:pPr>
            <w:r>
              <w:rPr>
                <w:b/>
                <w:sz w:val="28"/>
              </w:rPr>
              <w:t>施工期环境影响分析：</w:t>
            </w:r>
          </w:p>
          <w:p>
            <w:pPr>
              <w:spacing w:line="360" w:lineRule="auto"/>
              <w:ind w:firstLine="480" w:firstLineChars="200"/>
              <w:rPr>
                <w:sz w:val="24"/>
                <w:szCs w:val="24"/>
              </w:rPr>
            </w:pPr>
            <w:r>
              <w:rPr>
                <w:sz w:val="24"/>
                <w:szCs w:val="24"/>
              </w:rPr>
              <w:t>根据</w:t>
            </w:r>
            <w:r>
              <w:rPr>
                <w:rFonts w:hint="eastAsia"/>
                <w:sz w:val="24"/>
                <w:szCs w:val="24"/>
              </w:rPr>
              <w:t>技改</w:t>
            </w:r>
            <w:r>
              <w:rPr>
                <w:sz w:val="24"/>
                <w:szCs w:val="24"/>
              </w:rPr>
              <w:t>项目建设工程内容特点分析，其施工期的环境影响属短期的、可恢复的和局部的性质。</w:t>
            </w:r>
            <w:r>
              <w:rPr>
                <w:rFonts w:hint="eastAsia"/>
                <w:sz w:val="24"/>
                <w:szCs w:val="24"/>
              </w:rPr>
              <w:t>技改项目</w:t>
            </w:r>
            <w:r>
              <w:rPr>
                <w:sz w:val="24"/>
                <w:szCs w:val="24"/>
              </w:rPr>
              <w:t>施工期对周围环境的影响主要体现在</w:t>
            </w:r>
            <w:r>
              <w:rPr>
                <w:rFonts w:hint="eastAsia"/>
                <w:sz w:val="24"/>
                <w:szCs w:val="24"/>
              </w:rPr>
              <w:t>生产车间及原料库建设过程中</w:t>
            </w:r>
            <w:r>
              <w:rPr>
                <w:sz w:val="24"/>
                <w:szCs w:val="24"/>
              </w:rPr>
              <w:t>施工扬尘和少量机械产生的噪声、固体废物等。</w:t>
            </w:r>
          </w:p>
          <w:p>
            <w:pPr>
              <w:spacing w:line="360" w:lineRule="auto"/>
              <w:ind w:firstLine="480" w:firstLineChars="200"/>
              <w:rPr>
                <w:b/>
                <w:snapToGrid w:val="0"/>
                <w:kern w:val="0"/>
                <w:sz w:val="24"/>
              </w:rPr>
            </w:pPr>
            <w:r>
              <w:rPr>
                <w:b/>
                <w:snapToGrid w:val="0"/>
                <w:kern w:val="0"/>
                <w:sz w:val="24"/>
              </w:rPr>
              <w:t>1</w:t>
            </w:r>
            <w:r>
              <w:rPr>
                <w:b/>
                <w:bCs/>
                <w:sz w:val="24"/>
              </w:rPr>
              <w:t>、</w:t>
            </w:r>
            <w:r>
              <w:rPr>
                <w:b/>
                <w:snapToGrid w:val="0"/>
                <w:kern w:val="0"/>
                <w:sz w:val="24"/>
              </w:rPr>
              <w:t>大气环境影响分析</w:t>
            </w:r>
          </w:p>
          <w:p>
            <w:pPr>
              <w:spacing w:line="360" w:lineRule="auto"/>
              <w:ind w:firstLine="480" w:firstLineChars="200"/>
              <w:rPr>
                <w:sz w:val="24"/>
              </w:rPr>
            </w:pPr>
            <w:r>
              <w:rPr>
                <w:rFonts w:hint="eastAsia"/>
                <w:sz w:val="24"/>
              </w:rPr>
              <w:t>技改</w:t>
            </w:r>
            <w:r>
              <w:rPr>
                <w:sz w:val="24"/>
              </w:rPr>
              <w:t>项目设计</w:t>
            </w:r>
            <w:r>
              <w:rPr>
                <w:rFonts w:hint="eastAsia"/>
                <w:sz w:val="24"/>
              </w:rPr>
              <w:t>原料库及生产车间</w:t>
            </w:r>
            <w:r>
              <w:rPr>
                <w:sz w:val="24"/>
              </w:rPr>
              <w:t>土方施工量小，施工扬尘主要产生于建筑材料的运输过程中，扬尘产生量较小。由类比调查和资料分析可知，当平均风速在1.6m/s时，150米以外的环境受影响程度较低。本项目近</w:t>
            </w:r>
            <w:r>
              <w:rPr>
                <w:rFonts w:hint="eastAsia"/>
                <w:sz w:val="24"/>
              </w:rPr>
              <w:t>敏感点为距离西侧250m为付神首村</w:t>
            </w:r>
            <w:r>
              <w:rPr>
                <w:sz w:val="24"/>
              </w:rPr>
              <w:t>，工程施工扬尘不会对周围大气环境质量产生明显影响。</w:t>
            </w:r>
          </w:p>
          <w:p>
            <w:pPr>
              <w:spacing w:line="360" w:lineRule="auto"/>
              <w:ind w:firstLine="480" w:firstLineChars="200"/>
              <w:rPr>
                <w:sz w:val="24"/>
              </w:rPr>
            </w:pPr>
            <w:r>
              <w:rPr>
                <w:sz w:val="24"/>
              </w:rPr>
              <w:t>为有效控制施工期间的扬尘影响，本评价要求建设单位严格执行《大气污染防治行动计划》、《京津冀及周边地区落实大气污染防治行动计划实施细则》、《京津冀大气污染防治强化措施（2017-2018年）》、《2016年河北省大气污染防治条例》、《河北省大气污染防治行动计划实施方案》、《河北省建筑施工扬尘防治新15条标准》(冀建安[2015]11号)、《河北省建筑施工扬尘治理实施意见》(冀建安[2013]11号)、《河北省住房和城乡建设厅关于印发全省建筑施工扬尘治理实施意见的通知》(冀建办安[2013]33号)、《邢台市大气污染防治行动计划实施细则》、《邢台市重污染天气应急预案》（邢政办函〔2016〕43号）的要求，同时根据国家环保总局《防治城市扬尘污染技术规范》（HJ/T393-2007）的有关规定，类比调查结果及其它施工场地采取的抑尘措施，对项目施工期提出以下要求：</w:t>
            </w:r>
          </w:p>
          <w:p>
            <w:pPr>
              <w:spacing w:line="360" w:lineRule="auto"/>
              <w:ind w:firstLine="480" w:firstLineChars="200"/>
              <w:rPr>
                <w:sz w:val="24"/>
              </w:rPr>
            </w:pPr>
            <w:r>
              <w:rPr>
                <w:sz w:val="24"/>
              </w:rPr>
              <w:t>①封闭施工。</w:t>
            </w:r>
            <w:r>
              <w:rPr>
                <w:rFonts w:hint="eastAsia"/>
                <w:sz w:val="24"/>
              </w:rPr>
              <w:t>库房</w:t>
            </w:r>
            <w:r>
              <w:rPr>
                <w:sz w:val="24"/>
              </w:rPr>
              <w:t>施工工地周围设置不低于2.5米的硬质密闭围挡或围墙，同时，在工地建筑结构脚手架外侧设置有效抑尘的密目防尘网或防尘布，做到“牢固、平衡、整洁、美观”，既可防止施工扬尘，亦可起到一定的声屏障作用，同时还能改善景观，防止意外事故发生等。</w:t>
            </w:r>
          </w:p>
          <w:p>
            <w:pPr>
              <w:spacing w:line="360" w:lineRule="auto"/>
              <w:ind w:firstLine="480" w:firstLineChars="200"/>
              <w:rPr>
                <w:sz w:val="24"/>
              </w:rPr>
            </w:pPr>
            <w:r>
              <w:rPr>
                <w:sz w:val="24"/>
              </w:rPr>
              <w:t>②洒水降尘。制定洒水降尘制度，配置洒水装置，在施工场地安排员工定期对产尘点及时洒水，以减少施工场地扬尘污染，洒水次数根据天气状况而定，一般每天洒水1～2次，若遇到大风或干燥天气可适当增加洒水次数。</w:t>
            </w:r>
          </w:p>
          <w:p>
            <w:pPr>
              <w:spacing w:line="360" w:lineRule="auto"/>
              <w:ind w:firstLine="480" w:firstLineChars="200"/>
              <w:rPr>
                <w:sz w:val="24"/>
              </w:rPr>
            </w:pPr>
            <w:r>
              <w:rPr>
                <w:sz w:val="24"/>
              </w:rPr>
              <w:t>③注意运输车辆的密闭性，进出工地的物料、渣土、垃圾运输车辆，应尽可能采用密闭车斗，并保证物料不遗撒外漏，对运输建筑材料及建筑垃圾的车辆加盖蓬布减少洒落。同时，车辆行驶路线应尽量避开居民区。</w:t>
            </w:r>
          </w:p>
          <w:p>
            <w:pPr>
              <w:spacing w:line="360" w:lineRule="auto"/>
              <w:ind w:firstLine="480" w:firstLineChars="200"/>
              <w:rPr>
                <w:sz w:val="24"/>
              </w:rPr>
            </w:pPr>
            <w:r>
              <w:rPr>
                <w:sz w:val="24"/>
              </w:rPr>
              <w:t>④遇市、县政府发布空气质量预警时，项目单位应严格按照预警级别要求，施工工地增加洒水降尘频次，加强施工扬尘管理。</w:t>
            </w:r>
          </w:p>
          <w:p>
            <w:pPr>
              <w:spacing w:line="360" w:lineRule="auto"/>
              <w:ind w:firstLine="480" w:firstLineChars="200"/>
              <w:rPr>
                <w:sz w:val="24"/>
              </w:rPr>
            </w:pPr>
            <w:r>
              <w:rPr>
                <w:sz w:val="24"/>
              </w:rPr>
              <w:t>⑤在施工场地上设置专人负责弃土、建筑垃圾、建筑材料的处置、清运和堆放，施工过程中使用水泥、石灰、石英砂、涂料、铺装材料等易产生扬尘的建筑材料时，应尽量避免露天堆放，采用密闭存放、采用防尘布苫盖、设置围挡或堆砌围墙等防尘方式。对施工过程中确实需要露天堆放的细砂等在必要时进行洒水增湿，以减轻堆场扬尘污染。</w:t>
            </w:r>
          </w:p>
          <w:p>
            <w:pPr>
              <w:spacing w:line="360" w:lineRule="auto"/>
              <w:ind w:firstLine="480" w:firstLineChars="200"/>
              <w:rPr>
                <w:sz w:val="24"/>
              </w:rPr>
            </w:pPr>
            <w:r>
              <w:rPr>
                <w:sz w:val="24"/>
              </w:rPr>
              <w:t>⑥对建筑垃圾及弃土应及时处理、清运、以减少占地，防止扬尘污染，改善施工场地的环境。</w:t>
            </w:r>
          </w:p>
          <w:p>
            <w:pPr>
              <w:spacing w:line="360" w:lineRule="auto"/>
              <w:ind w:firstLine="480" w:firstLineChars="200"/>
              <w:rPr>
                <w:sz w:val="24"/>
              </w:rPr>
            </w:pPr>
            <w:r>
              <w:rPr>
                <w:sz w:val="24"/>
              </w:rPr>
              <w:t>⑦施工场地内设置洗车平台，完善排水设施，防止泥土粘带。施工期间，应在物料、渣土、垃圾运输车辆的出口内侧设置洗车平台，车辆驶离工地前，应在洗车平台清洗轮胎及车身，不得带泥上路。洗车平台四周应设置防溢座、废水导流渠、废水收集池、沉砂池及其它防治设施，收集洗车、施工以及降水过程中产生的废水和泥浆。同时，对运输车辆进出的主干道定期洒水清扫，保持车辆出入口路面清洁、湿润，以减少汽车轮胎与路面接触而引起的地面扬尘污染。</w:t>
            </w:r>
          </w:p>
          <w:p>
            <w:pPr>
              <w:spacing w:line="360" w:lineRule="auto"/>
              <w:ind w:firstLine="480" w:firstLineChars="200"/>
              <w:rPr>
                <w:sz w:val="24"/>
              </w:rPr>
            </w:pPr>
            <w:r>
              <w:rPr>
                <w:sz w:val="24"/>
              </w:rPr>
              <w:t>⑧加强对施工机械、车辆的维修保养，禁止以柴油为燃料的施工机械超负荷工作。</w:t>
            </w:r>
          </w:p>
          <w:p>
            <w:pPr>
              <w:spacing w:line="360" w:lineRule="auto"/>
              <w:ind w:firstLine="480" w:firstLineChars="200"/>
              <w:rPr>
                <w:sz w:val="24"/>
              </w:rPr>
            </w:pPr>
            <w:r>
              <w:rPr>
                <w:sz w:val="24"/>
              </w:rPr>
              <w:t>通过采取以上抑尘措施后，可最大限度的降低施工期间物料运输扬尘对周围环境的影响，待施工完成后污染随之消失，大气环境质量即可恢复到原来的水平。</w:t>
            </w:r>
          </w:p>
          <w:p>
            <w:pPr>
              <w:spacing w:line="360" w:lineRule="auto"/>
              <w:ind w:firstLine="480" w:firstLineChars="200"/>
              <w:rPr>
                <w:b/>
                <w:snapToGrid w:val="0"/>
                <w:kern w:val="0"/>
                <w:sz w:val="24"/>
              </w:rPr>
            </w:pPr>
            <w:r>
              <w:rPr>
                <w:b/>
                <w:snapToGrid w:val="0"/>
                <w:kern w:val="0"/>
                <w:sz w:val="24"/>
              </w:rPr>
              <w:t>2、水环境影响分析</w:t>
            </w:r>
          </w:p>
          <w:p>
            <w:pPr>
              <w:spacing w:line="360" w:lineRule="auto"/>
              <w:ind w:firstLine="480" w:firstLineChars="200"/>
              <w:rPr>
                <w:sz w:val="24"/>
              </w:rPr>
            </w:pPr>
            <w:r>
              <w:rPr>
                <w:sz w:val="24"/>
              </w:rPr>
              <w:t>施工期间产生的机械清洗水、车辆洗车台的冲洗水等工程废水，排出水质SS浓度高，据类比调查一般为1000-3000mg/L。因此必须严禁未经任何处理将水排出，同时做好建筑材料和建筑废料的管理，避免地面水体二次污染。由于施工期废水污染物主要为SS，经隔油沉淀池沉淀处理后可回用到工程中，沉淀物进行工程回填不排入外环境。</w:t>
            </w:r>
          </w:p>
          <w:p>
            <w:pPr>
              <w:spacing w:line="360" w:lineRule="auto"/>
              <w:ind w:firstLine="480" w:firstLineChars="200"/>
              <w:rPr>
                <w:b/>
                <w:snapToGrid w:val="0"/>
                <w:kern w:val="0"/>
                <w:sz w:val="24"/>
              </w:rPr>
            </w:pPr>
            <w:r>
              <w:rPr>
                <w:b/>
                <w:snapToGrid w:val="0"/>
                <w:kern w:val="0"/>
                <w:sz w:val="24"/>
              </w:rPr>
              <w:t>3</w:t>
            </w:r>
            <w:r>
              <w:rPr>
                <w:b/>
                <w:bCs/>
                <w:sz w:val="24"/>
              </w:rPr>
              <w:t>、</w:t>
            </w:r>
            <w:r>
              <w:rPr>
                <w:b/>
                <w:snapToGrid w:val="0"/>
                <w:kern w:val="0"/>
                <w:sz w:val="24"/>
              </w:rPr>
              <w:t>声环境影响分析</w:t>
            </w:r>
          </w:p>
          <w:p>
            <w:pPr>
              <w:pStyle w:val="15"/>
              <w:widowControl/>
              <w:spacing w:line="360" w:lineRule="auto"/>
              <w:ind w:firstLine="480"/>
              <w:rPr>
                <w:rFonts w:ascii="Times New Roman" w:hAnsi="Times New Roman"/>
                <w:sz w:val="24"/>
                <w:szCs w:val="21"/>
              </w:rPr>
            </w:pPr>
            <w:r>
              <w:rPr>
                <w:rFonts w:ascii="Times New Roman" w:hAnsi="Times New Roman"/>
                <w:sz w:val="24"/>
                <w:szCs w:val="21"/>
              </w:rPr>
              <w:t>施工期噪声源主要是施工机械和运输车辆。这些噪声具有不规则、不连续和高强度等特点。因各施工机械的操作时间有一定的间隔，故在噪声影响预测中，不考虑噪声源强的叠加。采用点源距离衰减模式计算施工期噪声影响，不考虑障碍物的影响：</w:t>
            </w:r>
          </w:p>
          <w:p>
            <w:pPr>
              <w:pStyle w:val="15"/>
              <w:widowControl/>
              <w:spacing w:line="360" w:lineRule="auto"/>
              <w:ind w:firstLine="480"/>
              <w:rPr>
                <w:rFonts w:ascii="Times New Roman" w:hAnsi="Times New Roman"/>
                <w:sz w:val="24"/>
                <w:szCs w:val="21"/>
              </w:rPr>
            </w:pPr>
            <w:r>
              <w:rPr>
                <w:rFonts w:ascii="Times New Roman" w:hAnsi="Times New Roman"/>
                <w:sz w:val="24"/>
                <w:szCs w:val="21"/>
              </w:rPr>
              <w:t>L</w:t>
            </w:r>
            <w:r>
              <w:rPr>
                <w:rFonts w:ascii="Times New Roman" w:hAnsi="Times New Roman"/>
                <w:sz w:val="24"/>
                <w:szCs w:val="21"/>
                <w:vertAlign w:val="subscript"/>
              </w:rPr>
              <w:t>2</w:t>
            </w:r>
            <w:r>
              <w:rPr>
                <w:rFonts w:ascii="Times New Roman" w:hAnsi="Times New Roman"/>
                <w:sz w:val="24"/>
                <w:szCs w:val="21"/>
              </w:rPr>
              <w:t>=L</w:t>
            </w:r>
            <w:r>
              <w:rPr>
                <w:rFonts w:ascii="Times New Roman" w:hAnsi="Times New Roman"/>
                <w:sz w:val="24"/>
                <w:szCs w:val="21"/>
                <w:vertAlign w:val="subscript"/>
              </w:rPr>
              <w:t>1</w:t>
            </w:r>
            <w:r>
              <w:rPr>
                <w:rFonts w:ascii="Times New Roman" w:hAnsi="Times New Roman"/>
                <w:sz w:val="24"/>
                <w:szCs w:val="21"/>
              </w:rPr>
              <w:t>-20lg（r</w:t>
            </w:r>
            <w:r>
              <w:rPr>
                <w:rFonts w:ascii="Times New Roman" w:hAnsi="Times New Roman"/>
                <w:sz w:val="24"/>
                <w:szCs w:val="21"/>
                <w:vertAlign w:val="subscript"/>
              </w:rPr>
              <w:t>2</w:t>
            </w:r>
            <w:r>
              <w:rPr>
                <w:rFonts w:ascii="Times New Roman" w:hAnsi="Times New Roman"/>
                <w:sz w:val="24"/>
                <w:szCs w:val="21"/>
              </w:rPr>
              <w:t>/r</w:t>
            </w:r>
            <w:r>
              <w:rPr>
                <w:rFonts w:ascii="Times New Roman" w:hAnsi="Times New Roman"/>
                <w:sz w:val="24"/>
                <w:szCs w:val="21"/>
                <w:vertAlign w:val="subscript"/>
              </w:rPr>
              <w:t>1</w:t>
            </w:r>
            <w:r>
              <w:rPr>
                <w:rFonts w:ascii="Times New Roman" w:hAnsi="Times New Roman"/>
                <w:sz w:val="24"/>
                <w:szCs w:val="21"/>
              </w:rPr>
              <w:t>）</w:t>
            </w:r>
          </w:p>
          <w:p>
            <w:pPr>
              <w:pStyle w:val="15"/>
              <w:widowControl/>
              <w:spacing w:line="360" w:lineRule="auto"/>
              <w:ind w:firstLine="480"/>
              <w:rPr>
                <w:rFonts w:ascii="Times New Roman" w:hAnsi="Times New Roman"/>
                <w:sz w:val="24"/>
                <w:szCs w:val="21"/>
              </w:rPr>
            </w:pPr>
            <w:r>
              <w:rPr>
                <w:rFonts w:ascii="Times New Roman" w:hAnsi="Times New Roman"/>
                <w:sz w:val="24"/>
                <w:szCs w:val="21"/>
              </w:rPr>
              <w:t>式中：L</w:t>
            </w:r>
            <w:r>
              <w:rPr>
                <w:rFonts w:ascii="Times New Roman" w:hAnsi="Times New Roman"/>
                <w:sz w:val="24"/>
                <w:szCs w:val="21"/>
                <w:vertAlign w:val="subscript"/>
              </w:rPr>
              <w:t>1</w:t>
            </w:r>
            <w:r>
              <w:rPr>
                <w:rFonts w:ascii="Times New Roman" w:hAnsi="Times New Roman"/>
                <w:sz w:val="24"/>
                <w:szCs w:val="21"/>
              </w:rPr>
              <w:t>、L</w:t>
            </w:r>
            <w:r>
              <w:rPr>
                <w:rFonts w:ascii="Times New Roman" w:hAnsi="Times New Roman"/>
                <w:sz w:val="24"/>
                <w:szCs w:val="21"/>
                <w:vertAlign w:val="subscript"/>
              </w:rPr>
              <w:t>2</w:t>
            </w:r>
            <w:r>
              <w:rPr>
                <w:rFonts w:ascii="Times New Roman" w:hAnsi="Times New Roman"/>
                <w:sz w:val="24"/>
                <w:szCs w:val="21"/>
              </w:rPr>
              <w:t>为距声源r</w:t>
            </w:r>
            <w:r>
              <w:rPr>
                <w:rFonts w:ascii="Times New Roman" w:hAnsi="Times New Roman"/>
                <w:sz w:val="24"/>
                <w:szCs w:val="21"/>
                <w:vertAlign w:val="subscript"/>
              </w:rPr>
              <w:t>1</w:t>
            </w:r>
            <w:r>
              <w:rPr>
                <w:rFonts w:ascii="Times New Roman" w:hAnsi="Times New Roman"/>
                <w:sz w:val="24"/>
                <w:szCs w:val="21"/>
              </w:rPr>
              <w:t>、r</w:t>
            </w:r>
            <w:r>
              <w:rPr>
                <w:rFonts w:ascii="Times New Roman" w:hAnsi="Times New Roman"/>
                <w:sz w:val="24"/>
                <w:szCs w:val="21"/>
                <w:vertAlign w:val="subscript"/>
              </w:rPr>
              <w:t>2</w:t>
            </w:r>
            <w:r>
              <w:rPr>
                <w:rFonts w:ascii="Times New Roman" w:hAnsi="Times New Roman"/>
                <w:sz w:val="24"/>
                <w:szCs w:val="21"/>
              </w:rPr>
              <w:t>处的噪声值，dB（A）；r</w:t>
            </w:r>
            <w:r>
              <w:rPr>
                <w:rFonts w:ascii="Times New Roman" w:hAnsi="Times New Roman"/>
                <w:sz w:val="24"/>
                <w:szCs w:val="21"/>
                <w:vertAlign w:val="subscript"/>
              </w:rPr>
              <w:t>1</w:t>
            </w:r>
            <w:r>
              <w:rPr>
                <w:rFonts w:ascii="Times New Roman" w:hAnsi="Times New Roman"/>
                <w:sz w:val="24"/>
                <w:szCs w:val="21"/>
              </w:rPr>
              <w:t>、r</w:t>
            </w:r>
            <w:r>
              <w:rPr>
                <w:rFonts w:ascii="Times New Roman" w:hAnsi="Times New Roman"/>
                <w:sz w:val="24"/>
                <w:szCs w:val="21"/>
                <w:vertAlign w:val="subscript"/>
              </w:rPr>
              <w:t>2</w:t>
            </w:r>
            <w:r>
              <w:rPr>
                <w:rFonts w:ascii="Times New Roman" w:hAnsi="Times New Roman"/>
                <w:sz w:val="24"/>
                <w:szCs w:val="21"/>
              </w:rPr>
              <w:t>为预测点距声源的距离。</w:t>
            </w:r>
          </w:p>
          <w:p>
            <w:pPr>
              <w:pStyle w:val="15"/>
              <w:widowControl/>
              <w:spacing w:line="360" w:lineRule="auto"/>
              <w:ind w:firstLine="480"/>
              <w:rPr>
                <w:rFonts w:ascii="Times New Roman" w:hAnsi="Times New Roman"/>
                <w:sz w:val="24"/>
                <w:szCs w:val="21"/>
              </w:rPr>
            </w:pPr>
            <w:r>
              <w:rPr>
                <w:rFonts w:ascii="Times New Roman" w:hAnsi="Times New Roman"/>
                <w:sz w:val="24"/>
                <w:szCs w:val="21"/>
              </w:rPr>
              <w:t>运用上式对施工机械噪声的影响进行预测计算，其结果见表</w:t>
            </w:r>
            <w:r>
              <w:rPr>
                <w:rFonts w:hint="eastAsia" w:ascii="Times New Roman" w:hAnsi="Times New Roman"/>
                <w:sz w:val="24"/>
                <w:szCs w:val="21"/>
              </w:rPr>
              <w:t>20</w:t>
            </w:r>
            <w:r>
              <w:rPr>
                <w:rFonts w:ascii="Times New Roman" w:hAnsi="Times New Roman"/>
                <w:sz w:val="24"/>
                <w:szCs w:val="21"/>
              </w:rPr>
              <w:t>。</w:t>
            </w:r>
          </w:p>
          <w:p>
            <w:pPr>
              <w:pStyle w:val="15"/>
              <w:widowControl/>
              <w:spacing w:line="360" w:lineRule="auto"/>
              <w:ind w:firstLine="0" w:firstLineChars="0"/>
              <w:jc w:val="center"/>
              <w:rPr>
                <w:rFonts w:ascii="Times New Roman" w:hAnsi="Times New Roman"/>
                <w:b/>
                <w:bCs/>
                <w:sz w:val="22"/>
              </w:rPr>
            </w:pPr>
            <w:r>
              <w:rPr>
                <w:rFonts w:ascii="Times New Roman" w:hAnsi="Times New Roman"/>
                <w:b/>
                <w:bCs/>
                <w:sz w:val="21"/>
                <w:szCs w:val="21"/>
              </w:rPr>
              <w:t>表</w:t>
            </w:r>
            <w:r>
              <w:rPr>
                <w:rFonts w:hint="eastAsia" w:ascii="Times New Roman" w:hAnsi="Times New Roman"/>
                <w:b/>
                <w:bCs/>
                <w:sz w:val="21"/>
                <w:szCs w:val="21"/>
              </w:rPr>
              <w:t>20</w:t>
            </w:r>
            <w:r>
              <w:rPr>
                <w:rFonts w:ascii="Times New Roman" w:hAnsi="Times New Roman"/>
                <w:b/>
                <w:bCs/>
                <w:sz w:val="21"/>
                <w:szCs w:val="21"/>
              </w:rPr>
              <w:t xml:space="preserve">    施工机械噪声的影响预测</w:t>
            </w:r>
          </w:p>
          <w:tbl>
            <w:tblPr>
              <w:tblStyle w:val="31"/>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810"/>
              <w:gridCol w:w="999"/>
              <w:gridCol w:w="998"/>
              <w:gridCol w:w="999"/>
              <w:gridCol w:w="999"/>
              <w:gridCol w:w="999"/>
              <w:gridCol w:w="1004"/>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机械名称</w:t>
                  </w:r>
                </w:p>
              </w:tc>
              <w:tc>
                <w:tcPr>
                  <w:tcW w:w="810"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源强</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15</w:t>
                  </w:r>
                </w:p>
              </w:tc>
              <w:tc>
                <w:tcPr>
                  <w:tcW w:w="998"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20</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30</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40</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50</w:t>
                  </w:r>
                </w:p>
              </w:tc>
              <w:tc>
                <w:tcPr>
                  <w:tcW w:w="1004"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100</w:t>
                  </w:r>
                </w:p>
              </w:tc>
              <w:tc>
                <w:tcPr>
                  <w:tcW w:w="1004"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装载机</w:t>
                  </w:r>
                </w:p>
              </w:tc>
              <w:tc>
                <w:tcPr>
                  <w:tcW w:w="810"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89</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69</w:t>
                  </w:r>
                </w:p>
              </w:tc>
              <w:tc>
                <w:tcPr>
                  <w:tcW w:w="998"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67</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65</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59</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55</w:t>
                  </w:r>
                </w:p>
              </w:tc>
              <w:tc>
                <w:tcPr>
                  <w:tcW w:w="1004"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53</w:t>
                  </w:r>
                </w:p>
              </w:tc>
              <w:tc>
                <w:tcPr>
                  <w:tcW w:w="1004"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挖掘机</w:t>
                  </w:r>
                </w:p>
              </w:tc>
              <w:tc>
                <w:tcPr>
                  <w:tcW w:w="810"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89</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69</w:t>
                  </w:r>
                </w:p>
              </w:tc>
              <w:tc>
                <w:tcPr>
                  <w:tcW w:w="998"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67</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65</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59</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55</w:t>
                  </w:r>
                </w:p>
              </w:tc>
              <w:tc>
                <w:tcPr>
                  <w:tcW w:w="1004"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53</w:t>
                  </w:r>
                </w:p>
              </w:tc>
              <w:tc>
                <w:tcPr>
                  <w:tcW w:w="1004"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吊机</w:t>
                  </w:r>
                </w:p>
              </w:tc>
              <w:tc>
                <w:tcPr>
                  <w:tcW w:w="810"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83</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63</w:t>
                  </w:r>
                </w:p>
              </w:tc>
              <w:tc>
                <w:tcPr>
                  <w:tcW w:w="998"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61</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59</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53</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49</w:t>
                  </w:r>
                </w:p>
              </w:tc>
              <w:tc>
                <w:tcPr>
                  <w:tcW w:w="1004"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47</w:t>
                  </w:r>
                </w:p>
              </w:tc>
              <w:tc>
                <w:tcPr>
                  <w:tcW w:w="1004"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空压机</w:t>
                  </w:r>
                </w:p>
              </w:tc>
              <w:tc>
                <w:tcPr>
                  <w:tcW w:w="810"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84</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64</w:t>
                  </w:r>
                </w:p>
              </w:tc>
              <w:tc>
                <w:tcPr>
                  <w:tcW w:w="998"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62</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60</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54</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50</w:t>
                  </w:r>
                </w:p>
              </w:tc>
              <w:tc>
                <w:tcPr>
                  <w:tcW w:w="1004"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48</w:t>
                  </w:r>
                </w:p>
              </w:tc>
              <w:tc>
                <w:tcPr>
                  <w:tcW w:w="1004"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振捣机</w:t>
                  </w:r>
                </w:p>
              </w:tc>
              <w:tc>
                <w:tcPr>
                  <w:tcW w:w="810"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89</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69</w:t>
                  </w:r>
                </w:p>
              </w:tc>
              <w:tc>
                <w:tcPr>
                  <w:tcW w:w="998"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67</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65</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59</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55</w:t>
                  </w:r>
                </w:p>
              </w:tc>
              <w:tc>
                <w:tcPr>
                  <w:tcW w:w="1004"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53</w:t>
                  </w:r>
                </w:p>
              </w:tc>
              <w:tc>
                <w:tcPr>
                  <w:tcW w:w="1004"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电钻</w:t>
                  </w:r>
                </w:p>
              </w:tc>
              <w:tc>
                <w:tcPr>
                  <w:tcW w:w="810"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94</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74</w:t>
                  </w:r>
                </w:p>
              </w:tc>
              <w:tc>
                <w:tcPr>
                  <w:tcW w:w="998"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71</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69</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63</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60</w:t>
                  </w:r>
                </w:p>
              </w:tc>
              <w:tc>
                <w:tcPr>
                  <w:tcW w:w="1004"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57</w:t>
                  </w:r>
                </w:p>
              </w:tc>
              <w:tc>
                <w:tcPr>
                  <w:tcW w:w="1004"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切割机</w:t>
                  </w:r>
                </w:p>
              </w:tc>
              <w:tc>
                <w:tcPr>
                  <w:tcW w:w="810"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94</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74</w:t>
                  </w:r>
                </w:p>
              </w:tc>
              <w:tc>
                <w:tcPr>
                  <w:tcW w:w="998"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71</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69</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63</w:t>
                  </w:r>
                </w:p>
              </w:tc>
              <w:tc>
                <w:tcPr>
                  <w:tcW w:w="999"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60</w:t>
                  </w:r>
                </w:p>
              </w:tc>
              <w:tc>
                <w:tcPr>
                  <w:tcW w:w="1004"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57</w:t>
                  </w:r>
                </w:p>
              </w:tc>
              <w:tc>
                <w:tcPr>
                  <w:tcW w:w="1004" w:type="dxa"/>
                  <w:vAlign w:val="center"/>
                </w:tcPr>
                <w:p>
                  <w:pPr>
                    <w:pStyle w:val="15"/>
                    <w:widowControl/>
                    <w:spacing w:line="240" w:lineRule="auto"/>
                    <w:ind w:firstLine="0" w:firstLineChars="0"/>
                    <w:jc w:val="center"/>
                    <w:rPr>
                      <w:rFonts w:ascii="Times New Roman" w:hAnsi="Times New Roman"/>
                      <w:sz w:val="21"/>
                      <w:szCs w:val="21"/>
                    </w:rPr>
                  </w:pPr>
                  <w:r>
                    <w:rPr>
                      <w:rFonts w:ascii="Times New Roman" w:hAnsi="Times New Roman"/>
                      <w:sz w:val="21"/>
                      <w:szCs w:val="21"/>
                    </w:rPr>
                    <w:t>54</w:t>
                  </w:r>
                </w:p>
              </w:tc>
            </w:tr>
          </w:tbl>
          <w:p>
            <w:pPr>
              <w:pStyle w:val="15"/>
              <w:widowControl/>
              <w:spacing w:line="360" w:lineRule="auto"/>
              <w:ind w:firstLine="480"/>
              <w:rPr>
                <w:rFonts w:ascii="Times New Roman" w:hAnsi="Times New Roman"/>
                <w:sz w:val="24"/>
                <w:szCs w:val="21"/>
              </w:rPr>
            </w:pPr>
            <w:r>
              <w:rPr>
                <w:rFonts w:ascii="Times New Roman" w:hAnsi="Times New Roman"/>
                <w:sz w:val="24"/>
                <w:szCs w:val="21"/>
              </w:rPr>
              <w:t>根据《建筑施工场界环境噪声排出标准》（GB12523-2011），施工阶段作业噪声限值为：昼间70dB（A），夜间55dB（A）。由表</w:t>
            </w:r>
            <w:r>
              <w:rPr>
                <w:rFonts w:hint="eastAsia" w:ascii="Times New Roman" w:hAnsi="Times New Roman"/>
                <w:sz w:val="24"/>
                <w:szCs w:val="21"/>
              </w:rPr>
              <w:t>20</w:t>
            </w:r>
            <w:r>
              <w:rPr>
                <w:rFonts w:ascii="Times New Roman" w:hAnsi="Times New Roman"/>
                <w:sz w:val="24"/>
                <w:szCs w:val="21"/>
              </w:rPr>
              <w:t>可知，各施工机械设备所产生的噪声影响范围为：昼间30m。项目施工场界能够满足《建筑施工场界环境噪声排出标准》（GB12523-2011）2类标准限值。</w:t>
            </w:r>
          </w:p>
          <w:p>
            <w:pPr>
              <w:pStyle w:val="15"/>
              <w:widowControl/>
              <w:spacing w:line="360" w:lineRule="auto"/>
              <w:ind w:firstLine="480"/>
              <w:rPr>
                <w:rFonts w:ascii="Times New Roman" w:hAnsi="Times New Roman"/>
                <w:sz w:val="24"/>
                <w:szCs w:val="21"/>
              </w:rPr>
            </w:pPr>
            <w:r>
              <w:rPr>
                <w:rFonts w:ascii="Times New Roman" w:hAnsi="Times New Roman"/>
                <w:sz w:val="24"/>
                <w:szCs w:val="21"/>
              </w:rPr>
              <w:t>根据以上分析，为进一步降低噪声对周围的影响，要求建设单位在施工场界处设置隔音壁（墙），并采取以下相应措施：</w:t>
            </w:r>
          </w:p>
          <w:p>
            <w:pPr>
              <w:pStyle w:val="15"/>
              <w:widowControl/>
              <w:numPr>
                <w:ilvl w:val="0"/>
                <w:numId w:val="5"/>
              </w:numPr>
              <w:spacing w:line="360" w:lineRule="auto"/>
              <w:ind w:firstLine="480"/>
              <w:rPr>
                <w:rFonts w:ascii="Times New Roman" w:hAnsi="Times New Roman"/>
                <w:sz w:val="24"/>
                <w:szCs w:val="21"/>
              </w:rPr>
            </w:pPr>
            <w:r>
              <w:rPr>
                <w:rFonts w:ascii="Times New Roman" w:hAnsi="Times New Roman"/>
                <w:sz w:val="24"/>
                <w:szCs w:val="21"/>
              </w:rPr>
              <w:t>施工场地周围设置2.5m高围挡。</w:t>
            </w:r>
          </w:p>
          <w:p>
            <w:pPr>
              <w:pStyle w:val="15"/>
              <w:widowControl/>
              <w:numPr>
                <w:ilvl w:val="0"/>
                <w:numId w:val="5"/>
              </w:numPr>
              <w:spacing w:line="360" w:lineRule="auto"/>
              <w:ind w:firstLine="480"/>
              <w:rPr>
                <w:rFonts w:ascii="Times New Roman" w:hAnsi="Times New Roman"/>
                <w:sz w:val="24"/>
                <w:szCs w:val="21"/>
              </w:rPr>
            </w:pPr>
            <w:r>
              <w:rPr>
                <w:rFonts w:ascii="Times New Roman" w:hAnsi="Times New Roman"/>
                <w:sz w:val="24"/>
                <w:szCs w:val="21"/>
              </w:rPr>
              <w:t>加强施工管理，做到文明施工。合理安排施工时间，除工程必需外，严禁在12:00～14:00、22:00～次日6:00期间施工。同时合理安排施工进度，禁止在中考及高考期间施工。特殊情况确需连续作业或夜间作业的，要采取有效措施降噪，事先做好周边群众工作，并报环保局备案后施工。</w:t>
            </w:r>
          </w:p>
          <w:p>
            <w:pPr>
              <w:pStyle w:val="15"/>
              <w:widowControl/>
              <w:numPr>
                <w:ilvl w:val="0"/>
                <w:numId w:val="5"/>
              </w:numPr>
              <w:spacing w:line="360" w:lineRule="auto"/>
              <w:ind w:firstLine="480"/>
              <w:rPr>
                <w:rFonts w:ascii="Times New Roman" w:hAnsi="Times New Roman"/>
                <w:sz w:val="24"/>
                <w:szCs w:val="21"/>
              </w:rPr>
            </w:pPr>
            <w:r>
              <w:rPr>
                <w:rFonts w:ascii="Times New Roman" w:hAnsi="Times New Roman"/>
                <w:sz w:val="24"/>
                <w:szCs w:val="21"/>
              </w:rPr>
              <w:t>从声源上控制：建设单位在与施工单位签订合同时，应要求其使用的主要施工机械设备为低噪声设备，如以液压工具代替气压工具、燃油工具，同时尽可能采用施工噪声低的施工方法，对施工机械和车辆进行定期维修和保养，不增加不正常运行噪声。对于运行时间较长的固定高噪声设备，应入棚操作或采取减振降噪和加装隔声罩等措施。</w:t>
            </w:r>
          </w:p>
          <w:p>
            <w:pPr>
              <w:pStyle w:val="15"/>
              <w:widowControl/>
              <w:numPr>
                <w:ilvl w:val="0"/>
                <w:numId w:val="5"/>
              </w:numPr>
              <w:spacing w:line="360" w:lineRule="auto"/>
              <w:ind w:firstLine="480"/>
              <w:rPr>
                <w:rFonts w:ascii="Times New Roman" w:hAnsi="Times New Roman"/>
                <w:sz w:val="24"/>
                <w:szCs w:val="21"/>
              </w:rPr>
            </w:pPr>
            <w:r>
              <w:rPr>
                <w:rFonts w:ascii="Times New Roman" w:hAnsi="Times New Roman"/>
                <w:sz w:val="24"/>
                <w:szCs w:val="21"/>
              </w:rPr>
              <w:t>距离防护：在不影响施工情况下将噪声设备尽量不集中安排，并将其移至南侧距附近声环境敏感目标较远处布置，保障施工场地附近声环境敏感点有一个良好的声环境。</w:t>
            </w:r>
          </w:p>
          <w:p>
            <w:pPr>
              <w:pStyle w:val="15"/>
              <w:widowControl/>
              <w:numPr>
                <w:ilvl w:val="0"/>
                <w:numId w:val="5"/>
              </w:numPr>
              <w:spacing w:line="460" w:lineRule="exact"/>
              <w:ind w:firstLine="480"/>
              <w:rPr>
                <w:rFonts w:ascii="Times New Roman" w:hAnsi="Times New Roman"/>
                <w:sz w:val="24"/>
                <w:szCs w:val="21"/>
              </w:rPr>
            </w:pPr>
            <w:r>
              <w:rPr>
                <w:rFonts w:ascii="Times New Roman" w:hAnsi="Times New Roman"/>
                <w:sz w:val="24"/>
                <w:szCs w:val="21"/>
              </w:rPr>
              <w:t>采用声屏障：合理利用天然地形起屏障作用，对于不能利用天然地形的，在施工场地周围有声环境敏感点的地方设立临时声屏障；在施工的结构阶段和装修阶段，对建筑物的外部也应采用围挡，以减轻设备噪声对周围环境的影响。</w:t>
            </w:r>
          </w:p>
          <w:p>
            <w:pPr>
              <w:pStyle w:val="15"/>
              <w:widowControl/>
              <w:numPr>
                <w:ilvl w:val="0"/>
                <w:numId w:val="5"/>
              </w:numPr>
              <w:spacing w:line="460" w:lineRule="exact"/>
              <w:ind w:firstLine="480"/>
              <w:rPr>
                <w:rFonts w:ascii="Times New Roman" w:hAnsi="Times New Roman"/>
                <w:sz w:val="24"/>
                <w:szCs w:val="21"/>
              </w:rPr>
            </w:pPr>
            <w:r>
              <w:rPr>
                <w:rFonts w:ascii="Times New Roman" w:hAnsi="Times New Roman"/>
                <w:sz w:val="24"/>
                <w:szCs w:val="21"/>
              </w:rPr>
              <w:t>划定运输车辆进出施工场地路线，施工车辆出入地点应尽量远离声环境敏感点。同时加强对运输车辆的管理，运输车辆经过居民点时禁止鸣笛，严禁超载超速。</w:t>
            </w:r>
          </w:p>
          <w:p>
            <w:pPr>
              <w:pStyle w:val="15"/>
              <w:widowControl/>
              <w:numPr>
                <w:ilvl w:val="0"/>
                <w:numId w:val="5"/>
              </w:numPr>
              <w:spacing w:line="460" w:lineRule="exact"/>
              <w:ind w:firstLine="480"/>
              <w:rPr>
                <w:rFonts w:ascii="Times New Roman" w:hAnsi="Times New Roman"/>
                <w:sz w:val="24"/>
                <w:szCs w:val="21"/>
              </w:rPr>
            </w:pPr>
            <w:r>
              <w:rPr>
                <w:rFonts w:ascii="Times New Roman" w:hAnsi="Times New Roman"/>
                <w:sz w:val="24"/>
                <w:szCs w:val="21"/>
              </w:rPr>
              <w:t>建设与施工单位还应与施工场地周围单位建立良好的关系，及时让他们了解施工进度及采取的降噪措施，并取得大家的共同理解。</w:t>
            </w:r>
          </w:p>
          <w:p>
            <w:pPr>
              <w:pStyle w:val="15"/>
              <w:widowControl/>
              <w:spacing w:line="460" w:lineRule="exact"/>
              <w:ind w:firstLine="480"/>
              <w:rPr>
                <w:rFonts w:ascii="Times New Roman" w:hAnsi="Times New Roman"/>
                <w:sz w:val="24"/>
                <w:szCs w:val="21"/>
              </w:rPr>
            </w:pPr>
            <w:r>
              <w:rPr>
                <w:rFonts w:ascii="Times New Roman" w:hAnsi="Times New Roman"/>
                <w:sz w:val="24"/>
                <w:szCs w:val="21"/>
              </w:rPr>
              <w:t>通过采用上述防范措施，结合项目建设的实际情况，本次评价认为，拟建项目施工期噪声会对项目场界环境敏感目标产生一定影响，随着项目施工期结束，施工噪声对敏感目标的影响也随之消失，建设单位应采取合理有效的噪声污染防治措施和实施有效的环境监理，对工程施工方案进行合理设计，尽量减少项目建设施工期噪声对场界环境敏感目标的影响。</w:t>
            </w:r>
          </w:p>
          <w:p>
            <w:pPr>
              <w:spacing w:line="360" w:lineRule="auto"/>
              <w:ind w:firstLine="480" w:firstLineChars="200"/>
              <w:rPr>
                <w:b/>
                <w:snapToGrid w:val="0"/>
                <w:kern w:val="0"/>
                <w:sz w:val="24"/>
              </w:rPr>
            </w:pPr>
            <w:r>
              <w:rPr>
                <w:b/>
                <w:snapToGrid w:val="0"/>
                <w:kern w:val="0"/>
                <w:sz w:val="24"/>
              </w:rPr>
              <w:t>4</w:t>
            </w:r>
            <w:r>
              <w:rPr>
                <w:b/>
                <w:bCs/>
                <w:sz w:val="24"/>
              </w:rPr>
              <w:t>、</w:t>
            </w:r>
            <w:r>
              <w:rPr>
                <w:b/>
                <w:snapToGrid w:val="0"/>
                <w:kern w:val="0"/>
                <w:sz w:val="24"/>
              </w:rPr>
              <w:t>固体废物环境影响分析</w:t>
            </w:r>
          </w:p>
          <w:p>
            <w:pPr>
              <w:pStyle w:val="15"/>
              <w:widowControl/>
              <w:spacing w:line="360" w:lineRule="auto"/>
              <w:ind w:firstLine="480"/>
              <w:rPr>
                <w:rFonts w:ascii="Times New Roman" w:hAnsi="Times New Roman"/>
                <w:sz w:val="24"/>
                <w:szCs w:val="21"/>
              </w:rPr>
            </w:pPr>
            <w:r>
              <w:rPr>
                <w:rFonts w:ascii="Times New Roman" w:hAnsi="Times New Roman"/>
                <w:sz w:val="24"/>
                <w:szCs w:val="21"/>
              </w:rPr>
              <w:t>本项目施工期产生的固体废物主要为建筑垃圾，根据《城市建筑垃圾管理规定》(建设部2005年第139号令)的相关规定，建筑垃圾按指定地点存放，不会对周围环境产生明显影响。</w:t>
            </w:r>
          </w:p>
          <w:p>
            <w:pPr>
              <w:pStyle w:val="15"/>
              <w:widowControl/>
              <w:spacing w:line="360" w:lineRule="auto"/>
              <w:ind w:firstLine="480"/>
              <w:rPr>
                <w:rFonts w:ascii="Times New Roman" w:hAnsi="Times New Roman"/>
                <w:sz w:val="24"/>
                <w:szCs w:val="21"/>
              </w:rPr>
            </w:pPr>
            <w:r>
              <w:rPr>
                <w:rFonts w:ascii="Times New Roman" w:hAnsi="Times New Roman"/>
                <w:sz w:val="24"/>
                <w:szCs w:val="21"/>
              </w:rPr>
              <w:t>为最大限度避免和减轻建筑垃圾对周围声环境的不利影响，本评价要求建设单位施工期采取以下控制对策和措施：</w:t>
            </w:r>
          </w:p>
          <w:p>
            <w:pPr>
              <w:pStyle w:val="15"/>
              <w:widowControl/>
              <w:numPr>
                <w:ilvl w:val="0"/>
                <w:numId w:val="6"/>
              </w:numPr>
              <w:spacing w:line="360" w:lineRule="auto"/>
              <w:ind w:firstLine="480"/>
              <w:rPr>
                <w:rFonts w:ascii="Times New Roman" w:hAnsi="Times New Roman"/>
                <w:sz w:val="24"/>
                <w:szCs w:val="21"/>
              </w:rPr>
            </w:pPr>
            <w:r>
              <w:rPr>
                <w:rFonts w:ascii="Times New Roman" w:hAnsi="Times New Roman"/>
                <w:sz w:val="24"/>
                <w:szCs w:val="21"/>
              </w:rPr>
              <w:t>施工单位在开工前，应当与有关部门签订环境卫生责任书，对施工过程中产生和各类建筑垃圾应当及时清理，保持施工现场整洁。</w:t>
            </w:r>
          </w:p>
          <w:p>
            <w:pPr>
              <w:pStyle w:val="15"/>
              <w:widowControl/>
              <w:numPr>
                <w:ilvl w:val="0"/>
                <w:numId w:val="6"/>
              </w:numPr>
              <w:spacing w:line="360" w:lineRule="auto"/>
              <w:ind w:firstLine="480"/>
              <w:rPr>
                <w:rFonts w:ascii="Times New Roman" w:hAnsi="Times New Roman"/>
                <w:sz w:val="24"/>
                <w:szCs w:val="21"/>
              </w:rPr>
            </w:pPr>
            <w:r>
              <w:rPr>
                <w:rFonts w:ascii="Times New Roman" w:hAnsi="Times New Roman"/>
                <w:sz w:val="24"/>
                <w:szCs w:val="21"/>
              </w:rPr>
              <w:t>工程施工现场出入口的道路应当硬化，配置相应的冲洗设施，车辆冲洗干净后，方可驶离工地。</w:t>
            </w:r>
          </w:p>
          <w:p>
            <w:pPr>
              <w:pStyle w:val="15"/>
              <w:widowControl/>
              <w:numPr>
                <w:ilvl w:val="0"/>
                <w:numId w:val="6"/>
              </w:numPr>
              <w:spacing w:line="360" w:lineRule="auto"/>
              <w:ind w:firstLine="480"/>
              <w:rPr>
                <w:rFonts w:ascii="Times New Roman" w:hAnsi="Times New Roman"/>
                <w:sz w:val="24"/>
                <w:szCs w:val="21"/>
              </w:rPr>
            </w:pPr>
            <w:r>
              <w:rPr>
                <w:rFonts w:ascii="Times New Roman" w:hAnsi="Times New Roman"/>
                <w:sz w:val="24"/>
                <w:szCs w:val="21"/>
              </w:rPr>
              <w:t>建筑垃圾送市政部门指定地点填埋，运输车辆采用密闭槽车，防止洒落。运输必须在夜间20:00～22:00进行，以减少对周边交通造成的影响，夜间在装车及运输时不允许鸣喇叭，尽量不影响周围居民休息。</w:t>
            </w:r>
          </w:p>
          <w:p>
            <w:pPr>
              <w:pStyle w:val="15"/>
              <w:widowControl/>
              <w:numPr>
                <w:ilvl w:val="0"/>
                <w:numId w:val="6"/>
              </w:numPr>
              <w:spacing w:line="360" w:lineRule="auto"/>
              <w:ind w:firstLine="480"/>
              <w:rPr>
                <w:rFonts w:ascii="Times New Roman" w:hAnsi="Times New Roman"/>
                <w:sz w:val="24"/>
                <w:szCs w:val="21"/>
              </w:rPr>
            </w:pPr>
            <w:r>
              <w:rPr>
                <w:rFonts w:ascii="Times New Roman" w:hAnsi="Times New Roman"/>
                <w:sz w:val="24"/>
                <w:szCs w:val="21"/>
              </w:rPr>
              <w:t>生活垃圾交由环卫部门清运。</w:t>
            </w:r>
          </w:p>
          <w:p>
            <w:pPr>
              <w:pStyle w:val="15"/>
              <w:widowControl/>
              <w:numPr>
                <w:ilvl w:val="0"/>
                <w:numId w:val="6"/>
              </w:numPr>
              <w:spacing w:line="360" w:lineRule="auto"/>
              <w:ind w:firstLine="480"/>
              <w:rPr>
                <w:rFonts w:ascii="Times New Roman" w:hAnsi="Times New Roman"/>
                <w:sz w:val="24"/>
                <w:szCs w:val="21"/>
              </w:rPr>
            </w:pPr>
            <w:r>
              <w:rPr>
                <w:rFonts w:ascii="Times New Roman" w:hAnsi="Times New Roman"/>
                <w:sz w:val="24"/>
                <w:szCs w:val="21"/>
              </w:rPr>
              <w:t>综上所述，由于建设项目施工期对周围环境的影响是短暂的，采取以上防护措施后，可以将各项污染物的排出控制在可接受范围内；而且随着施工期的结束，各类污染会自行消失。</w:t>
            </w:r>
          </w:p>
          <w:p>
            <w:pPr>
              <w:spacing w:line="360" w:lineRule="auto"/>
              <w:ind w:firstLine="480" w:firstLineChars="200"/>
              <w:rPr>
                <w:snapToGrid w:val="0"/>
                <w:color w:val="0000FF"/>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5" w:hRule="atLeast"/>
          <w:jc w:val="center"/>
        </w:trPr>
        <w:tc>
          <w:tcPr>
            <w:tcW w:w="9227" w:type="dxa"/>
          </w:tcPr>
          <w:p>
            <w:pPr>
              <w:spacing w:line="440" w:lineRule="exact"/>
              <w:jc w:val="left"/>
              <w:rPr>
                <w:rStyle w:val="45"/>
              </w:rPr>
            </w:pPr>
            <w:r>
              <w:rPr>
                <w:b/>
                <w:sz w:val="28"/>
              </w:rPr>
              <w:t>营运期环境影响分析：</w:t>
            </w:r>
          </w:p>
          <w:p>
            <w:pPr>
              <w:spacing w:line="480" w:lineRule="exact"/>
              <w:ind w:firstLine="480" w:firstLineChars="200"/>
              <w:rPr>
                <w:sz w:val="24"/>
                <w:szCs w:val="24"/>
              </w:rPr>
            </w:pPr>
            <w:r>
              <w:rPr>
                <w:rFonts w:hint="eastAsia"/>
                <w:sz w:val="24"/>
                <w:szCs w:val="24"/>
              </w:rPr>
              <w:t>技改项目产生的废气主要是切割粉尘、焊接烟尘、回火炉废气及喷晾漆废气。</w:t>
            </w:r>
            <w:r>
              <w:rPr>
                <w:bCs/>
                <w:sz w:val="24"/>
                <w:szCs w:val="24"/>
              </w:rPr>
              <w:t>本项目产生噪声的设备主要有</w:t>
            </w:r>
            <w:r>
              <w:rPr>
                <w:rFonts w:hint="eastAsia"/>
                <w:bCs/>
                <w:sz w:val="24"/>
                <w:szCs w:val="24"/>
              </w:rPr>
              <w:t>二保焊机、数控车床、钻床、铣床</w:t>
            </w:r>
            <w:r>
              <w:rPr>
                <w:bCs/>
                <w:sz w:val="24"/>
                <w:szCs w:val="24"/>
              </w:rPr>
              <w:t>等</w:t>
            </w:r>
            <w:r>
              <w:rPr>
                <w:rFonts w:hint="eastAsia"/>
                <w:bCs/>
                <w:sz w:val="24"/>
                <w:szCs w:val="24"/>
              </w:rPr>
              <w:t>，</w:t>
            </w:r>
            <w:r>
              <w:rPr>
                <w:bCs/>
                <w:sz w:val="24"/>
                <w:szCs w:val="24"/>
              </w:rPr>
              <w:t>噪声级在</w:t>
            </w:r>
            <w:r>
              <w:rPr>
                <w:rFonts w:hint="eastAsia"/>
                <w:bCs/>
                <w:sz w:val="24"/>
                <w:szCs w:val="24"/>
              </w:rPr>
              <w:t>70~95</w:t>
            </w:r>
            <w:r>
              <w:rPr>
                <w:bCs/>
                <w:sz w:val="24"/>
                <w:szCs w:val="24"/>
              </w:rPr>
              <w:t>dB</w:t>
            </w:r>
            <w:r>
              <w:rPr>
                <w:rFonts w:hint="eastAsia"/>
                <w:bCs/>
                <w:sz w:val="24"/>
                <w:szCs w:val="24"/>
              </w:rPr>
              <w:t>（</w:t>
            </w:r>
            <w:r>
              <w:rPr>
                <w:bCs/>
                <w:sz w:val="24"/>
                <w:szCs w:val="24"/>
              </w:rPr>
              <w:t>A</w:t>
            </w:r>
            <w:r>
              <w:rPr>
                <w:rFonts w:hint="eastAsia"/>
                <w:bCs/>
                <w:sz w:val="24"/>
                <w:szCs w:val="24"/>
              </w:rPr>
              <w:t>）</w:t>
            </w:r>
            <w:r>
              <w:rPr>
                <w:bCs/>
                <w:sz w:val="24"/>
                <w:szCs w:val="24"/>
              </w:rPr>
              <w:t>之间。</w:t>
            </w:r>
            <w:r>
              <w:rPr>
                <w:rFonts w:hint="eastAsia"/>
                <w:sz w:val="24"/>
                <w:szCs w:val="24"/>
              </w:rPr>
              <w:t>产生的固废主要为废滤芯、废油漆桶、废机油。</w:t>
            </w:r>
          </w:p>
          <w:p>
            <w:pPr>
              <w:numPr>
                <w:ilvl w:val="0"/>
                <w:numId w:val="7"/>
              </w:numPr>
              <w:spacing w:line="360" w:lineRule="auto"/>
              <w:ind w:firstLine="480" w:firstLineChars="200"/>
              <w:rPr>
                <w:b/>
                <w:snapToGrid w:val="0"/>
                <w:kern w:val="0"/>
                <w:sz w:val="24"/>
              </w:rPr>
            </w:pPr>
            <w:r>
              <w:rPr>
                <w:rFonts w:hint="eastAsia"/>
                <w:b/>
                <w:snapToGrid w:val="0"/>
                <w:kern w:val="0"/>
                <w:sz w:val="24"/>
              </w:rPr>
              <w:t>废气环境</w:t>
            </w:r>
            <w:r>
              <w:rPr>
                <w:b/>
                <w:snapToGrid w:val="0"/>
                <w:kern w:val="0"/>
                <w:sz w:val="24"/>
              </w:rPr>
              <w:t>影响分析</w:t>
            </w:r>
          </w:p>
          <w:p>
            <w:pPr>
              <w:spacing w:line="480" w:lineRule="exact"/>
              <w:ind w:firstLine="480" w:firstLineChars="200"/>
              <w:rPr>
                <w:sz w:val="24"/>
                <w:szCs w:val="24"/>
              </w:rPr>
            </w:pPr>
            <w:r>
              <w:rPr>
                <w:rFonts w:hint="eastAsia"/>
                <w:sz w:val="24"/>
                <w:szCs w:val="24"/>
              </w:rPr>
              <w:t>（1）切割粉尘</w:t>
            </w:r>
          </w:p>
          <w:p>
            <w:pPr>
              <w:spacing w:line="480" w:lineRule="exact"/>
              <w:ind w:firstLine="480" w:firstLineChars="200"/>
              <w:rPr>
                <w:sz w:val="24"/>
              </w:rPr>
            </w:pPr>
            <w:r>
              <w:rPr>
                <w:rFonts w:hint="eastAsia"/>
                <w:sz w:val="24"/>
                <w:szCs w:val="24"/>
              </w:rPr>
              <w:t>对钢材进行切割时会产生少量粉尘，在等离子切割机下方安装吸尘管道，粉尘经负压收集，布袋除尘器处理后，由1根15m排气筒（P1）外排。类比同类企业环境监测数据，粉尘排放量为0.1kg/h，年有效工作时间按1600h，年排放粉尘0.16t/a。负压收集效率是95%，布袋除尘器处理效率为99%，风机风量20000m</w:t>
            </w:r>
            <w:r>
              <w:rPr>
                <w:rFonts w:hint="eastAsia"/>
                <w:sz w:val="24"/>
                <w:szCs w:val="24"/>
                <w:vertAlign w:val="superscript"/>
              </w:rPr>
              <w:t>3</w:t>
            </w:r>
            <w:r>
              <w:rPr>
                <w:rFonts w:hint="eastAsia"/>
                <w:sz w:val="24"/>
                <w:szCs w:val="24"/>
              </w:rPr>
              <w:t>/h，则粉尘有组织产生量为0.152t/a，产生浓度为4.75mg/m</w:t>
            </w:r>
            <w:r>
              <w:rPr>
                <w:rFonts w:hint="eastAsia"/>
                <w:sz w:val="24"/>
                <w:szCs w:val="24"/>
                <w:vertAlign w:val="superscript"/>
              </w:rPr>
              <w:t>3</w:t>
            </w:r>
            <w:r>
              <w:rPr>
                <w:rFonts w:hint="eastAsia"/>
                <w:sz w:val="24"/>
                <w:szCs w:val="24"/>
              </w:rPr>
              <w:t>，经布袋除尘器处理后，粉尘的排放量为0.002t/a，排放速率为0.001kg/h，排放浓度为0.048mg/m</w:t>
            </w:r>
            <w:r>
              <w:rPr>
                <w:rFonts w:hint="eastAsia"/>
                <w:sz w:val="24"/>
                <w:szCs w:val="24"/>
                <w:vertAlign w:val="superscript"/>
              </w:rPr>
              <w:t>3</w:t>
            </w:r>
            <w:r>
              <w:rPr>
                <w:rFonts w:hint="eastAsia"/>
                <w:sz w:val="24"/>
                <w:szCs w:val="24"/>
              </w:rPr>
              <w:t>。未被吸尘管道收集的粉尘无组织排放，无组织排放量为0.008t/a，无组织排放速率为0.005kg/h。经布袋除尘器后颗粒物排放浓度及速率均满足《大气污染物综合排放标准》（GB16297-1996）表2二级标准，颗粒物≤120mg/m</w:t>
            </w:r>
            <w:r>
              <w:rPr>
                <w:rFonts w:hint="eastAsia"/>
                <w:sz w:val="24"/>
                <w:szCs w:val="24"/>
                <w:vertAlign w:val="superscript"/>
              </w:rPr>
              <w:t>3</w:t>
            </w:r>
            <w:r>
              <w:rPr>
                <w:rFonts w:hint="eastAsia"/>
                <w:sz w:val="24"/>
                <w:szCs w:val="24"/>
              </w:rPr>
              <w:t>；排气筒15m；排放速率≤3.5kg/h；</w:t>
            </w:r>
          </w:p>
          <w:p>
            <w:pPr>
              <w:spacing w:line="480" w:lineRule="exact"/>
              <w:ind w:firstLine="480" w:firstLineChars="200"/>
              <w:rPr>
                <w:sz w:val="24"/>
                <w:szCs w:val="24"/>
              </w:rPr>
            </w:pPr>
            <w:r>
              <w:rPr>
                <w:rFonts w:hint="eastAsia"/>
                <w:sz w:val="24"/>
                <w:szCs w:val="24"/>
              </w:rPr>
              <w:t>（2）焊接烟尘</w:t>
            </w:r>
          </w:p>
          <w:p>
            <w:pPr>
              <w:spacing w:line="480" w:lineRule="exact"/>
              <w:ind w:firstLine="480" w:firstLineChars="200"/>
              <w:rPr>
                <w:sz w:val="24"/>
                <w:szCs w:val="24"/>
              </w:rPr>
            </w:pPr>
            <w:r>
              <w:rPr>
                <w:rFonts w:hint="eastAsia"/>
                <w:sz w:val="24"/>
                <w:szCs w:val="24"/>
              </w:rPr>
              <w:t>本项目</w:t>
            </w:r>
            <w:r>
              <w:rPr>
                <w:sz w:val="24"/>
                <w:szCs w:val="24"/>
              </w:rPr>
              <w:t>金属焊接过程中有一定量的</w:t>
            </w:r>
            <w:r>
              <w:rPr>
                <w:rFonts w:hint="eastAsia"/>
                <w:sz w:val="24"/>
                <w:szCs w:val="24"/>
              </w:rPr>
              <w:t>焊接烟尘</w:t>
            </w:r>
            <w:r>
              <w:rPr>
                <w:sz w:val="24"/>
                <w:szCs w:val="24"/>
              </w:rPr>
              <w:t>产生，</w:t>
            </w:r>
            <w:r>
              <w:rPr>
                <w:rFonts w:hint="eastAsia"/>
                <w:sz w:val="24"/>
                <w:szCs w:val="24"/>
              </w:rPr>
              <w:t>技改项目产生的焊接烟尘量为0.05t/a。本项目新增二保焊机4台（2用2备），自动龙门焊4台（2用2备），油缸焊接机1台，油嘴焊接1台，移动式焊烟净化器4台（2台单头，2台双头）。</w:t>
            </w:r>
          </w:p>
          <w:p>
            <w:pPr>
              <w:spacing w:line="480" w:lineRule="exact"/>
              <w:ind w:firstLine="480"/>
              <w:rPr>
                <w:sz w:val="24"/>
              </w:rPr>
            </w:pPr>
            <w:r>
              <w:rPr>
                <w:rFonts w:hint="eastAsia"/>
                <w:sz w:val="24"/>
                <w:szCs w:val="24"/>
              </w:rPr>
              <w:t>在焊接工位设移动式焊烟净化器（2台单头，2台双头），利用净化器自带的收集各焊接工位产生的焊接烟尘，捕集率大于98%，收集到的焊烟通过管道送入净化系统净化处理后，通过车间上部的通风扇排放。烟尘净化器捕集的烟尘，经净化处理后（处理效率大于98%），排至厂房上部，通过车间上部的通风扇无组织排放（不考虑车间内沉降），</w:t>
            </w:r>
            <w:r>
              <w:rPr>
                <w:sz w:val="24"/>
                <w:szCs w:val="24"/>
              </w:rPr>
              <w:t>按年</w:t>
            </w:r>
            <w:r>
              <w:rPr>
                <w:rFonts w:hint="eastAsia"/>
                <w:sz w:val="24"/>
                <w:szCs w:val="24"/>
              </w:rPr>
              <w:t>作业</w:t>
            </w:r>
            <w:r>
              <w:rPr>
                <w:sz w:val="24"/>
                <w:szCs w:val="24"/>
              </w:rPr>
              <w:t>时间（</w:t>
            </w:r>
            <w:r>
              <w:rPr>
                <w:rFonts w:hint="eastAsia"/>
                <w:sz w:val="24"/>
                <w:szCs w:val="24"/>
              </w:rPr>
              <w:t>1000</w:t>
            </w:r>
            <w:r>
              <w:rPr>
                <w:sz w:val="24"/>
                <w:szCs w:val="24"/>
              </w:rPr>
              <w:t>h）计算，烟尘无组织排放量</w:t>
            </w:r>
            <w:r>
              <w:rPr>
                <w:rFonts w:hint="eastAsia"/>
                <w:sz w:val="24"/>
                <w:szCs w:val="24"/>
              </w:rPr>
              <w:t>0.001t/a，排放速率为0.001kg/h</w:t>
            </w:r>
            <w:r>
              <w:rPr>
                <w:sz w:val="24"/>
                <w:szCs w:val="24"/>
              </w:rPr>
              <w:t>。</w:t>
            </w:r>
            <w:r>
              <w:rPr>
                <w:rFonts w:hint="eastAsia"/>
                <w:sz w:val="24"/>
                <w:szCs w:val="24"/>
              </w:rPr>
              <w:t>通过预测，</w:t>
            </w:r>
            <w:r>
              <w:rPr>
                <w:sz w:val="24"/>
                <w:szCs w:val="24"/>
              </w:rPr>
              <w:t>颗粒物</w:t>
            </w:r>
            <w:r>
              <w:rPr>
                <w:kern w:val="24"/>
                <w:sz w:val="24"/>
                <w:szCs w:val="24"/>
              </w:rPr>
              <w:t>最</w:t>
            </w:r>
            <w:r>
              <w:rPr>
                <w:sz w:val="24"/>
                <w:szCs w:val="24"/>
              </w:rPr>
              <w:t>大落地浓度</w:t>
            </w:r>
            <w:r>
              <w:rPr>
                <w:rFonts w:hint="eastAsia"/>
                <w:sz w:val="24"/>
                <w:szCs w:val="24"/>
              </w:rPr>
              <w:t>满足《</w:t>
            </w:r>
            <w:r>
              <w:rPr>
                <w:rFonts w:hint="eastAsia"/>
                <w:snapToGrid w:val="0"/>
                <w:kern w:val="0"/>
                <w:sz w:val="24"/>
                <w:szCs w:val="24"/>
              </w:rPr>
              <w:t>大气污染物综合排放标准》（GB16297-1996）表2中无组织排放标准，颗粒物</w:t>
            </w:r>
            <w:r>
              <w:rPr>
                <w:rFonts w:hint="eastAsia"/>
                <w:sz w:val="24"/>
                <w:szCs w:val="24"/>
              </w:rPr>
              <w:t>≤1.0mg/m</w:t>
            </w:r>
            <w:r>
              <w:rPr>
                <w:rFonts w:hint="eastAsia"/>
                <w:sz w:val="24"/>
                <w:szCs w:val="24"/>
                <w:vertAlign w:val="superscript"/>
              </w:rPr>
              <w:t>3</w:t>
            </w:r>
            <w:r>
              <w:rPr>
                <w:rFonts w:hint="eastAsia"/>
                <w:sz w:val="24"/>
                <w:szCs w:val="24"/>
              </w:rPr>
              <w:t>；</w:t>
            </w:r>
          </w:p>
          <w:p>
            <w:pPr>
              <w:pStyle w:val="48"/>
              <w:spacing w:line="480" w:lineRule="exact"/>
              <w:rPr>
                <w:szCs w:val="24"/>
              </w:rPr>
            </w:pPr>
            <w:r>
              <w:rPr>
                <w:rFonts w:hint="eastAsia"/>
                <w:szCs w:val="24"/>
              </w:rPr>
              <w:t>（3）回火炉废气</w:t>
            </w:r>
          </w:p>
          <w:p>
            <w:pPr>
              <w:spacing w:line="480" w:lineRule="exact"/>
              <w:ind w:firstLine="480" w:firstLineChars="200"/>
              <w:rPr>
                <w:color w:val="0000FF"/>
                <w:sz w:val="24"/>
                <w:szCs w:val="24"/>
              </w:rPr>
            </w:pPr>
            <w:r>
              <w:rPr>
                <w:rFonts w:hint="eastAsia"/>
                <w:sz w:val="24"/>
                <w:szCs w:val="24"/>
              </w:rPr>
              <w:t>技改项目新增回火工序，增加</w:t>
            </w:r>
            <w:r>
              <w:rPr>
                <w:rFonts w:hint="eastAsia"/>
                <w:bCs/>
                <w:sz w:val="24"/>
              </w:rPr>
              <w:t>工件的延性或韧性。在回火过程工件所带的机油会有部分挥发（以非甲烷总烃计）。本项目机油年用量为0.85t/a，工件携带量占5%，加热时的挥发量为携带量的80%，则非甲烷总烃的产生量为0.034t/a。在工业电阻炉和工业台式炉的出口上方各安装1个集气罩，经集气罩收集后的非甲烷总烃，由1台等离子光氧一体机处理后，由1根</w:t>
            </w:r>
            <w:r>
              <w:rPr>
                <w:rFonts w:hint="eastAsia"/>
                <w:sz w:val="24"/>
                <w:szCs w:val="24"/>
              </w:rPr>
              <w:t>15m排气筒（P2）外排。集气罩收集效率为90%，等离子光氧一体机的处理效率为90%，风机风量为5000m</w:t>
            </w:r>
            <w:r>
              <w:rPr>
                <w:rFonts w:hint="eastAsia"/>
                <w:sz w:val="24"/>
                <w:szCs w:val="24"/>
                <w:vertAlign w:val="superscript"/>
              </w:rPr>
              <w:t>3</w:t>
            </w:r>
            <w:r>
              <w:rPr>
                <w:rFonts w:hint="eastAsia"/>
                <w:sz w:val="24"/>
                <w:szCs w:val="24"/>
              </w:rPr>
              <w:t>/h，年工作时间600h，非甲烷总烃有组织产生量为0.031t/a，产生浓度为10.2mg/m</w:t>
            </w:r>
            <w:r>
              <w:rPr>
                <w:rFonts w:hint="eastAsia"/>
                <w:sz w:val="24"/>
                <w:szCs w:val="24"/>
                <w:vertAlign w:val="superscript"/>
              </w:rPr>
              <w:t>3</w:t>
            </w:r>
            <w:r>
              <w:rPr>
                <w:rFonts w:hint="eastAsia"/>
                <w:sz w:val="24"/>
                <w:szCs w:val="24"/>
              </w:rPr>
              <w:t>，经等离子光氧一体机处理后，非甲烷总烃的排放量为0.003t/a，排放速率为0.005kg/h，排放浓度为1.02mg/m</w:t>
            </w:r>
            <w:r>
              <w:rPr>
                <w:rFonts w:hint="eastAsia"/>
                <w:sz w:val="24"/>
                <w:szCs w:val="24"/>
                <w:vertAlign w:val="superscript"/>
              </w:rPr>
              <w:t>3</w:t>
            </w:r>
            <w:r>
              <w:rPr>
                <w:rFonts w:hint="eastAsia"/>
                <w:sz w:val="24"/>
                <w:szCs w:val="24"/>
              </w:rPr>
              <w:t>。未经集气罩收集的粉尘无组织排放，无组织排放量为0.003t/a，无组织排放速率为0.006kg/h。</w:t>
            </w:r>
          </w:p>
          <w:p>
            <w:pPr>
              <w:pStyle w:val="48"/>
              <w:spacing w:line="480" w:lineRule="exact"/>
              <w:ind w:firstLine="0" w:firstLineChars="0"/>
              <w:rPr>
                <w:szCs w:val="24"/>
              </w:rPr>
            </w:pPr>
            <w:r>
              <w:rPr>
                <w:rFonts w:hint="eastAsia"/>
                <w:szCs w:val="24"/>
              </w:rPr>
              <w:t>经等离子光氧一体机处理后非甲烷总烃排放浓度满足</w:t>
            </w:r>
            <w:r>
              <w:t>《工业企业挥发性有机物排放控制标准》（DB13/2322-2016）表1</w:t>
            </w:r>
            <w:r>
              <w:rPr>
                <w:rFonts w:hint="eastAsia"/>
              </w:rPr>
              <w:t>其它行业标准要求。</w:t>
            </w:r>
          </w:p>
          <w:p>
            <w:pPr>
              <w:pStyle w:val="48"/>
              <w:spacing w:line="480" w:lineRule="exact"/>
              <w:rPr>
                <w:szCs w:val="24"/>
              </w:rPr>
            </w:pPr>
            <w:r>
              <w:rPr>
                <w:rFonts w:hint="eastAsia"/>
                <w:szCs w:val="24"/>
              </w:rPr>
              <w:t>（4）喷晾漆废气</w:t>
            </w:r>
          </w:p>
          <w:p>
            <w:pPr>
              <w:pStyle w:val="48"/>
              <w:spacing w:line="480" w:lineRule="exact"/>
              <w:rPr>
                <w:szCs w:val="24"/>
              </w:rPr>
            </w:pPr>
            <w:r>
              <w:rPr>
                <w:szCs w:val="24"/>
              </w:rPr>
              <w:t>本项目喷漆及晾干</w:t>
            </w:r>
            <w:r>
              <w:rPr>
                <w:rFonts w:hint="eastAsia"/>
                <w:szCs w:val="24"/>
              </w:rPr>
              <w:t>均</w:t>
            </w:r>
            <w:r>
              <w:rPr>
                <w:szCs w:val="24"/>
              </w:rPr>
              <w:t>在</w:t>
            </w:r>
            <w:r>
              <w:rPr>
                <w:rFonts w:hint="eastAsia"/>
                <w:szCs w:val="24"/>
              </w:rPr>
              <w:t>单独的</w:t>
            </w:r>
            <w:r>
              <w:rPr>
                <w:szCs w:val="24"/>
              </w:rPr>
              <w:t>一体式密闭</w:t>
            </w:r>
            <w:r>
              <w:rPr>
                <w:rFonts w:hint="eastAsia"/>
                <w:szCs w:val="24"/>
              </w:rPr>
              <w:t>房间</w:t>
            </w:r>
            <w:r>
              <w:rPr>
                <w:szCs w:val="24"/>
              </w:rPr>
              <w:t>中进行，喷漆</w:t>
            </w:r>
            <w:r>
              <w:rPr>
                <w:rFonts w:hint="eastAsia"/>
                <w:szCs w:val="24"/>
              </w:rPr>
              <w:t>废气为</w:t>
            </w:r>
            <w:r>
              <w:rPr>
                <w:szCs w:val="24"/>
              </w:rPr>
              <w:t>密闭负压收集。喷漆房丙烯酸磁漆（配比后）用量为</w:t>
            </w:r>
            <w:r>
              <w:rPr>
                <w:rFonts w:hint="eastAsia"/>
                <w:szCs w:val="24"/>
              </w:rPr>
              <w:t>3.25</w:t>
            </w:r>
            <w:r>
              <w:rPr>
                <w:szCs w:val="24"/>
              </w:rPr>
              <w:t>t，</w:t>
            </w:r>
            <w:r>
              <w:t>喷漆过程散发到废气中非甲烷总烃</w:t>
            </w:r>
            <w:r>
              <w:rPr>
                <w:rFonts w:hint="eastAsia"/>
              </w:rPr>
              <w:t>量为0.07t/a</w:t>
            </w:r>
            <w:r>
              <w:t>，二甲苯</w:t>
            </w:r>
            <w:r>
              <w:rPr>
                <w:rFonts w:hint="eastAsia"/>
              </w:rPr>
              <w:t>量0.09t/a</w:t>
            </w:r>
            <w:r>
              <w:t>，颗粒物</w:t>
            </w:r>
            <w:r>
              <w:rPr>
                <w:rFonts w:hint="eastAsia"/>
              </w:rPr>
              <w:t>量1.63t/a</w:t>
            </w:r>
            <w:r>
              <w:t>。晾干过程中附着于被喷涂组件中的VOCs在常温下60%挥发，附着的固分全部留于组件表面，因此晾干过程中散发到废气中的非甲烷总烃</w:t>
            </w:r>
            <w:r>
              <w:rPr>
                <w:rFonts w:hint="eastAsia"/>
              </w:rPr>
              <w:t>量</w:t>
            </w:r>
            <w:r>
              <w:t>为</w:t>
            </w:r>
            <w:r>
              <w:rPr>
                <w:rFonts w:hint="eastAsia"/>
              </w:rPr>
              <w:t>0.03t/a</w:t>
            </w:r>
            <w:r>
              <w:t>，二甲苯</w:t>
            </w:r>
            <w:r>
              <w:rPr>
                <w:rFonts w:hint="eastAsia"/>
              </w:rPr>
              <w:t>量</w:t>
            </w:r>
            <w:r>
              <w:t>为</w:t>
            </w:r>
            <w:r>
              <w:rPr>
                <w:rFonts w:hint="eastAsia"/>
              </w:rPr>
              <w:t>0.04t/a</w:t>
            </w:r>
            <w:r>
              <w:t>。喷</w:t>
            </w:r>
            <w:r>
              <w:rPr>
                <w:rFonts w:hint="eastAsia"/>
              </w:rPr>
              <w:t>、</w:t>
            </w:r>
            <w:r>
              <w:t>晾漆废气由引风机引入</w:t>
            </w:r>
            <w:r>
              <w:rPr>
                <w:rFonts w:hint="eastAsia"/>
              </w:rPr>
              <w:t>干式过滤器</w:t>
            </w:r>
            <w:r>
              <w:t>，经</w:t>
            </w:r>
            <w:r>
              <w:rPr>
                <w:rFonts w:hint="eastAsia"/>
              </w:rPr>
              <w:t>等离子光氧一体机</w:t>
            </w:r>
            <w:r>
              <w:t>处理后，由15m高排气筒P</w:t>
            </w:r>
            <w:r>
              <w:rPr>
                <w:rFonts w:hint="eastAsia"/>
              </w:rPr>
              <w:t>3</w:t>
            </w:r>
            <w:r>
              <w:t>外排。喷漆年工作时间为</w:t>
            </w:r>
            <w:r>
              <w:rPr>
                <w:rFonts w:hint="eastAsia"/>
              </w:rPr>
              <w:t>1000</w:t>
            </w:r>
            <w:r>
              <w:t>h，</w:t>
            </w:r>
            <w:r>
              <w:rPr>
                <w:rFonts w:hint="eastAsia"/>
              </w:rPr>
              <w:t>晾干年工作时间为1000h，干式过滤器</w:t>
            </w:r>
            <w:r>
              <w:t>颗粒物去除效率为</w:t>
            </w:r>
            <w:r>
              <w:rPr>
                <w:rFonts w:hint="eastAsia"/>
              </w:rPr>
              <w:t>85</w:t>
            </w:r>
            <w:r>
              <w:t>%，</w:t>
            </w:r>
            <w:r>
              <w:rPr>
                <w:rFonts w:hint="eastAsia"/>
              </w:rPr>
              <w:t>等离子光氧一体机有机废气</w:t>
            </w:r>
            <w:r>
              <w:t>的</w:t>
            </w:r>
            <w:r>
              <w:rPr>
                <w:szCs w:val="24"/>
              </w:rPr>
              <w:t>去除率≥90%（本次以90%计）。则经</w:t>
            </w:r>
            <w:r>
              <w:t>P</w:t>
            </w:r>
            <w:r>
              <w:rPr>
                <w:rFonts w:hint="eastAsia"/>
              </w:rPr>
              <w:t>3</w:t>
            </w:r>
            <w:r>
              <w:t>排气筒排放的</w:t>
            </w:r>
            <w:r>
              <w:rPr>
                <w:szCs w:val="24"/>
              </w:rPr>
              <w:t>废气中颗粒物产生量为</w:t>
            </w:r>
            <w:r>
              <w:rPr>
                <w:rFonts w:hint="eastAsia"/>
                <w:szCs w:val="24"/>
              </w:rPr>
              <w:t>1.63</w:t>
            </w:r>
            <w:r>
              <w:rPr>
                <w:szCs w:val="24"/>
              </w:rPr>
              <w:t>t/a，产生浓度为</w:t>
            </w:r>
            <w:r>
              <w:rPr>
                <w:rFonts w:hint="eastAsia"/>
                <w:szCs w:val="24"/>
              </w:rPr>
              <w:t>27.11</w:t>
            </w:r>
            <w:r>
              <w:rPr>
                <w:szCs w:val="24"/>
              </w:rPr>
              <w:t>mg/</w:t>
            </w:r>
            <w:r>
              <w:t>m</w:t>
            </w:r>
            <w:r>
              <w:rPr>
                <w:vertAlign w:val="superscript"/>
              </w:rPr>
              <w:t>3</w:t>
            </w:r>
            <w:r>
              <w:rPr>
                <w:rFonts w:hint="eastAsia"/>
              </w:rPr>
              <w:t>；</w:t>
            </w:r>
            <w:r>
              <w:t>非甲烷总烃</w:t>
            </w:r>
            <w:r>
              <w:rPr>
                <w:szCs w:val="24"/>
              </w:rPr>
              <w:t>产生量为</w:t>
            </w:r>
            <w:r>
              <w:rPr>
                <w:rFonts w:hint="eastAsia"/>
                <w:szCs w:val="24"/>
              </w:rPr>
              <w:t>0.10</w:t>
            </w:r>
            <w:r>
              <w:rPr>
                <w:szCs w:val="24"/>
              </w:rPr>
              <w:t>t/a，产生浓度为</w:t>
            </w:r>
            <w:r>
              <w:rPr>
                <w:rFonts w:hint="eastAsia"/>
                <w:szCs w:val="24"/>
              </w:rPr>
              <w:t>1.76</w:t>
            </w:r>
            <w:r>
              <w:rPr>
                <w:szCs w:val="24"/>
              </w:rPr>
              <w:t>mg/</w:t>
            </w:r>
            <w:r>
              <w:t>m</w:t>
            </w:r>
            <w:r>
              <w:rPr>
                <w:vertAlign w:val="superscript"/>
              </w:rPr>
              <w:t>3</w:t>
            </w:r>
            <w:r>
              <w:rPr>
                <w:rFonts w:hint="eastAsia"/>
              </w:rPr>
              <w:t>；</w:t>
            </w:r>
            <w:r>
              <w:t>二甲苯</w:t>
            </w:r>
            <w:r>
              <w:rPr>
                <w:szCs w:val="24"/>
              </w:rPr>
              <w:t>产生量为</w:t>
            </w:r>
            <w:r>
              <w:rPr>
                <w:rFonts w:hint="eastAsia"/>
                <w:szCs w:val="24"/>
              </w:rPr>
              <w:t>0.13</w:t>
            </w:r>
            <w:r>
              <w:rPr>
                <w:szCs w:val="24"/>
              </w:rPr>
              <w:t>t/a，产生浓度为</w:t>
            </w:r>
            <w:r>
              <w:rPr>
                <w:rFonts w:hint="eastAsia"/>
                <w:szCs w:val="24"/>
              </w:rPr>
              <w:t>2.24</w:t>
            </w:r>
            <w:r>
              <w:rPr>
                <w:szCs w:val="24"/>
              </w:rPr>
              <w:t>mg/</w:t>
            </w:r>
            <w:r>
              <w:t>m</w:t>
            </w:r>
            <w:r>
              <w:rPr>
                <w:vertAlign w:val="superscript"/>
              </w:rPr>
              <w:t>3</w:t>
            </w:r>
            <w:r>
              <w:t>，处理后废气</w:t>
            </w:r>
            <w:r>
              <w:rPr>
                <w:szCs w:val="24"/>
              </w:rPr>
              <w:t>颗粒物排放量为</w:t>
            </w:r>
            <w:r>
              <w:rPr>
                <w:rFonts w:hint="eastAsia"/>
                <w:szCs w:val="24"/>
              </w:rPr>
              <w:t>0.24</w:t>
            </w:r>
            <w:r>
              <w:rPr>
                <w:szCs w:val="24"/>
              </w:rPr>
              <w:t>t/a，排放浓度为</w:t>
            </w:r>
            <w:r>
              <w:rPr>
                <w:rFonts w:hint="eastAsia"/>
                <w:szCs w:val="24"/>
              </w:rPr>
              <w:t>4.07</w:t>
            </w:r>
            <w:r>
              <w:rPr>
                <w:szCs w:val="24"/>
              </w:rPr>
              <w:t>mg/</w:t>
            </w:r>
            <w:r>
              <w:t>m</w:t>
            </w:r>
            <w:r>
              <w:rPr>
                <w:vertAlign w:val="superscript"/>
              </w:rPr>
              <w:t>3</w:t>
            </w:r>
            <w:r>
              <w:t>，排放速率为</w:t>
            </w:r>
            <w:r>
              <w:rPr>
                <w:rFonts w:hint="eastAsia"/>
              </w:rPr>
              <w:t>0.121</w:t>
            </w:r>
            <w:r>
              <w:t>kg/h，非甲烷总烃</w:t>
            </w:r>
            <w:r>
              <w:rPr>
                <w:szCs w:val="24"/>
              </w:rPr>
              <w:t>排放量为</w:t>
            </w:r>
            <w:r>
              <w:rPr>
                <w:rFonts w:hint="eastAsia"/>
                <w:szCs w:val="24"/>
              </w:rPr>
              <w:t>0.01</w:t>
            </w:r>
            <w:r>
              <w:rPr>
                <w:szCs w:val="24"/>
              </w:rPr>
              <w:t>t/a，</w:t>
            </w:r>
            <w:r>
              <w:t>排放</w:t>
            </w:r>
            <w:r>
              <w:rPr>
                <w:szCs w:val="24"/>
              </w:rPr>
              <w:t>浓度为</w:t>
            </w:r>
            <w:r>
              <w:rPr>
                <w:rFonts w:hint="eastAsia"/>
                <w:szCs w:val="24"/>
              </w:rPr>
              <w:t>0.16</w:t>
            </w:r>
            <w:r>
              <w:rPr>
                <w:szCs w:val="24"/>
              </w:rPr>
              <w:t>mg/</w:t>
            </w:r>
            <w:r>
              <w:t>m</w:t>
            </w:r>
            <w:r>
              <w:rPr>
                <w:vertAlign w:val="superscript"/>
              </w:rPr>
              <w:t>3</w:t>
            </w:r>
            <w:r>
              <w:t>，排放速率为</w:t>
            </w:r>
            <w:r>
              <w:rPr>
                <w:rFonts w:hint="eastAsia"/>
              </w:rPr>
              <w:t>0.005</w:t>
            </w:r>
            <w:r>
              <w:t>kg/h，</w:t>
            </w:r>
            <w:r>
              <w:rPr>
                <w:szCs w:val="24"/>
              </w:rPr>
              <w:t>二甲苯排放量为</w:t>
            </w:r>
            <w:r>
              <w:rPr>
                <w:rFonts w:hint="eastAsia"/>
                <w:szCs w:val="24"/>
              </w:rPr>
              <w:t>0.01</w:t>
            </w:r>
            <w:r>
              <w:rPr>
                <w:szCs w:val="24"/>
              </w:rPr>
              <w:t>t/a，排放浓度为</w:t>
            </w:r>
            <w:r>
              <w:rPr>
                <w:rFonts w:hint="eastAsia"/>
                <w:szCs w:val="24"/>
              </w:rPr>
              <w:t>0.22</w:t>
            </w:r>
            <w:r>
              <w:rPr>
                <w:szCs w:val="24"/>
              </w:rPr>
              <w:t>mg/</w:t>
            </w:r>
            <w:r>
              <w:t>m</w:t>
            </w:r>
            <w:r>
              <w:rPr>
                <w:vertAlign w:val="superscript"/>
              </w:rPr>
              <w:t>3</w:t>
            </w:r>
            <w:r>
              <w:t>，排放速率为</w:t>
            </w:r>
            <w:r>
              <w:rPr>
                <w:rFonts w:hint="eastAsia"/>
              </w:rPr>
              <w:t>0.007</w:t>
            </w:r>
            <w:r>
              <w:t>kg/h；</w:t>
            </w:r>
            <w:r>
              <w:rPr>
                <w:rFonts w:hint="eastAsia"/>
              </w:rPr>
              <w:t>颗粒物排放满足</w:t>
            </w:r>
            <w:r>
              <w:rPr>
                <w:szCs w:val="24"/>
              </w:rPr>
              <w:t>《大气污染物综合排放标准》（GB16297-1996）表2二级排放要求</w:t>
            </w:r>
            <w:r>
              <w:rPr>
                <w:rFonts w:hint="eastAsia"/>
                <w:szCs w:val="24"/>
              </w:rPr>
              <w:t>；非甲烷总烃、二甲苯</w:t>
            </w:r>
            <w:r>
              <w:rPr>
                <w:szCs w:val="24"/>
              </w:rPr>
              <w:t>满足《工业企业挥发性有机物排放控制标准》（DB13/2322-2016）表1表面涂装业最高允许排放浓度要求</w:t>
            </w:r>
            <w:r>
              <w:rPr>
                <w:rFonts w:hint="eastAsia"/>
                <w:szCs w:val="24"/>
              </w:rPr>
              <w:t>。</w:t>
            </w:r>
          </w:p>
          <w:p>
            <w:pPr>
              <w:spacing w:line="480" w:lineRule="exact"/>
              <w:ind w:firstLine="480" w:firstLineChars="200"/>
            </w:pPr>
            <w:r>
              <w:rPr>
                <w:sz w:val="24"/>
              </w:rPr>
              <w:t>喷漆房虽密闭，仍有极少量废气以无组织形式逸散，项目喷漆及晾干房无组织废气中非甲烷总烃排放量为0.001t/a，二甲苯排放量为0.001t/a，颗粒物排放量0.003t/a</w:t>
            </w:r>
            <w:r>
              <w:rPr>
                <w:rFonts w:hint="eastAsia"/>
                <w:sz w:val="24"/>
              </w:rPr>
              <w:t>，排放速率分别为0.002</w:t>
            </w:r>
            <w:r>
              <w:t>kg/h</w:t>
            </w:r>
            <w:r>
              <w:rPr>
                <w:rFonts w:hint="eastAsia"/>
              </w:rPr>
              <w:t>、0.0008</w:t>
            </w:r>
            <w:r>
              <w:t>kg/h</w:t>
            </w:r>
            <w:r>
              <w:rPr>
                <w:rFonts w:hint="eastAsia"/>
              </w:rPr>
              <w:t>、0.0008</w:t>
            </w:r>
            <w:r>
              <w:t>kg/h</w:t>
            </w:r>
            <w:r>
              <w:rPr>
                <w:rFonts w:hint="eastAsia"/>
              </w:rPr>
              <w:t>。</w:t>
            </w:r>
          </w:p>
          <w:p>
            <w:pPr>
              <w:spacing w:line="480" w:lineRule="exact"/>
              <w:ind w:firstLine="480" w:firstLineChars="200"/>
              <w:rPr>
                <w:sz w:val="24"/>
                <w:szCs w:val="24"/>
              </w:rPr>
            </w:pPr>
          </w:p>
          <w:p>
            <w:pPr>
              <w:spacing w:line="360" w:lineRule="auto"/>
              <w:ind w:firstLine="480" w:firstLineChars="200"/>
              <w:rPr>
                <w:sz w:val="24"/>
                <w:szCs w:val="24"/>
              </w:rPr>
            </w:pPr>
            <w:r>
              <w:rPr>
                <w:sz w:val="24"/>
                <w:szCs w:val="24"/>
              </w:rPr>
              <w:t>（</w:t>
            </w:r>
            <w:r>
              <w:rPr>
                <w:rFonts w:hint="eastAsia"/>
                <w:sz w:val="24"/>
                <w:szCs w:val="24"/>
              </w:rPr>
              <w:t>5</w:t>
            </w:r>
            <w:r>
              <w:rPr>
                <w:sz w:val="24"/>
                <w:szCs w:val="24"/>
              </w:rPr>
              <w:t>）预测结果分析与评价</w:t>
            </w:r>
          </w:p>
          <w:p>
            <w:pPr>
              <w:spacing w:line="360" w:lineRule="auto"/>
              <w:ind w:firstLine="480" w:firstLineChars="200"/>
              <w:rPr>
                <w:rFonts w:hint="eastAsia"/>
                <w:color w:val="FF0000"/>
                <w:sz w:val="24"/>
                <w:lang w:val="en-US" w:eastAsia="zh-CN"/>
              </w:rPr>
            </w:pPr>
            <w:r>
              <w:rPr>
                <w:rFonts w:hint="eastAsia"/>
                <w:color w:val="FF0000"/>
                <w:sz w:val="24"/>
                <w:lang w:eastAsia="zh-CN"/>
              </w:rPr>
              <w:t>本项目原环评中无组织废气主要为焊接烟尘，焊接烟尘的排放量为</w:t>
            </w:r>
            <w:r>
              <w:rPr>
                <w:rFonts w:hint="default" w:ascii="Times New Roman" w:hAnsi="Times New Roman" w:cs="Times New Roman"/>
                <w:color w:val="FF0000"/>
                <w:sz w:val="24"/>
                <w:lang w:val="en-US" w:eastAsia="zh-CN"/>
              </w:rPr>
              <w:t>7kg/a</w:t>
            </w:r>
            <w:r>
              <w:rPr>
                <w:rFonts w:hint="eastAsia" w:ascii="Times New Roman" w:hAnsi="Times New Roman" w:cs="Times New Roman"/>
                <w:color w:val="FF0000"/>
                <w:sz w:val="24"/>
                <w:lang w:val="en-US" w:eastAsia="zh-CN"/>
              </w:rPr>
              <w:t>，排放速率为0.003kg/h，技改项目</w:t>
            </w:r>
            <w:r>
              <w:rPr>
                <w:rFonts w:hint="eastAsia" w:cs="Times New Roman"/>
                <w:color w:val="FF0000"/>
                <w:sz w:val="24"/>
                <w:lang w:val="en-US" w:eastAsia="zh-CN"/>
              </w:rPr>
              <w:t>焊接烟尘排放量为0.001t/a，排放速率为0.001kg/h，</w:t>
            </w:r>
            <w:r>
              <w:rPr>
                <w:rFonts w:hint="eastAsia" w:ascii="Times New Roman" w:hAnsi="Times New Roman" w:cs="Times New Roman"/>
                <w:color w:val="FF0000"/>
                <w:sz w:val="24"/>
                <w:lang w:val="en-US" w:eastAsia="zh-CN"/>
              </w:rPr>
              <w:t>将技改项目新增焊接无组织颗粒物与原有项目焊接无组织颗粒物</w:t>
            </w:r>
            <w:r>
              <w:rPr>
                <w:rFonts w:hint="eastAsia"/>
                <w:color w:val="FF0000"/>
                <w:sz w:val="24"/>
                <w:lang w:eastAsia="zh-CN"/>
              </w:rPr>
              <w:t>叠加进行预测，叠加后源强为</w:t>
            </w:r>
            <w:r>
              <w:rPr>
                <w:rFonts w:hint="eastAsia"/>
                <w:color w:val="FF0000"/>
                <w:sz w:val="24"/>
                <w:lang w:val="en-US" w:eastAsia="zh-CN"/>
              </w:rPr>
              <w:t>0.004kg/h。</w:t>
            </w:r>
          </w:p>
          <w:p>
            <w:pPr>
              <w:spacing w:line="360" w:lineRule="auto"/>
              <w:ind w:firstLine="480" w:firstLineChars="200"/>
              <w:rPr>
                <w:sz w:val="24"/>
                <w:szCs w:val="24"/>
              </w:rPr>
            </w:pPr>
            <w:r>
              <w:rPr>
                <w:sz w:val="24"/>
                <w:szCs w:val="24"/>
              </w:rPr>
              <w:t>根据《环境影响评价技术导则 大气环境》（HJ2.2-2008）中的推荐模式计算拟建项目污染源对下风向不同距离处的地面浓度贡献情况进行了估算。</w:t>
            </w:r>
          </w:p>
          <w:p>
            <w:pPr>
              <w:keepNext/>
              <w:keepLines/>
              <w:spacing w:line="360" w:lineRule="auto"/>
              <w:jc w:val="center"/>
              <w:rPr>
                <w:b/>
                <w:bCs/>
                <w:szCs w:val="21"/>
              </w:rPr>
            </w:pPr>
            <w:r>
              <w:rPr>
                <w:b/>
                <w:bCs/>
                <w:szCs w:val="21"/>
              </w:rPr>
              <w:t>表</w:t>
            </w:r>
            <w:r>
              <w:rPr>
                <w:rFonts w:hint="eastAsia"/>
                <w:b/>
                <w:bCs/>
                <w:szCs w:val="21"/>
              </w:rPr>
              <w:t xml:space="preserve">21  </w:t>
            </w:r>
            <w:r>
              <w:rPr>
                <w:b/>
                <w:bCs/>
                <w:szCs w:val="21"/>
              </w:rPr>
              <w:t xml:space="preserve"> </w:t>
            </w:r>
            <w:r>
              <w:rPr>
                <w:rFonts w:hint="eastAsia"/>
                <w:b/>
                <w:bCs/>
                <w:szCs w:val="21"/>
              </w:rPr>
              <w:t>车间</w:t>
            </w:r>
            <w:r>
              <w:rPr>
                <w:b/>
                <w:bCs/>
                <w:szCs w:val="21"/>
              </w:rPr>
              <w:t>估算模式计算参数一览表（点源）</w:t>
            </w:r>
          </w:p>
          <w:tbl>
            <w:tblPr>
              <w:tblStyle w:val="31"/>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78"/>
              <w:gridCol w:w="1350"/>
              <w:gridCol w:w="945"/>
              <w:gridCol w:w="1127"/>
              <w:gridCol w:w="1069"/>
              <w:gridCol w:w="956"/>
              <w:gridCol w:w="831"/>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78" w:type="dxa"/>
                  <w:vAlign w:val="center"/>
                </w:tcPr>
                <w:p>
                  <w:pPr>
                    <w:spacing w:line="240" w:lineRule="atLeast"/>
                    <w:jc w:val="center"/>
                    <w:rPr>
                      <w:b/>
                      <w:bCs/>
                      <w:szCs w:val="21"/>
                    </w:rPr>
                  </w:pPr>
                  <w:r>
                    <w:rPr>
                      <w:b/>
                      <w:bCs/>
                      <w:szCs w:val="21"/>
                    </w:rPr>
                    <w:t>污染源</w:t>
                  </w:r>
                </w:p>
              </w:tc>
              <w:tc>
                <w:tcPr>
                  <w:tcW w:w="1350" w:type="dxa"/>
                  <w:vAlign w:val="center"/>
                </w:tcPr>
                <w:p>
                  <w:pPr>
                    <w:spacing w:line="240" w:lineRule="atLeast"/>
                    <w:jc w:val="center"/>
                    <w:rPr>
                      <w:b/>
                      <w:bCs/>
                      <w:szCs w:val="21"/>
                    </w:rPr>
                  </w:pPr>
                  <w:r>
                    <w:rPr>
                      <w:b/>
                      <w:bCs/>
                      <w:szCs w:val="21"/>
                    </w:rPr>
                    <w:t>污染物</w:t>
                  </w:r>
                </w:p>
              </w:tc>
              <w:tc>
                <w:tcPr>
                  <w:tcW w:w="945" w:type="dxa"/>
                  <w:vAlign w:val="center"/>
                </w:tcPr>
                <w:p>
                  <w:pPr>
                    <w:spacing w:line="240" w:lineRule="atLeast"/>
                    <w:jc w:val="center"/>
                    <w:rPr>
                      <w:b/>
                      <w:bCs/>
                      <w:szCs w:val="21"/>
                    </w:rPr>
                  </w:pPr>
                  <w:r>
                    <w:rPr>
                      <w:b/>
                      <w:bCs/>
                      <w:szCs w:val="21"/>
                    </w:rPr>
                    <w:t>排放</w:t>
                  </w:r>
                </w:p>
                <w:p>
                  <w:pPr>
                    <w:spacing w:line="240" w:lineRule="atLeast"/>
                    <w:jc w:val="center"/>
                    <w:rPr>
                      <w:b/>
                      <w:bCs/>
                      <w:szCs w:val="21"/>
                    </w:rPr>
                  </w:pPr>
                  <w:r>
                    <w:rPr>
                      <w:b/>
                      <w:bCs/>
                      <w:szCs w:val="21"/>
                    </w:rPr>
                    <w:t>方式</w:t>
                  </w:r>
                </w:p>
              </w:tc>
              <w:tc>
                <w:tcPr>
                  <w:tcW w:w="1127" w:type="dxa"/>
                  <w:vAlign w:val="center"/>
                </w:tcPr>
                <w:p>
                  <w:pPr>
                    <w:spacing w:line="240" w:lineRule="atLeast"/>
                    <w:jc w:val="center"/>
                    <w:rPr>
                      <w:b/>
                      <w:bCs/>
                      <w:szCs w:val="21"/>
                    </w:rPr>
                  </w:pPr>
                  <w:r>
                    <w:rPr>
                      <w:b/>
                      <w:bCs/>
                      <w:szCs w:val="21"/>
                    </w:rPr>
                    <w:t>排气量（m</w:t>
                  </w:r>
                  <w:r>
                    <w:rPr>
                      <w:b/>
                      <w:bCs/>
                      <w:szCs w:val="21"/>
                      <w:vertAlign w:val="superscript"/>
                    </w:rPr>
                    <w:t>3</w:t>
                  </w:r>
                  <w:r>
                    <w:rPr>
                      <w:b/>
                      <w:bCs/>
                      <w:szCs w:val="21"/>
                    </w:rPr>
                    <w:t>/h）</w:t>
                  </w:r>
                </w:p>
              </w:tc>
              <w:tc>
                <w:tcPr>
                  <w:tcW w:w="1069" w:type="dxa"/>
                  <w:vAlign w:val="center"/>
                </w:tcPr>
                <w:p>
                  <w:pPr>
                    <w:spacing w:line="240" w:lineRule="atLeast"/>
                    <w:jc w:val="center"/>
                    <w:rPr>
                      <w:b/>
                      <w:bCs/>
                      <w:szCs w:val="21"/>
                    </w:rPr>
                  </w:pPr>
                  <w:r>
                    <w:rPr>
                      <w:b/>
                      <w:bCs/>
                      <w:szCs w:val="21"/>
                    </w:rPr>
                    <w:t>排气筒高度（m）</w:t>
                  </w:r>
                </w:p>
              </w:tc>
              <w:tc>
                <w:tcPr>
                  <w:tcW w:w="956" w:type="dxa"/>
                  <w:vAlign w:val="center"/>
                </w:tcPr>
                <w:p>
                  <w:pPr>
                    <w:spacing w:line="240" w:lineRule="atLeast"/>
                    <w:jc w:val="center"/>
                    <w:rPr>
                      <w:b/>
                      <w:bCs/>
                      <w:szCs w:val="21"/>
                    </w:rPr>
                  </w:pPr>
                  <w:r>
                    <w:rPr>
                      <w:b/>
                      <w:bCs/>
                      <w:szCs w:val="21"/>
                    </w:rPr>
                    <w:t>温度（℃）</w:t>
                  </w:r>
                </w:p>
              </w:tc>
              <w:tc>
                <w:tcPr>
                  <w:tcW w:w="831" w:type="dxa"/>
                  <w:vAlign w:val="center"/>
                </w:tcPr>
                <w:p>
                  <w:pPr>
                    <w:spacing w:line="240" w:lineRule="atLeast"/>
                    <w:jc w:val="center"/>
                    <w:rPr>
                      <w:b/>
                      <w:bCs/>
                      <w:szCs w:val="21"/>
                    </w:rPr>
                  </w:pPr>
                  <w:r>
                    <w:rPr>
                      <w:b/>
                      <w:bCs/>
                      <w:szCs w:val="21"/>
                    </w:rPr>
                    <w:t>出口内径（m）</w:t>
                  </w:r>
                </w:p>
              </w:tc>
              <w:tc>
                <w:tcPr>
                  <w:tcW w:w="1045" w:type="dxa"/>
                  <w:vAlign w:val="center"/>
                </w:tcPr>
                <w:p>
                  <w:pPr>
                    <w:spacing w:line="240" w:lineRule="atLeast"/>
                    <w:jc w:val="center"/>
                    <w:rPr>
                      <w:b/>
                      <w:bCs/>
                      <w:szCs w:val="21"/>
                    </w:rPr>
                  </w:pPr>
                  <w:r>
                    <w:rPr>
                      <w:b/>
                      <w:bCs/>
                      <w:szCs w:val="21"/>
                    </w:rPr>
                    <w:t>源强（kg/h）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78" w:type="dxa"/>
                  <w:vAlign w:val="center"/>
                </w:tcPr>
                <w:p>
                  <w:pPr>
                    <w:spacing w:line="240" w:lineRule="atLeast"/>
                    <w:jc w:val="center"/>
                    <w:rPr>
                      <w:szCs w:val="21"/>
                    </w:rPr>
                  </w:pPr>
                  <w:r>
                    <w:rPr>
                      <w:rFonts w:hint="eastAsia"/>
                      <w:szCs w:val="21"/>
                    </w:rPr>
                    <w:t>切割粉尘（P1）</w:t>
                  </w:r>
                </w:p>
              </w:tc>
              <w:tc>
                <w:tcPr>
                  <w:tcW w:w="1350" w:type="dxa"/>
                  <w:vAlign w:val="center"/>
                </w:tcPr>
                <w:p>
                  <w:pPr>
                    <w:spacing w:line="240" w:lineRule="atLeast"/>
                    <w:jc w:val="center"/>
                    <w:rPr>
                      <w:szCs w:val="21"/>
                    </w:rPr>
                  </w:pPr>
                  <w:r>
                    <w:rPr>
                      <w:rFonts w:hint="eastAsia"/>
                      <w:szCs w:val="21"/>
                    </w:rPr>
                    <w:t>颗粒物</w:t>
                  </w:r>
                </w:p>
              </w:tc>
              <w:tc>
                <w:tcPr>
                  <w:tcW w:w="945" w:type="dxa"/>
                  <w:vAlign w:val="center"/>
                </w:tcPr>
                <w:p>
                  <w:pPr>
                    <w:spacing w:line="240" w:lineRule="atLeast"/>
                    <w:jc w:val="center"/>
                    <w:rPr>
                      <w:szCs w:val="21"/>
                    </w:rPr>
                  </w:pPr>
                  <w:r>
                    <w:rPr>
                      <w:szCs w:val="21"/>
                    </w:rPr>
                    <w:t>点源</w:t>
                  </w:r>
                </w:p>
              </w:tc>
              <w:tc>
                <w:tcPr>
                  <w:tcW w:w="1127" w:type="dxa"/>
                  <w:vAlign w:val="center"/>
                </w:tcPr>
                <w:p>
                  <w:pPr>
                    <w:spacing w:line="240" w:lineRule="atLeast"/>
                    <w:jc w:val="center"/>
                    <w:rPr>
                      <w:szCs w:val="21"/>
                    </w:rPr>
                  </w:pPr>
                  <w:r>
                    <w:rPr>
                      <w:rFonts w:hint="eastAsia"/>
                      <w:szCs w:val="21"/>
                    </w:rPr>
                    <w:t>20000</w:t>
                  </w:r>
                </w:p>
              </w:tc>
              <w:tc>
                <w:tcPr>
                  <w:tcW w:w="1069" w:type="dxa"/>
                  <w:vAlign w:val="center"/>
                </w:tcPr>
                <w:p>
                  <w:pPr>
                    <w:spacing w:line="240" w:lineRule="atLeast"/>
                    <w:jc w:val="center"/>
                    <w:rPr>
                      <w:szCs w:val="21"/>
                    </w:rPr>
                  </w:pPr>
                  <w:r>
                    <w:rPr>
                      <w:szCs w:val="21"/>
                    </w:rPr>
                    <w:t>15</w:t>
                  </w:r>
                </w:p>
              </w:tc>
              <w:tc>
                <w:tcPr>
                  <w:tcW w:w="956" w:type="dxa"/>
                  <w:vAlign w:val="center"/>
                </w:tcPr>
                <w:p>
                  <w:pPr>
                    <w:spacing w:line="240" w:lineRule="atLeast"/>
                    <w:jc w:val="center"/>
                    <w:rPr>
                      <w:szCs w:val="21"/>
                    </w:rPr>
                  </w:pPr>
                  <w:r>
                    <w:rPr>
                      <w:rFonts w:hint="eastAsia"/>
                      <w:szCs w:val="21"/>
                    </w:rPr>
                    <w:t>30</w:t>
                  </w:r>
                </w:p>
              </w:tc>
              <w:tc>
                <w:tcPr>
                  <w:tcW w:w="831" w:type="dxa"/>
                  <w:vAlign w:val="center"/>
                </w:tcPr>
                <w:p>
                  <w:pPr>
                    <w:spacing w:line="240" w:lineRule="atLeast"/>
                    <w:jc w:val="center"/>
                    <w:rPr>
                      <w:szCs w:val="21"/>
                    </w:rPr>
                  </w:pPr>
                  <w:r>
                    <w:rPr>
                      <w:rFonts w:hint="eastAsia"/>
                      <w:szCs w:val="21"/>
                    </w:rPr>
                    <w:t>0.5</w:t>
                  </w:r>
                </w:p>
              </w:tc>
              <w:tc>
                <w:tcPr>
                  <w:tcW w:w="1045" w:type="dxa"/>
                  <w:vAlign w:val="center"/>
                </w:tcPr>
                <w:p>
                  <w:pPr>
                    <w:spacing w:line="240" w:lineRule="atLeast"/>
                    <w:jc w:val="center"/>
                    <w:rPr>
                      <w:szCs w:val="21"/>
                    </w:rPr>
                  </w:pPr>
                  <w:r>
                    <w:rPr>
                      <w:rFonts w:hint="eastAsia"/>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78" w:type="dxa"/>
                  <w:vAlign w:val="center"/>
                </w:tcPr>
                <w:p>
                  <w:pPr>
                    <w:spacing w:line="240" w:lineRule="atLeast"/>
                    <w:jc w:val="center"/>
                    <w:rPr>
                      <w:szCs w:val="21"/>
                    </w:rPr>
                  </w:pPr>
                  <w:r>
                    <w:rPr>
                      <w:rFonts w:hint="eastAsia"/>
                      <w:szCs w:val="21"/>
                    </w:rPr>
                    <w:t>回火炉废气（P2）</w:t>
                  </w:r>
                </w:p>
              </w:tc>
              <w:tc>
                <w:tcPr>
                  <w:tcW w:w="1350" w:type="dxa"/>
                  <w:vAlign w:val="center"/>
                </w:tcPr>
                <w:p>
                  <w:pPr>
                    <w:spacing w:line="240" w:lineRule="atLeast"/>
                    <w:jc w:val="center"/>
                    <w:rPr>
                      <w:szCs w:val="21"/>
                    </w:rPr>
                  </w:pPr>
                  <w:r>
                    <w:rPr>
                      <w:szCs w:val="21"/>
                    </w:rPr>
                    <w:t>非甲烷总烃</w:t>
                  </w:r>
                </w:p>
              </w:tc>
              <w:tc>
                <w:tcPr>
                  <w:tcW w:w="945" w:type="dxa"/>
                  <w:vAlign w:val="center"/>
                </w:tcPr>
                <w:p>
                  <w:pPr>
                    <w:spacing w:line="240" w:lineRule="atLeast"/>
                    <w:jc w:val="center"/>
                    <w:rPr>
                      <w:szCs w:val="21"/>
                    </w:rPr>
                  </w:pPr>
                  <w:r>
                    <w:rPr>
                      <w:szCs w:val="21"/>
                    </w:rPr>
                    <w:t>点源</w:t>
                  </w:r>
                </w:p>
              </w:tc>
              <w:tc>
                <w:tcPr>
                  <w:tcW w:w="1127" w:type="dxa"/>
                  <w:vAlign w:val="center"/>
                </w:tcPr>
                <w:p>
                  <w:pPr>
                    <w:spacing w:line="240" w:lineRule="atLeast"/>
                    <w:jc w:val="center"/>
                    <w:rPr>
                      <w:szCs w:val="21"/>
                    </w:rPr>
                  </w:pPr>
                  <w:r>
                    <w:rPr>
                      <w:rFonts w:hint="eastAsia"/>
                      <w:szCs w:val="21"/>
                    </w:rPr>
                    <w:t>5000</w:t>
                  </w:r>
                </w:p>
              </w:tc>
              <w:tc>
                <w:tcPr>
                  <w:tcW w:w="1069" w:type="dxa"/>
                  <w:vAlign w:val="center"/>
                </w:tcPr>
                <w:p>
                  <w:pPr>
                    <w:spacing w:line="240" w:lineRule="atLeast"/>
                    <w:jc w:val="center"/>
                    <w:rPr>
                      <w:szCs w:val="21"/>
                    </w:rPr>
                  </w:pPr>
                  <w:r>
                    <w:rPr>
                      <w:rFonts w:hint="eastAsia"/>
                      <w:szCs w:val="21"/>
                    </w:rPr>
                    <w:t>15</w:t>
                  </w:r>
                </w:p>
              </w:tc>
              <w:tc>
                <w:tcPr>
                  <w:tcW w:w="956" w:type="dxa"/>
                  <w:vAlign w:val="center"/>
                </w:tcPr>
                <w:p>
                  <w:pPr>
                    <w:spacing w:line="240" w:lineRule="atLeast"/>
                    <w:jc w:val="center"/>
                    <w:rPr>
                      <w:szCs w:val="21"/>
                    </w:rPr>
                  </w:pPr>
                  <w:r>
                    <w:rPr>
                      <w:rFonts w:hint="eastAsia"/>
                      <w:szCs w:val="21"/>
                    </w:rPr>
                    <w:t>60</w:t>
                  </w:r>
                </w:p>
              </w:tc>
              <w:tc>
                <w:tcPr>
                  <w:tcW w:w="831" w:type="dxa"/>
                  <w:vAlign w:val="center"/>
                </w:tcPr>
                <w:p>
                  <w:pPr>
                    <w:spacing w:line="240" w:lineRule="atLeast"/>
                    <w:jc w:val="center"/>
                    <w:rPr>
                      <w:szCs w:val="21"/>
                    </w:rPr>
                  </w:pPr>
                  <w:r>
                    <w:rPr>
                      <w:rFonts w:hint="eastAsia"/>
                      <w:szCs w:val="21"/>
                    </w:rPr>
                    <w:t>0.2</w:t>
                  </w:r>
                </w:p>
              </w:tc>
              <w:tc>
                <w:tcPr>
                  <w:tcW w:w="1045" w:type="dxa"/>
                  <w:vAlign w:val="center"/>
                </w:tcPr>
                <w:p>
                  <w:pPr>
                    <w:spacing w:line="240" w:lineRule="atLeast"/>
                    <w:jc w:val="center"/>
                    <w:rPr>
                      <w:szCs w:val="21"/>
                    </w:rPr>
                  </w:pPr>
                  <w:r>
                    <w:rPr>
                      <w:rFonts w:hint="eastAsia"/>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78" w:type="dxa"/>
                  <w:vMerge w:val="restart"/>
                  <w:vAlign w:val="center"/>
                </w:tcPr>
                <w:p>
                  <w:pPr>
                    <w:spacing w:line="240" w:lineRule="atLeast"/>
                    <w:jc w:val="center"/>
                    <w:rPr>
                      <w:szCs w:val="21"/>
                    </w:rPr>
                  </w:pPr>
                  <w:r>
                    <w:rPr>
                      <w:rFonts w:hint="eastAsia"/>
                      <w:szCs w:val="21"/>
                    </w:rPr>
                    <w:t>喷晾漆废气（P3）</w:t>
                  </w:r>
                </w:p>
              </w:tc>
              <w:tc>
                <w:tcPr>
                  <w:tcW w:w="1350" w:type="dxa"/>
                  <w:vAlign w:val="center"/>
                </w:tcPr>
                <w:p>
                  <w:pPr>
                    <w:spacing w:line="340" w:lineRule="exact"/>
                    <w:jc w:val="center"/>
                    <w:rPr>
                      <w:szCs w:val="21"/>
                    </w:rPr>
                  </w:pPr>
                  <w:r>
                    <w:rPr>
                      <w:szCs w:val="21"/>
                    </w:rPr>
                    <w:t>颗粒物</w:t>
                  </w:r>
                </w:p>
              </w:tc>
              <w:tc>
                <w:tcPr>
                  <w:tcW w:w="945" w:type="dxa"/>
                  <w:vMerge w:val="restart"/>
                  <w:vAlign w:val="center"/>
                </w:tcPr>
                <w:p>
                  <w:pPr>
                    <w:spacing w:line="240" w:lineRule="atLeast"/>
                    <w:jc w:val="center"/>
                    <w:rPr>
                      <w:szCs w:val="21"/>
                    </w:rPr>
                  </w:pPr>
                  <w:r>
                    <w:rPr>
                      <w:szCs w:val="21"/>
                    </w:rPr>
                    <w:t>点源</w:t>
                  </w:r>
                </w:p>
              </w:tc>
              <w:tc>
                <w:tcPr>
                  <w:tcW w:w="1127" w:type="dxa"/>
                  <w:vMerge w:val="restart"/>
                  <w:vAlign w:val="center"/>
                </w:tcPr>
                <w:p>
                  <w:pPr>
                    <w:spacing w:line="240" w:lineRule="atLeast"/>
                    <w:jc w:val="center"/>
                    <w:rPr>
                      <w:szCs w:val="21"/>
                    </w:rPr>
                  </w:pPr>
                  <w:r>
                    <w:rPr>
                      <w:rFonts w:hint="eastAsia"/>
                      <w:szCs w:val="21"/>
                    </w:rPr>
                    <w:t>30000</w:t>
                  </w:r>
                </w:p>
              </w:tc>
              <w:tc>
                <w:tcPr>
                  <w:tcW w:w="1069" w:type="dxa"/>
                  <w:vMerge w:val="restart"/>
                  <w:vAlign w:val="center"/>
                </w:tcPr>
                <w:p>
                  <w:pPr>
                    <w:spacing w:line="240" w:lineRule="atLeast"/>
                    <w:jc w:val="center"/>
                    <w:rPr>
                      <w:szCs w:val="21"/>
                    </w:rPr>
                  </w:pPr>
                  <w:r>
                    <w:rPr>
                      <w:rFonts w:hint="eastAsia"/>
                      <w:szCs w:val="21"/>
                    </w:rPr>
                    <w:t>15</w:t>
                  </w:r>
                </w:p>
              </w:tc>
              <w:tc>
                <w:tcPr>
                  <w:tcW w:w="956" w:type="dxa"/>
                  <w:vMerge w:val="restart"/>
                  <w:vAlign w:val="center"/>
                </w:tcPr>
                <w:p>
                  <w:pPr>
                    <w:spacing w:line="240" w:lineRule="atLeast"/>
                    <w:jc w:val="center"/>
                    <w:rPr>
                      <w:szCs w:val="21"/>
                    </w:rPr>
                  </w:pPr>
                  <w:r>
                    <w:rPr>
                      <w:rFonts w:hint="eastAsia"/>
                      <w:szCs w:val="21"/>
                    </w:rPr>
                    <w:t>30</w:t>
                  </w:r>
                </w:p>
              </w:tc>
              <w:tc>
                <w:tcPr>
                  <w:tcW w:w="831" w:type="dxa"/>
                  <w:vMerge w:val="restart"/>
                  <w:vAlign w:val="center"/>
                </w:tcPr>
                <w:p>
                  <w:pPr>
                    <w:spacing w:line="240" w:lineRule="atLeast"/>
                    <w:jc w:val="center"/>
                    <w:rPr>
                      <w:szCs w:val="21"/>
                    </w:rPr>
                  </w:pPr>
                  <w:r>
                    <w:rPr>
                      <w:rFonts w:hint="eastAsia"/>
                      <w:szCs w:val="21"/>
                    </w:rPr>
                    <w:t>0.5</w:t>
                  </w:r>
                </w:p>
              </w:tc>
              <w:tc>
                <w:tcPr>
                  <w:tcW w:w="1045" w:type="dxa"/>
                  <w:vAlign w:val="center"/>
                </w:tcPr>
                <w:p>
                  <w:pPr>
                    <w:spacing w:line="240" w:lineRule="atLeast"/>
                    <w:jc w:val="center"/>
                    <w:rPr>
                      <w:szCs w:val="21"/>
                    </w:rPr>
                  </w:pPr>
                  <w:r>
                    <w:rPr>
                      <w:rFonts w:hint="eastAsia"/>
                      <w:szCs w:val="21"/>
                    </w:rPr>
                    <w:t>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78" w:type="dxa"/>
                  <w:vMerge w:val="continue"/>
                  <w:vAlign w:val="center"/>
                </w:tcPr>
                <w:p>
                  <w:pPr>
                    <w:spacing w:line="240" w:lineRule="atLeast"/>
                    <w:jc w:val="center"/>
                    <w:rPr>
                      <w:szCs w:val="21"/>
                    </w:rPr>
                  </w:pPr>
                </w:p>
              </w:tc>
              <w:tc>
                <w:tcPr>
                  <w:tcW w:w="1350" w:type="dxa"/>
                  <w:vAlign w:val="center"/>
                </w:tcPr>
                <w:p>
                  <w:pPr>
                    <w:spacing w:line="340" w:lineRule="exact"/>
                    <w:jc w:val="center"/>
                    <w:rPr>
                      <w:szCs w:val="21"/>
                    </w:rPr>
                  </w:pPr>
                  <w:r>
                    <w:rPr>
                      <w:szCs w:val="21"/>
                    </w:rPr>
                    <w:t>非甲烷总烃</w:t>
                  </w:r>
                </w:p>
              </w:tc>
              <w:tc>
                <w:tcPr>
                  <w:tcW w:w="945" w:type="dxa"/>
                  <w:vMerge w:val="continue"/>
                  <w:vAlign w:val="center"/>
                </w:tcPr>
                <w:p>
                  <w:pPr>
                    <w:spacing w:line="240" w:lineRule="atLeast"/>
                    <w:jc w:val="center"/>
                    <w:rPr>
                      <w:szCs w:val="21"/>
                    </w:rPr>
                  </w:pPr>
                </w:p>
              </w:tc>
              <w:tc>
                <w:tcPr>
                  <w:tcW w:w="1127" w:type="dxa"/>
                  <w:vMerge w:val="continue"/>
                  <w:vAlign w:val="center"/>
                </w:tcPr>
                <w:p>
                  <w:pPr>
                    <w:spacing w:line="240" w:lineRule="atLeast"/>
                    <w:jc w:val="center"/>
                    <w:rPr>
                      <w:szCs w:val="21"/>
                    </w:rPr>
                  </w:pPr>
                </w:p>
              </w:tc>
              <w:tc>
                <w:tcPr>
                  <w:tcW w:w="1069" w:type="dxa"/>
                  <w:vMerge w:val="continue"/>
                  <w:vAlign w:val="center"/>
                </w:tcPr>
                <w:p>
                  <w:pPr>
                    <w:spacing w:line="240" w:lineRule="atLeast"/>
                    <w:jc w:val="center"/>
                    <w:rPr>
                      <w:szCs w:val="21"/>
                    </w:rPr>
                  </w:pPr>
                </w:p>
              </w:tc>
              <w:tc>
                <w:tcPr>
                  <w:tcW w:w="956" w:type="dxa"/>
                  <w:vMerge w:val="continue"/>
                  <w:vAlign w:val="center"/>
                </w:tcPr>
                <w:p>
                  <w:pPr>
                    <w:spacing w:line="240" w:lineRule="atLeast"/>
                    <w:jc w:val="center"/>
                    <w:rPr>
                      <w:szCs w:val="21"/>
                    </w:rPr>
                  </w:pPr>
                </w:p>
              </w:tc>
              <w:tc>
                <w:tcPr>
                  <w:tcW w:w="831" w:type="dxa"/>
                  <w:vMerge w:val="continue"/>
                  <w:vAlign w:val="center"/>
                </w:tcPr>
                <w:p>
                  <w:pPr>
                    <w:spacing w:line="240" w:lineRule="atLeast"/>
                    <w:jc w:val="center"/>
                    <w:rPr>
                      <w:szCs w:val="21"/>
                    </w:rPr>
                  </w:pPr>
                </w:p>
              </w:tc>
              <w:tc>
                <w:tcPr>
                  <w:tcW w:w="1045" w:type="dxa"/>
                  <w:vAlign w:val="center"/>
                </w:tcPr>
                <w:p>
                  <w:pPr>
                    <w:spacing w:line="240" w:lineRule="atLeast"/>
                    <w:jc w:val="center"/>
                    <w:rPr>
                      <w:szCs w:val="21"/>
                    </w:rPr>
                  </w:pPr>
                  <w:r>
                    <w:rPr>
                      <w:rFonts w:hint="eastAsia"/>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78" w:type="dxa"/>
                  <w:vMerge w:val="continue"/>
                  <w:vAlign w:val="center"/>
                </w:tcPr>
                <w:p>
                  <w:pPr>
                    <w:spacing w:line="240" w:lineRule="atLeast"/>
                    <w:jc w:val="center"/>
                    <w:rPr>
                      <w:szCs w:val="21"/>
                    </w:rPr>
                  </w:pPr>
                </w:p>
              </w:tc>
              <w:tc>
                <w:tcPr>
                  <w:tcW w:w="1350" w:type="dxa"/>
                  <w:vAlign w:val="center"/>
                </w:tcPr>
                <w:p>
                  <w:pPr>
                    <w:spacing w:line="340" w:lineRule="exact"/>
                    <w:jc w:val="center"/>
                    <w:rPr>
                      <w:szCs w:val="21"/>
                    </w:rPr>
                  </w:pPr>
                  <w:r>
                    <w:rPr>
                      <w:szCs w:val="21"/>
                    </w:rPr>
                    <w:t>二甲苯</w:t>
                  </w:r>
                </w:p>
              </w:tc>
              <w:tc>
                <w:tcPr>
                  <w:tcW w:w="945" w:type="dxa"/>
                  <w:vMerge w:val="continue"/>
                  <w:vAlign w:val="center"/>
                </w:tcPr>
                <w:p>
                  <w:pPr>
                    <w:spacing w:line="240" w:lineRule="atLeast"/>
                    <w:jc w:val="center"/>
                    <w:rPr>
                      <w:szCs w:val="21"/>
                    </w:rPr>
                  </w:pPr>
                </w:p>
              </w:tc>
              <w:tc>
                <w:tcPr>
                  <w:tcW w:w="1127" w:type="dxa"/>
                  <w:vMerge w:val="continue"/>
                  <w:vAlign w:val="center"/>
                </w:tcPr>
                <w:p>
                  <w:pPr>
                    <w:spacing w:line="240" w:lineRule="atLeast"/>
                    <w:jc w:val="center"/>
                    <w:rPr>
                      <w:szCs w:val="21"/>
                    </w:rPr>
                  </w:pPr>
                </w:p>
              </w:tc>
              <w:tc>
                <w:tcPr>
                  <w:tcW w:w="1069" w:type="dxa"/>
                  <w:vMerge w:val="continue"/>
                  <w:vAlign w:val="center"/>
                </w:tcPr>
                <w:p>
                  <w:pPr>
                    <w:spacing w:line="240" w:lineRule="atLeast"/>
                    <w:jc w:val="center"/>
                    <w:rPr>
                      <w:szCs w:val="21"/>
                    </w:rPr>
                  </w:pPr>
                </w:p>
              </w:tc>
              <w:tc>
                <w:tcPr>
                  <w:tcW w:w="956" w:type="dxa"/>
                  <w:vMerge w:val="continue"/>
                  <w:vAlign w:val="center"/>
                </w:tcPr>
                <w:p>
                  <w:pPr>
                    <w:spacing w:line="240" w:lineRule="atLeast"/>
                    <w:jc w:val="center"/>
                    <w:rPr>
                      <w:szCs w:val="21"/>
                    </w:rPr>
                  </w:pPr>
                </w:p>
              </w:tc>
              <w:tc>
                <w:tcPr>
                  <w:tcW w:w="831" w:type="dxa"/>
                  <w:vMerge w:val="continue"/>
                  <w:vAlign w:val="center"/>
                </w:tcPr>
                <w:p>
                  <w:pPr>
                    <w:spacing w:line="240" w:lineRule="atLeast"/>
                    <w:jc w:val="center"/>
                    <w:rPr>
                      <w:szCs w:val="21"/>
                    </w:rPr>
                  </w:pPr>
                </w:p>
              </w:tc>
              <w:tc>
                <w:tcPr>
                  <w:tcW w:w="1045" w:type="dxa"/>
                  <w:vAlign w:val="center"/>
                </w:tcPr>
                <w:p>
                  <w:pPr>
                    <w:spacing w:line="240" w:lineRule="atLeast"/>
                    <w:jc w:val="center"/>
                    <w:rPr>
                      <w:szCs w:val="21"/>
                    </w:rPr>
                  </w:pPr>
                  <w:r>
                    <w:rPr>
                      <w:rFonts w:hint="eastAsia"/>
                      <w:szCs w:val="21"/>
                    </w:rPr>
                    <w:t>0.007</w:t>
                  </w:r>
                </w:p>
              </w:tc>
            </w:tr>
          </w:tbl>
          <w:p>
            <w:pPr>
              <w:keepNext/>
              <w:keepLines/>
              <w:spacing w:line="360" w:lineRule="auto"/>
              <w:jc w:val="center"/>
              <w:rPr>
                <w:b/>
                <w:bCs/>
                <w:szCs w:val="21"/>
              </w:rPr>
            </w:pPr>
            <w:r>
              <w:rPr>
                <w:b/>
                <w:bCs/>
                <w:szCs w:val="21"/>
              </w:rPr>
              <w:t>表</w:t>
            </w:r>
            <w:r>
              <w:rPr>
                <w:rFonts w:hint="eastAsia"/>
                <w:b/>
                <w:bCs/>
                <w:szCs w:val="21"/>
              </w:rPr>
              <w:t>21</w:t>
            </w:r>
            <w:r>
              <w:rPr>
                <w:b/>
                <w:bCs/>
                <w:szCs w:val="21"/>
              </w:rPr>
              <w:t xml:space="preserve"> </w:t>
            </w:r>
            <w:r>
              <w:rPr>
                <w:rFonts w:hint="eastAsia"/>
                <w:b/>
                <w:bCs/>
                <w:szCs w:val="21"/>
              </w:rPr>
              <w:t xml:space="preserve">   车间</w:t>
            </w:r>
            <w:r>
              <w:rPr>
                <w:b/>
                <w:bCs/>
                <w:szCs w:val="21"/>
              </w:rPr>
              <w:t>估算模式计算参数一览表（</w:t>
            </w:r>
            <w:r>
              <w:rPr>
                <w:rFonts w:hint="eastAsia"/>
                <w:b/>
                <w:bCs/>
                <w:szCs w:val="21"/>
              </w:rPr>
              <w:t>面</w:t>
            </w:r>
            <w:r>
              <w:rPr>
                <w:b/>
                <w:bCs/>
                <w:szCs w:val="21"/>
              </w:rPr>
              <w:t>源）</w:t>
            </w:r>
          </w:p>
          <w:tbl>
            <w:tblPr>
              <w:tblStyle w:val="31"/>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337"/>
              <w:gridCol w:w="1624"/>
              <w:gridCol w:w="1399"/>
              <w:gridCol w:w="1302"/>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Align w:val="center"/>
                </w:tcPr>
                <w:p>
                  <w:pPr>
                    <w:autoSpaceDE w:val="0"/>
                    <w:autoSpaceDN w:val="0"/>
                    <w:adjustRightInd w:val="0"/>
                    <w:spacing w:line="240" w:lineRule="atLeast"/>
                    <w:jc w:val="center"/>
                    <w:rPr>
                      <w:b/>
                      <w:bCs/>
                      <w:szCs w:val="21"/>
                    </w:rPr>
                  </w:pPr>
                  <w:r>
                    <w:rPr>
                      <w:b/>
                      <w:bCs/>
                      <w:szCs w:val="21"/>
                    </w:rPr>
                    <w:t>污染源</w:t>
                  </w:r>
                </w:p>
              </w:tc>
              <w:tc>
                <w:tcPr>
                  <w:tcW w:w="1337" w:type="dxa"/>
                  <w:vAlign w:val="center"/>
                </w:tcPr>
                <w:p>
                  <w:pPr>
                    <w:autoSpaceDE w:val="0"/>
                    <w:autoSpaceDN w:val="0"/>
                    <w:adjustRightInd w:val="0"/>
                    <w:spacing w:line="240" w:lineRule="atLeast"/>
                    <w:jc w:val="center"/>
                    <w:rPr>
                      <w:b/>
                      <w:bCs/>
                      <w:szCs w:val="21"/>
                    </w:rPr>
                  </w:pPr>
                  <w:r>
                    <w:rPr>
                      <w:b/>
                      <w:bCs/>
                      <w:szCs w:val="21"/>
                    </w:rPr>
                    <w:t>污染源类型</w:t>
                  </w:r>
                </w:p>
              </w:tc>
              <w:tc>
                <w:tcPr>
                  <w:tcW w:w="1624" w:type="dxa"/>
                  <w:vAlign w:val="center"/>
                </w:tcPr>
                <w:p>
                  <w:pPr>
                    <w:autoSpaceDE w:val="0"/>
                    <w:autoSpaceDN w:val="0"/>
                    <w:adjustRightInd w:val="0"/>
                    <w:spacing w:line="240" w:lineRule="atLeast"/>
                    <w:jc w:val="center"/>
                    <w:rPr>
                      <w:b/>
                      <w:bCs/>
                      <w:szCs w:val="21"/>
                    </w:rPr>
                  </w:pPr>
                  <w:r>
                    <w:rPr>
                      <w:b/>
                      <w:bCs/>
                      <w:szCs w:val="21"/>
                    </w:rPr>
                    <w:t>污染物</w:t>
                  </w:r>
                </w:p>
              </w:tc>
              <w:tc>
                <w:tcPr>
                  <w:tcW w:w="1399" w:type="dxa"/>
                  <w:vAlign w:val="center"/>
                </w:tcPr>
                <w:p>
                  <w:pPr>
                    <w:autoSpaceDE w:val="0"/>
                    <w:autoSpaceDN w:val="0"/>
                    <w:adjustRightInd w:val="0"/>
                    <w:spacing w:line="240" w:lineRule="atLeast"/>
                    <w:jc w:val="center"/>
                    <w:rPr>
                      <w:b/>
                      <w:bCs/>
                      <w:szCs w:val="21"/>
                    </w:rPr>
                  </w:pPr>
                  <w:r>
                    <w:rPr>
                      <w:b/>
                      <w:bCs/>
                      <w:szCs w:val="21"/>
                    </w:rPr>
                    <w:t>排放速率</w:t>
                  </w:r>
                </w:p>
                <w:p>
                  <w:pPr>
                    <w:autoSpaceDE w:val="0"/>
                    <w:autoSpaceDN w:val="0"/>
                    <w:adjustRightInd w:val="0"/>
                    <w:spacing w:line="240" w:lineRule="atLeast"/>
                    <w:jc w:val="center"/>
                    <w:rPr>
                      <w:b/>
                      <w:bCs/>
                      <w:szCs w:val="21"/>
                    </w:rPr>
                  </w:pPr>
                  <w:r>
                    <w:rPr>
                      <w:b/>
                      <w:bCs/>
                      <w:kern w:val="0"/>
                      <w:szCs w:val="21"/>
                    </w:rPr>
                    <w:t>（kg/h）</w:t>
                  </w:r>
                </w:p>
              </w:tc>
              <w:tc>
                <w:tcPr>
                  <w:tcW w:w="1302" w:type="dxa"/>
                  <w:vAlign w:val="center"/>
                </w:tcPr>
                <w:p>
                  <w:pPr>
                    <w:autoSpaceDE w:val="0"/>
                    <w:autoSpaceDN w:val="0"/>
                    <w:adjustRightInd w:val="0"/>
                    <w:spacing w:line="240" w:lineRule="atLeast"/>
                    <w:jc w:val="center"/>
                    <w:rPr>
                      <w:b/>
                      <w:bCs/>
                      <w:szCs w:val="21"/>
                    </w:rPr>
                  </w:pPr>
                  <w:r>
                    <w:rPr>
                      <w:b/>
                      <w:bCs/>
                      <w:szCs w:val="21"/>
                    </w:rPr>
                    <w:t>排放高度（m）</w:t>
                  </w:r>
                </w:p>
              </w:tc>
              <w:tc>
                <w:tcPr>
                  <w:tcW w:w="2008" w:type="dxa"/>
                  <w:vAlign w:val="center"/>
                </w:tcPr>
                <w:p>
                  <w:pPr>
                    <w:adjustRightInd w:val="0"/>
                    <w:spacing w:line="240" w:lineRule="atLeast"/>
                    <w:jc w:val="center"/>
                    <w:rPr>
                      <w:b/>
                      <w:bCs/>
                      <w:szCs w:val="21"/>
                    </w:rPr>
                  </w:pPr>
                  <w:r>
                    <w:rPr>
                      <w:b/>
                      <w:bCs/>
                      <w:szCs w:val="21"/>
                    </w:rPr>
                    <w:t>面源</w:t>
                  </w:r>
                </w:p>
                <w:p>
                  <w:pPr>
                    <w:adjustRightInd w:val="0"/>
                    <w:spacing w:line="240" w:lineRule="atLeast"/>
                    <w:jc w:val="center"/>
                    <w:rPr>
                      <w:b/>
                      <w:bCs/>
                      <w:szCs w:val="21"/>
                    </w:rPr>
                  </w:pPr>
                  <w:r>
                    <w:rPr>
                      <w:b/>
                      <w:bCs/>
                      <w:szCs w:val="21"/>
                    </w:rPr>
                    <w:t>长×宽（m）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vAlign w:val="center"/>
                </w:tcPr>
                <w:p>
                  <w:pPr>
                    <w:autoSpaceDE w:val="0"/>
                    <w:autoSpaceDN w:val="0"/>
                    <w:adjustRightInd w:val="0"/>
                    <w:spacing w:line="240" w:lineRule="atLeast"/>
                    <w:jc w:val="center"/>
                    <w:rPr>
                      <w:szCs w:val="21"/>
                    </w:rPr>
                  </w:pPr>
                  <w:r>
                    <w:rPr>
                      <w:rFonts w:hint="eastAsia"/>
                      <w:szCs w:val="21"/>
                    </w:rPr>
                    <w:t>喷晾漆及切割</w:t>
                  </w:r>
                </w:p>
              </w:tc>
              <w:tc>
                <w:tcPr>
                  <w:tcW w:w="1337" w:type="dxa"/>
                  <w:vMerge w:val="restart"/>
                  <w:vAlign w:val="center"/>
                </w:tcPr>
                <w:p>
                  <w:pPr>
                    <w:autoSpaceDE w:val="0"/>
                    <w:autoSpaceDN w:val="0"/>
                    <w:adjustRightInd w:val="0"/>
                    <w:spacing w:line="240" w:lineRule="atLeast"/>
                    <w:jc w:val="center"/>
                    <w:rPr>
                      <w:szCs w:val="21"/>
                    </w:rPr>
                  </w:pPr>
                  <w:r>
                    <w:rPr>
                      <w:rFonts w:hint="eastAsia"/>
                      <w:szCs w:val="21"/>
                    </w:rPr>
                    <w:t>面源</w:t>
                  </w:r>
                </w:p>
              </w:tc>
              <w:tc>
                <w:tcPr>
                  <w:tcW w:w="1624" w:type="dxa"/>
                  <w:vAlign w:val="center"/>
                </w:tcPr>
                <w:p>
                  <w:pPr>
                    <w:spacing w:line="340" w:lineRule="exact"/>
                    <w:jc w:val="center"/>
                    <w:rPr>
                      <w:szCs w:val="21"/>
                    </w:rPr>
                  </w:pPr>
                  <w:r>
                    <w:rPr>
                      <w:szCs w:val="21"/>
                    </w:rPr>
                    <w:t>颗粒物</w:t>
                  </w:r>
                </w:p>
              </w:tc>
              <w:tc>
                <w:tcPr>
                  <w:tcW w:w="1399" w:type="dxa"/>
                  <w:vAlign w:val="center"/>
                </w:tcPr>
                <w:p>
                  <w:pPr>
                    <w:spacing w:line="240" w:lineRule="atLeast"/>
                    <w:jc w:val="center"/>
                    <w:rPr>
                      <w:szCs w:val="21"/>
                    </w:rPr>
                  </w:pPr>
                  <w:r>
                    <w:rPr>
                      <w:rFonts w:hint="eastAsia"/>
                      <w:szCs w:val="21"/>
                    </w:rPr>
                    <w:t>0.007</w:t>
                  </w:r>
                </w:p>
              </w:tc>
              <w:tc>
                <w:tcPr>
                  <w:tcW w:w="1302" w:type="dxa"/>
                  <w:vMerge w:val="restart"/>
                  <w:vAlign w:val="center"/>
                </w:tcPr>
                <w:p>
                  <w:pPr>
                    <w:autoSpaceDE w:val="0"/>
                    <w:autoSpaceDN w:val="0"/>
                    <w:adjustRightInd w:val="0"/>
                    <w:spacing w:line="240" w:lineRule="atLeast"/>
                    <w:jc w:val="center"/>
                    <w:rPr>
                      <w:szCs w:val="21"/>
                    </w:rPr>
                  </w:pPr>
                  <w:r>
                    <w:rPr>
                      <w:rFonts w:hint="eastAsia"/>
                      <w:szCs w:val="21"/>
                    </w:rPr>
                    <w:t>8</w:t>
                  </w:r>
                </w:p>
              </w:tc>
              <w:tc>
                <w:tcPr>
                  <w:tcW w:w="2008" w:type="dxa"/>
                  <w:vMerge w:val="restart"/>
                  <w:vAlign w:val="center"/>
                </w:tcPr>
                <w:p>
                  <w:pPr>
                    <w:autoSpaceDE w:val="0"/>
                    <w:autoSpaceDN w:val="0"/>
                    <w:adjustRightInd w:val="0"/>
                    <w:spacing w:line="240" w:lineRule="atLeast"/>
                    <w:jc w:val="center"/>
                    <w:rPr>
                      <w:szCs w:val="21"/>
                    </w:rPr>
                  </w:pPr>
                  <w:r>
                    <w:rPr>
                      <w:rFonts w:hint="eastAsia"/>
                      <w:szCs w:val="21"/>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vAlign w:val="center"/>
                </w:tcPr>
                <w:p>
                  <w:pPr>
                    <w:autoSpaceDE w:val="0"/>
                    <w:autoSpaceDN w:val="0"/>
                    <w:adjustRightInd w:val="0"/>
                    <w:spacing w:line="240" w:lineRule="atLeast"/>
                    <w:jc w:val="center"/>
                    <w:rPr>
                      <w:szCs w:val="21"/>
                    </w:rPr>
                  </w:pPr>
                </w:p>
              </w:tc>
              <w:tc>
                <w:tcPr>
                  <w:tcW w:w="1337" w:type="dxa"/>
                  <w:vMerge w:val="continue"/>
                  <w:vAlign w:val="center"/>
                </w:tcPr>
                <w:p>
                  <w:pPr>
                    <w:autoSpaceDE w:val="0"/>
                    <w:autoSpaceDN w:val="0"/>
                    <w:adjustRightInd w:val="0"/>
                    <w:spacing w:line="240" w:lineRule="atLeast"/>
                    <w:jc w:val="center"/>
                    <w:rPr>
                      <w:szCs w:val="21"/>
                    </w:rPr>
                  </w:pPr>
                </w:p>
              </w:tc>
              <w:tc>
                <w:tcPr>
                  <w:tcW w:w="1624" w:type="dxa"/>
                  <w:vAlign w:val="center"/>
                </w:tcPr>
                <w:p>
                  <w:pPr>
                    <w:spacing w:line="340" w:lineRule="exact"/>
                    <w:jc w:val="center"/>
                    <w:rPr>
                      <w:szCs w:val="21"/>
                    </w:rPr>
                  </w:pPr>
                  <w:r>
                    <w:rPr>
                      <w:szCs w:val="21"/>
                    </w:rPr>
                    <w:t>非甲烷总烃</w:t>
                  </w:r>
                </w:p>
              </w:tc>
              <w:tc>
                <w:tcPr>
                  <w:tcW w:w="1399" w:type="dxa"/>
                  <w:vAlign w:val="center"/>
                </w:tcPr>
                <w:p>
                  <w:pPr>
                    <w:spacing w:line="240" w:lineRule="atLeast"/>
                    <w:jc w:val="center"/>
                    <w:rPr>
                      <w:szCs w:val="21"/>
                    </w:rPr>
                  </w:pPr>
                  <w:r>
                    <w:rPr>
                      <w:rFonts w:hint="eastAsia"/>
                      <w:szCs w:val="21"/>
                    </w:rPr>
                    <w:t>0.0008</w:t>
                  </w:r>
                </w:p>
              </w:tc>
              <w:tc>
                <w:tcPr>
                  <w:tcW w:w="1302" w:type="dxa"/>
                  <w:vMerge w:val="continue"/>
                  <w:vAlign w:val="center"/>
                </w:tcPr>
                <w:p>
                  <w:pPr>
                    <w:autoSpaceDE w:val="0"/>
                    <w:autoSpaceDN w:val="0"/>
                    <w:adjustRightInd w:val="0"/>
                    <w:spacing w:line="240" w:lineRule="atLeast"/>
                    <w:jc w:val="center"/>
                    <w:rPr>
                      <w:szCs w:val="21"/>
                    </w:rPr>
                  </w:pPr>
                </w:p>
              </w:tc>
              <w:tc>
                <w:tcPr>
                  <w:tcW w:w="2008" w:type="dxa"/>
                  <w:vMerge w:val="continue"/>
                  <w:vAlign w:val="center"/>
                </w:tcPr>
                <w:p>
                  <w:pPr>
                    <w:autoSpaceDE w:val="0"/>
                    <w:autoSpaceDN w:val="0"/>
                    <w:adjustRightInd w:val="0"/>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1" w:type="dxa"/>
                  <w:vMerge w:val="continue"/>
                  <w:vAlign w:val="center"/>
                </w:tcPr>
                <w:p>
                  <w:pPr>
                    <w:autoSpaceDE w:val="0"/>
                    <w:autoSpaceDN w:val="0"/>
                    <w:adjustRightInd w:val="0"/>
                    <w:spacing w:line="240" w:lineRule="atLeast"/>
                    <w:jc w:val="center"/>
                    <w:rPr>
                      <w:szCs w:val="21"/>
                    </w:rPr>
                  </w:pPr>
                </w:p>
              </w:tc>
              <w:tc>
                <w:tcPr>
                  <w:tcW w:w="1337" w:type="dxa"/>
                  <w:vMerge w:val="continue"/>
                  <w:vAlign w:val="center"/>
                </w:tcPr>
                <w:p>
                  <w:pPr>
                    <w:autoSpaceDE w:val="0"/>
                    <w:autoSpaceDN w:val="0"/>
                    <w:adjustRightInd w:val="0"/>
                    <w:spacing w:line="240" w:lineRule="atLeast"/>
                    <w:jc w:val="center"/>
                    <w:rPr>
                      <w:szCs w:val="21"/>
                    </w:rPr>
                  </w:pPr>
                </w:p>
              </w:tc>
              <w:tc>
                <w:tcPr>
                  <w:tcW w:w="1624" w:type="dxa"/>
                  <w:vAlign w:val="center"/>
                </w:tcPr>
                <w:p>
                  <w:pPr>
                    <w:spacing w:line="340" w:lineRule="exact"/>
                    <w:jc w:val="center"/>
                    <w:rPr>
                      <w:szCs w:val="21"/>
                    </w:rPr>
                  </w:pPr>
                  <w:r>
                    <w:rPr>
                      <w:szCs w:val="21"/>
                    </w:rPr>
                    <w:t>二甲苯</w:t>
                  </w:r>
                </w:p>
              </w:tc>
              <w:tc>
                <w:tcPr>
                  <w:tcW w:w="1399" w:type="dxa"/>
                  <w:vAlign w:val="center"/>
                </w:tcPr>
                <w:p>
                  <w:pPr>
                    <w:spacing w:line="240" w:lineRule="atLeast"/>
                    <w:jc w:val="center"/>
                    <w:rPr>
                      <w:szCs w:val="21"/>
                    </w:rPr>
                  </w:pPr>
                  <w:r>
                    <w:rPr>
                      <w:rFonts w:hint="eastAsia"/>
                      <w:szCs w:val="21"/>
                    </w:rPr>
                    <w:t>0.0008</w:t>
                  </w:r>
                </w:p>
              </w:tc>
              <w:tc>
                <w:tcPr>
                  <w:tcW w:w="1302" w:type="dxa"/>
                  <w:vMerge w:val="continue"/>
                  <w:vAlign w:val="center"/>
                </w:tcPr>
                <w:p>
                  <w:pPr>
                    <w:autoSpaceDE w:val="0"/>
                    <w:autoSpaceDN w:val="0"/>
                    <w:adjustRightInd w:val="0"/>
                    <w:spacing w:line="240" w:lineRule="atLeast"/>
                    <w:jc w:val="center"/>
                    <w:rPr>
                      <w:szCs w:val="21"/>
                    </w:rPr>
                  </w:pPr>
                </w:p>
              </w:tc>
              <w:tc>
                <w:tcPr>
                  <w:tcW w:w="2008" w:type="dxa"/>
                  <w:vMerge w:val="continue"/>
                  <w:vAlign w:val="center"/>
                </w:tcPr>
                <w:p>
                  <w:pPr>
                    <w:autoSpaceDE w:val="0"/>
                    <w:autoSpaceDN w:val="0"/>
                    <w:adjustRightInd w:val="0"/>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Align w:val="center"/>
                </w:tcPr>
                <w:p>
                  <w:pPr>
                    <w:autoSpaceDE w:val="0"/>
                    <w:autoSpaceDN w:val="0"/>
                    <w:adjustRightInd w:val="0"/>
                    <w:spacing w:line="240" w:lineRule="atLeast"/>
                    <w:jc w:val="center"/>
                    <w:rPr>
                      <w:szCs w:val="21"/>
                    </w:rPr>
                  </w:pPr>
                  <w:r>
                    <w:rPr>
                      <w:rFonts w:hint="eastAsia"/>
                      <w:szCs w:val="21"/>
                    </w:rPr>
                    <w:t>总装车间（热处理）</w:t>
                  </w:r>
                </w:p>
              </w:tc>
              <w:tc>
                <w:tcPr>
                  <w:tcW w:w="1337" w:type="dxa"/>
                  <w:vAlign w:val="center"/>
                </w:tcPr>
                <w:p>
                  <w:pPr>
                    <w:autoSpaceDE w:val="0"/>
                    <w:autoSpaceDN w:val="0"/>
                    <w:adjustRightInd w:val="0"/>
                    <w:spacing w:line="240" w:lineRule="atLeast"/>
                    <w:jc w:val="center"/>
                    <w:rPr>
                      <w:szCs w:val="21"/>
                    </w:rPr>
                  </w:pPr>
                  <w:r>
                    <w:rPr>
                      <w:rFonts w:hint="eastAsia"/>
                      <w:szCs w:val="21"/>
                    </w:rPr>
                    <w:t>面源</w:t>
                  </w:r>
                </w:p>
              </w:tc>
              <w:tc>
                <w:tcPr>
                  <w:tcW w:w="1624" w:type="dxa"/>
                  <w:vAlign w:val="center"/>
                </w:tcPr>
                <w:p>
                  <w:pPr>
                    <w:spacing w:line="240" w:lineRule="atLeast"/>
                    <w:jc w:val="center"/>
                    <w:rPr>
                      <w:szCs w:val="21"/>
                    </w:rPr>
                  </w:pPr>
                  <w:r>
                    <w:rPr>
                      <w:szCs w:val="21"/>
                    </w:rPr>
                    <w:t>非甲烷总烃</w:t>
                  </w:r>
                </w:p>
              </w:tc>
              <w:tc>
                <w:tcPr>
                  <w:tcW w:w="1399" w:type="dxa"/>
                  <w:vAlign w:val="center"/>
                </w:tcPr>
                <w:p>
                  <w:pPr>
                    <w:spacing w:line="240" w:lineRule="atLeast"/>
                    <w:jc w:val="center"/>
                    <w:rPr>
                      <w:szCs w:val="21"/>
                    </w:rPr>
                  </w:pPr>
                  <w:r>
                    <w:rPr>
                      <w:rFonts w:hint="eastAsia"/>
                      <w:szCs w:val="21"/>
                    </w:rPr>
                    <w:t>0.006</w:t>
                  </w:r>
                </w:p>
              </w:tc>
              <w:tc>
                <w:tcPr>
                  <w:tcW w:w="1302" w:type="dxa"/>
                  <w:vAlign w:val="center"/>
                </w:tcPr>
                <w:p>
                  <w:pPr>
                    <w:autoSpaceDE w:val="0"/>
                    <w:autoSpaceDN w:val="0"/>
                    <w:adjustRightInd w:val="0"/>
                    <w:spacing w:line="240" w:lineRule="atLeast"/>
                    <w:jc w:val="center"/>
                    <w:rPr>
                      <w:szCs w:val="21"/>
                    </w:rPr>
                  </w:pPr>
                  <w:r>
                    <w:rPr>
                      <w:rFonts w:hint="eastAsia"/>
                      <w:szCs w:val="21"/>
                    </w:rPr>
                    <w:t>10</w:t>
                  </w:r>
                </w:p>
              </w:tc>
              <w:tc>
                <w:tcPr>
                  <w:tcW w:w="2008" w:type="dxa"/>
                  <w:vAlign w:val="center"/>
                </w:tcPr>
                <w:p>
                  <w:pPr>
                    <w:autoSpaceDE w:val="0"/>
                    <w:autoSpaceDN w:val="0"/>
                    <w:adjustRightInd w:val="0"/>
                    <w:spacing w:line="240" w:lineRule="atLeast"/>
                    <w:jc w:val="center"/>
                    <w:rPr>
                      <w:szCs w:val="21"/>
                    </w:rPr>
                  </w:pPr>
                  <w:r>
                    <w:rPr>
                      <w:rFonts w:hint="eastAsia"/>
                      <w:szCs w:val="21"/>
                    </w:rPr>
                    <w:t>100×10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Align w:val="center"/>
                </w:tcPr>
                <w:p>
                  <w:pPr>
                    <w:autoSpaceDE w:val="0"/>
                    <w:autoSpaceDN w:val="0"/>
                    <w:adjustRightInd w:val="0"/>
                    <w:spacing w:line="240" w:lineRule="atLeast"/>
                    <w:jc w:val="center"/>
                    <w:rPr>
                      <w:szCs w:val="21"/>
                    </w:rPr>
                  </w:pPr>
                  <w:r>
                    <w:rPr>
                      <w:rFonts w:hint="eastAsia"/>
                      <w:szCs w:val="21"/>
                    </w:rPr>
                    <w:t>焊接</w:t>
                  </w:r>
                </w:p>
              </w:tc>
              <w:tc>
                <w:tcPr>
                  <w:tcW w:w="1337" w:type="dxa"/>
                  <w:vAlign w:val="center"/>
                </w:tcPr>
                <w:p>
                  <w:pPr>
                    <w:autoSpaceDE w:val="0"/>
                    <w:autoSpaceDN w:val="0"/>
                    <w:adjustRightInd w:val="0"/>
                    <w:spacing w:line="240" w:lineRule="atLeast"/>
                    <w:jc w:val="center"/>
                    <w:rPr>
                      <w:szCs w:val="21"/>
                    </w:rPr>
                  </w:pPr>
                  <w:r>
                    <w:rPr>
                      <w:rFonts w:hint="eastAsia"/>
                      <w:szCs w:val="21"/>
                    </w:rPr>
                    <w:t>面源</w:t>
                  </w:r>
                </w:p>
              </w:tc>
              <w:tc>
                <w:tcPr>
                  <w:tcW w:w="1624" w:type="dxa"/>
                  <w:vAlign w:val="center"/>
                </w:tcPr>
                <w:p>
                  <w:pPr>
                    <w:spacing w:line="240" w:lineRule="atLeast"/>
                    <w:jc w:val="center"/>
                    <w:rPr>
                      <w:szCs w:val="21"/>
                    </w:rPr>
                  </w:pPr>
                  <w:r>
                    <w:rPr>
                      <w:rFonts w:hint="eastAsia"/>
                      <w:szCs w:val="21"/>
                    </w:rPr>
                    <w:t>颗粒物</w:t>
                  </w:r>
                </w:p>
              </w:tc>
              <w:tc>
                <w:tcPr>
                  <w:tcW w:w="1399" w:type="dxa"/>
                  <w:vAlign w:val="center"/>
                </w:tcPr>
                <w:p>
                  <w:pPr>
                    <w:spacing w:line="240" w:lineRule="atLeast"/>
                    <w:jc w:val="center"/>
                    <w:rPr>
                      <w:szCs w:val="21"/>
                    </w:rPr>
                  </w:pPr>
                  <w:r>
                    <w:rPr>
                      <w:rFonts w:hint="eastAsia"/>
                      <w:szCs w:val="21"/>
                    </w:rPr>
                    <w:t>0.00</w:t>
                  </w:r>
                  <w:r>
                    <w:rPr>
                      <w:rFonts w:hint="eastAsia"/>
                      <w:szCs w:val="21"/>
                      <w:lang w:val="en-US" w:eastAsia="zh-CN"/>
                    </w:rPr>
                    <w:t>4</w:t>
                  </w:r>
                </w:p>
              </w:tc>
              <w:tc>
                <w:tcPr>
                  <w:tcW w:w="1302" w:type="dxa"/>
                  <w:vAlign w:val="center"/>
                </w:tcPr>
                <w:p>
                  <w:pPr>
                    <w:autoSpaceDE w:val="0"/>
                    <w:autoSpaceDN w:val="0"/>
                    <w:adjustRightInd w:val="0"/>
                    <w:spacing w:line="240" w:lineRule="atLeast"/>
                    <w:jc w:val="center"/>
                    <w:rPr>
                      <w:szCs w:val="21"/>
                    </w:rPr>
                  </w:pPr>
                  <w:r>
                    <w:rPr>
                      <w:rFonts w:hint="eastAsia"/>
                      <w:szCs w:val="21"/>
                    </w:rPr>
                    <w:t>10</w:t>
                  </w:r>
                </w:p>
              </w:tc>
              <w:tc>
                <w:tcPr>
                  <w:tcW w:w="2008" w:type="dxa"/>
                  <w:vAlign w:val="center"/>
                </w:tcPr>
                <w:p>
                  <w:pPr>
                    <w:autoSpaceDE w:val="0"/>
                    <w:autoSpaceDN w:val="0"/>
                    <w:adjustRightInd w:val="0"/>
                    <w:spacing w:line="240" w:lineRule="atLeast"/>
                    <w:jc w:val="center"/>
                    <w:rPr>
                      <w:szCs w:val="21"/>
                    </w:rPr>
                  </w:pPr>
                  <w:r>
                    <w:rPr>
                      <w:rFonts w:hint="eastAsia"/>
                      <w:szCs w:val="21"/>
                    </w:rPr>
                    <w:t>120×63</w:t>
                  </w:r>
                </w:p>
              </w:tc>
            </w:tr>
          </w:tbl>
          <w:p>
            <w:pPr>
              <w:spacing w:line="480" w:lineRule="exact"/>
              <w:jc w:val="center"/>
              <w:rPr>
                <w:b/>
                <w:bCs/>
              </w:rPr>
            </w:pPr>
            <w:r>
              <w:rPr>
                <w:b/>
                <w:bCs/>
              </w:rPr>
              <w:t>表</w:t>
            </w:r>
            <w:r>
              <w:rPr>
                <w:rFonts w:hint="eastAsia"/>
                <w:b/>
                <w:bCs/>
              </w:rPr>
              <w:t xml:space="preserve">22-1   </w:t>
            </w:r>
            <w:r>
              <w:rPr>
                <w:b/>
                <w:bCs/>
              </w:rPr>
              <w:t xml:space="preserve"> </w:t>
            </w:r>
            <w:r>
              <w:rPr>
                <w:rFonts w:hint="eastAsia"/>
                <w:b/>
                <w:bCs/>
              </w:rPr>
              <w:t>车间</w:t>
            </w:r>
            <w:r>
              <w:rPr>
                <w:b/>
                <w:bCs/>
              </w:rPr>
              <w:t>点源废气估算模式计算结果一览表</w:t>
            </w:r>
          </w:p>
          <w:tbl>
            <w:tblPr>
              <w:tblStyle w:val="31"/>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05"/>
              <w:gridCol w:w="1953"/>
              <w:gridCol w:w="1525"/>
              <w:gridCol w:w="2041"/>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005" w:type="dxa"/>
                  <w:vMerge w:val="restart"/>
                  <w:vAlign w:val="center"/>
                </w:tcPr>
                <w:p>
                  <w:pPr>
                    <w:spacing w:line="240" w:lineRule="exact"/>
                    <w:jc w:val="center"/>
                    <w:rPr>
                      <w:b/>
                      <w:bCs/>
                      <w:szCs w:val="21"/>
                    </w:rPr>
                  </w:pPr>
                  <w:r>
                    <w:rPr>
                      <w:b/>
                      <w:bCs/>
                      <w:szCs w:val="21"/>
                    </w:rPr>
                    <w:t>距离排气筒距离D(m)</w:t>
                  </w:r>
                </w:p>
              </w:tc>
              <w:tc>
                <w:tcPr>
                  <w:tcW w:w="3478" w:type="dxa"/>
                  <w:gridSpan w:val="2"/>
                  <w:vAlign w:val="center"/>
                </w:tcPr>
                <w:p>
                  <w:pPr>
                    <w:spacing w:line="240" w:lineRule="exact"/>
                    <w:jc w:val="center"/>
                    <w:rPr>
                      <w:b/>
                      <w:bCs/>
                      <w:szCs w:val="21"/>
                    </w:rPr>
                  </w:pPr>
                  <w:r>
                    <w:rPr>
                      <w:b/>
                      <w:bCs/>
                      <w:szCs w:val="21"/>
                    </w:rPr>
                    <w:t>切割粉尘（P1）</w:t>
                  </w:r>
                </w:p>
              </w:tc>
              <w:tc>
                <w:tcPr>
                  <w:tcW w:w="3518" w:type="dxa"/>
                  <w:gridSpan w:val="2"/>
                  <w:vAlign w:val="center"/>
                </w:tcPr>
                <w:p>
                  <w:pPr>
                    <w:spacing w:line="240" w:lineRule="exact"/>
                    <w:jc w:val="center"/>
                    <w:rPr>
                      <w:b/>
                      <w:bCs/>
                      <w:szCs w:val="21"/>
                    </w:rPr>
                  </w:pPr>
                  <w:r>
                    <w:rPr>
                      <w:b/>
                      <w:bCs/>
                      <w:szCs w:val="21"/>
                    </w:rPr>
                    <w:t>回火炉废气（P2）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005" w:type="dxa"/>
                  <w:vMerge w:val="continue"/>
                  <w:vAlign w:val="center"/>
                </w:tcPr>
                <w:p>
                  <w:pPr>
                    <w:spacing w:line="240" w:lineRule="exact"/>
                    <w:jc w:val="center"/>
                    <w:rPr>
                      <w:b/>
                      <w:bCs/>
                      <w:szCs w:val="21"/>
                    </w:rPr>
                  </w:pPr>
                </w:p>
              </w:tc>
              <w:tc>
                <w:tcPr>
                  <w:tcW w:w="3478" w:type="dxa"/>
                  <w:gridSpan w:val="2"/>
                  <w:vAlign w:val="center"/>
                </w:tcPr>
                <w:p>
                  <w:pPr>
                    <w:spacing w:line="240" w:lineRule="exact"/>
                    <w:jc w:val="center"/>
                    <w:rPr>
                      <w:b/>
                      <w:bCs/>
                      <w:szCs w:val="21"/>
                    </w:rPr>
                  </w:pPr>
                  <w:r>
                    <w:rPr>
                      <w:b/>
                      <w:bCs/>
                      <w:szCs w:val="21"/>
                    </w:rPr>
                    <w:t>颗粒物</w:t>
                  </w:r>
                </w:p>
              </w:tc>
              <w:tc>
                <w:tcPr>
                  <w:tcW w:w="3518" w:type="dxa"/>
                  <w:gridSpan w:val="2"/>
                  <w:vAlign w:val="center"/>
                </w:tcPr>
                <w:p>
                  <w:pPr>
                    <w:spacing w:line="240" w:lineRule="exact"/>
                    <w:jc w:val="center"/>
                    <w:rPr>
                      <w:b/>
                      <w:bCs/>
                      <w:szCs w:val="21"/>
                    </w:rPr>
                  </w:pPr>
                  <w:r>
                    <w:rPr>
                      <w:b/>
                      <w:bCs/>
                      <w:szCs w:val="21"/>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005" w:type="dxa"/>
                  <w:vMerge w:val="continue"/>
                  <w:vAlign w:val="center"/>
                </w:tcPr>
                <w:p>
                  <w:pPr>
                    <w:spacing w:line="240" w:lineRule="exact"/>
                    <w:jc w:val="center"/>
                    <w:rPr>
                      <w:b/>
                      <w:bCs/>
                      <w:szCs w:val="21"/>
                    </w:rPr>
                  </w:pPr>
                </w:p>
              </w:tc>
              <w:tc>
                <w:tcPr>
                  <w:tcW w:w="1953" w:type="dxa"/>
                  <w:vAlign w:val="center"/>
                </w:tcPr>
                <w:p>
                  <w:pPr>
                    <w:spacing w:line="240" w:lineRule="exact"/>
                    <w:jc w:val="center"/>
                    <w:rPr>
                      <w:b/>
                      <w:bCs/>
                      <w:szCs w:val="21"/>
                    </w:rPr>
                  </w:pPr>
                  <w:r>
                    <w:rPr>
                      <w:b/>
                      <w:bCs/>
                      <w:szCs w:val="21"/>
                    </w:rPr>
                    <w:t>C</w:t>
                  </w:r>
                  <w:r>
                    <w:rPr>
                      <w:b/>
                      <w:bCs/>
                      <w:szCs w:val="21"/>
                      <w:vertAlign w:val="subscript"/>
                    </w:rPr>
                    <w:t>i1</w:t>
                  </w:r>
                  <w:r>
                    <w:rPr>
                      <w:b/>
                      <w:bCs/>
                      <w:szCs w:val="21"/>
                    </w:rPr>
                    <w:t>(mg/m</w:t>
                  </w:r>
                  <w:r>
                    <w:rPr>
                      <w:b/>
                      <w:bCs/>
                      <w:szCs w:val="21"/>
                      <w:vertAlign w:val="superscript"/>
                    </w:rPr>
                    <w:t>3</w:t>
                  </w:r>
                  <w:r>
                    <w:rPr>
                      <w:b/>
                      <w:bCs/>
                      <w:szCs w:val="21"/>
                    </w:rPr>
                    <w:t>)</w:t>
                  </w:r>
                </w:p>
              </w:tc>
              <w:tc>
                <w:tcPr>
                  <w:tcW w:w="1525" w:type="dxa"/>
                  <w:vAlign w:val="center"/>
                </w:tcPr>
                <w:p>
                  <w:pPr>
                    <w:spacing w:line="240" w:lineRule="exact"/>
                    <w:jc w:val="center"/>
                    <w:rPr>
                      <w:b/>
                      <w:bCs/>
                      <w:szCs w:val="21"/>
                    </w:rPr>
                  </w:pPr>
                  <w:r>
                    <w:rPr>
                      <w:b/>
                      <w:bCs/>
                      <w:szCs w:val="21"/>
                    </w:rPr>
                    <w:t>P</w:t>
                  </w:r>
                  <w:r>
                    <w:rPr>
                      <w:b/>
                      <w:bCs/>
                      <w:szCs w:val="21"/>
                      <w:vertAlign w:val="subscript"/>
                    </w:rPr>
                    <w:t>i1</w:t>
                  </w:r>
                  <w:r>
                    <w:rPr>
                      <w:b/>
                      <w:bCs/>
                      <w:szCs w:val="21"/>
                    </w:rPr>
                    <w:t>(%)</w:t>
                  </w:r>
                </w:p>
              </w:tc>
              <w:tc>
                <w:tcPr>
                  <w:tcW w:w="2041" w:type="dxa"/>
                  <w:vAlign w:val="center"/>
                </w:tcPr>
                <w:p>
                  <w:pPr>
                    <w:spacing w:line="240" w:lineRule="exact"/>
                    <w:jc w:val="center"/>
                    <w:rPr>
                      <w:b/>
                      <w:bCs/>
                      <w:szCs w:val="21"/>
                    </w:rPr>
                  </w:pPr>
                  <w:r>
                    <w:rPr>
                      <w:b/>
                      <w:bCs/>
                      <w:szCs w:val="21"/>
                    </w:rPr>
                    <w:t>C</w:t>
                  </w:r>
                  <w:r>
                    <w:rPr>
                      <w:b/>
                      <w:bCs/>
                      <w:szCs w:val="21"/>
                      <w:vertAlign w:val="subscript"/>
                    </w:rPr>
                    <w:t>i2</w:t>
                  </w:r>
                  <w:r>
                    <w:rPr>
                      <w:b/>
                      <w:bCs/>
                      <w:szCs w:val="21"/>
                    </w:rPr>
                    <w:t>(mg/m</w:t>
                  </w:r>
                  <w:r>
                    <w:rPr>
                      <w:b/>
                      <w:bCs/>
                      <w:szCs w:val="21"/>
                      <w:vertAlign w:val="superscript"/>
                    </w:rPr>
                    <w:t>3</w:t>
                  </w:r>
                  <w:r>
                    <w:rPr>
                      <w:b/>
                      <w:bCs/>
                      <w:szCs w:val="21"/>
                    </w:rPr>
                    <w:t>)</w:t>
                  </w:r>
                </w:p>
              </w:tc>
              <w:tc>
                <w:tcPr>
                  <w:tcW w:w="1477" w:type="dxa"/>
                  <w:vAlign w:val="center"/>
                </w:tcPr>
                <w:p>
                  <w:pPr>
                    <w:spacing w:line="240" w:lineRule="exact"/>
                    <w:jc w:val="center"/>
                    <w:rPr>
                      <w:b/>
                      <w:bCs/>
                      <w:szCs w:val="21"/>
                    </w:rPr>
                  </w:pPr>
                  <w:r>
                    <w:rPr>
                      <w:b/>
                      <w:bCs/>
                      <w:szCs w:val="21"/>
                    </w:rPr>
                    <w:t>P</w:t>
                  </w:r>
                  <w:r>
                    <w:rPr>
                      <w:b/>
                      <w:bCs/>
                      <w:szCs w:val="21"/>
                      <w:vertAlign w:val="subscript"/>
                    </w:rPr>
                    <w:t>i2</w:t>
                  </w:r>
                  <w:r>
                    <w:rPr>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trPr>
              <w:tc>
                <w:tcPr>
                  <w:tcW w:w="2005" w:type="dxa"/>
                  <w:vAlign w:val="center"/>
                </w:tcPr>
                <w:p>
                  <w:pPr>
                    <w:spacing w:line="240" w:lineRule="exact"/>
                    <w:jc w:val="center"/>
                    <w:rPr>
                      <w:szCs w:val="21"/>
                    </w:rPr>
                  </w:pPr>
                  <w:r>
                    <w:rPr>
                      <w:szCs w:val="21"/>
                    </w:rPr>
                    <w:t>10</w:t>
                  </w:r>
                </w:p>
              </w:tc>
              <w:tc>
                <w:tcPr>
                  <w:tcW w:w="1953" w:type="dxa"/>
                  <w:vAlign w:val="center"/>
                </w:tcPr>
                <w:p>
                  <w:pPr>
                    <w:widowControl/>
                    <w:jc w:val="center"/>
                    <w:textAlignment w:val="center"/>
                    <w:rPr>
                      <w:szCs w:val="21"/>
                    </w:rPr>
                  </w:pPr>
                  <w:r>
                    <w:rPr>
                      <w:kern w:val="0"/>
                      <w:szCs w:val="21"/>
                    </w:rPr>
                    <w:t>3.506E-17</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1.523E-20</w:t>
                  </w:r>
                </w:p>
              </w:tc>
              <w:tc>
                <w:tcPr>
                  <w:tcW w:w="14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100</w:t>
                  </w:r>
                </w:p>
              </w:tc>
              <w:tc>
                <w:tcPr>
                  <w:tcW w:w="1953" w:type="dxa"/>
                  <w:vAlign w:val="center"/>
                </w:tcPr>
                <w:p>
                  <w:pPr>
                    <w:widowControl/>
                    <w:jc w:val="center"/>
                    <w:textAlignment w:val="center"/>
                    <w:rPr>
                      <w:szCs w:val="21"/>
                    </w:rPr>
                  </w:pPr>
                  <w:r>
                    <w:rPr>
                      <w:kern w:val="0"/>
                      <w:szCs w:val="21"/>
                    </w:rPr>
                    <w:t>0.00001435</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0.0001563</w:t>
                  </w:r>
                </w:p>
              </w:tc>
              <w:tc>
                <w:tcPr>
                  <w:tcW w:w="1477" w:type="dxa"/>
                  <w:vAlign w:val="center"/>
                </w:tcPr>
                <w:p>
                  <w:pPr>
                    <w:widowControl/>
                    <w:jc w:val="center"/>
                    <w:textAlignment w:val="center"/>
                    <w:rPr>
                      <w:szCs w:val="21"/>
                    </w:rPr>
                  </w:pPr>
                  <w:r>
                    <w:rPr>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200</w:t>
                  </w:r>
                </w:p>
              </w:tc>
              <w:tc>
                <w:tcPr>
                  <w:tcW w:w="1953" w:type="dxa"/>
                  <w:vAlign w:val="center"/>
                </w:tcPr>
                <w:p>
                  <w:pPr>
                    <w:widowControl/>
                    <w:jc w:val="center"/>
                    <w:textAlignment w:val="center"/>
                    <w:rPr>
                      <w:szCs w:val="21"/>
                    </w:rPr>
                  </w:pPr>
                  <w:r>
                    <w:rPr>
                      <w:kern w:val="0"/>
                      <w:szCs w:val="21"/>
                    </w:rPr>
                    <w:t>0.00001816</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0.0001958</w:t>
                  </w:r>
                </w:p>
              </w:tc>
              <w:tc>
                <w:tcPr>
                  <w:tcW w:w="1477" w:type="dxa"/>
                  <w:vAlign w:val="center"/>
                </w:tcPr>
                <w:p>
                  <w:pPr>
                    <w:widowControl/>
                    <w:jc w:val="center"/>
                    <w:textAlignment w:val="center"/>
                    <w:rPr>
                      <w:szCs w:val="21"/>
                    </w:rPr>
                  </w:pPr>
                  <w:r>
                    <w:rPr>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300</w:t>
                  </w:r>
                </w:p>
              </w:tc>
              <w:tc>
                <w:tcPr>
                  <w:tcW w:w="1953" w:type="dxa"/>
                  <w:vAlign w:val="center"/>
                </w:tcPr>
                <w:p>
                  <w:pPr>
                    <w:widowControl/>
                    <w:jc w:val="center"/>
                    <w:textAlignment w:val="center"/>
                    <w:rPr>
                      <w:szCs w:val="21"/>
                    </w:rPr>
                  </w:pPr>
                  <w:r>
                    <w:rPr>
                      <w:kern w:val="0"/>
                      <w:szCs w:val="21"/>
                    </w:rPr>
                    <w:t>0.00001927</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0.0002074</w:t>
                  </w:r>
                </w:p>
              </w:tc>
              <w:tc>
                <w:tcPr>
                  <w:tcW w:w="1477" w:type="dxa"/>
                  <w:vAlign w:val="center"/>
                </w:tcPr>
                <w:p>
                  <w:pPr>
                    <w:widowControl/>
                    <w:jc w:val="center"/>
                    <w:textAlignment w:val="center"/>
                    <w:rPr>
                      <w:szCs w:val="21"/>
                    </w:rPr>
                  </w:pPr>
                  <w:r>
                    <w:rPr>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400</w:t>
                  </w:r>
                </w:p>
              </w:tc>
              <w:tc>
                <w:tcPr>
                  <w:tcW w:w="1953" w:type="dxa"/>
                  <w:vAlign w:val="center"/>
                </w:tcPr>
                <w:p>
                  <w:pPr>
                    <w:widowControl/>
                    <w:jc w:val="center"/>
                    <w:textAlignment w:val="center"/>
                    <w:rPr>
                      <w:szCs w:val="21"/>
                    </w:rPr>
                  </w:pPr>
                  <w:r>
                    <w:rPr>
                      <w:kern w:val="0"/>
                      <w:szCs w:val="21"/>
                    </w:rPr>
                    <w:t>0.00001871</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0.0001882</w:t>
                  </w:r>
                </w:p>
              </w:tc>
              <w:tc>
                <w:tcPr>
                  <w:tcW w:w="1477" w:type="dxa"/>
                  <w:vAlign w:val="center"/>
                </w:tcPr>
                <w:p>
                  <w:pPr>
                    <w:widowControl/>
                    <w:jc w:val="center"/>
                    <w:textAlignment w:val="center"/>
                    <w:rPr>
                      <w:szCs w:val="21"/>
                    </w:rPr>
                  </w:pPr>
                  <w:r>
                    <w:rPr>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500</w:t>
                  </w:r>
                </w:p>
              </w:tc>
              <w:tc>
                <w:tcPr>
                  <w:tcW w:w="1953" w:type="dxa"/>
                  <w:vAlign w:val="center"/>
                </w:tcPr>
                <w:p>
                  <w:pPr>
                    <w:widowControl/>
                    <w:jc w:val="center"/>
                    <w:textAlignment w:val="center"/>
                    <w:rPr>
                      <w:szCs w:val="21"/>
                    </w:rPr>
                  </w:pPr>
                  <w:r>
                    <w:rPr>
                      <w:kern w:val="0"/>
                      <w:szCs w:val="21"/>
                    </w:rPr>
                    <w:t>0.00001695</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0.0001732</w:t>
                  </w:r>
                </w:p>
              </w:tc>
              <w:tc>
                <w:tcPr>
                  <w:tcW w:w="1477" w:type="dxa"/>
                  <w:vAlign w:val="center"/>
                </w:tcPr>
                <w:p>
                  <w:pPr>
                    <w:widowControl/>
                    <w:jc w:val="center"/>
                    <w:textAlignment w:val="center"/>
                    <w:rPr>
                      <w:szCs w:val="21"/>
                    </w:rPr>
                  </w:pPr>
                  <w:r>
                    <w:rPr>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600</w:t>
                  </w:r>
                </w:p>
              </w:tc>
              <w:tc>
                <w:tcPr>
                  <w:tcW w:w="1953" w:type="dxa"/>
                  <w:vAlign w:val="center"/>
                </w:tcPr>
                <w:p>
                  <w:pPr>
                    <w:widowControl/>
                    <w:jc w:val="center"/>
                    <w:textAlignment w:val="center"/>
                    <w:rPr>
                      <w:szCs w:val="21"/>
                    </w:rPr>
                  </w:pPr>
                  <w:r>
                    <w:rPr>
                      <w:kern w:val="0"/>
                      <w:szCs w:val="21"/>
                    </w:rPr>
                    <w:t>0.00001626</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0.0001738</w:t>
                  </w:r>
                </w:p>
              </w:tc>
              <w:tc>
                <w:tcPr>
                  <w:tcW w:w="1477" w:type="dxa"/>
                  <w:vAlign w:val="center"/>
                </w:tcPr>
                <w:p>
                  <w:pPr>
                    <w:widowControl/>
                    <w:jc w:val="center"/>
                    <w:textAlignment w:val="center"/>
                    <w:rPr>
                      <w:szCs w:val="21"/>
                    </w:rPr>
                  </w:pPr>
                  <w:r>
                    <w:rPr>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700</w:t>
                  </w:r>
                </w:p>
              </w:tc>
              <w:tc>
                <w:tcPr>
                  <w:tcW w:w="1953" w:type="dxa"/>
                  <w:vAlign w:val="center"/>
                </w:tcPr>
                <w:p>
                  <w:pPr>
                    <w:widowControl/>
                    <w:jc w:val="center"/>
                    <w:textAlignment w:val="center"/>
                    <w:rPr>
                      <w:szCs w:val="21"/>
                    </w:rPr>
                  </w:pPr>
                  <w:r>
                    <w:rPr>
                      <w:kern w:val="0"/>
                      <w:szCs w:val="21"/>
                    </w:rPr>
                    <w:t>0.00001563</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0.0001641</w:t>
                  </w:r>
                </w:p>
              </w:tc>
              <w:tc>
                <w:tcPr>
                  <w:tcW w:w="1477" w:type="dxa"/>
                  <w:vAlign w:val="center"/>
                </w:tcPr>
                <w:p>
                  <w:pPr>
                    <w:widowControl/>
                    <w:jc w:val="center"/>
                    <w:textAlignment w:val="center"/>
                    <w:rPr>
                      <w:szCs w:val="21"/>
                    </w:rPr>
                  </w:pPr>
                  <w:r>
                    <w:rPr>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800</w:t>
                  </w:r>
                </w:p>
              </w:tc>
              <w:tc>
                <w:tcPr>
                  <w:tcW w:w="1953" w:type="dxa"/>
                  <w:vAlign w:val="center"/>
                </w:tcPr>
                <w:p>
                  <w:pPr>
                    <w:widowControl/>
                    <w:jc w:val="center"/>
                    <w:textAlignment w:val="center"/>
                    <w:rPr>
                      <w:szCs w:val="21"/>
                    </w:rPr>
                  </w:pPr>
                  <w:r>
                    <w:rPr>
                      <w:kern w:val="0"/>
                      <w:szCs w:val="21"/>
                    </w:rPr>
                    <w:t>0.00001522</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0.0001507</w:t>
                  </w:r>
                </w:p>
              </w:tc>
              <w:tc>
                <w:tcPr>
                  <w:tcW w:w="1477" w:type="dxa"/>
                  <w:vAlign w:val="center"/>
                </w:tcPr>
                <w:p>
                  <w:pPr>
                    <w:widowControl/>
                    <w:jc w:val="center"/>
                    <w:textAlignment w:val="center"/>
                    <w:rPr>
                      <w:szCs w:val="21"/>
                    </w:rPr>
                  </w:pPr>
                  <w:r>
                    <w:rPr>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900</w:t>
                  </w:r>
                </w:p>
              </w:tc>
              <w:tc>
                <w:tcPr>
                  <w:tcW w:w="1953" w:type="dxa"/>
                  <w:vAlign w:val="center"/>
                </w:tcPr>
                <w:p>
                  <w:pPr>
                    <w:widowControl/>
                    <w:jc w:val="center"/>
                    <w:textAlignment w:val="center"/>
                    <w:rPr>
                      <w:szCs w:val="21"/>
                    </w:rPr>
                  </w:pPr>
                  <w:r>
                    <w:rPr>
                      <w:kern w:val="0"/>
                      <w:szCs w:val="21"/>
                    </w:rPr>
                    <w:t>0.00001443</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0.0001366</w:t>
                  </w:r>
                </w:p>
              </w:tc>
              <w:tc>
                <w:tcPr>
                  <w:tcW w:w="1477" w:type="dxa"/>
                  <w:vAlign w:val="center"/>
                </w:tcPr>
                <w:p>
                  <w:pPr>
                    <w:widowControl/>
                    <w:jc w:val="center"/>
                    <w:textAlignment w:val="center"/>
                    <w:rPr>
                      <w:szCs w:val="21"/>
                    </w:rPr>
                  </w:pPr>
                  <w:r>
                    <w:rPr>
                      <w:kern w:val="0"/>
                      <w:szCs w:val="21"/>
                    </w:rPr>
                    <w:t>0.01</w:t>
                  </w:r>
                </w:p>
              </w:tc>
            </w:tr>
          </w:tbl>
          <w:p>
            <w:pPr>
              <w:spacing w:line="480" w:lineRule="exact"/>
              <w:jc w:val="center"/>
              <w:rPr>
                <w:b/>
                <w:bCs/>
              </w:rPr>
            </w:pPr>
            <w:r>
              <w:rPr>
                <w:rFonts w:hint="eastAsia"/>
                <w:b/>
                <w:bCs/>
              </w:rPr>
              <w:t>续</w:t>
            </w:r>
            <w:r>
              <w:rPr>
                <w:b/>
                <w:bCs/>
              </w:rPr>
              <w:t>表</w:t>
            </w:r>
            <w:r>
              <w:rPr>
                <w:rFonts w:hint="eastAsia"/>
                <w:b/>
                <w:bCs/>
              </w:rPr>
              <w:t xml:space="preserve">22-1   </w:t>
            </w:r>
            <w:r>
              <w:rPr>
                <w:b/>
                <w:bCs/>
              </w:rPr>
              <w:t xml:space="preserve"> </w:t>
            </w:r>
            <w:r>
              <w:rPr>
                <w:rFonts w:hint="eastAsia"/>
                <w:b/>
                <w:bCs/>
              </w:rPr>
              <w:t>车间</w:t>
            </w:r>
            <w:r>
              <w:rPr>
                <w:b/>
                <w:bCs/>
              </w:rPr>
              <w:t>点源废气估算模式计算结果一览表</w:t>
            </w:r>
          </w:p>
          <w:tbl>
            <w:tblPr>
              <w:tblStyle w:val="31"/>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05"/>
              <w:gridCol w:w="1953"/>
              <w:gridCol w:w="1525"/>
              <w:gridCol w:w="2041"/>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005" w:type="dxa"/>
                  <w:vMerge w:val="restart"/>
                  <w:vAlign w:val="center"/>
                </w:tcPr>
                <w:p>
                  <w:pPr>
                    <w:spacing w:line="240" w:lineRule="exact"/>
                    <w:jc w:val="center"/>
                    <w:rPr>
                      <w:b/>
                      <w:bCs/>
                      <w:szCs w:val="21"/>
                    </w:rPr>
                  </w:pPr>
                  <w:r>
                    <w:rPr>
                      <w:b/>
                      <w:bCs/>
                      <w:szCs w:val="21"/>
                    </w:rPr>
                    <w:t>距离排气筒距离D(m)</w:t>
                  </w:r>
                </w:p>
              </w:tc>
              <w:tc>
                <w:tcPr>
                  <w:tcW w:w="3478" w:type="dxa"/>
                  <w:gridSpan w:val="2"/>
                  <w:vAlign w:val="center"/>
                </w:tcPr>
                <w:p>
                  <w:pPr>
                    <w:spacing w:line="240" w:lineRule="exact"/>
                    <w:jc w:val="center"/>
                    <w:rPr>
                      <w:b/>
                      <w:bCs/>
                      <w:szCs w:val="21"/>
                    </w:rPr>
                  </w:pPr>
                  <w:r>
                    <w:rPr>
                      <w:b/>
                      <w:bCs/>
                      <w:szCs w:val="21"/>
                    </w:rPr>
                    <w:t>切割粉尘（P1）</w:t>
                  </w:r>
                </w:p>
              </w:tc>
              <w:tc>
                <w:tcPr>
                  <w:tcW w:w="3518" w:type="dxa"/>
                  <w:gridSpan w:val="2"/>
                  <w:vAlign w:val="center"/>
                </w:tcPr>
                <w:p>
                  <w:pPr>
                    <w:spacing w:line="240" w:lineRule="exact"/>
                    <w:jc w:val="center"/>
                    <w:rPr>
                      <w:b/>
                      <w:bCs/>
                      <w:szCs w:val="21"/>
                    </w:rPr>
                  </w:pPr>
                  <w:r>
                    <w:rPr>
                      <w:b/>
                      <w:bCs/>
                      <w:szCs w:val="21"/>
                    </w:rPr>
                    <w:t>回火炉废气（P2）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005" w:type="dxa"/>
                  <w:vMerge w:val="continue"/>
                  <w:vAlign w:val="center"/>
                </w:tcPr>
                <w:p>
                  <w:pPr>
                    <w:spacing w:line="240" w:lineRule="exact"/>
                    <w:jc w:val="center"/>
                    <w:rPr>
                      <w:b/>
                      <w:bCs/>
                      <w:szCs w:val="21"/>
                    </w:rPr>
                  </w:pPr>
                </w:p>
              </w:tc>
              <w:tc>
                <w:tcPr>
                  <w:tcW w:w="3478" w:type="dxa"/>
                  <w:gridSpan w:val="2"/>
                  <w:vAlign w:val="center"/>
                </w:tcPr>
                <w:p>
                  <w:pPr>
                    <w:spacing w:line="240" w:lineRule="exact"/>
                    <w:jc w:val="center"/>
                    <w:rPr>
                      <w:b/>
                      <w:bCs/>
                      <w:szCs w:val="21"/>
                    </w:rPr>
                  </w:pPr>
                  <w:r>
                    <w:rPr>
                      <w:b/>
                      <w:bCs/>
                      <w:szCs w:val="21"/>
                    </w:rPr>
                    <w:t>颗粒物</w:t>
                  </w:r>
                </w:p>
              </w:tc>
              <w:tc>
                <w:tcPr>
                  <w:tcW w:w="3518" w:type="dxa"/>
                  <w:gridSpan w:val="2"/>
                  <w:vAlign w:val="center"/>
                </w:tcPr>
                <w:p>
                  <w:pPr>
                    <w:spacing w:line="240" w:lineRule="exact"/>
                    <w:jc w:val="center"/>
                    <w:rPr>
                      <w:b/>
                      <w:bCs/>
                      <w:szCs w:val="21"/>
                    </w:rPr>
                  </w:pPr>
                  <w:r>
                    <w:rPr>
                      <w:b/>
                      <w:bCs/>
                      <w:szCs w:val="21"/>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005" w:type="dxa"/>
                  <w:vMerge w:val="continue"/>
                  <w:vAlign w:val="center"/>
                </w:tcPr>
                <w:p>
                  <w:pPr>
                    <w:spacing w:line="240" w:lineRule="exact"/>
                    <w:jc w:val="center"/>
                    <w:rPr>
                      <w:b/>
                      <w:bCs/>
                      <w:szCs w:val="21"/>
                    </w:rPr>
                  </w:pPr>
                </w:p>
              </w:tc>
              <w:tc>
                <w:tcPr>
                  <w:tcW w:w="1953" w:type="dxa"/>
                  <w:vAlign w:val="center"/>
                </w:tcPr>
                <w:p>
                  <w:pPr>
                    <w:spacing w:line="240" w:lineRule="exact"/>
                    <w:jc w:val="center"/>
                    <w:rPr>
                      <w:b/>
                      <w:bCs/>
                      <w:szCs w:val="21"/>
                    </w:rPr>
                  </w:pPr>
                  <w:r>
                    <w:rPr>
                      <w:b/>
                      <w:bCs/>
                      <w:szCs w:val="21"/>
                    </w:rPr>
                    <w:t>C</w:t>
                  </w:r>
                  <w:r>
                    <w:rPr>
                      <w:b/>
                      <w:bCs/>
                      <w:szCs w:val="21"/>
                      <w:vertAlign w:val="subscript"/>
                    </w:rPr>
                    <w:t>i1</w:t>
                  </w:r>
                  <w:r>
                    <w:rPr>
                      <w:b/>
                      <w:bCs/>
                      <w:szCs w:val="21"/>
                    </w:rPr>
                    <w:t>(mg/m</w:t>
                  </w:r>
                  <w:r>
                    <w:rPr>
                      <w:b/>
                      <w:bCs/>
                      <w:szCs w:val="21"/>
                      <w:vertAlign w:val="superscript"/>
                    </w:rPr>
                    <w:t>3</w:t>
                  </w:r>
                  <w:r>
                    <w:rPr>
                      <w:b/>
                      <w:bCs/>
                      <w:szCs w:val="21"/>
                    </w:rPr>
                    <w:t>)</w:t>
                  </w:r>
                </w:p>
              </w:tc>
              <w:tc>
                <w:tcPr>
                  <w:tcW w:w="1525" w:type="dxa"/>
                  <w:vAlign w:val="center"/>
                </w:tcPr>
                <w:p>
                  <w:pPr>
                    <w:spacing w:line="240" w:lineRule="exact"/>
                    <w:jc w:val="center"/>
                    <w:rPr>
                      <w:b/>
                      <w:bCs/>
                      <w:szCs w:val="21"/>
                    </w:rPr>
                  </w:pPr>
                  <w:r>
                    <w:rPr>
                      <w:b/>
                      <w:bCs/>
                      <w:szCs w:val="21"/>
                    </w:rPr>
                    <w:t>P</w:t>
                  </w:r>
                  <w:r>
                    <w:rPr>
                      <w:b/>
                      <w:bCs/>
                      <w:szCs w:val="21"/>
                      <w:vertAlign w:val="subscript"/>
                    </w:rPr>
                    <w:t>i1</w:t>
                  </w:r>
                  <w:r>
                    <w:rPr>
                      <w:b/>
                      <w:bCs/>
                      <w:szCs w:val="21"/>
                    </w:rPr>
                    <w:t>(%)</w:t>
                  </w:r>
                </w:p>
              </w:tc>
              <w:tc>
                <w:tcPr>
                  <w:tcW w:w="2041" w:type="dxa"/>
                  <w:vAlign w:val="center"/>
                </w:tcPr>
                <w:p>
                  <w:pPr>
                    <w:spacing w:line="240" w:lineRule="exact"/>
                    <w:jc w:val="center"/>
                    <w:rPr>
                      <w:b/>
                      <w:bCs/>
                      <w:szCs w:val="21"/>
                    </w:rPr>
                  </w:pPr>
                  <w:r>
                    <w:rPr>
                      <w:b/>
                      <w:bCs/>
                      <w:szCs w:val="21"/>
                    </w:rPr>
                    <w:t>C</w:t>
                  </w:r>
                  <w:r>
                    <w:rPr>
                      <w:b/>
                      <w:bCs/>
                      <w:szCs w:val="21"/>
                      <w:vertAlign w:val="subscript"/>
                    </w:rPr>
                    <w:t>i2</w:t>
                  </w:r>
                  <w:r>
                    <w:rPr>
                      <w:b/>
                      <w:bCs/>
                      <w:szCs w:val="21"/>
                    </w:rPr>
                    <w:t>(mg/m</w:t>
                  </w:r>
                  <w:r>
                    <w:rPr>
                      <w:b/>
                      <w:bCs/>
                      <w:szCs w:val="21"/>
                      <w:vertAlign w:val="superscript"/>
                    </w:rPr>
                    <w:t>3</w:t>
                  </w:r>
                  <w:r>
                    <w:rPr>
                      <w:b/>
                      <w:bCs/>
                      <w:szCs w:val="21"/>
                    </w:rPr>
                    <w:t>)</w:t>
                  </w:r>
                </w:p>
              </w:tc>
              <w:tc>
                <w:tcPr>
                  <w:tcW w:w="1477" w:type="dxa"/>
                  <w:vAlign w:val="center"/>
                </w:tcPr>
                <w:p>
                  <w:pPr>
                    <w:spacing w:line="240" w:lineRule="exact"/>
                    <w:jc w:val="center"/>
                    <w:rPr>
                      <w:b/>
                      <w:bCs/>
                      <w:szCs w:val="21"/>
                    </w:rPr>
                  </w:pPr>
                  <w:r>
                    <w:rPr>
                      <w:b/>
                      <w:bCs/>
                      <w:szCs w:val="21"/>
                    </w:rPr>
                    <w:t>P</w:t>
                  </w:r>
                  <w:r>
                    <w:rPr>
                      <w:b/>
                      <w:bCs/>
                      <w:szCs w:val="21"/>
                      <w:vertAlign w:val="subscript"/>
                    </w:rPr>
                    <w:t>i2</w:t>
                  </w:r>
                  <w:r>
                    <w:rPr>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1000</w:t>
                  </w:r>
                </w:p>
              </w:tc>
              <w:tc>
                <w:tcPr>
                  <w:tcW w:w="1953" w:type="dxa"/>
                  <w:vAlign w:val="center"/>
                </w:tcPr>
                <w:p>
                  <w:pPr>
                    <w:widowControl/>
                    <w:jc w:val="center"/>
                    <w:textAlignment w:val="center"/>
                    <w:rPr>
                      <w:szCs w:val="21"/>
                    </w:rPr>
                  </w:pPr>
                  <w:r>
                    <w:rPr>
                      <w:kern w:val="0"/>
                      <w:szCs w:val="21"/>
                    </w:rPr>
                    <w:t>0.00001464</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0.0001234</w:t>
                  </w:r>
                </w:p>
              </w:tc>
              <w:tc>
                <w:tcPr>
                  <w:tcW w:w="1477" w:type="dxa"/>
                  <w:vAlign w:val="center"/>
                </w:tcPr>
                <w:p>
                  <w:pPr>
                    <w:widowControl/>
                    <w:jc w:val="center"/>
                    <w:textAlignment w:val="center"/>
                    <w:rPr>
                      <w:szCs w:val="21"/>
                    </w:rPr>
                  </w:pPr>
                  <w:r>
                    <w:rPr>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1100</w:t>
                  </w:r>
                </w:p>
              </w:tc>
              <w:tc>
                <w:tcPr>
                  <w:tcW w:w="1953" w:type="dxa"/>
                  <w:vAlign w:val="center"/>
                </w:tcPr>
                <w:p>
                  <w:pPr>
                    <w:widowControl/>
                    <w:jc w:val="center"/>
                    <w:textAlignment w:val="center"/>
                    <w:rPr>
                      <w:szCs w:val="21"/>
                    </w:rPr>
                  </w:pPr>
                  <w:r>
                    <w:rPr>
                      <w:kern w:val="0"/>
                      <w:szCs w:val="21"/>
                    </w:rPr>
                    <w:t>0.00001487</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0.0001117</w:t>
                  </w:r>
                </w:p>
              </w:tc>
              <w:tc>
                <w:tcPr>
                  <w:tcW w:w="1477" w:type="dxa"/>
                  <w:vAlign w:val="center"/>
                </w:tcPr>
                <w:p>
                  <w:pPr>
                    <w:widowControl/>
                    <w:jc w:val="center"/>
                    <w:textAlignment w:val="center"/>
                    <w:rPr>
                      <w:szCs w:val="21"/>
                    </w:rPr>
                  </w:pPr>
                  <w:r>
                    <w:rPr>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1200</w:t>
                  </w:r>
                </w:p>
              </w:tc>
              <w:tc>
                <w:tcPr>
                  <w:tcW w:w="1953" w:type="dxa"/>
                  <w:vAlign w:val="center"/>
                </w:tcPr>
                <w:p>
                  <w:pPr>
                    <w:widowControl/>
                    <w:jc w:val="center"/>
                    <w:textAlignment w:val="center"/>
                    <w:rPr>
                      <w:szCs w:val="21"/>
                    </w:rPr>
                  </w:pPr>
                  <w:r>
                    <w:rPr>
                      <w:kern w:val="0"/>
                      <w:szCs w:val="21"/>
                    </w:rPr>
                    <w:t>0.00001488</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0.0001016</w:t>
                  </w:r>
                </w:p>
              </w:tc>
              <w:tc>
                <w:tcPr>
                  <w:tcW w:w="1477" w:type="dxa"/>
                  <w:vAlign w:val="center"/>
                </w:tcPr>
                <w:p>
                  <w:pPr>
                    <w:widowControl/>
                    <w:jc w:val="center"/>
                    <w:textAlignment w:val="center"/>
                    <w:rPr>
                      <w:szCs w:val="21"/>
                    </w:rPr>
                  </w:pPr>
                  <w:r>
                    <w:rPr>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1300</w:t>
                  </w:r>
                </w:p>
              </w:tc>
              <w:tc>
                <w:tcPr>
                  <w:tcW w:w="1953" w:type="dxa"/>
                  <w:vAlign w:val="center"/>
                </w:tcPr>
                <w:p>
                  <w:pPr>
                    <w:widowControl/>
                    <w:jc w:val="center"/>
                    <w:textAlignment w:val="center"/>
                    <w:rPr>
                      <w:szCs w:val="21"/>
                    </w:rPr>
                  </w:pPr>
                  <w:r>
                    <w:rPr>
                      <w:kern w:val="0"/>
                      <w:szCs w:val="21"/>
                    </w:rPr>
                    <w:t>0.00001473</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0.00009276</w:t>
                  </w:r>
                </w:p>
              </w:tc>
              <w:tc>
                <w:tcPr>
                  <w:tcW w:w="14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1400</w:t>
                  </w:r>
                </w:p>
              </w:tc>
              <w:tc>
                <w:tcPr>
                  <w:tcW w:w="1953" w:type="dxa"/>
                  <w:vAlign w:val="center"/>
                </w:tcPr>
                <w:p>
                  <w:pPr>
                    <w:widowControl/>
                    <w:jc w:val="center"/>
                    <w:textAlignment w:val="center"/>
                    <w:rPr>
                      <w:szCs w:val="21"/>
                    </w:rPr>
                  </w:pPr>
                  <w:r>
                    <w:rPr>
                      <w:kern w:val="0"/>
                      <w:szCs w:val="21"/>
                    </w:rPr>
                    <w:t>0.00001447</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0.00008502</w:t>
                  </w:r>
                </w:p>
              </w:tc>
              <w:tc>
                <w:tcPr>
                  <w:tcW w:w="14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1500</w:t>
                  </w:r>
                </w:p>
              </w:tc>
              <w:tc>
                <w:tcPr>
                  <w:tcW w:w="1953" w:type="dxa"/>
                  <w:vAlign w:val="center"/>
                </w:tcPr>
                <w:p>
                  <w:pPr>
                    <w:widowControl/>
                    <w:jc w:val="center"/>
                    <w:textAlignment w:val="center"/>
                    <w:rPr>
                      <w:szCs w:val="21"/>
                    </w:rPr>
                  </w:pPr>
                  <w:r>
                    <w:rPr>
                      <w:kern w:val="0"/>
                      <w:szCs w:val="21"/>
                    </w:rPr>
                    <w:t>0.00001413</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0.00008212</w:t>
                  </w:r>
                </w:p>
              </w:tc>
              <w:tc>
                <w:tcPr>
                  <w:tcW w:w="14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1600</w:t>
                  </w:r>
                </w:p>
              </w:tc>
              <w:tc>
                <w:tcPr>
                  <w:tcW w:w="1953" w:type="dxa"/>
                  <w:vAlign w:val="center"/>
                </w:tcPr>
                <w:p>
                  <w:pPr>
                    <w:widowControl/>
                    <w:jc w:val="center"/>
                    <w:textAlignment w:val="center"/>
                    <w:rPr>
                      <w:szCs w:val="21"/>
                    </w:rPr>
                  </w:pPr>
                  <w:r>
                    <w:rPr>
                      <w:kern w:val="0"/>
                      <w:szCs w:val="21"/>
                    </w:rPr>
                    <w:t>0.00001443</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0.00008347</w:t>
                  </w:r>
                </w:p>
              </w:tc>
              <w:tc>
                <w:tcPr>
                  <w:tcW w:w="14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1700</w:t>
                  </w:r>
                </w:p>
              </w:tc>
              <w:tc>
                <w:tcPr>
                  <w:tcW w:w="1953" w:type="dxa"/>
                  <w:vAlign w:val="center"/>
                </w:tcPr>
                <w:p>
                  <w:pPr>
                    <w:widowControl/>
                    <w:jc w:val="center"/>
                    <w:textAlignment w:val="center"/>
                    <w:rPr>
                      <w:szCs w:val="21"/>
                    </w:rPr>
                  </w:pPr>
                  <w:r>
                    <w:rPr>
                      <w:kern w:val="0"/>
                      <w:szCs w:val="21"/>
                    </w:rPr>
                    <w:t>0.00001468</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0.00008416</w:t>
                  </w:r>
                </w:p>
              </w:tc>
              <w:tc>
                <w:tcPr>
                  <w:tcW w:w="14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1800</w:t>
                  </w:r>
                </w:p>
              </w:tc>
              <w:tc>
                <w:tcPr>
                  <w:tcW w:w="1953" w:type="dxa"/>
                  <w:vAlign w:val="center"/>
                </w:tcPr>
                <w:p>
                  <w:pPr>
                    <w:widowControl/>
                    <w:jc w:val="center"/>
                    <w:textAlignment w:val="center"/>
                    <w:rPr>
                      <w:szCs w:val="21"/>
                    </w:rPr>
                  </w:pPr>
                  <w:r>
                    <w:rPr>
                      <w:kern w:val="0"/>
                      <w:szCs w:val="21"/>
                    </w:rPr>
                    <w:t>0.00001482</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0.0000843</w:t>
                  </w:r>
                </w:p>
              </w:tc>
              <w:tc>
                <w:tcPr>
                  <w:tcW w:w="14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1900</w:t>
                  </w:r>
                </w:p>
              </w:tc>
              <w:tc>
                <w:tcPr>
                  <w:tcW w:w="1953" w:type="dxa"/>
                  <w:vAlign w:val="center"/>
                </w:tcPr>
                <w:p>
                  <w:pPr>
                    <w:widowControl/>
                    <w:jc w:val="center"/>
                    <w:textAlignment w:val="center"/>
                    <w:rPr>
                      <w:szCs w:val="21"/>
                    </w:rPr>
                  </w:pPr>
                  <w:r>
                    <w:rPr>
                      <w:kern w:val="0"/>
                      <w:szCs w:val="21"/>
                    </w:rPr>
                    <w:t>0.00001487</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0.00008401</w:t>
                  </w:r>
                </w:p>
              </w:tc>
              <w:tc>
                <w:tcPr>
                  <w:tcW w:w="14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005" w:type="dxa"/>
                  <w:vAlign w:val="center"/>
                </w:tcPr>
                <w:p>
                  <w:pPr>
                    <w:spacing w:line="240" w:lineRule="exact"/>
                    <w:jc w:val="center"/>
                    <w:rPr>
                      <w:szCs w:val="21"/>
                    </w:rPr>
                  </w:pPr>
                  <w:r>
                    <w:rPr>
                      <w:szCs w:val="21"/>
                    </w:rPr>
                    <w:t>2000</w:t>
                  </w:r>
                </w:p>
              </w:tc>
              <w:tc>
                <w:tcPr>
                  <w:tcW w:w="1953" w:type="dxa"/>
                  <w:vAlign w:val="center"/>
                </w:tcPr>
                <w:p>
                  <w:pPr>
                    <w:widowControl/>
                    <w:jc w:val="center"/>
                    <w:textAlignment w:val="center"/>
                    <w:rPr>
                      <w:szCs w:val="21"/>
                    </w:rPr>
                  </w:pPr>
                  <w:r>
                    <w:rPr>
                      <w:kern w:val="0"/>
                      <w:szCs w:val="21"/>
                    </w:rPr>
                    <w:t>0.00001485</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0.00008337</w:t>
                  </w:r>
                </w:p>
              </w:tc>
              <w:tc>
                <w:tcPr>
                  <w:tcW w:w="14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2100</w:t>
                  </w:r>
                </w:p>
              </w:tc>
              <w:tc>
                <w:tcPr>
                  <w:tcW w:w="1953" w:type="dxa"/>
                  <w:vAlign w:val="center"/>
                </w:tcPr>
                <w:p>
                  <w:pPr>
                    <w:widowControl/>
                    <w:jc w:val="center"/>
                    <w:textAlignment w:val="center"/>
                    <w:rPr>
                      <w:szCs w:val="21"/>
                    </w:rPr>
                  </w:pPr>
                  <w:r>
                    <w:rPr>
                      <w:kern w:val="0"/>
                      <w:szCs w:val="21"/>
                    </w:rPr>
                    <w:t>0.0000147</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0.0000821</w:t>
                  </w:r>
                </w:p>
              </w:tc>
              <w:tc>
                <w:tcPr>
                  <w:tcW w:w="14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2200</w:t>
                  </w:r>
                </w:p>
              </w:tc>
              <w:tc>
                <w:tcPr>
                  <w:tcW w:w="1953" w:type="dxa"/>
                  <w:vAlign w:val="center"/>
                </w:tcPr>
                <w:p>
                  <w:pPr>
                    <w:widowControl/>
                    <w:jc w:val="center"/>
                    <w:textAlignment w:val="center"/>
                    <w:rPr>
                      <w:szCs w:val="21"/>
                    </w:rPr>
                  </w:pPr>
                  <w:r>
                    <w:rPr>
                      <w:kern w:val="0"/>
                      <w:szCs w:val="21"/>
                    </w:rPr>
                    <w:t>0.00001452</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0.00008071</w:t>
                  </w:r>
                </w:p>
              </w:tc>
              <w:tc>
                <w:tcPr>
                  <w:tcW w:w="14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2300</w:t>
                  </w:r>
                </w:p>
              </w:tc>
              <w:tc>
                <w:tcPr>
                  <w:tcW w:w="1953" w:type="dxa"/>
                  <w:vAlign w:val="center"/>
                </w:tcPr>
                <w:p>
                  <w:pPr>
                    <w:widowControl/>
                    <w:jc w:val="center"/>
                    <w:textAlignment w:val="center"/>
                    <w:rPr>
                      <w:szCs w:val="21"/>
                    </w:rPr>
                  </w:pPr>
                  <w:r>
                    <w:rPr>
                      <w:kern w:val="0"/>
                      <w:szCs w:val="21"/>
                    </w:rPr>
                    <w:t>0.00001432</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0.00007924</w:t>
                  </w:r>
                </w:p>
              </w:tc>
              <w:tc>
                <w:tcPr>
                  <w:tcW w:w="14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2400</w:t>
                  </w:r>
                </w:p>
              </w:tc>
              <w:tc>
                <w:tcPr>
                  <w:tcW w:w="1953" w:type="dxa"/>
                  <w:vAlign w:val="center"/>
                </w:tcPr>
                <w:p>
                  <w:pPr>
                    <w:widowControl/>
                    <w:jc w:val="center"/>
                    <w:textAlignment w:val="center"/>
                    <w:rPr>
                      <w:szCs w:val="21"/>
                    </w:rPr>
                  </w:pPr>
                  <w:r>
                    <w:rPr>
                      <w:kern w:val="0"/>
                      <w:szCs w:val="21"/>
                    </w:rPr>
                    <w:t>0.0000141</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0.00007771</w:t>
                  </w:r>
                </w:p>
              </w:tc>
              <w:tc>
                <w:tcPr>
                  <w:tcW w:w="14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2500</w:t>
                  </w:r>
                </w:p>
              </w:tc>
              <w:tc>
                <w:tcPr>
                  <w:tcW w:w="1953" w:type="dxa"/>
                  <w:vAlign w:val="center"/>
                </w:tcPr>
                <w:p>
                  <w:pPr>
                    <w:widowControl/>
                    <w:jc w:val="center"/>
                    <w:textAlignment w:val="center"/>
                    <w:rPr>
                      <w:szCs w:val="21"/>
                    </w:rPr>
                  </w:pPr>
                  <w:r>
                    <w:rPr>
                      <w:kern w:val="0"/>
                      <w:szCs w:val="21"/>
                    </w:rPr>
                    <w:t>0.00001387</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0.00007615</w:t>
                  </w:r>
                </w:p>
              </w:tc>
              <w:tc>
                <w:tcPr>
                  <w:tcW w:w="1477"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付神首村</w:t>
                  </w:r>
                </w:p>
              </w:tc>
              <w:tc>
                <w:tcPr>
                  <w:tcW w:w="1953" w:type="dxa"/>
                  <w:vAlign w:val="center"/>
                </w:tcPr>
                <w:p>
                  <w:pPr>
                    <w:widowControl/>
                    <w:jc w:val="center"/>
                    <w:textAlignment w:val="center"/>
                    <w:rPr>
                      <w:szCs w:val="21"/>
                    </w:rPr>
                  </w:pPr>
                  <w:r>
                    <w:rPr>
                      <w:kern w:val="0"/>
                      <w:szCs w:val="21"/>
                    </w:rPr>
                    <w:t>0.00001875</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0.0001985</w:t>
                  </w:r>
                </w:p>
              </w:tc>
              <w:tc>
                <w:tcPr>
                  <w:tcW w:w="1477" w:type="dxa"/>
                  <w:vAlign w:val="center"/>
                </w:tcPr>
                <w:p>
                  <w:pPr>
                    <w:widowControl/>
                    <w:jc w:val="center"/>
                    <w:textAlignment w:val="center"/>
                    <w:rPr>
                      <w:szCs w:val="21"/>
                    </w:rPr>
                  </w:pPr>
                  <w:r>
                    <w:rPr>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最大值</w:t>
                  </w:r>
                </w:p>
              </w:tc>
              <w:tc>
                <w:tcPr>
                  <w:tcW w:w="1953" w:type="dxa"/>
                  <w:vAlign w:val="center"/>
                </w:tcPr>
                <w:p>
                  <w:pPr>
                    <w:widowControl/>
                    <w:jc w:val="center"/>
                    <w:textAlignment w:val="center"/>
                    <w:rPr>
                      <w:szCs w:val="21"/>
                    </w:rPr>
                  </w:pPr>
                  <w:r>
                    <w:rPr>
                      <w:kern w:val="0"/>
                      <w:szCs w:val="21"/>
                    </w:rPr>
                    <w:t>0.00001935</w:t>
                  </w:r>
                </w:p>
              </w:tc>
              <w:tc>
                <w:tcPr>
                  <w:tcW w:w="1525" w:type="dxa"/>
                  <w:vAlign w:val="center"/>
                </w:tcPr>
                <w:p>
                  <w:pPr>
                    <w:widowControl/>
                    <w:jc w:val="center"/>
                    <w:textAlignment w:val="center"/>
                    <w:rPr>
                      <w:szCs w:val="21"/>
                    </w:rPr>
                  </w:pPr>
                  <w:r>
                    <w:rPr>
                      <w:kern w:val="0"/>
                      <w:szCs w:val="21"/>
                    </w:rPr>
                    <w:t>0</w:t>
                  </w:r>
                </w:p>
              </w:tc>
              <w:tc>
                <w:tcPr>
                  <w:tcW w:w="2041" w:type="dxa"/>
                  <w:vAlign w:val="center"/>
                </w:tcPr>
                <w:p>
                  <w:pPr>
                    <w:widowControl/>
                    <w:jc w:val="center"/>
                    <w:textAlignment w:val="center"/>
                    <w:rPr>
                      <w:szCs w:val="21"/>
                    </w:rPr>
                  </w:pPr>
                  <w:r>
                    <w:rPr>
                      <w:kern w:val="0"/>
                      <w:szCs w:val="21"/>
                    </w:rPr>
                    <w:t>0.0002075</w:t>
                  </w:r>
                </w:p>
              </w:tc>
              <w:tc>
                <w:tcPr>
                  <w:tcW w:w="1477" w:type="dxa"/>
                  <w:vAlign w:val="center"/>
                </w:tcPr>
                <w:p>
                  <w:pPr>
                    <w:widowControl/>
                    <w:jc w:val="center"/>
                    <w:textAlignment w:val="center"/>
                    <w:rPr>
                      <w:szCs w:val="21"/>
                    </w:rPr>
                  </w:pPr>
                  <w:r>
                    <w:rPr>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05" w:type="dxa"/>
                  <w:vAlign w:val="center"/>
                </w:tcPr>
                <w:p>
                  <w:pPr>
                    <w:spacing w:line="240" w:lineRule="exact"/>
                    <w:jc w:val="center"/>
                    <w:rPr>
                      <w:szCs w:val="21"/>
                    </w:rPr>
                  </w:pPr>
                  <w:r>
                    <w:rPr>
                      <w:szCs w:val="21"/>
                    </w:rPr>
                    <w:t>出现距离D(m)</w:t>
                  </w:r>
                </w:p>
              </w:tc>
              <w:tc>
                <w:tcPr>
                  <w:tcW w:w="3478" w:type="dxa"/>
                  <w:gridSpan w:val="2"/>
                  <w:vAlign w:val="center"/>
                </w:tcPr>
                <w:p>
                  <w:pPr>
                    <w:spacing w:line="240" w:lineRule="exact"/>
                    <w:jc w:val="center"/>
                    <w:rPr>
                      <w:szCs w:val="21"/>
                    </w:rPr>
                  </w:pPr>
                  <w:r>
                    <w:rPr>
                      <w:szCs w:val="21"/>
                    </w:rPr>
                    <w:t>317</w:t>
                  </w:r>
                </w:p>
              </w:tc>
              <w:tc>
                <w:tcPr>
                  <w:tcW w:w="3518" w:type="dxa"/>
                  <w:gridSpan w:val="2"/>
                  <w:vAlign w:val="center"/>
                </w:tcPr>
                <w:p>
                  <w:pPr>
                    <w:spacing w:line="240" w:lineRule="exact"/>
                    <w:jc w:val="center"/>
                    <w:rPr>
                      <w:szCs w:val="21"/>
                    </w:rPr>
                  </w:pPr>
                  <w:r>
                    <w:rPr>
                      <w:szCs w:val="21"/>
                    </w:rPr>
                    <w:t>305</w:t>
                  </w:r>
                </w:p>
              </w:tc>
            </w:tr>
          </w:tbl>
          <w:p>
            <w:pPr>
              <w:spacing w:line="480" w:lineRule="exact"/>
              <w:jc w:val="center"/>
              <w:rPr>
                <w:b/>
                <w:bCs/>
              </w:rPr>
            </w:pPr>
            <w:r>
              <w:rPr>
                <w:b/>
                <w:bCs/>
              </w:rPr>
              <w:t>表</w:t>
            </w:r>
            <w:r>
              <w:rPr>
                <w:rFonts w:hint="eastAsia"/>
                <w:b/>
                <w:bCs/>
              </w:rPr>
              <w:t xml:space="preserve">22-2  </w:t>
            </w:r>
            <w:r>
              <w:rPr>
                <w:b/>
                <w:bCs/>
              </w:rPr>
              <w:t xml:space="preserve"> </w:t>
            </w:r>
            <w:r>
              <w:rPr>
                <w:rFonts w:hint="eastAsia"/>
                <w:b/>
                <w:bCs/>
              </w:rPr>
              <w:t>车间</w:t>
            </w:r>
            <w:r>
              <w:rPr>
                <w:b/>
                <w:bCs/>
              </w:rPr>
              <w:t>点源废气估算模式计算结果一览表</w:t>
            </w:r>
          </w:p>
          <w:tbl>
            <w:tblPr>
              <w:tblStyle w:val="31"/>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4"/>
              <w:gridCol w:w="1397"/>
              <w:gridCol w:w="1090"/>
              <w:gridCol w:w="1459"/>
              <w:gridCol w:w="1057"/>
              <w:gridCol w:w="1410"/>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434" w:type="dxa"/>
                  <w:vMerge w:val="restart"/>
                  <w:vAlign w:val="center"/>
                </w:tcPr>
                <w:p>
                  <w:pPr>
                    <w:spacing w:line="240" w:lineRule="exact"/>
                    <w:jc w:val="center"/>
                    <w:rPr>
                      <w:b/>
                      <w:bCs/>
                      <w:szCs w:val="21"/>
                    </w:rPr>
                  </w:pPr>
                  <w:r>
                    <w:rPr>
                      <w:b/>
                      <w:bCs/>
                      <w:szCs w:val="21"/>
                    </w:rPr>
                    <w:t>距离排气筒距离D(m)</w:t>
                  </w:r>
                </w:p>
              </w:tc>
              <w:tc>
                <w:tcPr>
                  <w:tcW w:w="7567" w:type="dxa"/>
                  <w:gridSpan w:val="6"/>
                  <w:vAlign w:val="center"/>
                </w:tcPr>
                <w:p>
                  <w:pPr>
                    <w:spacing w:line="240" w:lineRule="exact"/>
                    <w:jc w:val="center"/>
                    <w:rPr>
                      <w:b/>
                      <w:bCs/>
                      <w:szCs w:val="21"/>
                    </w:rPr>
                  </w:pPr>
                  <w:r>
                    <w:rPr>
                      <w:szCs w:val="21"/>
                    </w:rPr>
                    <w:t>喷晾漆废气（P3）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434" w:type="dxa"/>
                  <w:vMerge w:val="continue"/>
                  <w:vAlign w:val="center"/>
                </w:tcPr>
                <w:p>
                  <w:pPr>
                    <w:spacing w:line="240" w:lineRule="exact"/>
                    <w:jc w:val="center"/>
                    <w:rPr>
                      <w:b/>
                      <w:bCs/>
                      <w:szCs w:val="21"/>
                    </w:rPr>
                  </w:pPr>
                </w:p>
              </w:tc>
              <w:tc>
                <w:tcPr>
                  <w:tcW w:w="2487" w:type="dxa"/>
                  <w:gridSpan w:val="2"/>
                  <w:vAlign w:val="center"/>
                </w:tcPr>
                <w:p>
                  <w:pPr>
                    <w:spacing w:line="240" w:lineRule="exact"/>
                    <w:jc w:val="center"/>
                    <w:rPr>
                      <w:b/>
                      <w:bCs/>
                      <w:szCs w:val="21"/>
                    </w:rPr>
                  </w:pPr>
                  <w:r>
                    <w:rPr>
                      <w:b/>
                      <w:bCs/>
                      <w:szCs w:val="21"/>
                    </w:rPr>
                    <w:t>颗粒物</w:t>
                  </w:r>
                </w:p>
              </w:tc>
              <w:tc>
                <w:tcPr>
                  <w:tcW w:w="2516" w:type="dxa"/>
                  <w:gridSpan w:val="2"/>
                  <w:vAlign w:val="center"/>
                </w:tcPr>
                <w:p>
                  <w:pPr>
                    <w:spacing w:line="240" w:lineRule="exact"/>
                    <w:jc w:val="center"/>
                    <w:rPr>
                      <w:b/>
                      <w:bCs/>
                      <w:szCs w:val="21"/>
                    </w:rPr>
                  </w:pPr>
                  <w:r>
                    <w:rPr>
                      <w:b/>
                      <w:bCs/>
                      <w:szCs w:val="21"/>
                    </w:rPr>
                    <w:t>非甲烷总烃</w:t>
                  </w:r>
                </w:p>
              </w:tc>
              <w:tc>
                <w:tcPr>
                  <w:tcW w:w="2564" w:type="dxa"/>
                  <w:gridSpan w:val="2"/>
                  <w:vAlign w:val="center"/>
                </w:tcPr>
                <w:p>
                  <w:pPr>
                    <w:spacing w:line="240" w:lineRule="exact"/>
                    <w:jc w:val="center"/>
                    <w:rPr>
                      <w:b/>
                      <w:bCs/>
                      <w:szCs w:val="21"/>
                    </w:rPr>
                  </w:pPr>
                  <w:r>
                    <w:rPr>
                      <w:b/>
                      <w:bCs/>
                      <w:szCs w:val="21"/>
                    </w:rPr>
                    <w:t>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1434" w:type="dxa"/>
                  <w:vMerge w:val="continue"/>
                  <w:vAlign w:val="center"/>
                </w:tcPr>
                <w:p>
                  <w:pPr>
                    <w:spacing w:line="240" w:lineRule="exact"/>
                    <w:jc w:val="center"/>
                    <w:rPr>
                      <w:b/>
                      <w:bCs/>
                      <w:szCs w:val="21"/>
                    </w:rPr>
                  </w:pPr>
                </w:p>
              </w:tc>
              <w:tc>
                <w:tcPr>
                  <w:tcW w:w="1397" w:type="dxa"/>
                  <w:vAlign w:val="center"/>
                </w:tcPr>
                <w:p>
                  <w:pPr>
                    <w:spacing w:line="240" w:lineRule="exact"/>
                    <w:jc w:val="center"/>
                    <w:rPr>
                      <w:b/>
                      <w:bCs/>
                      <w:szCs w:val="21"/>
                    </w:rPr>
                  </w:pPr>
                  <w:r>
                    <w:rPr>
                      <w:b/>
                      <w:bCs/>
                      <w:szCs w:val="21"/>
                    </w:rPr>
                    <w:t>C</w:t>
                  </w:r>
                  <w:r>
                    <w:rPr>
                      <w:b/>
                      <w:bCs/>
                      <w:szCs w:val="21"/>
                      <w:vertAlign w:val="subscript"/>
                    </w:rPr>
                    <w:t>i1</w:t>
                  </w:r>
                  <w:r>
                    <w:rPr>
                      <w:b/>
                      <w:bCs/>
                      <w:szCs w:val="21"/>
                    </w:rPr>
                    <w:t>(mg/m</w:t>
                  </w:r>
                  <w:r>
                    <w:rPr>
                      <w:b/>
                      <w:bCs/>
                      <w:szCs w:val="21"/>
                      <w:vertAlign w:val="superscript"/>
                    </w:rPr>
                    <w:t>3</w:t>
                  </w:r>
                  <w:r>
                    <w:rPr>
                      <w:b/>
                      <w:bCs/>
                      <w:szCs w:val="21"/>
                    </w:rPr>
                    <w:t>)</w:t>
                  </w:r>
                </w:p>
              </w:tc>
              <w:tc>
                <w:tcPr>
                  <w:tcW w:w="1090" w:type="dxa"/>
                  <w:vAlign w:val="center"/>
                </w:tcPr>
                <w:p>
                  <w:pPr>
                    <w:spacing w:line="240" w:lineRule="exact"/>
                    <w:jc w:val="center"/>
                    <w:rPr>
                      <w:b/>
                      <w:bCs/>
                      <w:szCs w:val="21"/>
                    </w:rPr>
                  </w:pPr>
                  <w:r>
                    <w:rPr>
                      <w:b/>
                      <w:bCs/>
                      <w:szCs w:val="21"/>
                    </w:rPr>
                    <w:t>P</w:t>
                  </w:r>
                  <w:r>
                    <w:rPr>
                      <w:b/>
                      <w:bCs/>
                      <w:szCs w:val="21"/>
                      <w:vertAlign w:val="subscript"/>
                    </w:rPr>
                    <w:t>i1</w:t>
                  </w:r>
                  <w:r>
                    <w:rPr>
                      <w:b/>
                      <w:bCs/>
                      <w:szCs w:val="21"/>
                    </w:rPr>
                    <w:t>(%)</w:t>
                  </w:r>
                </w:p>
              </w:tc>
              <w:tc>
                <w:tcPr>
                  <w:tcW w:w="1459" w:type="dxa"/>
                  <w:vAlign w:val="center"/>
                </w:tcPr>
                <w:p>
                  <w:pPr>
                    <w:spacing w:line="240" w:lineRule="exact"/>
                    <w:jc w:val="center"/>
                    <w:rPr>
                      <w:b/>
                      <w:bCs/>
                      <w:szCs w:val="21"/>
                    </w:rPr>
                  </w:pPr>
                  <w:r>
                    <w:rPr>
                      <w:b/>
                      <w:bCs/>
                      <w:szCs w:val="21"/>
                    </w:rPr>
                    <w:t>C</w:t>
                  </w:r>
                  <w:r>
                    <w:rPr>
                      <w:b/>
                      <w:bCs/>
                      <w:szCs w:val="21"/>
                      <w:vertAlign w:val="subscript"/>
                    </w:rPr>
                    <w:t>i2</w:t>
                  </w:r>
                  <w:r>
                    <w:rPr>
                      <w:b/>
                      <w:bCs/>
                      <w:szCs w:val="21"/>
                    </w:rPr>
                    <w:t>(mg/m</w:t>
                  </w:r>
                  <w:r>
                    <w:rPr>
                      <w:b/>
                      <w:bCs/>
                      <w:szCs w:val="21"/>
                      <w:vertAlign w:val="superscript"/>
                    </w:rPr>
                    <w:t>3</w:t>
                  </w:r>
                  <w:r>
                    <w:rPr>
                      <w:b/>
                      <w:bCs/>
                      <w:szCs w:val="21"/>
                    </w:rPr>
                    <w:t>)</w:t>
                  </w:r>
                </w:p>
              </w:tc>
              <w:tc>
                <w:tcPr>
                  <w:tcW w:w="1057" w:type="dxa"/>
                  <w:vAlign w:val="center"/>
                </w:tcPr>
                <w:p>
                  <w:pPr>
                    <w:spacing w:line="240" w:lineRule="exact"/>
                    <w:jc w:val="center"/>
                    <w:rPr>
                      <w:b/>
                      <w:bCs/>
                      <w:szCs w:val="21"/>
                    </w:rPr>
                  </w:pPr>
                  <w:r>
                    <w:rPr>
                      <w:b/>
                      <w:bCs/>
                      <w:szCs w:val="21"/>
                    </w:rPr>
                    <w:t>P</w:t>
                  </w:r>
                  <w:r>
                    <w:rPr>
                      <w:b/>
                      <w:bCs/>
                      <w:szCs w:val="21"/>
                      <w:vertAlign w:val="subscript"/>
                    </w:rPr>
                    <w:t>i2</w:t>
                  </w:r>
                  <w:r>
                    <w:rPr>
                      <w:b/>
                      <w:bCs/>
                      <w:szCs w:val="21"/>
                    </w:rPr>
                    <w:t>(%)</w:t>
                  </w:r>
                </w:p>
              </w:tc>
              <w:tc>
                <w:tcPr>
                  <w:tcW w:w="1410" w:type="dxa"/>
                  <w:vAlign w:val="center"/>
                </w:tcPr>
                <w:p>
                  <w:pPr>
                    <w:spacing w:line="240" w:lineRule="exact"/>
                    <w:jc w:val="center"/>
                    <w:rPr>
                      <w:b/>
                      <w:bCs/>
                      <w:szCs w:val="21"/>
                    </w:rPr>
                  </w:pPr>
                  <w:r>
                    <w:rPr>
                      <w:b/>
                      <w:bCs/>
                      <w:szCs w:val="21"/>
                    </w:rPr>
                    <w:t>C</w:t>
                  </w:r>
                  <w:r>
                    <w:rPr>
                      <w:b/>
                      <w:bCs/>
                      <w:szCs w:val="21"/>
                      <w:vertAlign w:val="subscript"/>
                    </w:rPr>
                    <w:t>i3</w:t>
                  </w:r>
                  <w:r>
                    <w:rPr>
                      <w:b/>
                      <w:bCs/>
                      <w:szCs w:val="21"/>
                    </w:rPr>
                    <w:t>(mg/m</w:t>
                  </w:r>
                  <w:r>
                    <w:rPr>
                      <w:b/>
                      <w:bCs/>
                      <w:szCs w:val="21"/>
                      <w:vertAlign w:val="superscript"/>
                    </w:rPr>
                    <w:t>3</w:t>
                  </w:r>
                  <w:r>
                    <w:rPr>
                      <w:b/>
                      <w:bCs/>
                      <w:szCs w:val="21"/>
                    </w:rPr>
                    <w:t>)</w:t>
                  </w:r>
                </w:p>
              </w:tc>
              <w:tc>
                <w:tcPr>
                  <w:tcW w:w="1154" w:type="dxa"/>
                  <w:vAlign w:val="center"/>
                </w:tcPr>
                <w:p>
                  <w:pPr>
                    <w:spacing w:line="240" w:lineRule="exact"/>
                    <w:jc w:val="center"/>
                    <w:rPr>
                      <w:b/>
                      <w:bCs/>
                      <w:szCs w:val="21"/>
                    </w:rPr>
                  </w:pPr>
                  <w:r>
                    <w:rPr>
                      <w:b/>
                      <w:bCs/>
                      <w:szCs w:val="21"/>
                    </w:rPr>
                    <w:t>P</w:t>
                  </w:r>
                  <w:r>
                    <w:rPr>
                      <w:b/>
                      <w:bCs/>
                      <w:szCs w:val="21"/>
                      <w:vertAlign w:val="subscript"/>
                    </w:rPr>
                    <w:t>i3</w:t>
                  </w:r>
                  <w:r>
                    <w:rPr>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trPr>
              <w:tc>
                <w:tcPr>
                  <w:tcW w:w="1434" w:type="dxa"/>
                  <w:vAlign w:val="center"/>
                </w:tcPr>
                <w:p>
                  <w:pPr>
                    <w:spacing w:line="240" w:lineRule="exact"/>
                    <w:jc w:val="center"/>
                    <w:rPr>
                      <w:szCs w:val="21"/>
                    </w:rPr>
                  </w:pPr>
                  <w:r>
                    <w:rPr>
                      <w:szCs w:val="21"/>
                    </w:rPr>
                    <w:t>10</w:t>
                  </w:r>
                </w:p>
              </w:tc>
              <w:tc>
                <w:tcPr>
                  <w:tcW w:w="1397" w:type="dxa"/>
                  <w:vAlign w:val="center"/>
                </w:tcPr>
                <w:p>
                  <w:pPr>
                    <w:widowControl/>
                    <w:jc w:val="center"/>
                    <w:textAlignment w:val="center"/>
                    <w:rPr>
                      <w:szCs w:val="21"/>
                    </w:rPr>
                  </w:pPr>
                  <w:r>
                    <w:rPr>
                      <w:kern w:val="0"/>
                      <w:szCs w:val="21"/>
                    </w:rPr>
                    <w:t>7.326E-18</w:t>
                  </w:r>
                </w:p>
              </w:tc>
              <w:tc>
                <w:tcPr>
                  <w:tcW w:w="1090" w:type="dxa"/>
                  <w:vAlign w:val="center"/>
                </w:tcPr>
                <w:p>
                  <w:pPr>
                    <w:widowControl/>
                    <w:jc w:val="center"/>
                    <w:textAlignment w:val="center"/>
                    <w:rPr>
                      <w:szCs w:val="21"/>
                    </w:rPr>
                  </w:pPr>
                  <w:r>
                    <w:rPr>
                      <w:kern w:val="0"/>
                      <w:szCs w:val="21"/>
                    </w:rPr>
                    <w:t>0</w:t>
                  </w:r>
                </w:p>
              </w:tc>
              <w:tc>
                <w:tcPr>
                  <w:tcW w:w="1459" w:type="dxa"/>
                  <w:vAlign w:val="center"/>
                </w:tcPr>
                <w:p>
                  <w:pPr>
                    <w:widowControl/>
                    <w:jc w:val="center"/>
                    <w:textAlignment w:val="center"/>
                    <w:rPr>
                      <w:szCs w:val="21"/>
                    </w:rPr>
                  </w:pPr>
                  <w:r>
                    <w:rPr>
                      <w:kern w:val="0"/>
                      <w:szCs w:val="21"/>
                    </w:rPr>
                    <w:t>3.027E-19</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4.238E-19</w:t>
                  </w:r>
                </w:p>
              </w:tc>
              <w:tc>
                <w:tcPr>
                  <w:tcW w:w="1154" w:type="dxa"/>
                  <w:vAlign w:val="center"/>
                </w:tcPr>
                <w:p>
                  <w:pPr>
                    <w:widowControl/>
                    <w:jc w:val="center"/>
                    <w:textAlignment w:val="center"/>
                    <w:rPr>
                      <w:szCs w:val="21"/>
                    </w:rPr>
                  </w:pPr>
                  <w:r>
                    <w:rPr>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100</w:t>
                  </w:r>
                </w:p>
              </w:tc>
              <w:tc>
                <w:tcPr>
                  <w:tcW w:w="1397" w:type="dxa"/>
                  <w:vAlign w:val="center"/>
                </w:tcPr>
                <w:p>
                  <w:pPr>
                    <w:widowControl/>
                    <w:jc w:val="center"/>
                    <w:textAlignment w:val="center"/>
                    <w:rPr>
                      <w:szCs w:val="21"/>
                    </w:rPr>
                  </w:pPr>
                  <w:r>
                    <w:rPr>
                      <w:kern w:val="0"/>
                      <w:szCs w:val="21"/>
                    </w:rPr>
                    <w:t>0.001627</w:t>
                  </w:r>
                </w:p>
              </w:tc>
              <w:tc>
                <w:tcPr>
                  <w:tcW w:w="1090" w:type="dxa"/>
                  <w:vAlign w:val="center"/>
                </w:tcPr>
                <w:p>
                  <w:pPr>
                    <w:widowControl/>
                    <w:jc w:val="center"/>
                    <w:textAlignment w:val="center"/>
                    <w:rPr>
                      <w:szCs w:val="21"/>
                    </w:rPr>
                  </w:pPr>
                  <w:r>
                    <w:rPr>
                      <w:kern w:val="0"/>
                      <w:szCs w:val="21"/>
                    </w:rPr>
                    <w:t>0.36</w:t>
                  </w:r>
                </w:p>
              </w:tc>
              <w:tc>
                <w:tcPr>
                  <w:tcW w:w="1459" w:type="dxa"/>
                  <w:vAlign w:val="center"/>
                </w:tcPr>
                <w:p>
                  <w:pPr>
                    <w:widowControl/>
                    <w:jc w:val="center"/>
                    <w:textAlignment w:val="center"/>
                    <w:rPr>
                      <w:szCs w:val="21"/>
                    </w:rPr>
                  </w:pPr>
                  <w:r>
                    <w:rPr>
                      <w:kern w:val="0"/>
                      <w:szCs w:val="21"/>
                    </w:rPr>
                    <w:t>0.00006722</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0.00009411</w:t>
                  </w:r>
                </w:p>
              </w:tc>
              <w:tc>
                <w:tcPr>
                  <w:tcW w:w="1154" w:type="dxa"/>
                  <w:vAlign w:val="center"/>
                </w:tcPr>
                <w:p>
                  <w:pPr>
                    <w:widowControl/>
                    <w:jc w:val="center"/>
                    <w:textAlignment w:val="center"/>
                    <w:rPr>
                      <w:szCs w:val="21"/>
                    </w:rPr>
                  </w:pPr>
                  <w:r>
                    <w:rPr>
                      <w:kern w:val="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200</w:t>
                  </w:r>
                </w:p>
              </w:tc>
              <w:tc>
                <w:tcPr>
                  <w:tcW w:w="1397" w:type="dxa"/>
                  <w:vAlign w:val="center"/>
                </w:tcPr>
                <w:p>
                  <w:pPr>
                    <w:widowControl/>
                    <w:jc w:val="center"/>
                    <w:textAlignment w:val="center"/>
                    <w:rPr>
                      <w:szCs w:val="21"/>
                    </w:rPr>
                  </w:pPr>
                  <w:r>
                    <w:rPr>
                      <w:kern w:val="0"/>
                      <w:szCs w:val="21"/>
                    </w:rPr>
                    <w:t>0.002098</w:t>
                  </w:r>
                </w:p>
              </w:tc>
              <w:tc>
                <w:tcPr>
                  <w:tcW w:w="1090" w:type="dxa"/>
                  <w:vAlign w:val="center"/>
                </w:tcPr>
                <w:p>
                  <w:pPr>
                    <w:widowControl/>
                    <w:jc w:val="center"/>
                    <w:textAlignment w:val="center"/>
                    <w:rPr>
                      <w:szCs w:val="21"/>
                    </w:rPr>
                  </w:pPr>
                  <w:r>
                    <w:rPr>
                      <w:kern w:val="0"/>
                      <w:szCs w:val="21"/>
                    </w:rPr>
                    <w:t>0.47</w:t>
                  </w:r>
                </w:p>
              </w:tc>
              <w:tc>
                <w:tcPr>
                  <w:tcW w:w="1459" w:type="dxa"/>
                  <w:vAlign w:val="center"/>
                </w:tcPr>
                <w:p>
                  <w:pPr>
                    <w:widowControl/>
                    <w:jc w:val="center"/>
                    <w:textAlignment w:val="center"/>
                    <w:rPr>
                      <w:szCs w:val="21"/>
                    </w:rPr>
                  </w:pPr>
                  <w:r>
                    <w:rPr>
                      <w:kern w:val="0"/>
                      <w:szCs w:val="21"/>
                    </w:rPr>
                    <w:t>0.00008671</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0.0001214</w:t>
                  </w:r>
                </w:p>
              </w:tc>
              <w:tc>
                <w:tcPr>
                  <w:tcW w:w="1154" w:type="dxa"/>
                  <w:vAlign w:val="center"/>
                </w:tcPr>
                <w:p>
                  <w:pPr>
                    <w:widowControl/>
                    <w:jc w:val="center"/>
                    <w:textAlignment w:val="center"/>
                    <w:rPr>
                      <w:szCs w:val="21"/>
                    </w:rPr>
                  </w:pPr>
                  <w:r>
                    <w:rPr>
                      <w:kern w:val="0"/>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300</w:t>
                  </w:r>
                </w:p>
              </w:tc>
              <w:tc>
                <w:tcPr>
                  <w:tcW w:w="1397" w:type="dxa"/>
                  <w:vAlign w:val="center"/>
                </w:tcPr>
                <w:p>
                  <w:pPr>
                    <w:widowControl/>
                    <w:jc w:val="center"/>
                    <w:textAlignment w:val="center"/>
                    <w:rPr>
                      <w:szCs w:val="21"/>
                    </w:rPr>
                  </w:pPr>
                  <w:r>
                    <w:rPr>
                      <w:kern w:val="0"/>
                      <w:szCs w:val="21"/>
                    </w:rPr>
                    <w:t>0.002218</w:t>
                  </w:r>
                </w:p>
              </w:tc>
              <w:tc>
                <w:tcPr>
                  <w:tcW w:w="1090" w:type="dxa"/>
                  <w:vAlign w:val="center"/>
                </w:tcPr>
                <w:p>
                  <w:pPr>
                    <w:widowControl/>
                    <w:jc w:val="center"/>
                    <w:textAlignment w:val="center"/>
                    <w:rPr>
                      <w:szCs w:val="21"/>
                    </w:rPr>
                  </w:pPr>
                  <w:r>
                    <w:rPr>
                      <w:kern w:val="0"/>
                      <w:szCs w:val="21"/>
                    </w:rPr>
                    <w:t>0.49</w:t>
                  </w:r>
                </w:p>
              </w:tc>
              <w:tc>
                <w:tcPr>
                  <w:tcW w:w="1459" w:type="dxa"/>
                  <w:vAlign w:val="center"/>
                </w:tcPr>
                <w:p>
                  <w:pPr>
                    <w:widowControl/>
                    <w:jc w:val="center"/>
                    <w:textAlignment w:val="center"/>
                    <w:rPr>
                      <w:szCs w:val="21"/>
                    </w:rPr>
                  </w:pPr>
                  <w:r>
                    <w:rPr>
                      <w:kern w:val="0"/>
                      <w:szCs w:val="21"/>
                    </w:rPr>
                    <w:t>0.00009166</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0.0001283</w:t>
                  </w:r>
                </w:p>
              </w:tc>
              <w:tc>
                <w:tcPr>
                  <w:tcW w:w="1154" w:type="dxa"/>
                  <w:vAlign w:val="center"/>
                </w:tcPr>
                <w:p>
                  <w:pPr>
                    <w:widowControl/>
                    <w:jc w:val="center"/>
                    <w:textAlignment w:val="center"/>
                    <w:rPr>
                      <w:szCs w:val="21"/>
                    </w:rPr>
                  </w:pPr>
                  <w:r>
                    <w:rPr>
                      <w:kern w:val="0"/>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400</w:t>
                  </w:r>
                </w:p>
              </w:tc>
              <w:tc>
                <w:tcPr>
                  <w:tcW w:w="1397" w:type="dxa"/>
                  <w:vAlign w:val="center"/>
                </w:tcPr>
                <w:p>
                  <w:pPr>
                    <w:widowControl/>
                    <w:jc w:val="center"/>
                    <w:textAlignment w:val="center"/>
                    <w:rPr>
                      <w:szCs w:val="21"/>
                    </w:rPr>
                  </w:pPr>
                  <w:r>
                    <w:rPr>
                      <w:kern w:val="0"/>
                      <w:szCs w:val="21"/>
                    </w:rPr>
                    <w:t>0.002146</w:t>
                  </w:r>
                </w:p>
              </w:tc>
              <w:tc>
                <w:tcPr>
                  <w:tcW w:w="1090" w:type="dxa"/>
                  <w:vAlign w:val="center"/>
                </w:tcPr>
                <w:p>
                  <w:pPr>
                    <w:widowControl/>
                    <w:jc w:val="center"/>
                    <w:textAlignment w:val="center"/>
                    <w:rPr>
                      <w:szCs w:val="21"/>
                    </w:rPr>
                  </w:pPr>
                  <w:r>
                    <w:rPr>
                      <w:kern w:val="0"/>
                      <w:szCs w:val="21"/>
                    </w:rPr>
                    <w:t>0.48</w:t>
                  </w:r>
                </w:p>
              </w:tc>
              <w:tc>
                <w:tcPr>
                  <w:tcW w:w="1459" w:type="dxa"/>
                  <w:vAlign w:val="center"/>
                </w:tcPr>
                <w:p>
                  <w:pPr>
                    <w:widowControl/>
                    <w:jc w:val="center"/>
                    <w:textAlignment w:val="center"/>
                    <w:rPr>
                      <w:szCs w:val="21"/>
                    </w:rPr>
                  </w:pPr>
                  <w:r>
                    <w:rPr>
                      <w:kern w:val="0"/>
                      <w:szCs w:val="21"/>
                    </w:rPr>
                    <w:t>0.00008868</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0.0001242</w:t>
                  </w:r>
                </w:p>
              </w:tc>
              <w:tc>
                <w:tcPr>
                  <w:tcW w:w="1154" w:type="dxa"/>
                  <w:vAlign w:val="center"/>
                </w:tcPr>
                <w:p>
                  <w:pPr>
                    <w:widowControl/>
                    <w:jc w:val="center"/>
                    <w:textAlignment w:val="center"/>
                    <w:rPr>
                      <w:szCs w:val="21"/>
                    </w:rPr>
                  </w:pPr>
                  <w:r>
                    <w:rPr>
                      <w:kern w:val="0"/>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500</w:t>
                  </w:r>
                </w:p>
              </w:tc>
              <w:tc>
                <w:tcPr>
                  <w:tcW w:w="1397" w:type="dxa"/>
                  <w:vAlign w:val="center"/>
                </w:tcPr>
                <w:p>
                  <w:pPr>
                    <w:widowControl/>
                    <w:jc w:val="center"/>
                    <w:textAlignment w:val="center"/>
                    <w:rPr>
                      <w:szCs w:val="21"/>
                    </w:rPr>
                  </w:pPr>
                  <w:r>
                    <w:rPr>
                      <w:kern w:val="0"/>
                      <w:szCs w:val="21"/>
                    </w:rPr>
                    <w:t>0.001966</w:t>
                  </w:r>
                </w:p>
              </w:tc>
              <w:tc>
                <w:tcPr>
                  <w:tcW w:w="1090" w:type="dxa"/>
                  <w:vAlign w:val="center"/>
                </w:tcPr>
                <w:p>
                  <w:pPr>
                    <w:widowControl/>
                    <w:jc w:val="center"/>
                    <w:textAlignment w:val="center"/>
                    <w:rPr>
                      <w:szCs w:val="21"/>
                    </w:rPr>
                  </w:pPr>
                  <w:r>
                    <w:rPr>
                      <w:kern w:val="0"/>
                      <w:szCs w:val="21"/>
                    </w:rPr>
                    <w:t>0.44</w:t>
                  </w:r>
                </w:p>
              </w:tc>
              <w:tc>
                <w:tcPr>
                  <w:tcW w:w="1459" w:type="dxa"/>
                  <w:vAlign w:val="center"/>
                </w:tcPr>
                <w:p>
                  <w:pPr>
                    <w:widowControl/>
                    <w:jc w:val="center"/>
                    <w:textAlignment w:val="center"/>
                    <w:rPr>
                      <w:szCs w:val="21"/>
                    </w:rPr>
                  </w:pPr>
                  <w:r>
                    <w:rPr>
                      <w:kern w:val="0"/>
                      <w:szCs w:val="21"/>
                    </w:rPr>
                    <w:t>0.00008124</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0.0001137</w:t>
                  </w:r>
                </w:p>
              </w:tc>
              <w:tc>
                <w:tcPr>
                  <w:tcW w:w="1154" w:type="dxa"/>
                  <w:vAlign w:val="center"/>
                </w:tcPr>
                <w:p>
                  <w:pPr>
                    <w:widowControl/>
                    <w:jc w:val="center"/>
                    <w:textAlignment w:val="center"/>
                    <w:rPr>
                      <w:szCs w:val="21"/>
                    </w:rPr>
                  </w:pPr>
                  <w:r>
                    <w:rPr>
                      <w:kern w:val="0"/>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600</w:t>
                  </w:r>
                </w:p>
              </w:tc>
              <w:tc>
                <w:tcPr>
                  <w:tcW w:w="1397" w:type="dxa"/>
                  <w:vAlign w:val="center"/>
                </w:tcPr>
                <w:p>
                  <w:pPr>
                    <w:widowControl/>
                    <w:jc w:val="center"/>
                    <w:textAlignment w:val="center"/>
                    <w:rPr>
                      <w:szCs w:val="21"/>
                    </w:rPr>
                  </w:pPr>
                  <w:r>
                    <w:rPr>
                      <w:kern w:val="0"/>
                      <w:szCs w:val="21"/>
                    </w:rPr>
                    <w:t>0.001869</w:t>
                  </w:r>
                </w:p>
              </w:tc>
              <w:tc>
                <w:tcPr>
                  <w:tcW w:w="1090" w:type="dxa"/>
                  <w:vAlign w:val="center"/>
                </w:tcPr>
                <w:p>
                  <w:pPr>
                    <w:widowControl/>
                    <w:jc w:val="center"/>
                    <w:textAlignment w:val="center"/>
                    <w:rPr>
                      <w:szCs w:val="21"/>
                    </w:rPr>
                  </w:pPr>
                  <w:r>
                    <w:rPr>
                      <w:kern w:val="0"/>
                      <w:szCs w:val="21"/>
                    </w:rPr>
                    <w:t>0.42</w:t>
                  </w:r>
                </w:p>
              </w:tc>
              <w:tc>
                <w:tcPr>
                  <w:tcW w:w="1459" w:type="dxa"/>
                  <w:vAlign w:val="center"/>
                </w:tcPr>
                <w:p>
                  <w:pPr>
                    <w:widowControl/>
                    <w:jc w:val="center"/>
                    <w:textAlignment w:val="center"/>
                    <w:rPr>
                      <w:szCs w:val="21"/>
                    </w:rPr>
                  </w:pPr>
                  <w:r>
                    <w:rPr>
                      <w:kern w:val="0"/>
                      <w:szCs w:val="21"/>
                    </w:rPr>
                    <w:t>0.00007725</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0.0001081</w:t>
                  </w:r>
                </w:p>
              </w:tc>
              <w:tc>
                <w:tcPr>
                  <w:tcW w:w="1154" w:type="dxa"/>
                  <w:vAlign w:val="center"/>
                </w:tcPr>
                <w:p>
                  <w:pPr>
                    <w:widowControl/>
                    <w:jc w:val="center"/>
                    <w:textAlignment w:val="center"/>
                    <w:rPr>
                      <w:szCs w:val="21"/>
                    </w:rPr>
                  </w:pPr>
                  <w:r>
                    <w:rPr>
                      <w:kern w:val="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700</w:t>
                  </w:r>
                </w:p>
              </w:tc>
              <w:tc>
                <w:tcPr>
                  <w:tcW w:w="1397" w:type="dxa"/>
                  <w:vAlign w:val="center"/>
                </w:tcPr>
                <w:p>
                  <w:pPr>
                    <w:widowControl/>
                    <w:jc w:val="center"/>
                    <w:textAlignment w:val="center"/>
                    <w:rPr>
                      <w:szCs w:val="21"/>
                    </w:rPr>
                  </w:pPr>
                  <w:r>
                    <w:rPr>
                      <w:kern w:val="0"/>
                      <w:szCs w:val="21"/>
                    </w:rPr>
                    <w:t>0.001807</w:t>
                  </w:r>
                </w:p>
              </w:tc>
              <w:tc>
                <w:tcPr>
                  <w:tcW w:w="1090" w:type="dxa"/>
                  <w:vAlign w:val="center"/>
                </w:tcPr>
                <w:p>
                  <w:pPr>
                    <w:widowControl/>
                    <w:jc w:val="center"/>
                    <w:textAlignment w:val="center"/>
                    <w:rPr>
                      <w:szCs w:val="21"/>
                    </w:rPr>
                  </w:pPr>
                  <w:r>
                    <w:rPr>
                      <w:kern w:val="0"/>
                      <w:szCs w:val="21"/>
                    </w:rPr>
                    <w:t>0.4</w:t>
                  </w:r>
                </w:p>
              </w:tc>
              <w:tc>
                <w:tcPr>
                  <w:tcW w:w="1459" w:type="dxa"/>
                  <w:vAlign w:val="center"/>
                </w:tcPr>
                <w:p>
                  <w:pPr>
                    <w:widowControl/>
                    <w:jc w:val="center"/>
                    <w:textAlignment w:val="center"/>
                    <w:rPr>
                      <w:szCs w:val="21"/>
                    </w:rPr>
                  </w:pPr>
                  <w:r>
                    <w:rPr>
                      <w:kern w:val="0"/>
                      <w:szCs w:val="21"/>
                    </w:rPr>
                    <w:t>0.00007467</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0.0001045</w:t>
                  </w:r>
                </w:p>
              </w:tc>
              <w:tc>
                <w:tcPr>
                  <w:tcW w:w="1154" w:type="dxa"/>
                  <w:vAlign w:val="center"/>
                </w:tcPr>
                <w:p>
                  <w:pPr>
                    <w:widowControl/>
                    <w:jc w:val="center"/>
                    <w:textAlignment w:val="center"/>
                    <w:rPr>
                      <w:szCs w:val="21"/>
                    </w:rPr>
                  </w:pPr>
                  <w:r>
                    <w:rPr>
                      <w:kern w:val="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800</w:t>
                  </w:r>
                </w:p>
              </w:tc>
              <w:tc>
                <w:tcPr>
                  <w:tcW w:w="1397" w:type="dxa"/>
                  <w:vAlign w:val="center"/>
                </w:tcPr>
                <w:p>
                  <w:pPr>
                    <w:widowControl/>
                    <w:jc w:val="center"/>
                    <w:textAlignment w:val="center"/>
                    <w:rPr>
                      <w:szCs w:val="21"/>
                    </w:rPr>
                  </w:pPr>
                  <w:r>
                    <w:rPr>
                      <w:kern w:val="0"/>
                      <w:szCs w:val="21"/>
                    </w:rPr>
                    <w:t>0.001751</w:t>
                  </w:r>
                </w:p>
              </w:tc>
              <w:tc>
                <w:tcPr>
                  <w:tcW w:w="1090" w:type="dxa"/>
                  <w:vAlign w:val="center"/>
                </w:tcPr>
                <w:p>
                  <w:pPr>
                    <w:widowControl/>
                    <w:jc w:val="center"/>
                    <w:textAlignment w:val="center"/>
                    <w:rPr>
                      <w:szCs w:val="21"/>
                    </w:rPr>
                  </w:pPr>
                  <w:r>
                    <w:rPr>
                      <w:kern w:val="0"/>
                      <w:szCs w:val="21"/>
                    </w:rPr>
                    <w:t>0.39</w:t>
                  </w:r>
                </w:p>
              </w:tc>
              <w:tc>
                <w:tcPr>
                  <w:tcW w:w="1459" w:type="dxa"/>
                  <w:vAlign w:val="center"/>
                </w:tcPr>
                <w:p>
                  <w:pPr>
                    <w:widowControl/>
                    <w:jc w:val="center"/>
                    <w:textAlignment w:val="center"/>
                    <w:rPr>
                      <w:szCs w:val="21"/>
                    </w:rPr>
                  </w:pPr>
                  <w:r>
                    <w:rPr>
                      <w:kern w:val="0"/>
                      <w:szCs w:val="21"/>
                    </w:rPr>
                    <w:t>0.00007237</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0.0001013</w:t>
                  </w:r>
                </w:p>
              </w:tc>
              <w:tc>
                <w:tcPr>
                  <w:tcW w:w="1154" w:type="dxa"/>
                  <w:vAlign w:val="center"/>
                </w:tcPr>
                <w:p>
                  <w:pPr>
                    <w:widowControl/>
                    <w:jc w:val="center"/>
                    <w:textAlignment w:val="center"/>
                    <w:rPr>
                      <w:szCs w:val="21"/>
                    </w:rPr>
                  </w:pPr>
                  <w:r>
                    <w:rPr>
                      <w:kern w:val="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900</w:t>
                  </w:r>
                </w:p>
              </w:tc>
              <w:tc>
                <w:tcPr>
                  <w:tcW w:w="1397" w:type="dxa"/>
                  <w:vAlign w:val="center"/>
                </w:tcPr>
                <w:p>
                  <w:pPr>
                    <w:widowControl/>
                    <w:jc w:val="center"/>
                    <w:textAlignment w:val="center"/>
                    <w:rPr>
                      <w:szCs w:val="21"/>
                    </w:rPr>
                  </w:pPr>
                  <w:r>
                    <w:rPr>
                      <w:kern w:val="0"/>
                      <w:szCs w:val="21"/>
                    </w:rPr>
                    <w:t>0.001673</w:t>
                  </w:r>
                </w:p>
              </w:tc>
              <w:tc>
                <w:tcPr>
                  <w:tcW w:w="1090" w:type="dxa"/>
                  <w:vAlign w:val="center"/>
                </w:tcPr>
                <w:p>
                  <w:pPr>
                    <w:widowControl/>
                    <w:jc w:val="center"/>
                    <w:textAlignment w:val="center"/>
                    <w:rPr>
                      <w:szCs w:val="21"/>
                    </w:rPr>
                  </w:pPr>
                  <w:r>
                    <w:rPr>
                      <w:kern w:val="0"/>
                      <w:szCs w:val="21"/>
                    </w:rPr>
                    <w:t>0.37</w:t>
                  </w:r>
                </w:p>
              </w:tc>
              <w:tc>
                <w:tcPr>
                  <w:tcW w:w="1459" w:type="dxa"/>
                  <w:vAlign w:val="center"/>
                </w:tcPr>
                <w:p>
                  <w:pPr>
                    <w:widowControl/>
                    <w:jc w:val="center"/>
                    <w:textAlignment w:val="center"/>
                    <w:rPr>
                      <w:szCs w:val="21"/>
                    </w:rPr>
                  </w:pPr>
                  <w:r>
                    <w:rPr>
                      <w:kern w:val="0"/>
                      <w:szCs w:val="21"/>
                    </w:rPr>
                    <w:t>0.00006915</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0.00009681</w:t>
                  </w:r>
                </w:p>
              </w:tc>
              <w:tc>
                <w:tcPr>
                  <w:tcW w:w="1154" w:type="dxa"/>
                  <w:vAlign w:val="center"/>
                </w:tcPr>
                <w:p>
                  <w:pPr>
                    <w:widowControl/>
                    <w:jc w:val="center"/>
                    <w:textAlignment w:val="center"/>
                    <w:rPr>
                      <w:szCs w:val="21"/>
                    </w:rPr>
                  </w:pPr>
                  <w:r>
                    <w:rPr>
                      <w:kern w:val="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1000</w:t>
                  </w:r>
                </w:p>
              </w:tc>
              <w:tc>
                <w:tcPr>
                  <w:tcW w:w="1397" w:type="dxa"/>
                  <w:vAlign w:val="center"/>
                </w:tcPr>
                <w:p>
                  <w:pPr>
                    <w:widowControl/>
                    <w:jc w:val="center"/>
                    <w:textAlignment w:val="center"/>
                    <w:rPr>
                      <w:szCs w:val="21"/>
                    </w:rPr>
                  </w:pPr>
                  <w:r>
                    <w:rPr>
                      <w:kern w:val="0"/>
                      <w:szCs w:val="21"/>
                    </w:rPr>
                    <w:t>0.001572</w:t>
                  </w:r>
                </w:p>
              </w:tc>
              <w:tc>
                <w:tcPr>
                  <w:tcW w:w="1090" w:type="dxa"/>
                  <w:vAlign w:val="center"/>
                </w:tcPr>
                <w:p>
                  <w:pPr>
                    <w:widowControl/>
                    <w:jc w:val="center"/>
                    <w:textAlignment w:val="center"/>
                    <w:rPr>
                      <w:szCs w:val="21"/>
                    </w:rPr>
                  </w:pPr>
                  <w:r>
                    <w:rPr>
                      <w:kern w:val="0"/>
                      <w:szCs w:val="21"/>
                    </w:rPr>
                    <w:t>0.35</w:t>
                  </w:r>
                </w:p>
              </w:tc>
              <w:tc>
                <w:tcPr>
                  <w:tcW w:w="1459" w:type="dxa"/>
                  <w:vAlign w:val="center"/>
                </w:tcPr>
                <w:p>
                  <w:pPr>
                    <w:widowControl/>
                    <w:jc w:val="center"/>
                    <w:textAlignment w:val="center"/>
                    <w:rPr>
                      <w:szCs w:val="21"/>
                    </w:rPr>
                  </w:pPr>
                  <w:r>
                    <w:rPr>
                      <w:kern w:val="0"/>
                      <w:szCs w:val="21"/>
                    </w:rPr>
                    <w:t>0.00006498</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0.00009097</w:t>
                  </w:r>
                </w:p>
              </w:tc>
              <w:tc>
                <w:tcPr>
                  <w:tcW w:w="1154" w:type="dxa"/>
                  <w:vAlign w:val="center"/>
                </w:tcPr>
                <w:p>
                  <w:pPr>
                    <w:widowControl/>
                    <w:jc w:val="center"/>
                    <w:textAlignment w:val="center"/>
                    <w:rPr>
                      <w:szCs w:val="21"/>
                    </w:rPr>
                  </w:pPr>
                  <w:r>
                    <w:rPr>
                      <w:kern w:val="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1100</w:t>
                  </w:r>
                </w:p>
              </w:tc>
              <w:tc>
                <w:tcPr>
                  <w:tcW w:w="1397" w:type="dxa"/>
                  <w:vAlign w:val="center"/>
                </w:tcPr>
                <w:p>
                  <w:pPr>
                    <w:widowControl/>
                    <w:jc w:val="center"/>
                    <w:textAlignment w:val="center"/>
                    <w:rPr>
                      <w:szCs w:val="21"/>
                    </w:rPr>
                  </w:pPr>
                  <w:r>
                    <w:rPr>
                      <w:kern w:val="0"/>
                      <w:szCs w:val="21"/>
                    </w:rPr>
                    <w:t>0.0015</w:t>
                  </w:r>
                </w:p>
              </w:tc>
              <w:tc>
                <w:tcPr>
                  <w:tcW w:w="1090" w:type="dxa"/>
                  <w:vAlign w:val="center"/>
                </w:tcPr>
                <w:p>
                  <w:pPr>
                    <w:widowControl/>
                    <w:jc w:val="center"/>
                    <w:textAlignment w:val="center"/>
                    <w:rPr>
                      <w:szCs w:val="21"/>
                    </w:rPr>
                  </w:pPr>
                  <w:r>
                    <w:rPr>
                      <w:kern w:val="0"/>
                      <w:szCs w:val="21"/>
                    </w:rPr>
                    <w:t>0.33</w:t>
                  </w:r>
                </w:p>
              </w:tc>
              <w:tc>
                <w:tcPr>
                  <w:tcW w:w="1459" w:type="dxa"/>
                  <w:vAlign w:val="center"/>
                </w:tcPr>
                <w:p>
                  <w:pPr>
                    <w:widowControl/>
                    <w:jc w:val="center"/>
                    <w:textAlignment w:val="center"/>
                    <w:rPr>
                      <w:szCs w:val="21"/>
                    </w:rPr>
                  </w:pPr>
                  <w:r>
                    <w:rPr>
                      <w:kern w:val="0"/>
                      <w:szCs w:val="21"/>
                    </w:rPr>
                    <w:t>0.00006198</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0.00008678</w:t>
                  </w:r>
                </w:p>
              </w:tc>
              <w:tc>
                <w:tcPr>
                  <w:tcW w:w="1154" w:type="dxa"/>
                  <w:vAlign w:val="center"/>
                </w:tcPr>
                <w:p>
                  <w:pPr>
                    <w:widowControl/>
                    <w:jc w:val="center"/>
                    <w:textAlignment w:val="center"/>
                    <w:rPr>
                      <w:szCs w:val="21"/>
                    </w:rPr>
                  </w:pPr>
                  <w:r>
                    <w:rPr>
                      <w:kern w:val="0"/>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1200</w:t>
                  </w:r>
                </w:p>
              </w:tc>
              <w:tc>
                <w:tcPr>
                  <w:tcW w:w="1397" w:type="dxa"/>
                  <w:vAlign w:val="center"/>
                </w:tcPr>
                <w:p>
                  <w:pPr>
                    <w:widowControl/>
                    <w:jc w:val="center"/>
                    <w:textAlignment w:val="center"/>
                    <w:rPr>
                      <w:szCs w:val="21"/>
                    </w:rPr>
                  </w:pPr>
                  <w:r>
                    <w:rPr>
                      <w:kern w:val="0"/>
                      <w:szCs w:val="21"/>
                    </w:rPr>
                    <w:t>0.001462</w:t>
                  </w:r>
                </w:p>
              </w:tc>
              <w:tc>
                <w:tcPr>
                  <w:tcW w:w="1090" w:type="dxa"/>
                  <w:vAlign w:val="center"/>
                </w:tcPr>
                <w:p>
                  <w:pPr>
                    <w:widowControl/>
                    <w:jc w:val="center"/>
                    <w:textAlignment w:val="center"/>
                    <w:rPr>
                      <w:szCs w:val="21"/>
                    </w:rPr>
                  </w:pPr>
                  <w:r>
                    <w:rPr>
                      <w:kern w:val="0"/>
                      <w:szCs w:val="21"/>
                    </w:rPr>
                    <w:t>0.32</w:t>
                  </w:r>
                </w:p>
              </w:tc>
              <w:tc>
                <w:tcPr>
                  <w:tcW w:w="1459" w:type="dxa"/>
                  <w:vAlign w:val="center"/>
                </w:tcPr>
                <w:p>
                  <w:pPr>
                    <w:widowControl/>
                    <w:jc w:val="center"/>
                    <w:textAlignment w:val="center"/>
                    <w:rPr>
                      <w:szCs w:val="21"/>
                    </w:rPr>
                  </w:pPr>
                  <w:r>
                    <w:rPr>
                      <w:kern w:val="0"/>
                      <w:szCs w:val="21"/>
                    </w:rPr>
                    <w:t>0.00006039</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0.00008455</w:t>
                  </w:r>
                </w:p>
              </w:tc>
              <w:tc>
                <w:tcPr>
                  <w:tcW w:w="1154" w:type="dxa"/>
                  <w:vAlign w:val="center"/>
                </w:tcPr>
                <w:p>
                  <w:pPr>
                    <w:widowControl/>
                    <w:jc w:val="center"/>
                    <w:textAlignment w:val="center"/>
                    <w:rPr>
                      <w:szCs w:val="21"/>
                    </w:rPr>
                  </w:pPr>
                  <w:r>
                    <w:rPr>
                      <w:kern w:val="0"/>
                      <w:szCs w:val="21"/>
                    </w:rPr>
                    <w:t>0.04</w:t>
                  </w:r>
                </w:p>
              </w:tc>
            </w:tr>
          </w:tbl>
          <w:p>
            <w:pPr>
              <w:spacing w:line="480" w:lineRule="exact"/>
              <w:jc w:val="center"/>
              <w:rPr>
                <w:b/>
                <w:bCs/>
              </w:rPr>
            </w:pPr>
            <w:r>
              <w:rPr>
                <w:rFonts w:hint="eastAsia"/>
                <w:b/>
                <w:bCs/>
              </w:rPr>
              <w:t>续</w:t>
            </w:r>
            <w:r>
              <w:rPr>
                <w:b/>
                <w:bCs/>
              </w:rPr>
              <w:t>表</w:t>
            </w:r>
            <w:r>
              <w:rPr>
                <w:rFonts w:hint="eastAsia"/>
                <w:b/>
                <w:bCs/>
              </w:rPr>
              <w:t xml:space="preserve">22-2  </w:t>
            </w:r>
            <w:r>
              <w:rPr>
                <w:b/>
                <w:bCs/>
              </w:rPr>
              <w:t xml:space="preserve"> </w:t>
            </w:r>
            <w:r>
              <w:rPr>
                <w:rFonts w:hint="eastAsia"/>
                <w:b/>
                <w:bCs/>
              </w:rPr>
              <w:t>车间</w:t>
            </w:r>
            <w:r>
              <w:rPr>
                <w:b/>
                <w:bCs/>
              </w:rPr>
              <w:t>点源废气估算模式计算结果一览表</w:t>
            </w:r>
          </w:p>
          <w:tbl>
            <w:tblPr>
              <w:tblStyle w:val="31"/>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4"/>
              <w:gridCol w:w="1397"/>
              <w:gridCol w:w="1090"/>
              <w:gridCol w:w="1459"/>
              <w:gridCol w:w="1057"/>
              <w:gridCol w:w="1410"/>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434" w:type="dxa"/>
                  <w:vMerge w:val="restart"/>
                  <w:vAlign w:val="center"/>
                </w:tcPr>
                <w:p>
                  <w:pPr>
                    <w:spacing w:line="240" w:lineRule="exact"/>
                    <w:jc w:val="center"/>
                    <w:rPr>
                      <w:b/>
                      <w:bCs/>
                      <w:szCs w:val="21"/>
                    </w:rPr>
                  </w:pPr>
                  <w:r>
                    <w:rPr>
                      <w:b/>
                      <w:bCs/>
                      <w:szCs w:val="21"/>
                    </w:rPr>
                    <w:t>距离排气筒距离D(m)</w:t>
                  </w:r>
                </w:p>
              </w:tc>
              <w:tc>
                <w:tcPr>
                  <w:tcW w:w="7567" w:type="dxa"/>
                  <w:gridSpan w:val="6"/>
                  <w:vAlign w:val="center"/>
                </w:tcPr>
                <w:p>
                  <w:pPr>
                    <w:spacing w:line="240" w:lineRule="exact"/>
                    <w:jc w:val="center"/>
                    <w:rPr>
                      <w:b/>
                      <w:bCs/>
                      <w:szCs w:val="21"/>
                    </w:rPr>
                  </w:pPr>
                  <w:r>
                    <w:rPr>
                      <w:szCs w:val="21"/>
                    </w:rPr>
                    <w:t>喷晾漆废气（P3）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434" w:type="dxa"/>
                  <w:vMerge w:val="continue"/>
                  <w:vAlign w:val="center"/>
                </w:tcPr>
                <w:p>
                  <w:pPr>
                    <w:spacing w:line="240" w:lineRule="exact"/>
                    <w:jc w:val="center"/>
                    <w:rPr>
                      <w:b/>
                      <w:bCs/>
                      <w:szCs w:val="21"/>
                    </w:rPr>
                  </w:pPr>
                </w:p>
              </w:tc>
              <w:tc>
                <w:tcPr>
                  <w:tcW w:w="2487" w:type="dxa"/>
                  <w:gridSpan w:val="2"/>
                  <w:vAlign w:val="center"/>
                </w:tcPr>
                <w:p>
                  <w:pPr>
                    <w:spacing w:line="240" w:lineRule="exact"/>
                    <w:jc w:val="center"/>
                    <w:rPr>
                      <w:b/>
                      <w:bCs/>
                      <w:szCs w:val="21"/>
                    </w:rPr>
                  </w:pPr>
                  <w:r>
                    <w:rPr>
                      <w:b/>
                      <w:bCs/>
                      <w:szCs w:val="21"/>
                    </w:rPr>
                    <w:t>颗粒物</w:t>
                  </w:r>
                </w:p>
              </w:tc>
              <w:tc>
                <w:tcPr>
                  <w:tcW w:w="2516" w:type="dxa"/>
                  <w:gridSpan w:val="2"/>
                  <w:vAlign w:val="center"/>
                </w:tcPr>
                <w:p>
                  <w:pPr>
                    <w:spacing w:line="240" w:lineRule="exact"/>
                    <w:jc w:val="center"/>
                    <w:rPr>
                      <w:b/>
                      <w:bCs/>
                      <w:szCs w:val="21"/>
                    </w:rPr>
                  </w:pPr>
                  <w:r>
                    <w:rPr>
                      <w:b/>
                      <w:bCs/>
                      <w:szCs w:val="21"/>
                    </w:rPr>
                    <w:t>非甲烷总烃</w:t>
                  </w:r>
                </w:p>
              </w:tc>
              <w:tc>
                <w:tcPr>
                  <w:tcW w:w="2564" w:type="dxa"/>
                  <w:gridSpan w:val="2"/>
                  <w:vAlign w:val="center"/>
                </w:tcPr>
                <w:p>
                  <w:pPr>
                    <w:spacing w:line="240" w:lineRule="exact"/>
                    <w:jc w:val="center"/>
                    <w:rPr>
                      <w:b/>
                      <w:bCs/>
                      <w:szCs w:val="21"/>
                    </w:rPr>
                  </w:pPr>
                  <w:r>
                    <w:rPr>
                      <w:b/>
                      <w:bCs/>
                      <w:szCs w:val="21"/>
                    </w:rPr>
                    <w:t>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1434" w:type="dxa"/>
                  <w:vMerge w:val="continue"/>
                  <w:vAlign w:val="center"/>
                </w:tcPr>
                <w:p>
                  <w:pPr>
                    <w:spacing w:line="240" w:lineRule="exact"/>
                    <w:jc w:val="center"/>
                    <w:rPr>
                      <w:b/>
                      <w:bCs/>
                      <w:szCs w:val="21"/>
                    </w:rPr>
                  </w:pPr>
                </w:p>
              </w:tc>
              <w:tc>
                <w:tcPr>
                  <w:tcW w:w="1397" w:type="dxa"/>
                  <w:vAlign w:val="center"/>
                </w:tcPr>
                <w:p>
                  <w:pPr>
                    <w:spacing w:line="240" w:lineRule="exact"/>
                    <w:jc w:val="center"/>
                    <w:rPr>
                      <w:b/>
                      <w:bCs/>
                      <w:szCs w:val="21"/>
                    </w:rPr>
                  </w:pPr>
                  <w:r>
                    <w:rPr>
                      <w:b/>
                      <w:bCs/>
                      <w:szCs w:val="21"/>
                    </w:rPr>
                    <w:t>C</w:t>
                  </w:r>
                  <w:r>
                    <w:rPr>
                      <w:b/>
                      <w:bCs/>
                      <w:szCs w:val="21"/>
                      <w:vertAlign w:val="subscript"/>
                    </w:rPr>
                    <w:t>i1</w:t>
                  </w:r>
                  <w:r>
                    <w:rPr>
                      <w:b/>
                      <w:bCs/>
                      <w:szCs w:val="21"/>
                    </w:rPr>
                    <w:t>(mg/m</w:t>
                  </w:r>
                  <w:r>
                    <w:rPr>
                      <w:b/>
                      <w:bCs/>
                      <w:szCs w:val="21"/>
                      <w:vertAlign w:val="superscript"/>
                    </w:rPr>
                    <w:t>3</w:t>
                  </w:r>
                  <w:r>
                    <w:rPr>
                      <w:b/>
                      <w:bCs/>
                      <w:szCs w:val="21"/>
                    </w:rPr>
                    <w:t>)</w:t>
                  </w:r>
                </w:p>
              </w:tc>
              <w:tc>
                <w:tcPr>
                  <w:tcW w:w="1090" w:type="dxa"/>
                  <w:vAlign w:val="center"/>
                </w:tcPr>
                <w:p>
                  <w:pPr>
                    <w:spacing w:line="240" w:lineRule="exact"/>
                    <w:jc w:val="center"/>
                    <w:rPr>
                      <w:b/>
                      <w:bCs/>
                      <w:szCs w:val="21"/>
                    </w:rPr>
                  </w:pPr>
                  <w:r>
                    <w:rPr>
                      <w:b/>
                      <w:bCs/>
                      <w:szCs w:val="21"/>
                    </w:rPr>
                    <w:t>P</w:t>
                  </w:r>
                  <w:r>
                    <w:rPr>
                      <w:b/>
                      <w:bCs/>
                      <w:szCs w:val="21"/>
                      <w:vertAlign w:val="subscript"/>
                    </w:rPr>
                    <w:t>i1</w:t>
                  </w:r>
                  <w:r>
                    <w:rPr>
                      <w:b/>
                      <w:bCs/>
                      <w:szCs w:val="21"/>
                    </w:rPr>
                    <w:t>(%)</w:t>
                  </w:r>
                </w:p>
              </w:tc>
              <w:tc>
                <w:tcPr>
                  <w:tcW w:w="1459" w:type="dxa"/>
                  <w:vAlign w:val="center"/>
                </w:tcPr>
                <w:p>
                  <w:pPr>
                    <w:spacing w:line="240" w:lineRule="exact"/>
                    <w:jc w:val="center"/>
                    <w:rPr>
                      <w:b/>
                      <w:bCs/>
                      <w:szCs w:val="21"/>
                    </w:rPr>
                  </w:pPr>
                  <w:r>
                    <w:rPr>
                      <w:b/>
                      <w:bCs/>
                      <w:szCs w:val="21"/>
                    </w:rPr>
                    <w:t>C</w:t>
                  </w:r>
                  <w:r>
                    <w:rPr>
                      <w:b/>
                      <w:bCs/>
                      <w:szCs w:val="21"/>
                      <w:vertAlign w:val="subscript"/>
                    </w:rPr>
                    <w:t>i2</w:t>
                  </w:r>
                  <w:r>
                    <w:rPr>
                      <w:b/>
                      <w:bCs/>
                      <w:szCs w:val="21"/>
                    </w:rPr>
                    <w:t>(mg/m</w:t>
                  </w:r>
                  <w:r>
                    <w:rPr>
                      <w:b/>
                      <w:bCs/>
                      <w:szCs w:val="21"/>
                      <w:vertAlign w:val="superscript"/>
                    </w:rPr>
                    <w:t>3</w:t>
                  </w:r>
                  <w:r>
                    <w:rPr>
                      <w:b/>
                      <w:bCs/>
                      <w:szCs w:val="21"/>
                    </w:rPr>
                    <w:t>)</w:t>
                  </w:r>
                </w:p>
              </w:tc>
              <w:tc>
                <w:tcPr>
                  <w:tcW w:w="1057" w:type="dxa"/>
                  <w:vAlign w:val="center"/>
                </w:tcPr>
                <w:p>
                  <w:pPr>
                    <w:spacing w:line="240" w:lineRule="exact"/>
                    <w:jc w:val="center"/>
                    <w:rPr>
                      <w:b/>
                      <w:bCs/>
                      <w:szCs w:val="21"/>
                    </w:rPr>
                  </w:pPr>
                  <w:r>
                    <w:rPr>
                      <w:b/>
                      <w:bCs/>
                      <w:szCs w:val="21"/>
                    </w:rPr>
                    <w:t>P</w:t>
                  </w:r>
                  <w:r>
                    <w:rPr>
                      <w:b/>
                      <w:bCs/>
                      <w:szCs w:val="21"/>
                      <w:vertAlign w:val="subscript"/>
                    </w:rPr>
                    <w:t>i2</w:t>
                  </w:r>
                  <w:r>
                    <w:rPr>
                      <w:b/>
                      <w:bCs/>
                      <w:szCs w:val="21"/>
                    </w:rPr>
                    <w:t>(%)</w:t>
                  </w:r>
                </w:p>
              </w:tc>
              <w:tc>
                <w:tcPr>
                  <w:tcW w:w="1410" w:type="dxa"/>
                  <w:vAlign w:val="center"/>
                </w:tcPr>
                <w:p>
                  <w:pPr>
                    <w:spacing w:line="240" w:lineRule="exact"/>
                    <w:jc w:val="center"/>
                    <w:rPr>
                      <w:b/>
                      <w:bCs/>
                      <w:szCs w:val="21"/>
                    </w:rPr>
                  </w:pPr>
                  <w:r>
                    <w:rPr>
                      <w:b/>
                      <w:bCs/>
                      <w:szCs w:val="21"/>
                    </w:rPr>
                    <w:t>C</w:t>
                  </w:r>
                  <w:r>
                    <w:rPr>
                      <w:b/>
                      <w:bCs/>
                      <w:szCs w:val="21"/>
                      <w:vertAlign w:val="subscript"/>
                    </w:rPr>
                    <w:t>i3</w:t>
                  </w:r>
                  <w:r>
                    <w:rPr>
                      <w:b/>
                      <w:bCs/>
                      <w:szCs w:val="21"/>
                    </w:rPr>
                    <w:t>(mg/m</w:t>
                  </w:r>
                  <w:r>
                    <w:rPr>
                      <w:b/>
                      <w:bCs/>
                      <w:szCs w:val="21"/>
                      <w:vertAlign w:val="superscript"/>
                    </w:rPr>
                    <w:t>3</w:t>
                  </w:r>
                  <w:r>
                    <w:rPr>
                      <w:b/>
                      <w:bCs/>
                      <w:szCs w:val="21"/>
                    </w:rPr>
                    <w:t>)</w:t>
                  </w:r>
                </w:p>
              </w:tc>
              <w:tc>
                <w:tcPr>
                  <w:tcW w:w="1154" w:type="dxa"/>
                  <w:vAlign w:val="center"/>
                </w:tcPr>
                <w:p>
                  <w:pPr>
                    <w:spacing w:line="240" w:lineRule="exact"/>
                    <w:jc w:val="center"/>
                    <w:rPr>
                      <w:b/>
                      <w:bCs/>
                      <w:szCs w:val="21"/>
                    </w:rPr>
                  </w:pPr>
                  <w:r>
                    <w:rPr>
                      <w:b/>
                      <w:bCs/>
                      <w:szCs w:val="21"/>
                    </w:rPr>
                    <w:t>P</w:t>
                  </w:r>
                  <w:r>
                    <w:rPr>
                      <w:b/>
                      <w:bCs/>
                      <w:szCs w:val="21"/>
                      <w:vertAlign w:val="subscript"/>
                    </w:rPr>
                    <w:t>i3</w:t>
                  </w:r>
                  <w:r>
                    <w:rPr>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1300</w:t>
                  </w:r>
                </w:p>
              </w:tc>
              <w:tc>
                <w:tcPr>
                  <w:tcW w:w="1397" w:type="dxa"/>
                  <w:vAlign w:val="center"/>
                </w:tcPr>
                <w:p>
                  <w:pPr>
                    <w:widowControl/>
                    <w:jc w:val="center"/>
                    <w:textAlignment w:val="center"/>
                    <w:rPr>
                      <w:szCs w:val="21"/>
                    </w:rPr>
                  </w:pPr>
                  <w:r>
                    <w:rPr>
                      <w:kern w:val="0"/>
                      <w:szCs w:val="21"/>
                    </w:rPr>
                    <w:t>0.00147</w:t>
                  </w:r>
                </w:p>
              </w:tc>
              <w:tc>
                <w:tcPr>
                  <w:tcW w:w="1090" w:type="dxa"/>
                  <w:vAlign w:val="center"/>
                </w:tcPr>
                <w:p>
                  <w:pPr>
                    <w:widowControl/>
                    <w:jc w:val="center"/>
                    <w:textAlignment w:val="center"/>
                    <w:rPr>
                      <w:szCs w:val="21"/>
                    </w:rPr>
                  </w:pPr>
                  <w:r>
                    <w:rPr>
                      <w:kern w:val="0"/>
                      <w:szCs w:val="21"/>
                    </w:rPr>
                    <w:t>0.33</w:t>
                  </w:r>
                </w:p>
              </w:tc>
              <w:tc>
                <w:tcPr>
                  <w:tcW w:w="1459" w:type="dxa"/>
                  <w:vAlign w:val="center"/>
                </w:tcPr>
                <w:p>
                  <w:pPr>
                    <w:widowControl/>
                    <w:jc w:val="center"/>
                    <w:textAlignment w:val="center"/>
                    <w:rPr>
                      <w:szCs w:val="21"/>
                    </w:rPr>
                  </w:pPr>
                  <w:r>
                    <w:rPr>
                      <w:kern w:val="0"/>
                      <w:szCs w:val="21"/>
                    </w:rPr>
                    <w:t>0.00006075</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0.00008505</w:t>
                  </w:r>
                </w:p>
              </w:tc>
              <w:tc>
                <w:tcPr>
                  <w:tcW w:w="1154" w:type="dxa"/>
                  <w:vAlign w:val="center"/>
                </w:tcPr>
                <w:p>
                  <w:pPr>
                    <w:widowControl/>
                    <w:jc w:val="center"/>
                    <w:textAlignment w:val="center"/>
                    <w:rPr>
                      <w:szCs w:val="21"/>
                    </w:rPr>
                  </w:pPr>
                  <w:r>
                    <w:rPr>
                      <w:kern w:val="0"/>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1400</w:t>
                  </w:r>
                </w:p>
              </w:tc>
              <w:tc>
                <w:tcPr>
                  <w:tcW w:w="1397" w:type="dxa"/>
                  <w:vAlign w:val="center"/>
                </w:tcPr>
                <w:p>
                  <w:pPr>
                    <w:widowControl/>
                    <w:jc w:val="center"/>
                    <w:textAlignment w:val="center"/>
                    <w:rPr>
                      <w:szCs w:val="21"/>
                    </w:rPr>
                  </w:pPr>
                  <w:r>
                    <w:rPr>
                      <w:kern w:val="0"/>
                      <w:szCs w:val="21"/>
                    </w:rPr>
                    <w:t>0.001465</w:t>
                  </w:r>
                </w:p>
              </w:tc>
              <w:tc>
                <w:tcPr>
                  <w:tcW w:w="1090" w:type="dxa"/>
                  <w:vAlign w:val="center"/>
                </w:tcPr>
                <w:p>
                  <w:pPr>
                    <w:widowControl/>
                    <w:jc w:val="center"/>
                    <w:textAlignment w:val="center"/>
                    <w:rPr>
                      <w:szCs w:val="21"/>
                    </w:rPr>
                  </w:pPr>
                  <w:r>
                    <w:rPr>
                      <w:kern w:val="0"/>
                      <w:szCs w:val="21"/>
                    </w:rPr>
                    <w:t>0.33</w:t>
                  </w:r>
                </w:p>
              </w:tc>
              <w:tc>
                <w:tcPr>
                  <w:tcW w:w="1459" w:type="dxa"/>
                  <w:vAlign w:val="center"/>
                </w:tcPr>
                <w:p>
                  <w:pPr>
                    <w:widowControl/>
                    <w:jc w:val="center"/>
                    <w:textAlignment w:val="center"/>
                    <w:rPr>
                      <w:szCs w:val="21"/>
                    </w:rPr>
                  </w:pPr>
                  <w:r>
                    <w:rPr>
                      <w:kern w:val="0"/>
                      <w:szCs w:val="21"/>
                    </w:rPr>
                    <w:t>0.00006053</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0.00008474</w:t>
                  </w:r>
                </w:p>
              </w:tc>
              <w:tc>
                <w:tcPr>
                  <w:tcW w:w="1154" w:type="dxa"/>
                  <w:vAlign w:val="center"/>
                </w:tcPr>
                <w:p>
                  <w:pPr>
                    <w:widowControl/>
                    <w:jc w:val="center"/>
                    <w:textAlignment w:val="center"/>
                    <w:rPr>
                      <w:szCs w:val="21"/>
                    </w:rPr>
                  </w:pPr>
                  <w:r>
                    <w:rPr>
                      <w:kern w:val="0"/>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1500</w:t>
                  </w:r>
                </w:p>
              </w:tc>
              <w:tc>
                <w:tcPr>
                  <w:tcW w:w="1397" w:type="dxa"/>
                  <w:vAlign w:val="center"/>
                </w:tcPr>
                <w:p>
                  <w:pPr>
                    <w:widowControl/>
                    <w:jc w:val="center"/>
                    <w:textAlignment w:val="center"/>
                    <w:rPr>
                      <w:szCs w:val="21"/>
                    </w:rPr>
                  </w:pPr>
                  <w:r>
                    <w:rPr>
                      <w:kern w:val="0"/>
                      <w:szCs w:val="21"/>
                    </w:rPr>
                    <w:t>0.001449</w:t>
                  </w:r>
                </w:p>
              </w:tc>
              <w:tc>
                <w:tcPr>
                  <w:tcW w:w="1090" w:type="dxa"/>
                  <w:vAlign w:val="center"/>
                </w:tcPr>
                <w:p>
                  <w:pPr>
                    <w:widowControl/>
                    <w:jc w:val="center"/>
                    <w:textAlignment w:val="center"/>
                    <w:rPr>
                      <w:szCs w:val="21"/>
                    </w:rPr>
                  </w:pPr>
                  <w:r>
                    <w:rPr>
                      <w:kern w:val="0"/>
                      <w:szCs w:val="21"/>
                    </w:rPr>
                    <w:t>0.32</w:t>
                  </w:r>
                </w:p>
              </w:tc>
              <w:tc>
                <w:tcPr>
                  <w:tcW w:w="1459" w:type="dxa"/>
                  <w:vAlign w:val="center"/>
                </w:tcPr>
                <w:p>
                  <w:pPr>
                    <w:widowControl/>
                    <w:jc w:val="center"/>
                    <w:textAlignment w:val="center"/>
                    <w:rPr>
                      <w:szCs w:val="21"/>
                    </w:rPr>
                  </w:pPr>
                  <w:r>
                    <w:rPr>
                      <w:kern w:val="0"/>
                      <w:szCs w:val="21"/>
                    </w:rPr>
                    <w:t>0.00005986</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0.00008381</w:t>
                  </w:r>
                </w:p>
              </w:tc>
              <w:tc>
                <w:tcPr>
                  <w:tcW w:w="1154" w:type="dxa"/>
                  <w:vAlign w:val="center"/>
                </w:tcPr>
                <w:p>
                  <w:pPr>
                    <w:widowControl/>
                    <w:jc w:val="center"/>
                    <w:textAlignment w:val="center"/>
                    <w:rPr>
                      <w:szCs w:val="21"/>
                    </w:rPr>
                  </w:pPr>
                  <w:r>
                    <w:rPr>
                      <w:kern w:val="0"/>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1600</w:t>
                  </w:r>
                </w:p>
              </w:tc>
              <w:tc>
                <w:tcPr>
                  <w:tcW w:w="1397" w:type="dxa"/>
                  <w:vAlign w:val="center"/>
                </w:tcPr>
                <w:p>
                  <w:pPr>
                    <w:widowControl/>
                    <w:jc w:val="center"/>
                    <w:textAlignment w:val="center"/>
                    <w:rPr>
                      <w:szCs w:val="21"/>
                    </w:rPr>
                  </w:pPr>
                  <w:r>
                    <w:rPr>
                      <w:kern w:val="0"/>
                      <w:szCs w:val="21"/>
                    </w:rPr>
                    <w:t>0.001425</w:t>
                  </w:r>
                </w:p>
              </w:tc>
              <w:tc>
                <w:tcPr>
                  <w:tcW w:w="1090" w:type="dxa"/>
                  <w:vAlign w:val="center"/>
                </w:tcPr>
                <w:p>
                  <w:pPr>
                    <w:widowControl/>
                    <w:jc w:val="center"/>
                    <w:textAlignment w:val="center"/>
                    <w:rPr>
                      <w:szCs w:val="21"/>
                    </w:rPr>
                  </w:pPr>
                  <w:r>
                    <w:rPr>
                      <w:kern w:val="0"/>
                      <w:szCs w:val="21"/>
                    </w:rPr>
                    <w:t>0.32</w:t>
                  </w:r>
                </w:p>
              </w:tc>
              <w:tc>
                <w:tcPr>
                  <w:tcW w:w="1459" w:type="dxa"/>
                  <w:vAlign w:val="center"/>
                </w:tcPr>
                <w:p>
                  <w:pPr>
                    <w:widowControl/>
                    <w:jc w:val="center"/>
                    <w:textAlignment w:val="center"/>
                    <w:rPr>
                      <w:szCs w:val="21"/>
                    </w:rPr>
                  </w:pPr>
                  <w:r>
                    <w:rPr>
                      <w:kern w:val="0"/>
                      <w:szCs w:val="21"/>
                    </w:rPr>
                    <w:t>0.00005889</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0.00008244</w:t>
                  </w:r>
                </w:p>
              </w:tc>
              <w:tc>
                <w:tcPr>
                  <w:tcW w:w="1154" w:type="dxa"/>
                  <w:vAlign w:val="center"/>
                </w:tcPr>
                <w:p>
                  <w:pPr>
                    <w:widowControl/>
                    <w:jc w:val="center"/>
                    <w:textAlignment w:val="center"/>
                    <w:rPr>
                      <w:szCs w:val="21"/>
                    </w:rPr>
                  </w:pPr>
                  <w:r>
                    <w:rPr>
                      <w:kern w:val="0"/>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1700</w:t>
                  </w:r>
                </w:p>
              </w:tc>
              <w:tc>
                <w:tcPr>
                  <w:tcW w:w="1397" w:type="dxa"/>
                  <w:vAlign w:val="center"/>
                </w:tcPr>
                <w:p>
                  <w:pPr>
                    <w:widowControl/>
                    <w:jc w:val="center"/>
                    <w:textAlignment w:val="center"/>
                    <w:rPr>
                      <w:szCs w:val="21"/>
                    </w:rPr>
                  </w:pPr>
                  <w:r>
                    <w:rPr>
                      <w:kern w:val="0"/>
                      <w:szCs w:val="21"/>
                    </w:rPr>
                    <w:t>0.00142</w:t>
                  </w:r>
                </w:p>
              </w:tc>
              <w:tc>
                <w:tcPr>
                  <w:tcW w:w="1090" w:type="dxa"/>
                  <w:vAlign w:val="center"/>
                </w:tcPr>
                <w:p>
                  <w:pPr>
                    <w:widowControl/>
                    <w:jc w:val="center"/>
                    <w:textAlignment w:val="center"/>
                    <w:rPr>
                      <w:szCs w:val="21"/>
                    </w:rPr>
                  </w:pPr>
                  <w:r>
                    <w:rPr>
                      <w:kern w:val="0"/>
                      <w:szCs w:val="21"/>
                    </w:rPr>
                    <w:t>0.32</w:t>
                  </w:r>
                </w:p>
              </w:tc>
              <w:tc>
                <w:tcPr>
                  <w:tcW w:w="1459" w:type="dxa"/>
                  <w:vAlign w:val="center"/>
                </w:tcPr>
                <w:p>
                  <w:pPr>
                    <w:widowControl/>
                    <w:jc w:val="center"/>
                    <w:textAlignment w:val="center"/>
                    <w:rPr>
                      <w:szCs w:val="21"/>
                    </w:rPr>
                  </w:pPr>
                  <w:r>
                    <w:rPr>
                      <w:kern w:val="0"/>
                      <w:szCs w:val="21"/>
                    </w:rPr>
                    <w:t>0.00005869</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0.00008217</w:t>
                  </w:r>
                </w:p>
              </w:tc>
              <w:tc>
                <w:tcPr>
                  <w:tcW w:w="1154" w:type="dxa"/>
                  <w:vAlign w:val="center"/>
                </w:tcPr>
                <w:p>
                  <w:pPr>
                    <w:widowControl/>
                    <w:jc w:val="center"/>
                    <w:textAlignment w:val="center"/>
                    <w:rPr>
                      <w:szCs w:val="21"/>
                    </w:rPr>
                  </w:pPr>
                  <w:r>
                    <w:rPr>
                      <w:kern w:val="0"/>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1800</w:t>
                  </w:r>
                </w:p>
              </w:tc>
              <w:tc>
                <w:tcPr>
                  <w:tcW w:w="1397" w:type="dxa"/>
                  <w:vAlign w:val="center"/>
                </w:tcPr>
                <w:p>
                  <w:pPr>
                    <w:widowControl/>
                    <w:jc w:val="center"/>
                    <w:textAlignment w:val="center"/>
                    <w:rPr>
                      <w:szCs w:val="21"/>
                    </w:rPr>
                  </w:pPr>
                  <w:r>
                    <w:rPr>
                      <w:kern w:val="0"/>
                      <w:szCs w:val="21"/>
                    </w:rPr>
                    <w:t>0.001451</w:t>
                  </w:r>
                </w:p>
              </w:tc>
              <w:tc>
                <w:tcPr>
                  <w:tcW w:w="1090" w:type="dxa"/>
                  <w:vAlign w:val="center"/>
                </w:tcPr>
                <w:p>
                  <w:pPr>
                    <w:widowControl/>
                    <w:jc w:val="center"/>
                    <w:textAlignment w:val="center"/>
                    <w:rPr>
                      <w:szCs w:val="21"/>
                    </w:rPr>
                  </w:pPr>
                  <w:r>
                    <w:rPr>
                      <w:kern w:val="0"/>
                      <w:szCs w:val="21"/>
                    </w:rPr>
                    <w:t>0.32</w:t>
                  </w:r>
                </w:p>
              </w:tc>
              <w:tc>
                <w:tcPr>
                  <w:tcW w:w="1459" w:type="dxa"/>
                  <w:vAlign w:val="center"/>
                </w:tcPr>
                <w:p>
                  <w:pPr>
                    <w:widowControl/>
                    <w:jc w:val="center"/>
                    <w:textAlignment w:val="center"/>
                    <w:rPr>
                      <w:szCs w:val="21"/>
                    </w:rPr>
                  </w:pPr>
                  <w:r>
                    <w:rPr>
                      <w:kern w:val="0"/>
                      <w:szCs w:val="21"/>
                    </w:rPr>
                    <w:t>0.00005998</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0.00008397</w:t>
                  </w:r>
                </w:p>
              </w:tc>
              <w:tc>
                <w:tcPr>
                  <w:tcW w:w="1154" w:type="dxa"/>
                  <w:vAlign w:val="center"/>
                </w:tcPr>
                <w:p>
                  <w:pPr>
                    <w:widowControl/>
                    <w:jc w:val="center"/>
                    <w:textAlignment w:val="center"/>
                    <w:rPr>
                      <w:szCs w:val="21"/>
                    </w:rPr>
                  </w:pPr>
                  <w:r>
                    <w:rPr>
                      <w:kern w:val="0"/>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1900</w:t>
                  </w:r>
                </w:p>
              </w:tc>
              <w:tc>
                <w:tcPr>
                  <w:tcW w:w="1397" w:type="dxa"/>
                  <w:vAlign w:val="center"/>
                </w:tcPr>
                <w:p>
                  <w:pPr>
                    <w:widowControl/>
                    <w:jc w:val="center"/>
                    <w:textAlignment w:val="center"/>
                    <w:rPr>
                      <w:szCs w:val="21"/>
                    </w:rPr>
                  </w:pPr>
                  <w:r>
                    <w:rPr>
                      <w:kern w:val="0"/>
                      <w:szCs w:val="21"/>
                    </w:rPr>
                    <w:t>0.001473</w:t>
                  </w:r>
                </w:p>
              </w:tc>
              <w:tc>
                <w:tcPr>
                  <w:tcW w:w="1090" w:type="dxa"/>
                  <w:vAlign w:val="center"/>
                </w:tcPr>
                <w:p>
                  <w:pPr>
                    <w:widowControl/>
                    <w:jc w:val="center"/>
                    <w:textAlignment w:val="center"/>
                    <w:rPr>
                      <w:szCs w:val="21"/>
                    </w:rPr>
                  </w:pPr>
                  <w:r>
                    <w:rPr>
                      <w:kern w:val="0"/>
                      <w:szCs w:val="21"/>
                    </w:rPr>
                    <w:t>0.33</w:t>
                  </w:r>
                </w:p>
              </w:tc>
              <w:tc>
                <w:tcPr>
                  <w:tcW w:w="1459" w:type="dxa"/>
                  <w:vAlign w:val="center"/>
                </w:tcPr>
                <w:p>
                  <w:pPr>
                    <w:widowControl/>
                    <w:jc w:val="center"/>
                    <w:textAlignment w:val="center"/>
                    <w:rPr>
                      <w:szCs w:val="21"/>
                    </w:rPr>
                  </w:pPr>
                  <w:r>
                    <w:rPr>
                      <w:kern w:val="0"/>
                      <w:szCs w:val="21"/>
                    </w:rPr>
                    <w:t>0.00006087</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0.00008521</w:t>
                  </w:r>
                </w:p>
              </w:tc>
              <w:tc>
                <w:tcPr>
                  <w:tcW w:w="1154" w:type="dxa"/>
                  <w:vAlign w:val="center"/>
                </w:tcPr>
                <w:p>
                  <w:pPr>
                    <w:widowControl/>
                    <w:jc w:val="center"/>
                    <w:textAlignment w:val="center"/>
                    <w:rPr>
                      <w:szCs w:val="21"/>
                    </w:rPr>
                  </w:pPr>
                  <w:r>
                    <w:rPr>
                      <w:kern w:val="0"/>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34" w:type="dxa"/>
                  <w:vAlign w:val="center"/>
                </w:tcPr>
                <w:p>
                  <w:pPr>
                    <w:spacing w:line="240" w:lineRule="exact"/>
                    <w:jc w:val="center"/>
                    <w:rPr>
                      <w:szCs w:val="21"/>
                    </w:rPr>
                  </w:pPr>
                  <w:r>
                    <w:rPr>
                      <w:szCs w:val="21"/>
                    </w:rPr>
                    <w:t>2000</w:t>
                  </w:r>
                </w:p>
              </w:tc>
              <w:tc>
                <w:tcPr>
                  <w:tcW w:w="1397" w:type="dxa"/>
                  <w:vAlign w:val="center"/>
                </w:tcPr>
                <w:p>
                  <w:pPr>
                    <w:widowControl/>
                    <w:jc w:val="center"/>
                    <w:textAlignment w:val="center"/>
                    <w:rPr>
                      <w:szCs w:val="21"/>
                    </w:rPr>
                  </w:pPr>
                  <w:r>
                    <w:rPr>
                      <w:kern w:val="0"/>
                      <w:szCs w:val="21"/>
                    </w:rPr>
                    <w:t>0.001486</w:t>
                  </w:r>
                </w:p>
              </w:tc>
              <w:tc>
                <w:tcPr>
                  <w:tcW w:w="1090" w:type="dxa"/>
                  <w:vAlign w:val="center"/>
                </w:tcPr>
                <w:p>
                  <w:pPr>
                    <w:widowControl/>
                    <w:jc w:val="center"/>
                    <w:textAlignment w:val="center"/>
                    <w:rPr>
                      <w:szCs w:val="21"/>
                    </w:rPr>
                  </w:pPr>
                  <w:r>
                    <w:rPr>
                      <w:kern w:val="0"/>
                      <w:szCs w:val="21"/>
                    </w:rPr>
                    <w:t>0.33</w:t>
                  </w:r>
                </w:p>
              </w:tc>
              <w:tc>
                <w:tcPr>
                  <w:tcW w:w="1459" w:type="dxa"/>
                  <w:vAlign w:val="center"/>
                </w:tcPr>
                <w:p>
                  <w:pPr>
                    <w:widowControl/>
                    <w:jc w:val="center"/>
                    <w:textAlignment w:val="center"/>
                    <w:rPr>
                      <w:szCs w:val="21"/>
                    </w:rPr>
                  </w:pPr>
                  <w:r>
                    <w:rPr>
                      <w:kern w:val="0"/>
                      <w:szCs w:val="21"/>
                    </w:rPr>
                    <w:t>0.00006141</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0.00008598</w:t>
                  </w:r>
                </w:p>
              </w:tc>
              <w:tc>
                <w:tcPr>
                  <w:tcW w:w="1154" w:type="dxa"/>
                  <w:vAlign w:val="center"/>
                </w:tcPr>
                <w:p>
                  <w:pPr>
                    <w:widowControl/>
                    <w:jc w:val="center"/>
                    <w:textAlignment w:val="center"/>
                    <w:rPr>
                      <w:szCs w:val="21"/>
                    </w:rPr>
                  </w:pPr>
                  <w:r>
                    <w:rPr>
                      <w:kern w:val="0"/>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2100</w:t>
                  </w:r>
                </w:p>
              </w:tc>
              <w:tc>
                <w:tcPr>
                  <w:tcW w:w="1397" w:type="dxa"/>
                  <w:vAlign w:val="center"/>
                </w:tcPr>
                <w:p>
                  <w:pPr>
                    <w:widowControl/>
                    <w:jc w:val="center"/>
                    <w:textAlignment w:val="center"/>
                    <w:rPr>
                      <w:szCs w:val="21"/>
                    </w:rPr>
                  </w:pPr>
                  <w:r>
                    <w:rPr>
                      <w:kern w:val="0"/>
                      <w:szCs w:val="21"/>
                    </w:rPr>
                    <w:t>0.001483</w:t>
                  </w:r>
                </w:p>
              </w:tc>
              <w:tc>
                <w:tcPr>
                  <w:tcW w:w="1090" w:type="dxa"/>
                  <w:vAlign w:val="center"/>
                </w:tcPr>
                <w:p>
                  <w:pPr>
                    <w:widowControl/>
                    <w:jc w:val="center"/>
                    <w:textAlignment w:val="center"/>
                    <w:rPr>
                      <w:szCs w:val="21"/>
                    </w:rPr>
                  </w:pPr>
                  <w:r>
                    <w:rPr>
                      <w:kern w:val="0"/>
                      <w:szCs w:val="21"/>
                    </w:rPr>
                    <w:t>0.33</w:t>
                  </w:r>
                </w:p>
              </w:tc>
              <w:tc>
                <w:tcPr>
                  <w:tcW w:w="1459" w:type="dxa"/>
                  <w:vAlign w:val="center"/>
                </w:tcPr>
                <w:p>
                  <w:pPr>
                    <w:widowControl/>
                    <w:jc w:val="center"/>
                    <w:textAlignment w:val="center"/>
                    <w:rPr>
                      <w:szCs w:val="21"/>
                    </w:rPr>
                  </w:pPr>
                  <w:r>
                    <w:rPr>
                      <w:kern w:val="0"/>
                      <w:szCs w:val="21"/>
                    </w:rPr>
                    <w:t>0.00006128</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0.00008579</w:t>
                  </w:r>
                </w:p>
              </w:tc>
              <w:tc>
                <w:tcPr>
                  <w:tcW w:w="1154" w:type="dxa"/>
                  <w:vAlign w:val="center"/>
                </w:tcPr>
                <w:p>
                  <w:pPr>
                    <w:widowControl/>
                    <w:jc w:val="center"/>
                    <w:textAlignment w:val="center"/>
                    <w:rPr>
                      <w:szCs w:val="21"/>
                    </w:rPr>
                  </w:pPr>
                  <w:r>
                    <w:rPr>
                      <w:kern w:val="0"/>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2200</w:t>
                  </w:r>
                </w:p>
              </w:tc>
              <w:tc>
                <w:tcPr>
                  <w:tcW w:w="1397" w:type="dxa"/>
                  <w:vAlign w:val="center"/>
                </w:tcPr>
                <w:p>
                  <w:pPr>
                    <w:widowControl/>
                    <w:jc w:val="center"/>
                    <w:textAlignment w:val="center"/>
                    <w:rPr>
                      <w:szCs w:val="21"/>
                    </w:rPr>
                  </w:pPr>
                  <w:r>
                    <w:rPr>
                      <w:kern w:val="0"/>
                      <w:szCs w:val="21"/>
                    </w:rPr>
                    <w:t>0.001476</w:t>
                  </w:r>
                </w:p>
              </w:tc>
              <w:tc>
                <w:tcPr>
                  <w:tcW w:w="1090" w:type="dxa"/>
                  <w:vAlign w:val="center"/>
                </w:tcPr>
                <w:p>
                  <w:pPr>
                    <w:widowControl/>
                    <w:jc w:val="center"/>
                    <w:textAlignment w:val="center"/>
                    <w:rPr>
                      <w:szCs w:val="21"/>
                    </w:rPr>
                  </w:pPr>
                  <w:r>
                    <w:rPr>
                      <w:kern w:val="0"/>
                      <w:szCs w:val="21"/>
                    </w:rPr>
                    <w:t>0.33</w:t>
                  </w:r>
                </w:p>
              </w:tc>
              <w:tc>
                <w:tcPr>
                  <w:tcW w:w="1459" w:type="dxa"/>
                  <w:vAlign w:val="center"/>
                </w:tcPr>
                <w:p>
                  <w:pPr>
                    <w:widowControl/>
                    <w:jc w:val="center"/>
                    <w:textAlignment w:val="center"/>
                    <w:rPr>
                      <w:szCs w:val="21"/>
                    </w:rPr>
                  </w:pPr>
                  <w:r>
                    <w:rPr>
                      <w:kern w:val="0"/>
                      <w:szCs w:val="21"/>
                    </w:rPr>
                    <w:t>0.00006098</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0.00008537</w:t>
                  </w:r>
                </w:p>
              </w:tc>
              <w:tc>
                <w:tcPr>
                  <w:tcW w:w="1154" w:type="dxa"/>
                  <w:vAlign w:val="center"/>
                </w:tcPr>
                <w:p>
                  <w:pPr>
                    <w:widowControl/>
                    <w:jc w:val="center"/>
                    <w:textAlignment w:val="center"/>
                    <w:rPr>
                      <w:szCs w:val="21"/>
                    </w:rPr>
                  </w:pPr>
                  <w:r>
                    <w:rPr>
                      <w:kern w:val="0"/>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2300</w:t>
                  </w:r>
                </w:p>
              </w:tc>
              <w:tc>
                <w:tcPr>
                  <w:tcW w:w="1397" w:type="dxa"/>
                  <w:vAlign w:val="center"/>
                </w:tcPr>
                <w:p>
                  <w:pPr>
                    <w:widowControl/>
                    <w:jc w:val="center"/>
                    <w:textAlignment w:val="center"/>
                    <w:rPr>
                      <w:szCs w:val="21"/>
                    </w:rPr>
                  </w:pPr>
                  <w:r>
                    <w:rPr>
                      <w:kern w:val="0"/>
                      <w:szCs w:val="21"/>
                    </w:rPr>
                    <w:t>0.001465</w:t>
                  </w:r>
                </w:p>
              </w:tc>
              <w:tc>
                <w:tcPr>
                  <w:tcW w:w="1090" w:type="dxa"/>
                  <w:vAlign w:val="center"/>
                </w:tcPr>
                <w:p>
                  <w:pPr>
                    <w:widowControl/>
                    <w:jc w:val="center"/>
                    <w:textAlignment w:val="center"/>
                    <w:rPr>
                      <w:szCs w:val="21"/>
                    </w:rPr>
                  </w:pPr>
                  <w:r>
                    <w:rPr>
                      <w:kern w:val="0"/>
                      <w:szCs w:val="21"/>
                    </w:rPr>
                    <w:t>0.33</w:t>
                  </w:r>
                </w:p>
              </w:tc>
              <w:tc>
                <w:tcPr>
                  <w:tcW w:w="1459" w:type="dxa"/>
                  <w:vAlign w:val="center"/>
                </w:tcPr>
                <w:p>
                  <w:pPr>
                    <w:widowControl/>
                    <w:jc w:val="center"/>
                    <w:textAlignment w:val="center"/>
                    <w:rPr>
                      <w:szCs w:val="21"/>
                    </w:rPr>
                  </w:pPr>
                  <w:r>
                    <w:rPr>
                      <w:kern w:val="0"/>
                      <w:szCs w:val="21"/>
                    </w:rPr>
                    <w:t>0.00006054</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0.00008476</w:t>
                  </w:r>
                </w:p>
              </w:tc>
              <w:tc>
                <w:tcPr>
                  <w:tcW w:w="1154" w:type="dxa"/>
                  <w:vAlign w:val="center"/>
                </w:tcPr>
                <w:p>
                  <w:pPr>
                    <w:widowControl/>
                    <w:jc w:val="center"/>
                    <w:textAlignment w:val="center"/>
                    <w:rPr>
                      <w:szCs w:val="21"/>
                    </w:rPr>
                  </w:pPr>
                  <w:r>
                    <w:rPr>
                      <w:kern w:val="0"/>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2400</w:t>
                  </w:r>
                </w:p>
              </w:tc>
              <w:tc>
                <w:tcPr>
                  <w:tcW w:w="1397" w:type="dxa"/>
                  <w:vAlign w:val="center"/>
                </w:tcPr>
                <w:p>
                  <w:pPr>
                    <w:widowControl/>
                    <w:jc w:val="center"/>
                    <w:textAlignment w:val="center"/>
                    <w:rPr>
                      <w:szCs w:val="21"/>
                    </w:rPr>
                  </w:pPr>
                  <w:r>
                    <w:rPr>
                      <w:kern w:val="0"/>
                      <w:szCs w:val="21"/>
                    </w:rPr>
                    <w:t>0.001452</w:t>
                  </w:r>
                </w:p>
              </w:tc>
              <w:tc>
                <w:tcPr>
                  <w:tcW w:w="1090" w:type="dxa"/>
                  <w:vAlign w:val="center"/>
                </w:tcPr>
                <w:p>
                  <w:pPr>
                    <w:widowControl/>
                    <w:jc w:val="center"/>
                    <w:textAlignment w:val="center"/>
                    <w:rPr>
                      <w:szCs w:val="21"/>
                    </w:rPr>
                  </w:pPr>
                  <w:r>
                    <w:rPr>
                      <w:kern w:val="0"/>
                      <w:szCs w:val="21"/>
                    </w:rPr>
                    <w:t>0.32</w:t>
                  </w:r>
                </w:p>
              </w:tc>
              <w:tc>
                <w:tcPr>
                  <w:tcW w:w="1459" w:type="dxa"/>
                  <w:vAlign w:val="center"/>
                </w:tcPr>
                <w:p>
                  <w:pPr>
                    <w:widowControl/>
                    <w:jc w:val="center"/>
                    <w:textAlignment w:val="center"/>
                    <w:rPr>
                      <w:szCs w:val="21"/>
                    </w:rPr>
                  </w:pPr>
                  <w:r>
                    <w:rPr>
                      <w:kern w:val="0"/>
                      <w:szCs w:val="21"/>
                    </w:rPr>
                    <w:t>0.00005999</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0.00008399</w:t>
                  </w:r>
                </w:p>
              </w:tc>
              <w:tc>
                <w:tcPr>
                  <w:tcW w:w="1154" w:type="dxa"/>
                  <w:vAlign w:val="center"/>
                </w:tcPr>
                <w:p>
                  <w:pPr>
                    <w:widowControl/>
                    <w:jc w:val="center"/>
                    <w:textAlignment w:val="center"/>
                    <w:rPr>
                      <w:szCs w:val="21"/>
                    </w:rPr>
                  </w:pPr>
                  <w:r>
                    <w:rPr>
                      <w:kern w:val="0"/>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2500</w:t>
                  </w:r>
                </w:p>
              </w:tc>
              <w:tc>
                <w:tcPr>
                  <w:tcW w:w="1397" w:type="dxa"/>
                  <w:vAlign w:val="center"/>
                </w:tcPr>
                <w:p>
                  <w:pPr>
                    <w:widowControl/>
                    <w:jc w:val="center"/>
                    <w:textAlignment w:val="center"/>
                    <w:rPr>
                      <w:szCs w:val="21"/>
                    </w:rPr>
                  </w:pPr>
                  <w:r>
                    <w:rPr>
                      <w:kern w:val="0"/>
                      <w:szCs w:val="21"/>
                    </w:rPr>
                    <w:t>0.001436</w:t>
                  </w:r>
                </w:p>
              </w:tc>
              <w:tc>
                <w:tcPr>
                  <w:tcW w:w="1090" w:type="dxa"/>
                  <w:vAlign w:val="center"/>
                </w:tcPr>
                <w:p>
                  <w:pPr>
                    <w:widowControl/>
                    <w:jc w:val="center"/>
                    <w:textAlignment w:val="center"/>
                    <w:rPr>
                      <w:szCs w:val="21"/>
                    </w:rPr>
                  </w:pPr>
                  <w:r>
                    <w:rPr>
                      <w:kern w:val="0"/>
                      <w:szCs w:val="21"/>
                    </w:rPr>
                    <w:t>0.32</w:t>
                  </w:r>
                </w:p>
              </w:tc>
              <w:tc>
                <w:tcPr>
                  <w:tcW w:w="1459" w:type="dxa"/>
                  <w:vAlign w:val="center"/>
                </w:tcPr>
                <w:p>
                  <w:pPr>
                    <w:widowControl/>
                    <w:jc w:val="center"/>
                    <w:textAlignment w:val="center"/>
                    <w:rPr>
                      <w:szCs w:val="21"/>
                    </w:rPr>
                  </w:pPr>
                  <w:r>
                    <w:rPr>
                      <w:kern w:val="0"/>
                      <w:szCs w:val="21"/>
                    </w:rPr>
                    <w:t>0.00005936</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0.0000831</w:t>
                  </w:r>
                </w:p>
              </w:tc>
              <w:tc>
                <w:tcPr>
                  <w:tcW w:w="1154" w:type="dxa"/>
                  <w:vAlign w:val="center"/>
                </w:tcPr>
                <w:p>
                  <w:pPr>
                    <w:widowControl/>
                    <w:jc w:val="center"/>
                    <w:textAlignment w:val="center"/>
                    <w:rPr>
                      <w:szCs w:val="21"/>
                    </w:rPr>
                  </w:pPr>
                  <w:r>
                    <w:rPr>
                      <w:kern w:val="0"/>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付神首村</w:t>
                  </w:r>
                </w:p>
              </w:tc>
              <w:tc>
                <w:tcPr>
                  <w:tcW w:w="1397" w:type="dxa"/>
                  <w:vAlign w:val="center"/>
                </w:tcPr>
                <w:p>
                  <w:pPr>
                    <w:widowControl/>
                    <w:jc w:val="center"/>
                    <w:textAlignment w:val="center"/>
                    <w:rPr>
                      <w:szCs w:val="21"/>
                    </w:rPr>
                  </w:pPr>
                  <w:r>
                    <w:rPr>
                      <w:kern w:val="0"/>
                      <w:szCs w:val="21"/>
                    </w:rPr>
                    <w:t>0.002166</w:t>
                  </w:r>
                </w:p>
              </w:tc>
              <w:tc>
                <w:tcPr>
                  <w:tcW w:w="1090" w:type="dxa"/>
                  <w:vAlign w:val="center"/>
                </w:tcPr>
                <w:p>
                  <w:pPr>
                    <w:widowControl/>
                    <w:jc w:val="center"/>
                    <w:textAlignment w:val="center"/>
                    <w:rPr>
                      <w:szCs w:val="21"/>
                    </w:rPr>
                  </w:pPr>
                  <w:r>
                    <w:rPr>
                      <w:kern w:val="0"/>
                      <w:szCs w:val="21"/>
                    </w:rPr>
                    <w:t>0.48</w:t>
                  </w:r>
                </w:p>
              </w:tc>
              <w:tc>
                <w:tcPr>
                  <w:tcW w:w="1459" w:type="dxa"/>
                  <w:vAlign w:val="center"/>
                </w:tcPr>
                <w:p>
                  <w:pPr>
                    <w:widowControl/>
                    <w:jc w:val="center"/>
                    <w:textAlignment w:val="center"/>
                    <w:rPr>
                      <w:szCs w:val="21"/>
                    </w:rPr>
                  </w:pPr>
                  <w:r>
                    <w:rPr>
                      <w:kern w:val="0"/>
                      <w:szCs w:val="21"/>
                    </w:rPr>
                    <w:t>0.00008952</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0.0001253</w:t>
                  </w:r>
                </w:p>
              </w:tc>
              <w:tc>
                <w:tcPr>
                  <w:tcW w:w="1154" w:type="dxa"/>
                  <w:vAlign w:val="center"/>
                </w:tcPr>
                <w:p>
                  <w:pPr>
                    <w:widowControl/>
                    <w:jc w:val="center"/>
                    <w:textAlignment w:val="center"/>
                    <w:rPr>
                      <w:szCs w:val="21"/>
                    </w:rPr>
                  </w:pPr>
                  <w:r>
                    <w:rPr>
                      <w:kern w:val="0"/>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最大值</w:t>
                  </w:r>
                </w:p>
              </w:tc>
              <w:tc>
                <w:tcPr>
                  <w:tcW w:w="1397" w:type="dxa"/>
                  <w:vAlign w:val="center"/>
                </w:tcPr>
                <w:p>
                  <w:pPr>
                    <w:widowControl/>
                    <w:jc w:val="center"/>
                    <w:textAlignment w:val="center"/>
                    <w:rPr>
                      <w:szCs w:val="21"/>
                    </w:rPr>
                  </w:pPr>
                  <w:r>
                    <w:rPr>
                      <w:kern w:val="0"/>
                      <w:szCs w:val="21"/>
                    </w:rPr>
                    <w:t>0.002225</w:t>
                  </w:r>
                </w:p>
              </w:tc>
              <w:tc>
                <w:tcPr>
                  <w:tcW w:w="1090" w:type="dxa"/>
                  <w:vAlign w:val="center"/>
                </w:tcPr>
                <w:p>
                  <w:pPr>
                    <w:widowControl/>
                    <w:jc w:val="center"/>
                    <w:textAlignment w:val="center"/>
                    <w:rPr>
                      <w:szCs w:val="21"/>
                    </w:rPr>
                  </w:pPr>
                  <w:r>
                    <w:rPr>
                      <w:kern w:val="0"/>
                      <w:szCs w:val="21"/>
                    </w:rPr>
                    <w:t>0.49</w:t>
                  </w:r>
                </w:p>
              </w:tc>
              <w:tc>
                <w:tcPr>
                  <w:tcW w:w="1459" w:type="dxa"/>
                  <w:vAlign w:val="center"/>
                </w:tcPr>
                <w:p>
                  <w:pPr>
                    <w:widowControl/>
                    <w:jc w:val="center"/>
                    <w:textAlignment w:val="center"/>
                    <w:rPr>
                      <w:szCs w:val="21"/>
                    </w:rPr>
                  </w:pPr>
                  <w:r>
                    <w:rPr>
                      <w:kern w:val="0"/>
                      <w:szCs w:val="21"/>
                    </w:rPr>
                    <w:t>0.00009196</w:t>
                  </w:r>
                </w:p>
              </w:tc>
              <w:tc>
                <w:tcPr>
                  <w:tcW w:w="1057" w:type="dxa"/>
                  <w:vAlign w:val="center"/>
                </w:tcPr>
                <w:p>
                  <w:pPr>
                    <w:widowControl/>
                    <w:jc w:val="center"/>
                    <w:textAlignment w:val="center"/>
                    <w:rPr>
                      <w:szCs w:val="21"/>
                    </w:rPr>
                  </w:pPr>
                  <w:r>
                    <w:rPr>
                      <w:kern w:val="0"/>
                      <w:szCs w:val="21"/>
                    </w:rPr>
                    <w:t>0</w:t>
                  </w:r>
                </w:p>
              </w:tc>
              <w:tc>
                <w:tcPr>
                  <w:tcW w:w="1410" w:type="dxa"/>
                  <w:vAlign w:val="center"/>
                </w:tcPr>
                <w:p>
                  <w:pPr>
                    <w:widowControl/>
                    <w:jc w:val="center"/>
                    <w:textAlignment w:val="center"/>
                    <w:rPr>
                      <w:szCs w:val="21"/>
                    </w:rPr>
                  </w:pPr>
                  <w:r>
                    <w:rPr>
                      <w:kern w:val="0"/>
                      <w:szCs w:val="21"/>
                    </w:rPr>
                    <w:t>0.0001287</w:t>
                  </w:r>
                </w:p>
              </w:tc>
              <w:tc>
                <w:tcPr>
                  <w:tcW w:w="1154" w:type="dxa"/>
                  <w:vAlign w:val="center"/>
                </w:tcPr>
                <w:p>
                  <w:pPr>
                    <w:widowControl/>
                    <w:jc w:val="center"/>
                    <w:textAlignment w:val="center"/>
                    <w:rPr>
                      <w:szCs w:val="21"/>
                    </w:rPr>
                  </w:pPr>
                  <w:r>
                    <w:rPr>
                      <w:kern w:val="0"/>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出现距离D(m)</w:t>
                  </w:r>
                </w:p>
              </w:tc>
              <w:tc>
                <w:tcPr>
                  <w:tcW w:w="7567" w:type="dxa"/>
                  <w:gridSpan w:val="6"/>
                  <w:vAlign w:val="center"/>
                </w:tcPr>
                <w:p>
                  <w:pPr>
                    <w:spacing w:line="240" w:lineRule="exact"/>
                    <w:jc w:val="center"/>
                    <w:rPr>
                      <w:szCs w:val="21"/>
                    </w:rPr>
                  </w:pPr>
                  <w:r>
                    <w:rPr>
                      <w:szCs w:val="21"/>
                    </w:rPr>
                    <w:t>325</w:t>
                  </w:r>
                </w:p>
              </w:tc>
            </w:tr>
          </w:tbl>
          <w:p>
            <w:pPr>
              <w:spacing w:line="480" w:lineRule="exact"/>
              <w:jc w:val="center"/>
              <w:rPr>
                <w:b/>
                <w:bCs/>
              </w:rPr>
            </w:pPr>
            <w:r>
              <w:rPr>
                <w:rFonts w:hint="eastAsia"/>
                <w:b/>
                <w:bCs/>
              </w:rPr>
              <w:t xml:space="preserve">表23-1 </w:t>
            </w:r>
            <w:r>
              <w:rPr>
                <w:b/>
                <w:bCs/>
              </w:rPr>
              <w:t xml:space="preserve">   车间</w:t>
            </w:r>
            <w:r>
              <w:rPr>
                <w:rFonts w:hint="eastAsia"/>
                <w:b/>
                <w:bCs/>
              </w:rPr>
              <w:t>面源</w:t>
            </w:r>
            <w:r>
              <w:rPr>
                <w:b/>
                <w:bCs/>
              </w:rPr>
              <w:t>废气估算模式计算结果一览表</w:t>
            </w:r>
          </w:p>
          <w:tbl>
            <w:tblPr>
              <w:tblStyle w:val="31"/>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8"/>
              <w:gridCol w:w="1987"/>
              <w:gridCol w:w="1933"/>
              <w:gridCol w:w="1934"/>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158" w:type="dxa"/>
                  <w:vMerge w:val="restart"/>
                  <w:vAlign w:val="center"/>
                </w:tcPr>
                <w:p>
                  <w:pPr>
                    <w:spacing w:line="24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距离排气筒距离D(m)</w:t>
                  </w:r>
                </w:p>
              </w:tc>
              <w:tc>
                <w:tcPr>
                  <w:tcW w:w="3920" w:type="dxa"/>
                  <w:gridSpan w:val="2"/>
                  <w:vAlign w:val="center"/>
                </w:tcPr>
                <w:p>
                  <w:pPr>
                    <w:spacing w:line="24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总装车间（热处理）</w:t>
                  </w:r>
                </w:p>
              </w:tc>
              <w:tc>
                <w:tcPr>
                  <w:tcW w:w="3868" w:type="dxa"/>
                  <w:gridSpan w:val="2"/>
                  <w:vAlign w:val="center"/>
                </w:tcPr>
                <w:p>
                  <w:pPr>
                    <w:spacing w:line="24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焊接烟尘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158" w:type="dxa"/>
                  <w:vMerge w:val="continue"/>
                  <w:vAlign w:val="center"/>
                </w:tcPr>
                <w:p>
                  <w:pPr>
                    <w:spacing w:line="240" w:lineRule="exact"/>
                    <w:jc w:val="center"/>
                    <w:rPr>
                      <w:rFonts w:hint="default" w:ascii="Times New Roman" w:hAnsi="Times New Roman" w:eastAsia="宋体" w:cs="Times New Roman"/>
                      <w:b/>
                      <w:bCs/>
                      <w:sz w:val="21"/>
                      <w:szCs w:val="21"/>
                    </w:rPr>
                  </w:pPr>
                </w:p>
              </w:tc>
              <w:tc>
                <w:tcPr>
                  <w:tcW w:w="3920" w:type="dxa"/>
                  <w:gridSpan w:val="2"/>
                  <w:vAlign w:val="center"/>
                </w:tcPr>
                <w:p>
                  <w:pPr>
                    <w:spacing w:line="24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非甲烷总烃</w:t>
                  </w:r>
                </w:p>
              </w:tc>
              <w:tc>
                <w:tcPr>
                  <w:tcW w:w="3868" w:type="dxa"/>
                  <w:gridSpan w:val="2"/>
                  <w:vAlign w:val="center"/>
                </w:tcPr>
                <w:p>
                  <w:pPr>
                    <w:spacing w:line="24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1158" w:type="dxa"/>
                  <w:vMerge w:val="continue"/>
                  <w:vAlign w:val="center"/>
                </w:tcPr>
                <w:p>
                  <w:pPr>
                    <w:spacing w:line="240" w:lineRule="exact"/>
                    <w:jc w:val="center"/>
                    <w:rPr>
                      <w:rFonts w:hint="default" w:ascii="Times New Roman" w:hAnsi="Times New Roman" w:eastAsia="宋体" w:cs="Times New Roman"/>
                      <w:b/>
                      <w:bCs/>
                      <w:sz w:val="21"/>
                      <w:szCs w:val="21"/>
                    </w:rPr>
                  </w:pPr>
                </w:p>
              </w:tc>
              <w:tc>
                <w:tcPr>
                  <w:tcW w:w="1987" w:type="dxa"/>
                  <w:vAlign w:val="center"/>
                </w:tcPr>
                <w:p>
                  <w:pPr>
                    <w:spacing w:line="24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C</w:t>
                  </w:r>
                  <w:r>
                    <w:rPr>
                      <w:rFonts w:hint="default" w:ascii="Times New Roman" w:hAnsi="Times New Roman" w:eastAsia="宋体" w:cs="Times New Roman"/>
                      <w:b/>
                      <w:bCs/>
                      <w:sz w:val="21"/>
                      <w:szCs w:val="21"/>
                      <w:vertAlign w:val="subscript"/>
                    </w:rPr>
                    <w:t>i1</w:t>
                  </w:r>
                  <w:r>
                    <w:rPr>
                      <w:rFonts w:hint="default" w:ascii="Times New Roman" w:hAnsi="Times New Roman" w:eastAsia="宋体" w:cs="Times New Roman"/>
                      <w:b/>
                      <w:bCs/>
                      <w:sz w:val="21"/>
                      <w:szCs w:val="21"/>
                    </w:rPr>
                    <w:t>(mg/m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w:t>
                  </w:r>
                </w:p>
              </w:tc>
              <w:tc>
                <w:tcPr>
                  <w:tcW w:w="1933" w:type="dxa"/>
                  <w:vAlign w:val="center"/>
                </w:tcPr>
                <w:p>
                  <w:pPr>
                    <w:spacing w:line="24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P</w:t>
                  </w:r>
                  <w:r>
                    <w:rPr>
                      <w:rFonts w:hint="default" w:ascii="Times New Roman" w:hAnsi="Times New Roman" w:eastAsia="宋体" w:cs="Times New Roman"/>
                      <w:b/>
                      <w:bCs/>
                      <w:sz w:val="21"/>
                      <w:szCs w:val="21"/>
                      <w:vertAlign w:val="subscript"/>
                    </w:rPr>
                    <w:t>i1</w:t>
                  </w:r>
                  <w:r>
                    <w:rPr>
                      <w:rFonts w:hint="default" w:ascii="Times New Roman" w:hAnsi="Times New Roman" w:eastAsia="宋体" w:cs="Times New Roman"/>
                      <w:b/>
                      <w:bCs/>
                      <w:sz w:val="21"/>
                      <w:szCs w:val="21"/>
                    </w:rPr>
                    <w:t>(%)</w:t>
                  </w:r>
                </w:p>
              </w:tc>
              <w:tc>
                <w:tcPr>
                  <w:tcW w:w="1934" w:type="dxa"/>
                  <w:vAlign w:val="center"/>
                </w:tcPr>
                <w:p>
                  <w:pPr>
                    <w:spacing w:line="240" w:lineRule="exact"/>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C</w:t>
                  </w:r>
                  <w:r>
                    <w:rPr>
                      <w:rFonts w:hint="default" w:ascii="Times New Roman" w:hAnsi="Times New Roman" w:eastAsia="宋体" w:cs="Times New Roman"/>
                      <w:b/>
                      <w:bCs/>
                      <w:color w:val="FF0000"/>
                      <w:sz w:val="21"/>
                      <w:szCs w:val="21"/>
                      <w:vertAlign w:val="subscript"/>
                    </w:rPr>
                    <w:t>i2</w:t>
                  </w:r>
                  <w:r>
                    <w:rPr>
                      <w:rFonts w:hint="default" w:ascii="Times New Roman" w:hAnsi="Times New Roman" w:eastAsia="宋体" w:cs="Times New Roman"/>
                      <w:b/>
                      <w:bCs/>
                      <w:color w:val="FF0000"/>
                      <w:sz w:val="21"/>
                      <w:szCs w:val="21"/>
                    </w:rPr>
                    <w:t>(mg/m</w:t>
                  </w:r>
                  <w:r>
                    <w:rPr>
                      <w:rFonts w:hint="default" w:ascii="Times New Roman" w:hAnsi="Times New Roman" w:eastAsia="宋体" w:cs="Times New Roman"/>
                      <w:b/>
                      <w:bCs/>
                      <w:color w:val="FF0000"/>
                      <w:sz w:val="21"/>
                      <w:szCs w:val="21"/>
                      <w:vertAlign w:val="superscript"/>
                    </w:rPr>
                    <w:t>3</w:t>
                  </w:r>
                  <w:r>
                    <w:rPr>
                      <w:rFonts w:hint="default" w:ascii="Times New Roman" w:hAnsi="Times New Roman" w:eastAsia="宋体" w:cs="Times New Roman"/>
                      <w:b/>
                      <w:bCs/>
                      <w:color w:val="FF0000"/>
                      <w:sz w:val="21"/>
                      <w:szCs w:val="21"/>
                    </w:rPr>
                    <w:t>)</w:t>
                  </w:r>
                </w:p>
              </w:tc>
              <w:tc>
                <w:tcPr>
                  <w:tcW w:w="1934" w:type="dxa"/>
                  <w:vAlign w:val="center"/>
                </w:tcPr>
                <w:p>
                  <w:pPr>
                    <w:spacing w:line="240" w:lineRule="exact"/>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P</w:t>
                  </w:r>
                  <w:r>
                    <w:rPr>
                      <w:rFonts w:hint="default" w:ascii="Times New Roman" w:hAnsi="Times New Roman" w:eastAsia="宋体" w:cs="Times New Roman"/>
                      <w:b/>
                      <w:bCs/>
                      <w:color w:val="FF0000"/>
                      <w:sz w:val="21"/>
                      <w:szCs w:val="21"/>
                      <w:vertAlign w:val="subscript"/>
                    </w:rPr>
                    <w:t>i2</w:t>
                  </w:r>
                  <w:r>
                    <w:rPr>
                      <w:rFonts w:hint="default" w:ascii="Times New Roman" w:hAnsi="Times New Roman" w:eastAsia="宋体" w:cs="Times New Roman"/>
                      <w:b/>
                      <w:bCs/>
                      <w:color w:val="FF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1158"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987"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0.0005733</w:t>
                  </w:r>
                </w:p>
              </w:tc>
              <w:tc>
                <w:tcPr>
                  <w:tcW w:w="1933"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0.03</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0.0002273</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158"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c>
                <w:tcPr>
                  <w:tcW w:w="1987"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0.001932</w:t>
                  </w:r>
                </w:p>
              </w:tc>
              <w:tc>
                <w:tcPr>
                  <w:tcW w:w="1933"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0.1</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0.000647</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158"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1987"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0.001942</w:t>
                  </w:r>
                </w:p>
              </w:tc>
              <w:tc>
                <w:tcPr>
                  <w:tcW w:w="1933"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0.1</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0.0007583</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158"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300</w:t>
                  </w:r>
                </w:p>
              </w:tc>
              <w:tc>
                <w:tcPr>
                  <w:tcW w:w="1987"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0.001828</w:t>
                  </w:r>
                </w:p>
              </w:tc>
              <w:tc>
                <w:tcPr>
                  <w:tcW w:w="1933"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0.09</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0.0007701</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158"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400</w:t>
                  </w:r>
                </w:p>
              </w:tc>
              <w:tc>
                <w:tcPr>
                  <w:tcW w:w="1987"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0.00183</w:t>
                  </w:r>
                </w:p>
              </w:tc>
              <w:tc>
                <w:tcPr>
                  <w:tcW w:w="1933"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0.09</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0.0007169</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158"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w:t>
                  </w:r>
                </w:p>
              </w:tc>
              <w:tc>
                <w:tcPr>
                  <w:tcW w:w="1987"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0.001704</w:t>
                  </w:r>
                </w:p>
              </w:tc>
              <w:tc>
                <w:tcPr>
                  <w:tcW w:w="1933"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0.09</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0.0007544</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158"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600</w:t>
                  </w:r>
                </w:p>
              </w:tc>
              <w:tc>
                <w:tcPr>
                  <w:tcW w:w="1987"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0.001499</w:t>
                  </w:r>
                </w:p>
              </w:tc>
              <w:tc>
                <w:tcPr>
                  <w:tcW w:w="1933"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0.07</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0.0007329</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158"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700</w:t>
                  </w:r>
                </w:p>
              </w:tc>
              <w:tc>
                <w:tcPr>
                  <w:tcW w:w="1987"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0.001299</w:t>
                  </w:r>
                </w:p>
              </w:tc>
              <w:tc>
                <w:tcPr>
                  <w:tcW w:w="1933"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0.06</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0.0006791</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158"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800</w:t>
                  </w:r>
                </w:p>
              </w:tc>
              <w:tc>
                <w:tcPr>
                  <w:tcW w:w="1987"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0.001126</w:t>
                  </w:r>
                </w:p>
              </w:tc>
              <w:tc>
                <w:tcPr>
                  <w:tcW w:w="1933"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0.06</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0.0006181</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158"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w:t>
                  </w:r>
                </w:p>
              </w:tc>
              <w:tc>
                <w:tcPr>
                  <w:tcW w:w="1987"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0.0009828</w:t>
                  </w:r>
                </w:p>
              </w:tc>
              <w:tc>
                <w:tcPr>
                  <w:tcW w:w="1933"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0.05</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0.000559</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158"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1000</w:t>
                  </w:r>
                </w:p>
              </w:tc>
              <w:tc>
                <w:tcPr>
                  <w:tcW w:w="1987"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0.0008649</w:t>
                  </w:r>
                </w:p>
              </w:tc>
              <w:tc>
                <w:tcPr>
                  <w:tcW w:w="1933"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0.04</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0.0005052</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158"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1100</w:t>
                  </w:r>
                </w:p>
              </w:tc>
              <w:tc>
                <w:tcPr>
                  <w:tcW w:w="1987"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0.0007686</w:t>
                  </w:r>
                </w:p>
              </w:tc>
              <w:tc>
                <w:tcPr>
                  <w:tcW w:w="1933"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0.04</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0.0004581</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158"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1200</w:t>
                  </w:r>
                </w:p>
              </w:tc>
              <w:tc>
                <w:tcPr>
                  <w:tcW w:w="1987"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0.0006884</w:t>
                  </w:r>
                </w:p>
              </w:tc>
              <w:tc>
                <w:tcPr>
                  <w:tcW w:w="1933"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0.03</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0.0004169</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158"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1300</w:t>
                  </w:r>
                </w:p>
              </w:tc>
              <w:tc>
                <w:tcPr>
                  <w:tcW w:w="1987"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0.0006207</w:t>
                  </w:r>
                </w:p>
              </w:tc>
              <w:tc>
                <w:tcPr>
                  <w:tcW w:w="1933"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0.03</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0.0003806</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158"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1400</w:t>
                  </w:r>
                </w:p>
              </w:tc>
              <w:tc>
                <w:tcPr>
                  <w:tcW w:w="1987"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0.000563</w:t>
                  </w:r>
                </w:p>
              </w:tc>
              <w:tc>
                <w:tcPr>
                  <w:tcW w:w="1933"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0.03</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0.0003488</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0.08</w:t>
                  </w:r>
                </w:p>
              </w:tc>
            </w:tr>
          </w:tbl>
          <w:p/>
          <w:p>
            <w:pPr>
              <w:spacing w:line="480" w:lineRule="exact"/>
              <w:jc w:val="center"/>
              <w:rPr>
                <w:b/>
                <w:bCs/>
              </w:rPr>
            </w:pPr>
            <w:r>
              <w:rPr>
                <w:rFonts w:hint="eastAsia"/>
                <w:b/>
                <w:bCs/>
                <w:lang w:eastAsia="zh-CN"/>
              </w:rPr>
              <w:t>续</w:t>
            </w:r>
            <w:r>
              <w:rPr>
                <w:rFonts w:hint="eastAsia"/>
                <w:b/>
                <w:bCs/>
              </w:rPr>
              <w:t xml:space="preserve">表23-1 </w:t>
            </w:r>
            <w:r>
              <w:rPr>
                <w:b/>
                <w:bCs/>
              </w:rPr>
              <w:t xml:space="preserve">   车间</w:t>
            </w:r>
            <w:r>
              <w:rPr>
                <w:rFonts w:hint="eastAsia"/>
                <w:b/>
                <w:bCs/>
              </w:rPr>
              <w:t>面源</w:t>
            </w:r>
            <w:r>
              <w:rPr>
                <w:b/>
                <w:bCs/>
              </w:rPr>
              <w:t>废气估算模式计算结果一览表</w:t>
            </w:r>
          </w:p>
          <w:tbl>
            <w:tblPr>
              <w:tblStyle w:val="31"/>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7"/>
              <w:gridCol w:w="1"/>
              <w:gridCol w:w="1985"/>
              <w:gridCol w:w="2"/>
              <w:gridCol w:w="1933"/>
              <w:gridCol w:w="1934"/>
              <w:gridCol w:w="1934"/>
              <w:gridCol w:w="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atLeast"/>
              </w:trPr>
              <w:tc>
                <w:tcPr>
                  <w:tcW w:w="1158" w:type="dxa"/>
                  <w:gridSpan w:val="2"/>
                  <w:vMerge w:val="restart"/>
                  <w:vAlign w:val="center"/>
                </w:tcPr>
                <w:p>
                  <w:pPr>
                    <w:spacing w:line="24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距离排气筒距离D(m)</w:t>
                  </w:r>
                </w:p>
              </w:tc>
              <w:tc>
                <w:tcPr>
                  <w:tcW w:w="3920" w:type="dxa"/>
                  <w:gridSpan w:val="3"/>
                  <w:vAlign w:val="center"/>
                </w:tcPr>
                <w:p>
                  <w:pPr>
                    <w:spacing w:line="24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总装车间（热处理）</w:t>
                  </w:r>
                </w:p>
              </w:tc>
              <w:tc>
                <w:tcPr>
                  <w:tcW w:w="3868" w:type="dxa"/>
                  <w:gridSpan w:val="2"/>
                  <w:vAlign w:val="center"/>
                </w:tcPr>
                <w:p>
                  <w:pPr>
                    <w:spacing w:line="24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焊接烟尘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atLeast"/>
              </w:trPr>
              <w:tc>
                <w:tcPr>
                  <w:tcW w:w="1158" w:type="dxa"/>
                  <w:gridSpan w:val="2"/>
                  <w:vMerge w:val="continue"/>
                  <w:vAlign w:val="center"/>
                </w:tcPr>
                <w:p>
                  <w:pPr>
                    <w:spacing w:line="240" w:lineRule="exact"/>
                    <w:jc w:val="center"/>
                    <w:rPr>
                      <w:rFonts w:hint="default" w:ascii="Times New Roman" w:hAnsi="Times New Roman" w:eastAsia="宋体" w:cs="Times New Roman"/>
                      <w:b/>
                      <w:bCs/>
                      <w:sz w:val="21"/>
                      <w:szCs w:val="21"/>
                    </w:rPr>
                  </w:pPr>
                </w:p>
              </w:tc>
              <w:tc>
                <w:tcPr>
                  <w:tcW w:w="3920" w:type="dxa"/>
                  <w:gridSpan w:val="3"/>
                  <w:vAlign w:val="center"/>
                </w:tcPr>
                <w:p>
                  <w:pPr>
                    <w:spacing w:line="24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非甲烷总烃</w:t>
                  </w:r>
                </w:p>
              </w:tc>
              <w:tc>
                <w:tcPr>
                  <w:tcW w:w="3868" w:type="dxa"/>
                  <w:gridSpan w:val="2"/>
                  <w:vAlign w:val="center"/>
                </w:tcPr>
                <w:p>
                  <w:pPr>
                    <w:spacing w:line="24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36" w:hRule="atLeast"/>
              </w:trPr>
              <w:tc>
                <w:tcPr>
                  <w:tcW w:w="1158" w:type="dxa"/>
                  <w:gridSpan w:val="2"/>
                  <w:vMerge w:val="continue"/>
                  <w:vAlign w:val="center"/>
                </w:tcPr>
                <w:p>
                  <w:pPr>
                    <w:spacing w:line="240" w:lineRule="exact"/>
                    <w:jc w:val="center"/>
                    <w:rPr>
                      <w:rFonts w:hint="default" w:ascii="Times New Roman" w:hAnsi="Times New Roman" w:eastAsia="宋体" w:cs="Times New Roman"/>
                      <w:b/>
                      <w:bCs/>
                      <w:sz w:val="21"/>
                      <w:szCs w:val="21"/>
                    </w:rPr>
                  </w:pPr>
                </w:p>
              </w:tc>
              <w:tc>
                <w:tcPr>
                  <w:tcW w:w="1987" w:type="dxa"/>
                  <w:gridSpan w:val="2"/>
                  <w:vAlign w:val="center"/>
                </w:tcPr>
                <w:p>
                  <w:pPr>
                    <w:spacing w:line="24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C</w:t>
                  </w:r>
                  <w:r>
                    <w:rPr>
                      <w:rFonts w:hint="default" w:ascii="Times New Roman" w:hAnsi="Times New Roman" w:eastAsia="宋体" w:cs="Times New Roman"/>
                      <w:b/>
                      <w:bCs/>
                      <w:sz w:val="21"/>
                      <w:szCs w:val="21"/>
                      <w:vertAlign w:val="subscript"/>
                    </w:rPr>
                    <w:t>i1</w:t>
                  </w:r>
                  <w:r>
                    <w:rPr>
                      <w:rFonts w:hint="default" w:ascii="Times New Roman" w:hAnsi="Times New Roman" w:eastAsia="宋体" w:cs="Times New Roman"/>
                      <w:b/>
                      <w:bCs/>
                      <w:sz w:val="21"/>
                      <w:szCs w:val="21"/>
                    </w:rPr>
                    <w:t>(mg/m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w:t>
                  </w:r>
                </w:p>
              </w:tc>
              <w:tc>
                <w:tcPr>
                  <w:tcW w:w="1933" w:type="dxa"/>
                  <w:vAlign w:val="center"/>
                </w:tcPr>
                <w:p>
                  <w:pPr>
                    <w:spacing w:line="24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P</w:t>
                  </w:r>
                  <w:r>
                    <w:rPr>
                      <w:rFonts w:hint="default" w:ascii="Times New Roman" w:hAnsi="Times New Roman" w:eastAsia="宋体" w:cs="Times New Roman"/>
                      <w:b/>
                      <w:bCs/>
                      <w:sz w:val="21"/>
                      <w:szCs w:val="21"/>
                      <w:vertAlign w:val="subscript"/>
                    </w:rPr>
                    <w:t>i1</w:t>
                  </w:r>
                  <w:r>
                    <w:rPr>
                      <w:rFonts w:hint="default" w:ascii="Times New Roman" w:hAnsi="Times New Roman" w:eastAsia="宋体" w:cs="Times New Roman"/>
                      <w:b/>
                      <w:bCs/>
                      <w:sz w:val="21"/>
                      <w:szCs w:val="21"/>
                    </w:rPr>
                    <w:t>(%)</w:t>
                  </w:r>
                </w:p>
              </w:tc>
              <w:tc>
                <w:tcPr>
                  <w:tcW w:w="1934" w:type="dxa"/>
                  <w:vAlign w:val="center"/>
                </w:tcPr>
                <w:p>
                  <w:pPr>
                    <w:spacing w:line="24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C</w:t>
                  </w:r>
                  <w:r>
                    <w:rPr>
                      <w:rFonts w:hint="default" w:ascii="Times New Roman" w:hAnsi="Times New Roman" w:eastAsia="宋体" w:cs="Times New Roman"/>
                      <w:b/>
                      <w:bCs/>
                      <w:sz w:val="21"/>
                      <w:szCs w:val="21"/>
                      <w:vertAlign w:val="subscript"/>
                    </w:rPr>
                    <w:t>i2</w:t>
                  </w:r>
                  <w:r>
                    <w:rPr>
                      <w:rFonts w:hint="default" w:ascii="Times New Roman" w:hAnsi="Times New Roman" w:eastAsia="宋体" w:cs="Times New Roman"/>
                      <w:b/>
                      <w:bCs/>
                      <w:sz w:val="21"/>
                      <w:szCs w:val="21"/>
                    </w:rPr>
                    <w:t>(mg/m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w:t>
                  </w:r>
                </w:p>
              </w:tc>
              <w:tc>
                <w:tcPr>
                  <w:tcW w:w="1934" w:type="dxa"/>
                  <w:vAlign w:val="center"/>
                </w:tcPr>
                <w:p>
                  <w:pPr>
                    <w:spacing w:line="24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P</w:t>
                  </w:r>
                  <w:r>
                    <w:rPr>
                      <w:rFonts w:hint="default" w:ascii="Times New Roman" w:hAnsi="Times New Roman" w:eastAsia="宋体" w:cs="Times New Roman"/>
                      <w:b/>
                      <w:bCs/>
                      <w:sz w:val="21"/>
                      <w:szCs w:val="21"/>
                      <w:vertAlign w:val="subscript"/>
                    </w:rPr>
                    <w:t>i2</w:t>
                  </w:r>
                  <w:r>
                    <w:rPr>
                      <w:rFonts w:hint="default" w:ascii="Times New Roman" w:hAnsi="Times New Roman" w:eastAsia="宋体" w:cs="Times New Roman"/>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atLeast"/>
              </w:trPr>
              <w:tc>
                <w:tcPr>
                  <w:tcW w:w="1158" w:type="dxa"/>
                  <w:gridSpan w:val="2"/>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1500</w:t>
                  </w:r>
                </w:p>
              </w:tc>
              <w:tc>
                <w:tcPr>
                  <w:tcW w:w="1987" w:type="dxa"/>
                  <w:gridSpan w:val="2"/>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0.0005135</w:t>
                  </w:r>
                </w:p>
              </w:tc>
              <w:tc>
                <w:tcPr>
                  <w:tcW w:w="1933"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0.03</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0.0003207</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atLeast"/>
              </w:trPr>
              <w:tc>
                <w:tcPr>
                  <w:tcW w:w="1158" w:type="dxa"/>
                  <w:gridSpan w:val="2"/>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1600</w:t>
                  </w:r>
                </w:p>
              </w:tc>
              <w:tc>
                <w:tcPr>
                  <w:tcW w:w="1987" w:type="dxa"/>
                  <w:gridSpan w:val="2"/>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0.0004706</w:t>
                  </w:r>
                </w:p>
              </w:tc>
              <w:tc>
                <w:tcPr>
                  <w:tcW w:w="1933"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0.02</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0.0002962</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atLeast"/>
              </w:trPr>
              <w:tc>
                <w:tcPr>
                  <w:tcW w:w="1158" w:type="dxa"/>
                  <w:gridSpan w:val="2"/>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1700</w:t>
                  </w:r>
                </w:p>
              </w:tc>
              <w:tc>
                <w:tcPr>
                  <w:tcW w:w="1987" w:type="dxa"/>
                  <w:gridSpan w:val="2"/>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0.0004331</w:t>
                  </w:r>
                </w:p>
              </w:tc>
              <w:tc>
                <w:tcPr>
                  <w:tcW w:w="1933"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0.02</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0.0002742</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atLeast"/>
              </w:trPr>
              <w:tc>
                <w:tcPr>
                  <w:tcW w:w="1158" w:type="dxa"/>
                  <w:gridSpan w:val="2"/>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1800</w:t>
                  </w:r>
                </w:p>
              </w:tc>
              <w:tc>
                <w:tcPr>
                  <w:tcW w:w="1987" w:type="dxa"/>
                  <w:gridSpan w:val="2"/>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0.0004002</w:t>
                  </w:r>
                </w:p>
              </w:tc>
              <w:tc>
                <w:tcPr>
                  <w:tcW w:w="1933"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0.02</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0.0002546</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atLeast"/>
              </w:trPr>
              <w:tc>
                <w:tcPr>
                  <w:tcW w:w="1158" w:type="dxa"/>
                  <w:gridSpan w:val="2"/>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1900</w:t>
                  </w:r>
                </w:p>
              </w:tc>
              <w:tc>
                <w:tcPr>
                  <w:tcW w:w="1987" w:type="dxa"/>
                  <w:gridSpan w:val="2"/>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0.0003712</w:t>
                  </w:r>
                </w:p>
              </w:tc>
              <w:tc>
                <w:tcPr>
                  <w:tcW w:w="1933"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0.02</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0.0002373</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atLeast"/>
              </w:trPr>
              <w:tc>
                <w:tcPr>
                  <w:tcW w:w="1157"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2000</w:t>
                  </w:r>
                </w:p>
              </w:tc>
              <w:tc>
                <w:tcPr>
                  <w:tcW w:w="1986" w:type="dxa"/>
                  <w:gridSpan w:val="2"/>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0.0003456</w:t>
                  </w:r>
                </w:p>
              </w:tc>
              <w:tc>
                <w:tcPr>
                  <w:tcW w:w="1935" w:type="dxa"/>
                  <w:gridSpan w:val="2"/>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0.02</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0.0002219</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atLeast"/>
              </w:trPr>
              <w:tc>
                <w:tcPr>
                  <w:tcW w:w="1157"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2100</w:t>
                  </w:r>
                </w:p>
              </w:tc>
              <w:tc>
                <w:tcPr>
                  <w:tcW w:w="1986" w:type="dxa"/>
                  <w:gridSpan w:val="2"/>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0.0003236</w:t>
                  </w:r>
                </w:p>
              </w:tc>
              <w:tc>
                <w:tcPr>
                  <w:tcW w:w="1935" w:type="dxa"/>
                  <w:gridSpan w:val="2"/>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0.02</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0.0002083</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atLeast"/>
              </w:trPr>
              <w:tc>
                <w:tcPr>
                  <w:tcW w:w="1157"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2200</w:t>
                  </w:r>
                </w:p>
              </w:tc>
              <w:tc>
                <w:tcPr>
                  <w:tcW w:w="1986" w:type="dxa"/>
                  <w:gridSpan w:val="2"/>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0.000304</w:t>
                  </w:r>
                </w:p>
              </w:tc>
              <w:tc>
                <w:tcPr>
                  <w:tcW w:w="1935" w:type="dxa"/>
                  <w:gridSpan w:val="2"/>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0.02</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0.0001962</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atLeast"/>
              </w:trPr>
              <w:tc>
                <w:tcPr>
                  <w:tcW w:w="1157"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2300</w:t>
                  </w:r>
                </w:p>
              </w:tc>
              <w:tc>
                <w:tcPr>
                  <w:tcW w:w="1986" w:type="dxa"/>
                  <w:gridSpan w:val="2"/>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0.0002863</w:t>
                  </w:r>
                </w:p>
              </w:tc>
              <w:tc>
                <w:tcPr>
                  <w:tcW w:w="1935" w:type="dxa"/>
                  <w:gridSpan w:val="2"/>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0.01</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0.0001853</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atLeast"/>
              </w:trPr>
              <w:tc>
                <w:tcPr>
                  <w:tcW w:w="1157"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2400</w:t>
                  </w:r>
                </w:p>
              </w:tc>
              <w:tc>
                <w:tcPr>
                  <w:tcW w:w="1986" w:type="dxa"/>
                  <w:gridSpan w:val="2"/>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0.0002703</w:t>
                  </w:r>
                </w:p>
              </w:tc>
              <w:tc>
                <w:tcPr>
                  <w:tcW w:w="1935" w:type="dxa"/>
                  <w:gridSpan w:val="2"/>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0.01</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0.0001754</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atLeast"/>
              </w:trPr>
              <w:tc>
                <w:tcPr>
                  <w:tcW w:w="1157"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2500</w:t>
                  </w:r>
                </w:p>
              </w:tc>
              <w:tc>
                <w:tcPr>
                  <w:tcW w:w="1986" w:type="dxa"/>
                  <w:gridSpan w:val="2"/>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0.0002557</w:t>
                  </w:r>
                </w:p>
              </w:tc>
              <w:tc>
                <w:tcPr>
                  <w:tcW w:w="1935" w:type="dxa"/>
                  <w:gridSpan w:val="2"/>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0.01</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0.0001664</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atLeast"/>
              </w:trPr>
              <w:tc>
                <w:tcPr>
                  <w:tcW w:w="1157"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付神首村</w:t>
                  </w:r>
                </w:p>
              </w:tc>
              <w:tc>
                <w:tcPr>
                  <w:tcW w:w="1986" w:type="dxa"/>
                  <w:gridSpan w:val="2"/>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0.001962</w:t>
                  </w:r>
                </w:p>
              </w:tc>
              <w:tc>
                <w:tcPr>
                  <w:tcW w:w="1935" w:type="dxa"/>
                  <w:gridSpan w:val="2"/>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0.1</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0.0007555</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atLeast"/>
              </w:trPr>
              <w:tc>
                <w:tcPr>
                  <w:tcW w:w="1157"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最大值</w:t>
                  </w:r>
                </w:p>
              </w:tc>
              <w:tc>
                <w:tcPr>
                  <w:tcW w:w="1986" w:type="dxa"/>
                  <w:gridSpan w:val="2"/>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0.002006</w:t>
                  </w:r>
                </w:p>
              </w:tc>
              <w:tc>
                <w:tcPr>
                  <w:tcW w:w="1935" w:type="dxa"/>
                  <w:gridSpan w:val="2"/>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0.1</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0.000771</w:t>
                  </w:r>
                </w:p>
              </w:tc>
              <w:tc>
                <w:tcPr>
                  <w:tcW w:w="1934" w:type="dxa"/>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FF0000"/>
                      <w:kern w:val="0"/>
                      <w:sz w:val="21"/>
                      <w:szCs w:val="21"/>
                      <w:u w:val="none"/>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157" w:type="dxa"/>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出现距离D(m)</w:t>
                  </w:r>
                </w:p>
              </w:tc>
              <w:tc>
                <w:tcPr>
                  <w:tcW w:w="3921" w:type="dxa"/>
                  <w:gridSpan w:val="4"/>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173</w:t>
                  </w:r>
                </w:p>
              </w:tc>
              <w:tc>
                <w:tcPr>
                  <w:tcW w:w="3923" w:type="dxa"/>
                  <w:gridSpan w:val="3"/>
                  <w:vAlign w:val="center"/>
                </w:tcPr>
                <w:p>
                  <w:pPr>
                    <w:spacing w:line="240" w:lineRule="exact"/>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309</w:t>
                  </w:r>
                </w:p>
              </w:tc>
            </w:tr>
          </w:tbl>
          <w:p>
            <w:pPr>
              <w:spacing w:line="480" w:lineRule="exact"/>
              <w:jc w:val="center"/>
              <w:rPr>
                <w:b/>
                <w:bCs/>
              </w:rPr>
            </w:pPr>
            <w:r>
              <w:rPr>
                <w:b/>
                <w:bCs/>
              </w:rPr>
              <w:t>表</w:t>
            </w:r>
            <w:r>
              <w:rPr>
                <w:rFonts w:hint="eastAsia"/>
                <w:b/>
                <w:bCs/>
              </w:rPr>
              <w:t>23-2</w:t>
            </w:r>
            <w:r>
              <w:rPr>
                <w:b/>
                <w:bCs/>
              </w:rPr>
              <w:t xml:space="preserve">   车间无组织废气估算模式计算结果一览表</w:t>
            </w:r>
          </w:p>
          <w:tbl>
            <w:tblPr>
              <w:tblStyle w:val="31"/>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4"/>
              <w:gridCol w:w="1397"/>
              <w:gridCol w:w="1090"/>
              <w:gridCol w:w="1459"/>
              <w:gridCol w:w="1057"/>
              <w:gridCol w:w="1410"/>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434" w:type="dxa"/>
                  <w:vMerge w:val="restart"/>
                  <w:vAlign w:val="center"/>
                </w:tcPr>
                <w:p>
                  <w:pPr>
                    <w:spacing w:line="240" w:lineRule="exact"/>
                    <w:jc w:val="center"/>
                    <w:rPr>
                      <w:b/>
                      <w:bCs/>
                      <w:szCs w:val="21"/>
                    </w:rPr>
                  </w:pPr>
                  <w:r>
                    <w:rPr>
                      <w:b/>
                      <w:bCs/>
                      <w:szCs w:val="21"/>
                    </w:rPr>
                    <w:t>距离排气筒距离D(m)</w:t>
                  </w:r>
                </w:p>
              </w:tc>
              <w:tc>
                <w:tcPr>
                  <w:tcW w:w="7567" w:type="dxa"/>
                  <w:gridSpan w:val="6"/>
                  <w:vAlign w:val="center"/>
                </w:tcPr>
                <w:p>
                  <w:pPr>
                    <w:spacing w:line="240" w:lineRule="exact"/>
                    <w:jc w:val="center"/>
                    <w:rPr>
                      <w:b/>
                      <w:bCs/>
                      <w:szCs w:val="21"/>
                    </w:rPr>
                  </w:pPr>
                  <w:r>
                    <w:rPr>
                      <w:szCs w:val="21"/>
                    </w:rPr>
                    <w:t>喷晾漆与切割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434" w:type="dxa"/>
                  <w:vMerge w:val="continue"/>
                  <w:vAlign w:val="center"/>
                </w:tcPr>
                <w:p>
                  <w:pPr>
                    <w:spacing w:line="240" w:lineRule="exact"/>
                    <w:jc w:val="center"/>
                    <w:rPr>
                      <w:b/>
                      <w:bCs/>
                      <w:szCs w:val="21"/>
                    </w:rPr>
                  </w:pPr>
                </w:p>
              </w:tc>
              <w:tc>
                <w:tcPr>
                  <w:tcW w:w="2487" w:type="dxa"/>
                  <w:gridSpan w:val="2"/>
                  <w:vAlign w:val="center"/>
                </w:tcPr>
                <w:p>
                  <w:pPr>
                    <w:spacing w:line="240" w:lineRule="exact"/>
                    <w:jc w:val="center"/>
                    <w:rPr>
                      <w:b/>
                      <w:bCs/>
                      <w:szCs w:val="21"/>
                    </w:rPr>
                  </w:pPr>
                  <w:r>
                    <w:rPr>
                      <w:b/>
                      <w:bCs/>
                      <w:szCs w:val="21"/>
                    </w:rPr>
                    <w:t>颗粒物</w:t>
                  </w:r>
                </w:p>
              </w:tc>
              <w:tc>
                <w:tcPr>
                  <w:tcW w:w="2516" w:type="dxa"/>
                  <w:gridSpan w:val="2"/>
                  <w:vAlign w:val="center"/>
                </w:tcPr>
                <w:p>
                  <w:pPr>
                    <w:spacing w:line="240" w:lineRule="exact"/>
                    <w:jc w:val="center"/>
                    <w:rPr>
                      <w:b/>
                      <w:bCs/>
                      <w:szCs w:val="21"/>
                    </w:rPr>
                  </w:pPr>
                  <w:r>
                    <w:rPr>
                      <w:b/>
                      <w:bCs/>
                      <w:szCs w:val="21"/>
                    </w:rPr>
                    <w:t>非甲烷总烃</w:t>
                  </w:r>
                </w:p>
              </w:tc>
              <w:tc>
                <w:tcPr>
                  <w:tcW w:w="2564" w:type="dxa"/>
                  <w:gridSpan w:val="2"/>
                  <w:vAlign w:val="center"/>
                </w:tcPr>
                <w:p>
                  <w:pPr>
                    <w:spacing w:line="240" w:lineRule="exact"/>
                    <w:jc w:val="center"/>
                    <w:rPr>
                      <w:b/>
                      <w:bCs/>
                      <w:szCs w:val="21"/>
                    </w:rPr>
                  </w:pPr>
                  <w:r>
                    <w:rPr>
                      <w:b/>
                      <w:bCs/>
                      <w:szCs w:val="21"/>
                    </w:rPr>
                    <w:t>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1434" w:type="dxa"/>
                  <w:vMerge w:val="continue"/>
                  <w:vAlign w:val="center"/>
                </w:tcPr>
                <w:p>
                  <w:pPr>
                    <w:spacing w:line="240" w:lineRule="exact"/>
                    <w:jc w:val="center"/>
                    <w:rPr>
                      <w:b/>
                      <w:bCs/>
                      <w:szCs w:val="21"/>
                    </w:rPr>
                  </w:pPr>
                </w:p>
              </w:tc>
              <w:tc>
                <w:tcPr>
                  <w:tcW w:w="1397" w:type="dxa"/>
                  <w:vAlign w:val="center"/>
                </w:tcPr>
                <w:p>
                  <w:pPr>
                    <w:spacing w:line="240" w:lineRule="exact"/>
                    <w:jc w:val="center"/>
                    <w:rPr>
                      <w:b/>
                      <w:bCs/>
                      <w:szCs w:val="21"/>
                    </w:rPr>
                  </w:pPr>
                  <w:r>
                    <w:rPr>
                      <w:b/>
                      <w:bCs/>
                      <w:szCs w:val="21"/>
                    </w:rPr>
                    <w:t>C</w:t>
                  </w:r>
                  <w:r>
                    <w:rPr>
                      <w:b/>
                      <w:bCs/>
                      <w:szCs w:val="21"/>
                      <w:vertAlign w:val="subscript"/>
                    </w:rPr>
                    <w:t>i1</w:t>
                  </w:r>
                  <w:r>
                    <w:rPr>
                      <w:b/>
                      <w:bCs/>
                      <w:szCs w:val="21"/>
                    </w:rPr>
                    <w:t>(mg/m</w:t>
                  </w:r>
                  <w:r>
                    <w:rPr>
                      <w:b/>
                      <w:bCs/>
                      <w:szCs w:val="21"/>
                      <w:vertAlign w:val="superscript"/>
                    </w:rPr>
                    <w:t>3</w:t>
                  </w:r>
                  <w:r>
                    <w:rPr>
                      <w:b/>
                      <w:bCs/>
                      <w:szCs w:val="21"/>
                    </w:rPr>
                    <w:t>)</w:t>
                  </w:r>
                </w:p>
              </w:tc>
              <w:tc>
                <w:tcPr>
                  <w:tcW w:w="1090" w:type="dxa"/>
                  <w:vAlign w:val="center"/>
                </w:tcPr>
                <w:p>
                  <w:pPr>
                    <w:spacing w:line="240" w:lineRule="exact"/>
                    <w:jc w:val="center"/>
                    <w:rPr>
                      <w:b/>
                      <w:bCs/>
                      <w:szCs w:val="21"/>
                    </w:rPr>
                  </w:pPr>
                  <w:r>
                    <w:rPr>
                      <w:b/>
                      <w:bCs/>
                      <w:szCs w:val="21"/>
                    </w:rPr>
                    <w:t>P</w:t>
                  </w:r>
                  <w:r>
                    <w:rPr>
                      <w:b/>
                      <w:bCs/>
                      <w:szCs w:val="21"/>
                      <w:vertAlign w:val="subscript"/>
                    </w:rPr>
                    <w:t>i1</w:t>
                  </w:r>
                  <w:r>
                    <w:rPr>
                      <w:b/>
                      <w:bCs/>
                      <w:szCs w:val="21"/>
                    </w:rPr>
                    <w:t>(%)</w:t>
                  </w:r>
                </w:p>
              </w:tc>
              <w:tc>
                <w:tcPr>
                  <w:tcW w:w="1459" w:type="dxa"/>
                  <w:vAlign w:val="center"/>
                </w:tcPr>
                <w:p>
                  <w:pPr>
                    <w:spacing w:line="240" w:lineRule="exact"/>
                    <w:jc w:val="center"/>
                    <w:rPr>
                      <w:b/>
                      <w:bCs/>
                      <w:szCs w:val="21"/>
                    </w:rPr>
                  </w:pPr>
                  <w:r>
                    <w:rPr>
                      <w:b/>
                      <w:bCs/>
                      <w:szCs w:val="21"/>
                    </w:rPr>
                    <w:t>C</w:t>
                  </w:r>
                  <w:r>
                    <w:rPr>
                      <w:b/>
                      <w:bCs/>
                      <w:szCs w:val="21"/>
                      <w:vertAlign w:val="subscript"/>
                    </w:rPr>
                    <w:t>i2</w:t>
                  </w:r>
                  <w:r>
                    <w:rPr>
                      <w:b/>
                      <w:bCs/>
                      <w:szCs w:val="21"/>
                    </w:rPr>
                    <w:t>(mg/m</w:t>
                  </w:r>
                  <w:r>
                    <w:rPr>
                      <w:b/>
                      <w:bCs/>
                      <w:szCs w:val="21"/>
                      <w:vertAlign w:val="superscript"/>
                    </w:rPr>
                    <w:t>3</w:t>
                  </w:r>
                  <w:r>
                    <w:rPr>
                      <w:b/>
                      <w:bCs/>
                      <w:szCs w:val="21"/>
                    </w:rPr>
                    <w:t>)</w:t>
                  </w:r>
                </w:p>
              </w:tc>
              <w:tc>
                <w:tcPr>
                  <w:tcW w:w="1057" w:type="dxa"/>
                  <w:vAlign w:val="center"/>
                </w:tcPr>
                <w:p>
                  <w:pPr>
                    <w:spacing w:line="240" w:lineRule="exact"/>
                    <w:jc w:val="center"/>
                    <w:rPr>
                      <w:b/>
                      <w:bCs/>
                      <w:szCs w:val="21"/>
                    </w:rPr>
                  </w:pPr>
                  <w:r>
                    <w:rPr>
                      <w:b/>
                      <w:bCs/>
                      <w:szCs w:val="21"/>
                    </w:rPr>
                    <w:t>P</w:t>
                  </w:r>
                  <w:r>
                    <w:rPr>
                      <w:b/>
                      <w:bCs/>
                      <w:szCs w:val="21"/>
                      <w:vertAlign w:val="subscript"/>
                    </w:rPr>
                    <w:t>i2</w:t>
                  </w:r>
                  <w:r>
                    <w:rPr>
                      <w:b/>
                      <w:bCs/>
                      <w:szCs w:val="21"/>
                    </w:rPr>
                    <w:t>(%)</w:t>
                  </w:r>
                </w:p>
              </w:tc>
              <w:tc>
                <w:tcPr>
                  <w:tcW w:w="1410" w:type="dxa"/>
                  <w:vAlign w:val="center"/>
                </w:tcPr>
                <w:p>
                  <w:pPr>
                    <w:spacing w:line="240" w:lineRule="exact"/>
                    <w:jc w:val="center"/>
                    <w:rPr>
                      <w:b/>
                      <w:bCs/>
                      <w:szCs w:val="21"/>
                    </w:rPr>
                  </w:pPr>
                  <w:r>
                    <w:rPr>
                      <w:b/>
                      <w:bCs/>
                      <w:szCs w:val="21"/>
                    </w:rPr>
                    <w:t>C</w:t>
                  </w:r>
                  <w:r>
                    <w:rPr>
                      <w:b/>
                      <w:bCs/>
                      <w:szCs w:val="21"/>
                      <w:vertAlign w:val="subscript"/>
                    </w:rPr>
                    <w:t>i3</w:t>
                  </w:r>
                  <w:r>
                    <w:rPr>
                      <w:b/>
                      <w:bCs/>
                      <w:szCs w:val="21"/>
                    </w:rPr>
                    <w:t>(mg/m</w:t>
                  </w:r>
                  <w:r>
                    <w:rPr>
                      <w:b/>
                      <w:bCs/>
                      <w:szCs w:val="21"/>
                      <w:vertAlign w:val="superscript"/>
                    </w:rPr>
                    <w:t>3</w:t>
                  </w:r>
                  <w:r>
                    <w:rPr>
                      <w:b/>
                      <w:bCs/>
                      <w:szCs w:val="21"/>
                    </w:rPr>
                    <w:t>)</w:t>
                  </w:r>
                </w:p>
              </w:tc>
              <w:tc>
                <w:tcPr>
                  <w:tcW w:w="1154" w:type="dxa"/>
                  <w:vAlign w:val="center"/>
                </w:tcPr>
                <w:p>
                  <w:pPr>
                    <w:spacing w:line="240" w:lineRule="exact"/>
                    <w:jc w:val="center"/>
                    <w:rPr>
                      <w:b/>
                      <w:bCs/>
                      <w:szCs w:val="21"/>
                    </w:rPr>
                  </w:pPr>
                  <w:r>
                    <w:rPr>
                      <w:b/>
                      <w:bCs/>
                      <w:szCs w:val="21"/>
                    </w:rPr>
                    <w:t>P</w:t>
                  </w:r>
                  <w:r>
                    <w:rPr>
                      <w:b/>
                      <w:bCs/>
                      <w:szCs w:val="21"/>
                      <w:vertAlign w:val="subscript"/>
                    </w:rPr>
                    <w:t>i3</w:t>
                  </w:r>
                  <w:r>
                    <w:rPr>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trPr>
              <w:tc>
                <w:tcPr>
                  <w:tcW w:w="1434" w:type="dxa"/>
                  <w:vAlign w:val="center"/>
                </w:tcPr>
                <w:p>
                  <w:pPr>
                    <w:spacing w:line="240" w:lineRule="exact"/>
                    <w:jc w:val="center"/>
                    <w:rPr>
                      <w:szCs w:val="21"/>
                    </w:rPr>
                  </w:pPr>
                  <w:r>
                    <w:rPr>
                      <w:szCs w:val="21"/>
                    </w:rPr>
                    <w:t>10</w:t>
                  </w:r>
                </w:p>
              </w:tc>
              <w:tc>
                <w:tcPr>
                  <w:tcW w:w="1397" w:type="dxa"/>
                  <w:vAlign w:val="center"/>
                </w:tcPr>
                <w:p>
                  <w:pPr>
                    <w:widowControl/>
                    <w:jc w:val="center"/>
                    <w:textAlignment w:val="center"/>
                    <w:rPr>
                      <w:szCs w:val="21"/>
                    </w:rPr>
                  </w:pPr>
                  <w:r>
                    <w:rPr>
                      <w:color w:val="000000"/>
                      <w:kern w:val="0"/>
                      <w:szCs w:val="21"/>
                    </w:rPr>
                    <w:t>0.0000476</w:t>
                  </w:r>
                </w:p>
              </w:tc>
              <w:tc>
                <w:tcPr>
                  <w:tcW w:w="1090" w:type="dxa"/>
                  <w:vAlign w:val="center"/>
                </w:tcPr>
                <w:p>
                  <w:pPr>
                    <w:widowControl/>
                    <w:jc w:val="center"/>
                    <w:textAlignment w:val="center"/>
                    <w:rPr>
                      <w:szCs w:val="21"/>
                    </w:rPr>
                  </w:pPr>
                  <w:r>
                    <w:rPr>
                      <w:color w:val="000000"/>
                      <w:kern w:val="0"/>
                      <w:szCs w:val="21"/>
                    </w:rPr>
                    <w:t>0.01</w:t>
                  </w:r>
                </w:p>
              </w:tc>
              <w:tc>
                <w:tcPr>
                  <w:tcW w:w="1459" w:type="dxa"/>
                  <w:vAlign w:val="center"/>
                </w:tcPr>
                <w:p>
                  <w:pPr>
                    <w:widowControl/>
                    <w:jc w:val="center"/>
                    <w:textAlignment w:val="center"/>
                    <w:rPr>
                      <w:szCs w:val="21"/>
                    </w:rPr>
                  </w:pPr>
                  <w:r>
                    <w:rPr>
                      <w:color w:val="000000"/>
                      <w:kern w:val="0"/>
                      <w:szCs w:val="21"/>
                    </w:rPr>
                    <w:t>0.00000544</w:t>
                  </w:r>
                </w:p>
              </w:tc>
              <w:tc>
                <w:tcPr>
                  <w:tcW w:w="1057" w:type="dxa"/>
                  <w:vAlign w:val="center"/>
                </w:tcPr>
                <w:p>
                  <w:pPr>
                    <w:widowControl/>
                    <w:jc w:val="center"/>
                    <w:textAlignment w:val="center"/>
                    <w:rPr>
                      <w:szCs w:val="21"/>
                    </w:rPr>
                  </w:pPr>
                  <w:r>
                    <w:rPr>
                      <w:color w:val="000000"/>
                      <w:kern w:val="0"/>
                      <w:szCs w:val="21"/>
                    </w:rPr>
                    <w:t>0</w:t>
                  </w:r>
                </w:p>
              </w:tc>
              <w:tc>
                <w:tcPr>
                  <w:tcW w:w="1410" w:type="dxa"/>
                  <w:vAlign w:val="center"/>
                </w:tcPr>
                <w:p>
                  <w:pPr>
                    <w:widowControl/>
                    <w:jc w:val="center"/>
                    <w:textAlignment w:val="center"/>
                    <w:rPr>
                      <w:szCs w:val="21"/>
                    </w:rPr>
                  </w:pPr>
                  <w:r>
                    <w:rPr>
                      <w:color w:val="000000"/>
                      <w:kern w:val="0"/>
                      <w:szCs w:val="21"/>
                    </w:rPr>
                    <w:t>0.00000544</w:t>
                  </w:r>
                </w:p>
              </w:tc>
              <w:tc>
                <w:tcPr>
                  <w:tcW w:w="1154" w:type="dxa"/>
                  <w:vAlign w:val="center"/>
                </w:tcPr>
                <w:p>
                  <w:pPr>
                    <w:widowControl/>
                    <w:jc w:val="center"/>
                    <w:textAlignment w:val="center"/>
                    <w:rPr>
                      <w:szCs w:val="21"/>
                    </w:rPr>
                  </w:pPr>
                  <w:r>
                    <w:rPr>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100</w:t>
                  </w:r>
                </w:p>
              </w:tc>
              <w:tc>
                <w:tcPr>
                  <w:tcW w:w="1397" w:type="dxa"/>
                  <w:vAlign w:val="center"/>
                </w:tcPr>
                <w:p>
                  <w:pPr>
                    <w:widowControl/>
                    <w:jc w:val="center"/>
                    <w:textAlignment w:val="center"/>
                    <w:rPr>
                      <w:szCs w:val="21"/>
                    </w:rPr>
                  </w:pPr>
                  <w:r>
                    <w:rPr>
                      <w:color w:val="000000"/>
                      <w:kern w:val="0"/>
                      <w:szCs w:val="21"/>
                    </w:rPr>
                    <w:t>0.003703</w:t>
                  </w:r>
                </w:p>
              </w:tc>
              <w:tc>
                <w:tcPr>
                  <w:tcW w:w="1090" w:type="dxa"/>
                  <w:vAlign w:val="center"/>
                </w:tcPr>
                <w:p>
                  <w:pPr>
                    <w:widowControl/>
                    <w:jc w:val="center"/>
                    <w:textAlignment w:val="center"/>
                    <w:rPr>
                      <w:szCs w:val="21"/>
                    </w:rPr>
                  </w:pPr>
                  <w:r>
                    <w:rPr>
                      <w:color w:val="000000"/>
                      <w:kern w:val="0"/>
                      <w:szCs w:val="21"/>
                    </w:rPr>
                    <w:t>0.82</w:t>
                  </w:r>
                </w:p>
              </w:tc>
              <w:tc>
                <w:tcPr>
                  <w:tcW w:w="1459" w:type="dxa"/>
                  <w:vAlign w:val="center"/>
                </w:tcPr>
                <w:p>
                  <w:pPr>
                    <w:widowControl/>
                    <w:jc w:val="center"/>
                    <w:textAlignment w:val="center"/>
                    <w:rPr>
                      <w:szCs w:val="21"/>
                    </w:rPr>
                  </w:pPr>
                  <w:r>
                    <w:rPr>
                      <w:color w:val="000000"/>
                      <w:kern w:val="0"/>
                      <w:szCs w:val="21"/>
                    </w:rPr>
                    <w:t>0.0004232</w:t>
                  </w:r>
                </w:p>
              </w:tc>
              <w:tc>
                <w:tcPr>
                  <w:tcW w:w="1057" w:type="dxa"/>
                  <w:vAlign w:val="center"/>
                </w:tcPr>
                <w:p>
                  <w:pPr>
                    <w:widowControl/>
                    <w:jc w:val="center"/>
                    <w:textAlignment w:val="center"/>
                    <w:rPr>
                      <w:szCs w:val="21"/>
                    </w:rPr>
                  </w:pPr>
                  <w:r>
                    <w:rPr>
                      <w:color w:val="000000"/>
                      <w:kern w:val="0"/>
                      <w:szCs w:val="21"/>
                    </w:rPr>
                    <w:t>0.02</w:t>
                  </w:r>
                </w:p>
              </w:tc>
              <w:tc>
                <w:tcPr>
                  <w:tcW w:w="1410" w:type="dxa"/>
                  <w:vAlign w:val="center"/>
                </w:tcPr>
                <w:p>
                  <w:pPr>
                    <w:widowControl/>
                    <w:jc w:val="center"/>
                    <w:textAlignment w:val="center"/>
                    <w:rPr>
                      <w:szCs w:val="21"/>
                    </w:rPr>
                  </w:pPr>
                  <w:r>
                    <w:rPr>
                      <w:color w:val="000000"/>
                      <w:kern w:val="0"/>
                      <w:szCs w:val="21"/>
                    </w:rPr>
                    <w:t>0.0004232</w:t>
                  </w:r>
                </w:p>
              </w:tc>
              <w:tc>
                <w:tcPr>
                  <w:tcW w:w="1154" w:type="dxa"/>
                  <w:vAlign w:val="center"/>
                </w:tcPr>
                <w:p>
                  <w:pPr>
                    <w:widowControl/>
                    <w:jc w:val="center"/>
                    <w:textAlignment w:val="center"/>
                    <w:rPr>
                      <w:szCs w:val="21"/>
                    </w:rPr>
                  </w:pPr>
                  <w:r>
                    <w:rPr>
                      <w:color w:val="000000"/>
                      <w:kern w:val="0"/>
                      <w:szCs w:val="21"/>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200</w:t>
                  </w:r>
                </w:p>
              </w:tc>
              <w:tc>
                <w:tcPr>
                  <w:tcW w:w="1397" w:type="dxa"/>
                  <w:vAlign w:val="center"/>
                </w:tcPr>
                <w:p>
                  <w:pPr>
                    <w:widowControl/>
                    <w:jc w:val="center"/>
                    <w:textAlignment w:val="center"/>
                    <w:rPr>
                      <w:szCs w:val="21"/>
                    </w:rPr>
                  </w:pPr>
                  <w:r>
                    <w:rPr>
                      <w:color w:val="000000"/>
                      <w:kern w:val="0"/>
                      <w:szCs w:val="21"/>
                    </w:rPr>
                    <w:t>0.003704</w:t>
                  </w:r>
                </w:p>
              </w:tc>
              <w:tc>
                <w:tcPr>
                  <w:tcW w:w="1090" w:type="dxa"/>
                  <w:vAlign w:val="center"/>
                </w:tcPr>
                <w:p>
                  <w:pPr>
                    <w:widowControl/>
                    <w:jc w:val="center"/>
                    <w:textAlignment w:val="center"/>
                    <w:rPr>
                      <w:szCs w:val="21"/>
                    </w:rPr>
                  </w:pPr>
                  <w:r>
                    <w:rPr>
                      <w:color w:val="000000"/>
                      <w:kern w:val="0"/>
                      <w:szCs w:val="21"/>
                    </w:rPr>
                    <w:t>0.82</w:t>
                  </w:r>
                </w:p>
              </w:tc>
              <w:tc>
                <w:tcPr>
                  <w:tcW w:w="1459" w:type="dxa"/>
                  <w:vAlign w:val="center"/>
                </w:tcPr>
                <w:p>
                  <w:pPr>
                    <w:widowControl/>
                    <w:jc w:val="center"/>
                    <w:textAlignment w:val="center"/>
                    <w:rPr>
                      <w:szCs w:val="21"/>
                    </w:rPr>
                  </w:pPr>
                  <w:r>
                    <w:rPr>
                      <w:color w:val="000000"/>
                      <w:kern w:val="0"/>
                      <w:szCs w:val="21"/>
                    </w:rPr>
                    <w:t>0.0004233</w:t>
                  </w:r>
                </w:p>
              </w:tc>
              <w:tc>
                <w:tcPr>
                  <w:tcW w:w="1057" w:type="dxa"/>
                  <w:vAlign w:val="center"/>
                </w:tcPr>
                <w:p>
                  <w:pPr>
                    <w:widowControl/>
                    <w:jc w:val="center"/>
                    <w:textAlignment w:val="center"/>
                    <w:rPr>
                      <w:szCs w:val="21"/>
                    </w:rPr>
                  </w:pPr>
                  <w:r>
                    <w:rPr>
                      <w:color w:val="000000"/>
                      <w:kern w:val="0"/>
                      <w:szCs w:val="21"/>
                    </w:rPr>
                    <w:t>0.02</w:t>
                  </w:r>
                </w:p>
              </w:tc>
              <w:tc>
                <w:tcPr>
                  <w:tcW w:w="1410" w:type="dxa"/>
                  <w:vAlign w:val="center"/>
                </w:tcPr>
                <w:p>
                  <w:pPr>
                    <w:widowControl/>
                    <w:jc w:val="center"/>
                    <w:textAlignment w:val="center"/>
                    <w:rPr>
                      <w:szCs w:val="21"/>
                    </w:rPr>
                  </w:pPr>
                  <w:r>
                    <w:rPr>
                      <w:color w:val="000000"/>
                      <w:kern w:val="0"/>
                      <w:szCs w:val="21"/>
                    </w:rPr>
                    <w:t>0.0004233</w:t>
                  </w:r>
                </w:p>
              </w:tc>
              <w:tc>
                <w:tcPr>
                  <w:tcW w:w="1154" w:type="dxa"/>
                  <w:vAlign w:val="center"/>
                </w:tcPr>
                <w:p>
                  <w:pPr>
                    <w:widowControl/>
                    <w:jc w:val="center"/>
                    <w:textAlignment w:val="center"/>
                    <w:rPr>
                      <w:szCs w:val="21"/>
                    </w:rPr>
                  </w:pPr>
                  <w:r>
                    <w:rPr>
                      <w:color w:val="000000"/>
                      <w:kern w:val="0"/>
                      <w:szCs w:val="21"/>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300</w:t>
                  </w:r>
                </w:p>
              </w:tc>
              <w:tc>
                <w:tcPr>
                  <w:tcW w:w="1397" w:type="dxa"/>
                  <w:vAlign w:val="center"/>
                </w:tcPr>
                <w:p>
                  <w:pPr>
                    <w:widowControl/>
                    <w:jc w:val="center"/>
                    <w:textAlignment w:val="center"/>
                    <w:rPr>
                      <w:szCs w:val="21"/>
                    </w:rPr>
                  </w:pPr>
                  <w:r>
                    <w:rPr>
                      <w:color w:val="000000"/>
                      <w:kern w:val="0"/>
                      <w:szCs w:val="21"/>
                    </w:rPr>
                    <w:t>0.003517</w:t>
                  </w:r>
                </w:p>
              </w:tc>
              <w:tc>
                <w:tcPr>
                  <w:tcW w:w="1090" w:type="dxa"/>
                  <w:vAlign w:val="center"/>
                </w:tcPr>
                <w:p>
                  <w:pPr>
                    <w:widowControl/>
                    <w:jc w:val="center"/>
                    <w:textAlignment w:val="center"/>
                    <w:rPr>
                      <w:szCs w:val="21"/>
                    </w:rPr>
                  </w:pPr>
                  <w:r>
                    <w:rPr>
                      <w:color w:val="000000"/>
                      <w:kern w:val="0"/>
                      <w:szCs w:val="21"/>
                    </w:rPr>
                    <w:t>0.78</w:t>
                  </w:r>
                </w:p>
              </w:tc>
              <w:tc>
                <w:tcPr>
                  <w:tcW w:w="1459" w:type="dxa"/>
                  <w:vAlign w:val="center"/>
                </w:tcPr>
                <w:p>
                  <w:pPr>
                    <w:widowControl/>
                    <w:jc w:val="center"/>
                    <w:textAlignment w:val="center"/>
                    <w:rPr>
                      <w:szCs w:val="21"/>
                    </w:rPr>
                  </w:pPr>
                  <w:r>
                    <w:rPr>
                      <w:color w:val="000000"/>
                      <w:kern w:val="0"/>
                      <w:szCs w:val="21"/>
                    </w:rPr>
                    <w:t>0.0004019</w:t>
                  </w:r>
                </w:p>
              </w:tc>
              <w:tc>
                <w:tcPr>
                  <w:tcW w:w="1057" w:type="dxa"/>
                  <w:vAlign w:val="center"/>
                </w:tcPr>
                <w:p>
                  <w:pPr>
                    <w:widowControl/>
                    <w:jc w:val="center"/>
                    <w:textAlignment w:val="center"/>
                    <w:rPr>
                      <w:szCs w:val="21"/>
                    </w:rPr>
                  </w:pPr>
                  <w:r>
                    <w:rPr>
                      <w:color w:val="000000"/>
                      <w:kern w:val="0"/>
                      <w:szCs w:val="21"/>
                    </w:rPr>
                    <w:t>0.02</w:t>
                  </w:r>
                </w:p>
              </w:tc>
              <w:tc>
                <w:tcPr>
                  <w:tcW w:w="1410" w:type="dxa"/>
                  <w:vAlign w:val="center"/>
                </w:tcPr>
                <w:p>
                  <w:pPr>
                    <w:widowControl/>
                    <w:jc w:val="center"/>
                    <w:textAlignment w:val="center"/>
                    <w:rPr>
                      <w:szCs w:val="21"/>
                    </w:rPr>
                  </w:pPr>
                  <w:r>
                    <w:rPr>
                      <w:color w:val="000000"/>
                      <w:kern w:val="0"/>
                      <w:szCs w:val="21"/>
                    </w:rPr>
                    <w:t>0.0004019</w:t>
                  </w:r>
                </w:p>
              </w:tc>
              <w:tc>
                <w:tcPr>
                  <w:tcW w:w="1154" w:type="dxa"/>
                  <w:vAlign w:val="center"/>
                </w:tcPr>
                <w:p>
                  <w:pPr>
                    <w:widowControl/>
                    <w:jc w:val="center"/>
                    <w:textAlignment w:val="center"/>
                    <w:rPr>
                      <w:szCs w:val="21"/>
                    </w:rPr>
                  </w:pPr>
                  <w:r>
                    <w:rPr>
                      <w:color w:val="00000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400</w:t>
                  </w:r>
                </w:p>
              </w:tc>
              <w:tc>
                <w:tcPr>
                  <w:tcW w:w="1397" w:type="dxa"/>
                  <w:vAlign w:val="center"/>
                </w:tcPr>
                <w:p>
                  <w:pPr>
                    <w:widowControl/>
                    <w:jc w:val="center"/>
                    <w:textAlignment w:val="center"/>
                    <w:rPr>
                      <w:szCs w:val="21"/>
                    </w:rPr>
                  </w:pPr>
                  <w:r>
                    <w:rPr>
                      <w:color w:val="000000"/>
                      <w:kern w:val="0"/>
                      <w:szCs w:val="21"/>
                    </w:rPr>
                    <w:t>0.003129</w:t>
                  </w:r>
                </w:p>
              </w:tc>
              <w:tc>
                <w:tcPr>
                  <w:tcW w:w="1090" w:type="dxa"/>
                  <w:vAlign w:val="center"/>
                </w:tcPr>
                <w:p>
                  <w:pPr>
                    <w:widowControl/>
                    <w:jc w:val="center"/>
                    <w:textAlignment w:val="center"/>
                    <w:rPr>
                      <w:szCs w:val="21"/>
                    </w:rPr>
                  </w:pPr>
                  <w:r>
                    <w:rPr>
                      <w:color w:val="000000"/>
                      <w:kern w:val="0"/>
                      <w:szCs w:val="21"/>
                    </w:rPr>
                    <w:t>0.7</w:t>
                  </w:r>
                </w:p>
              </w:tc>
              <w:tc>
                <w:tcPr>
                  <w:tcW w:w="1459" w:type="dxa"/>
                  <w:vAlign w:val="center"/>
                </w:tcPr>
                <w:p>
                  <w:pPr>
                    <w:widowControl/>
                    <w:jc w:val="center"/>
                    <w:textAlignment w:val="center"/>
                    <w:rPr>
                      <w:szCs w:val="21"/>
                    </w:rPr>
                  </w:pPr>
                  <w:r>
                    <w:rPr>
                      <w:color w:val="000000"/>
                      <w:kern w:val="0"/>
                      <w:szCs w:val="21"/>
                    </w:rPr>
                    <w:t>0.0003576</w:t>
                  </w:r>
                </w:p>
              </w:tc>
              <w:tc>
                <w:tcPr>
                  <w:tcW w:w="1057" w:type="dxa"/>
                  <w:vAlign w:val="center"/>
                </w:tcPr>
                <w:p>
                  <w:pPr>
                    <w:widowControl/>
                    <w:jc w:val="center"/>
                    <w:textAlignment w:val="center"/>
                    <w:rPr>
                      <w:szCs w:val="21"/>
                    </w:rPr>
                  </w:pPr>
                  <w:r>
                    <w:rPr>
                      <w:color w:val="000000"/>
                      <w:kern w:val="0"/>
                      <w:szCs w:val="21"/>
                    </w:rPr>
                    <w:t>0.02</w:t>
                  </w:r>
                </w:p>
              </w:tc>
              <w:tc>
                <w:tcPr>
                  <w:tcW w:w="1410" w:type="dxa"/>
                  <w:vAlign w:val="center"/>
                </w:tcPr>
                <w:p>
                  <w:pPr>
                    <w:widowControl/>
                    <w:jc w:val="center"/>
                    <w:textAlignment w:val="center"/>
                    <w:rPr>
                      <w:szCs w:val="21"/>
                    </w:rPr>
                  </w:pPr>
                  <w:r>
                    <w:rPr>
                      <w:color w:val="000000"/>
                      <w:kern w:val="0"/>
                      <w:szCs w:val="21"/>
                    </w:rPr>
                    <w:t>0.0003576</w:t>
                  </w:r>
                </w:p>
              </w:tc>
              <w:tc>
                <w:tcPr>
                  <w:tcW w:w="1154" w:type="dxa"/>
                  <w:vAlign w:val="center"/>
                </w:tcPr>
                <w:p>
                  <w:pPr>
                    <w:widowControl/>
                    <w:jc w:val="center"/>
                    <w:textAlignment w:val="center"/>
                    <w:rPr>
                      <w:szCs w:val="21"/>
                    </w:rPr>
                  </w:pPr>
                  <w:r>
                    <w:rPr>
                      <w:color w:val="000000"/>
                      <w:kern w:val="0"/>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500</w:t>
                  </w:r>
                </w:p>
              </w:tc>
              <w:tc>
                <w:tcPr>
                  <w:tcW w:w="1397" w:type="dxa"/>
                  <w:vAlign w:val="center"/>
                </w:tcPr>
                <w:p>
                  <w:pPr>
                    <w:widowControl/>
                    <w:jc w:val="center"/>
                    <w:textAlignment w:val="center"/>
                    <w:rPr>
                      <w:szCs w:val="21"/>
                    </w:rPr>
                  </w:pPr>
                  <w:r>
                    <w:rPr>
                      <w:color w:val="000000"/>
                      <w:kern w:val="0"/>
                      <w:szCs w:val="21"/>
                    </w:rPr>
                    <w:t>0.002592</w:t>
                  </w:r>
                </w:p>
              </w:tc>
              <w:tc>
                <w:tcPr>
                  <w:tcW w:w="1090" w:type="dxa"/>
                  <w:vAlign w:val="center"/>
                </w:tcPr>
                <w:p>
                  <w:pPr>
                    <w:widowControl/>
                    <w:jc w:val="center"/>
                    <w:textAlignment w:val="center"/>
                    <w:rPr>
                      <w:szCs w:val="21"/>
                    </w:rPr>
                  </w:pPr>
                  <w:r>
                    <w:rPr>
                      <w:color w:val="000000"/>
                      <w:kern w:val="0"/>
                      <w:szCs w:val="21"/>
                    </w:rPr>
                    <w:t>0.58</w:t>
                  </w:r>
                </w:p>
              </w:tc>
              <w:tc>
                <w:tcPr>
                  <w:tcW w:w="1459" w:type="dxa"/>
                  <w:vAlign w:val="center"/>
                </w:tcPr>
                <w:p>
                  <w:pPr>
                    <w:widowControl/>
                    <w:jc w:val="center"/>
                    <w:textAlignment w:val="center"/>
                    <w:rPr>
                      <w:szCs w:val="21"/>
                    </w:rPr>
                  </w:pPr>
                  <w:r>
                    <w:rPr>
                      <w:color w:val="000000"/>
                      <w:kern w:val="0"/>
                      <w:szCs w:val="21"/>
                    </w:rPr>
                    <w:t>0.0002962</w:t>
                  </w:r>
                </w:p>
              </w:tc>
              <w:tc>
                <w:tcPr>
                  <w:tcW w:w="1057" w:type="dxa"/>
                  <w:vAlign w:val="center"/>
                </w:tcPr>
                <w:p>
                  <w:pPr>
                    <w:widowControl/>
                    <w:jc w:val="center"/>
                    <w:textAlignment w:val="center"/>
                    <w:rPr>
                      <w:szCs w:val="21"/>
                    </w:rPr>
                  </w:pPr>
                  <w:r>
                    <w:rPr>
                      <w:color w:val="000000"/>
                      <w:kern w:val="0"/>
                      <w:szCs w:val="21"/>
                    </w:rPr>
                    <w:t>0.01</w:t>
                  </w:r>
                </w:p>
              </w:tc>
              <w:tc>
                <w:tcPr>
                  <w:tcW w:w="1410" w:type="dxa"/>
                  <w:vAlign w:val="center"/>
                </w:tcPr>
                <w:p>
                  <w:pPr>
                    <w:widowControl/>
                    <w:jc w:val="center"/>
                    <w:textAlignment w:val="center"/>
                    <w:rPr>
                      <w:szCs w:val="21"/>
                    </w:rPr>
                  </w:pPr>
                  <w:r>
                    <w:rPr>
                      <w:color w:val="000000"/>
                      <w:kern w:val="0"/>
                      <w:szCs w:val="21"/>
                    </w:rPr>
                    <w:t>0.0002962</w:t>
                  </w:r>
                </w:p>
              </w:tc>
              <w:tc>
                <w:tcPr>
                  <w:tcW w:w="1154" w:type="dxa"/>
                  <w:vAlign w:val="center"/>
                </w:tcPr>
                <w:p>
                  <w:pPr>
                    <w:widowControl/>
                    <w:jc w:val="center"/>
                    <w:textAlignment w:val="center"/>
                    <w:rPr>
                      <w:szCs w:val="21"/>
                    </w:rPr>
                  </w:pPr>
                  <w:r>
                    <w:rPr>
                      <w:color w:val="000000"/>
                      <w:kern w:val="0"/>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600</w:t>
                  </w:r>
                </w:p>
              </w:tc>
              <w:tc>
                <w:tcPr>
                  <w:tcW w:w="1397" w:type="dxa"/>
                  <w:vAlign w:val="center"/>
                </w:tcPr>
                <w:p>
                  <w:pPr>
                    <w:widowControl/>
                    <w:jc w:val="center"/>
                    <w:textAlignment w:val="center"/>
                    <w:rPr>
                      <w:szCs w:val="21"/>
                    </w:rPr>
                  </w:pPr>
                  <w:r>
                    <w:rPr>
                      <w:color w:val="000000"/>
                      <w:kern w:val="0"/>
                      <w:szCs w:val="21"/>
                    </w:rPr>
                    <w:t>0.00213</w:t>
                  </w:r>
                </w:p>
              </w:tc>
              <w:tc>
                <w:tcPr>
                  <w:tcW w:w="1090" w:type="dxa"/>
                  <w:vAlign w:val="center"/>
                </w:tcPr>
                <w:p>
                  <w:pPr>
                    <w:widowControl/>
                    <w:jc w:val="center"/>
                    <w:textAlignment w:val="center"/>
                    <w:rPr>
                      <w:szCs w:val="21"/>
                    </w:rPr>
                  </w:pPr>
                  <w:r>
                    <w:rPr>
                      <w:color w:val="000000"/>
                      <w:kern w:val="0"/>
                      <w:szCs w:val="21"/>
                    </w:rPr>
                    <w:t>0.47</w:t>
                  </w:r>
                </w:p>
              </w:tc>
              <w:tc>
                <w:tcPr>
                  <w:tcW w:w="1459" w:type="dxa"/>
                  <w:vAlign w:val="center"/>
                </w:tcPr>
                <w:p>
                  <w:pPr>
                    <w:widowControl/>
                    <w:jc w:val="center"/>
                    <w:textAlignment w:val="center"/>
                    <w:rPr>
                      <w:szCs w:val="21"/>
                    </w:rPr>
                  </w:pPr>
                  <w:r>
                    <w:rPr>
                      <w:color w:val="000000"/>
                      <w:kern w:val="0"/>
                      <w:szCs w:val="21"/>
                    </w:rPr>
                    <w:t>0.0002434</w:t>
                  </w:r>
                </w:p>
              </w:tc>
              <w:tc>
                <w:tcPr>
                  <w:tcW w:w="1057" w:type="dxa"/>
                  <w:vAlign w:val="center"/>
                </w:tcPr>
                <w:p>
                  <w:pPr>
                    <w:widowControl/>
                    <w:jc w:val="center"/>
                    <w:textAlignment w:val="center"/>
                    <w:rPr>
                      <w:szCs w:val="21"/>
                    </w:rPr>
                  </w:pPr>
                  <w:r>
                    <w:rPr>
                      <w:color w:val="000000"/>
                      <w:kern w:val="0"/>
                      <w:szCs w:val="21"/>
                    </w:rPr>
                    <w:t>0.01</w:t>
                  </w:r>
                </w:p>
              </w:tc>
              <w:tc>
                <w:tcPr>
                  <w:tcW w:w="1410" w:type="dxa"/>
                  <w:vAlign w:val="center"/>
                </w:tcPr>
                <w:p>
                  <w:pPr>
                    <w:widowControl/>
                    <w:jc w:val="center"/>
                    <w:textAlignment w:val="center"/>
                    <w:rPr>
                      <w:szCs w:val="21"/>
                    </w:rPr>
                  </w:pPr>
                  <w:r>
                    <w:rPr>
                      <w:color w:val="000000"/>
                      <w:kern w:val="0"/>
                      <w:szCs w:val="21"/>
                    </w:rPr>
                    <w:t>0.0002434</w:t>
                  </w:r>
                </w:p>
              </w:tc>
              <w:tc>
                <w:tcPr>
                  <w:tcW w:w="1154" w:type="dxa"/>
                  <w:vAlign w:val="center"/>
                </w:tcPr>
                <w:p>
                  <w:pPr>
                    <w:widowControl/>
                    <w:jc w:val="center"/>
                    <w:textAlignment w:val="center"/>
                    <w:rPr>
                      <w:szCs w:val="21"/>
                    </w:rPr>
                  </w:pPr>
                  <w:r>
                    <w:rPr>
                      <w:color w:val="000000"/>
                      <w:kern w:val="0"/>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700</w:t>
                  </w:r>
                </w:p>
              </w:tc>
              <w:tc>
                <w:tcPr>
                  <w:tcW w:w="1397" w:type="dxa"/>
                  <w:vAlign w:val="center"/>
                </w:tcPr>
                <w:p>
                  <w:pPr>
                    <w:widowControl/>
                    <w:jc w:val="center"/>
                    <w:textAlignment w:val="center"/>
                    <w:rPr>
                      <w:szCs w:val="21"/>
                    </w:rPr>
                  </w:pPr>
                  <w:r>
                    <w:rPr>
                      <w:color w:val="000000"/>
                      <w:kern w:val="0"/>
                      <w:szCs w:val="21"/>
                    </w:rPr>
                    <w:t>0.001765</w:t>
                  </w:r>
                </w:p>
              </w:tc>
              <w:tc>
                <w:tcPr>
                  <w:tcW w:w="1090" w:type="dxa"/>
                  <w:vAlign w:val="center"/>
                </w:tcPr>
                <w:p>
                  <w:pPr>
                    <w:widowControl/>
                    <w:jc w:val="center"/>
                    <w:textAlignment w:val="center"/>
                    <w:rPr>
                      <w:szCs w:val="21"/>
                    </w:rPr>
                  </w:pPr>
                  <w:r>
                    <w:rPr>
                      <w:color w:val="000000"/>
                      <w:kern w:val="0"/>
                      <w:szCs w:val="21"/>
                    </w:rPr>
                    <w:t>0.39</w:t>
                  </w:r>
                </w:p>
              </w:tc>
              <w:tc>
                <w:tcPr>
                  <w:tcW w:w="1459" w:type="dxa"/>
                  <w:vAlign w:val="center"/>
                </w:tcPr>
                <w:p>
                  <w:pPr>
                    <w:widowControl/>
                    <w:jc w:val="center"/>
                    <w:textAlignment w:val="center"/>
                    <w:rPr>
                      <w:szCs w:val="21"/>
                    </w:rPr>
                  </w:pPr>
                  <w:r>
                    <w:rPr>
                      <w:color w:val="000000"/>
                      <w:kern w:val="0"/>
                      <w:szCs w:val="21"/>
                    </w:rPr>
                    <w:t>0.0002017</w:t>
                  </w:r>
                </w:p>
              </w:tc>
              <w:tc>
                <w:tcPr>
                  <w:tcW w:w="1057" w:type="dxa"/>
                  <w:vAlign w:val="center"/>
                </w:tcPr>
                <w:p>
                  <w:pPr>
                    <w:widowControl/>
                    <w:jc w:val="center"/>
                    <w:textAlignment w:val="center"/>
                    <w:rPr>
                      <w:szCs w:val="21"/>
                    </w:rPr>
                  </w:pPr>
                  <w:r>
                    <w:rPr>
                      <w:color w:val="000000"/>
                      <w:kern w:val="0"/>
                      <w:szCs w:val="21"/>
                    </w:rPr>
                    <w:t>0.01</w:t>
                  </w:r>
                </w:p>
              </w:tc>
              <w:tc>
                <w:tcPr>
                  <w:tcW w:w="1410" w:type="dxa"/>
                  <w:vAlign w:val="center"/>
                </w:tcPr>
                <w:p>
                  <w:pPr>
                    <w:widowControl/>
                    <w:jc w:val="center"/>
                    <w:textAlignment w:val="center"/>
                    <w:rPr>
                      <w:szCs w:val="21"/>
                    </w:rPr>
                  </w:pPr>
                  <w:r>
                    <w:rPr>
                      <w:color w:val="000000"/>
                      <w:kern w:val="0"/>
                      <w:szCs w:val="21"/>
                    </w:rPr>
                    <w:t>0.0002017</w:t>
                  </w:r>
                </w:p>
              </w:tc>
              <w:tc>
                <w:tcPr>
                  <w:tcW w:w="1154" w:type="dxa"/>
                  <w:vAlign w:val="center"/>
                </w:tcPr>
                <w:p>
                  <w:pPr>
                    <w:widowControl/>
                    <w:jc w:val="center"/>
                    <w:textAlignment w:val="center"/>
                    <w:rPr>
                      <w:szCs w:val="21"/>
                    </w:rPr>
                  </w:pPr>
                  <w:r>
                    <w:rPr>
                      <w:color w:val="000000"/>
                      <w:kern w:val="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800</w:t>
                  </w:r>
                </w:p>
              </w:tc>
              <w:tc>
                <w:tcPr>
                  <w:tcW w:w="1397" w:type="dxa"/>
                  <w:vAlign w:val="center"/>
                </w:tcPr>
                <w:p>
                  <w:pPr>
                    <w:widowControl/>
                    <w:jc w:val="center"/>
                    <w:textAlignment w:val="center"/>
                    <w:rPr>
                      <w:szCs w:val="21"/>
                    </w:rPr>
                  </w:pPr>
                  <w:r>
                    <w:rPr>
                      <w:color w:val="000000"/>
                      <w:kern w:val="0"/>
                      <w:szCs w:val="21"/>
                    </w:rPr>
                    <w:t>0.001492</w:t>
                  </w:r>
                </w:p>
              </w:tc>
              <w:tc>
                <w:tcPr>
                  <w:tcW w:w="1090" w:type="dxa"/>
                  <w:vAlign w:val="center"/>
                </w:tcPr>
                <w:p>
                  <w:pPr>
                    <w:widowControl/>
                    <w:jc w:val="center"/>
                    <w:textAlignment w:val="center"/>
                    <w:rPr>
                      <w:szCs w:val="21"/>
                    </w:rPr>
                  </w:pPr>
                  <w:r>
                    <w:rPr>
                      <w:color w:val="000000"/>
                      <w:kern w:val="0"/>
                      <w:szCs w:val="21"/>
                    </w:rPr>
                    <w:t>0.33</w:t>
                  </w:r>
                </w:p>
              </w:tc>
              <w:tc>
                <w:tcPr>
                  <w:tcW w:w="1459" w:type="dxa"/>
                  <w:vAlign w:val="center"/>
                </w:tcPr>
                <w:p>
                  <w:pPr>
                    <w:widowControl/>
                    <w:jc w:val="center"/>
                    <w:textAlignment w:val="center"/>
                    <w:rPr>
                      <w:szCs w:val="21"/>
                    </w:rPr>
                  </w:pPr>
                  <w:r>
                    <w:rPr>
                      <w:color w:val="000000"/>
                      <w:kern w:val="0"/>
                      <w:szCs w:val="21"/>
                    </w:rPr>
                    <w:t>0.0001705</w:t>
                  </w:r>
                </w:p>
              </w:tc>
              <w:tc>
                <w:tcPr>
                  <w:tcW w:w="1057" w:type="dxa"/>
                  <w:vAlign w:val="center"/>
                </w:tcPr>
                <w:p>
                  <w:pPr>
                    <w:widowControl/>
                    <w:jc w:val="center"/>
                    <w:textAlignment w:val="center"/>
                    <w:rPr>
                      <w:szCs w:val="21"/>
                    </w:rPr>
                  </w:pPr>
                  <w:r>
                    <w:rPr>
                      <w:color w:val="000000"/>
                      <w:kern w:val="0"/>
                      <w:szCs w:val="21"/>
                    </w:rPr>
                    <w:t>0.01</w:t>
                  </w:r>
                </w:p>
              </w:tc>
              <w:tc>
                <w:tcPr>
                  <w:tcW w:w="1410" w:type="dxa"/>
                  <w:vAlign w:val="center"/>
                </w:tcPr>
                <w:p>
                  <w:pPr>
                    <w:widowControl/>
                    <w:jc w:val="center"/>
                    <w:textAlignment w:val="center"/>
                    <w:rPr>
                      <w:szCs w:val="21"/>
                    </w:rPr>
                  </w:pPr>
                  <w:r>
                    <w:rPr>
                      <w:color w:val="000000"/>
                      <w:kern w:val="0"/>
                      <w:szCs w:val="21"/>
                    </w:rPr>
                    <w:t>0.0001705</w:t>
                  </w:r>
                </w:p>
              </w:tc>
              <w:tc>
                <w:tcPr>
                  <w:tcW w:w="1154" w:type="dxa"/>
                  <w:vAlign w:val="center"/>
                </w:tcPr>
                <w:p>
                  <w:pPr>
                    <w:widowControl/>
                    <w:jc w:val="center"/>
                    <w:textAlignment w:val="center"/>
                    <w:rPr>
                      <w:szCs w:val="21"/>
                    </w:rPr>
                  </w:pPr>
                  <w:r>
                    <w:rPr>
                      <w:color w:val="000000"/>
                      <w:kern w:val="0"/>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900</w:t>
                  </w:r>
                </w:p>
              </w:tc>
              <w:tc>
                <w:tcPr>
                  <w:tcW w:w="1397" w:type="dxa"/>
                  <w:vAlign w:val="center"/>
                </w:tcPr>
                <w:p>
                  <w:pPr>
                    <w:widowControl/>
                    <w:jc w:val="center"/>
                    <w:textAlignment w:val="center"/>
                    <w:rPr>
                      <w:szCs w:val="21"/>
                    </w:rPr>
                  </w:pPr>
                  <w:r>
                    <w:rPr>
                      <w:color w:val="000000"/>
                      <w:kern w:val="0"/>
                      <w:szCs w:val="21"/>
                    </w:rPr>
                    <w:t>0.001278</w:t>
                  </w:r>
                </w:p>
              </w:tc>
              <w:tc>
                <w:tcPr>
                  <w:tcW w:w="1090" w:type="dxa"/>
                  <w:vAlign w:val="center"/>
                </w:tcPr>
                <w:p>
                  <w:pPr>
                    <w:widowControl/>
                    <w:jc w:val="center"/>
                    <w:textAlignment w:val="center"/>
                    <w:rPr>
                      <w:szCs w:val="21"/>
                    </w:rPr>
                  </w:pPr>
                  <w:r>
                    <w:rPr>
                      <w:color w:val="000000"/>
                      <w:kern w:val="0"/>
                      <w:szCs w:val="21"/>
                    </w:rPr>
                    <w:t>0.28</w:t>
                  </w:r>
                </w:p>
              </w:tc>
              <w:tc>
                <w:tcPr>
                  <w:tcW w:w="1459" w:type="dxa"/>
                  <w:vAlign w:val="center"/>
                </w:tcPr>
                <w:p>
                  <w:pPr>
                    <w:widowControl/>
                    <w:jc w:val="center"/>
                    <w:textAlignment w:val="center"/>
                    <w:rPr>
                      <w:szCs w:val="21"/>
                    </w:rPr>
                  </w:pPr>
                  <w:r>
                    <w:rPr>
                      <w:color w:val="000000"/>
                      <w:kern w:val="0"/>
                      <w:szCs w:val="21"/>
                    </w:rPr>
                    <w:t>0.0001461</w:t>
                  </w:r>
                </w:p>
              </w:tc>
              <w:tc>
                <w:tcPr>
                  <w:tcW w:w="1057" w:type="dxa"/>
                  <w:vAlign w:val="center"/>
                </w:tcPr>
                <w:p>
                  <w:pPr>
                    <w:widowControl/>
                    <w:jc w:val="center"/>
                    <w:textAlignment w:val="center"/>
                    <w:rPr>
                      <w:szCs w:val="21"/>
                    </w:rPr>
                  </w:pPr>
                  <w:r>
                    <w:rPr>
                      <w:color w:val="000000"/>
                      <w:kern w:val="0"/>
                      <w:szCs w:val="21"/>
                    </w:rPr>
                    <w:t>0.01</w:t>
                  </w:r>
                </w:p>
              </w:tc>
              <w:tc>
                <w:tcPr>
                  <w:tcW w:w="1410" w:type="dxa"/>
                  <w:vAlign w:val="center"/>
                </w:tcPr>
                <w:p>
                  <w:pPr>
                    <w:widowControl/>
                    <w:jc w:val="center"/>
                    <w:textAlignment w:val="center"/>
                    <w:rPr>
                      <w:szCs w:val="21"/>
                    </w:rPr>
                  </w:pPr>
                  <w:r>
                    <w:rPr>
                      <w:color w:val="000000"/>
                      <w:kern w:val="0"/>
                      <w:szCs w:val="21"/>
                    </w:rPr>
                    <w:t>0.0001461</w:t>
                  </w:r>
                </w:p>
              </w:tc>
              <w:tc>
                <w:tcPr>
                  <w:tcW w:w="1154" w:type="dxa"/>
                  <w:vAlign w:val="center"/>
                </w:tcPr>
                <w:p>
                  <w:pPr>
                    <w:widowControl/>
                    <w:jc w:val="center"/>
                    <w:textAlignment w:val="center"/>
                    <w:rPr>
                      <w:szCs w:val="21"/>
                    </w:rPr>
                  </w:pPr>
                  <w:r>
                    <w:rPr>
                      <w:color w:val="000000"/>
                      <w:kern w:val="0"/>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1000</w:t>
                  </w:r>
                </w:p>
              </w:tc>
              <w:tc>
                <w:tcPr>
                  <w:tcW w:w="1397" w:type="dxa"/>
                  <w:vAlign w:val="center"/>
                </w:tcPr>
                <w:p>
                  <w:pPr>
                    <w:widowControl/>
                    <w:jc w:val="center"/>
                    <w:textAlignment w:val="center"/>
                    <w:rPr>
                      <w:szCs w:val="21"/>
                    </w:rPr>
                  </w:pPr>
                  <w:r>
                    <w:rPr>
                      <w:color w:val="000000"/>
                      <w:kern w:val="0"/>
                      <w:szCs w:val="21"/>
                    </w:rPr>
                    <w:t>0.001108</w:t>
                  </w:r>
                </w:p>
              </w:tc>
              <w:tc>
                <w:tcPr>
                  <w:tcW w:w="1090" w:type="dxa"/>
                  <w:vAlign w:val="center"/>
                </w:tcPr>
                <w:p>
                  <w:pPr>
                    <w:widowControl/>
                    <w:jc w:val="center"/>
                    <w:textAlignment w:val="center"/>
                    <w:rPr>
                      <w:szCs w:val="21"/>
                    </w:rPr>
                  </w:pPr>
                  <w:r>
                    <w:rPr>
                      <w:color w:val="000000"/>
                      <w:kern w:val="0"/>
                      <w:szCs w:val="21"/>
                    </w:rPr>
                    <w:t>0.25</w:t>
                  </w:r>
                </w:p>
              </w:tc>
              <w:tc>
                <w:tcPr>
                  <w:tcW w:w="1459" w:type="dxa"/>
                  <w:vAlign w:val="center"/>
                </w:tcPr>
                <w:p>
                  <w:pPr>
                    <w:widowControl/>
                    <w:jc w:val="center"/>
                    <w:textAlignment w:val="center"/>
                    <w:rPr>
                      <w:szCs w:val="21"/>
                    </w:rPr>
                  </w:pPr>
                  <w:r>
                    <w:rPr>
                      <w:color w:val="000000"/>
                      <w:kern w:val="0"/>
                      <w:szCs w:val="21"/>
                    </w:rPr>
                    <w:t>0.0001266</w:t>
                  </w:r>
                </w:p>
              </w:tc>
              <w:tc>
                <w:tcPr>
                  <w:tcW w:w="1057" w:type="dxa"/>
                  <w:vAlign w:val="center"/>
                </w:tcPr>
                <w:p>
                  <w:pPr>
                    <w:widowControl/>
                    <w:jc w:val="center"/>
                    <w:textAlignment w:val="center"/>
                    <w:rPr>
                      <w:szCs w:val="21"/>
                    </w:rPr>
                  </w:pPr>
                  <w:r>
                    <w:rPr>
                      <w:color w:val="000000"/>
                      <w:kern w:val="0"/>
                      <w:szCs w:val="21"/>
                    </w:rPr>
                    <w:t>0.01</w:t>
                  </w:r>
                </w:p>
              </w:tc>
              <w:tc>
                <w:tcPr>
                  <w:tcW w:w="1410" w:type="dxa"/>
                  <w:vAlign w:val="center"/>
                </w:tcPr>
                <w:p>
                  <w:pPr>
                    <w:widowControl/>
                    <w:jc w:val="center"/>
                    <w:textAlignment w:val="center"/>
                    <w:rPr>
                      <w:szCs w:val="21"/>
                    </w:rPr>
                  </w:pPr>
                  <w:r>
                    <w:rPr>
                      <w:color w:val="000000"/>
                      <w:kern w:val="0"/>
                      <w:szCs w:val="21"/>
                    </w:rPr>
                    <w:t>0.0001266</w:t>
                  </w:r>
                </w:p>
              </w:tc>
              <w:tc>
                <w:tcPr>
                  <w:tcW w:w="1154" w:type="dxa"/>
                  <w:vAlign w:val="center"/>
                </w:tcPr>
                <w:p>
                  <w:pPr>
                    <w:widowControl/>
                    <w:jc w:val="center"/>
                    <w:textAlignment w:val="center"/>
                    <w:rPr>
                      <w:szCs w:val="21"/>
                    </w:rPr>
                  </w:pPr>
                  <w:r>
                    <w:rPr>
                      <w:color w:val="000000"/>
                      <w:kern w:val="0"/>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1100</w:t>
                  </w:r>
                </w:p>
              </w:tc>
              <w:tc>
                <w:tcPr>
                  <w:tcW w:w="1397" w:type="dxa"/>
                  <w:vAlign w:val="center"/>
                </w:tcPr>
                <w:p>
                  <w:pPr>
                    <w:widowControl/>
                    <w:jc w:val="center"/>
                    <w:textAlignment w:val="center"/>
                    <w:rPr>
                      <w:szCs w:val="21"/>
                    </w:rPr>
                  </w:pPr>
                  <w:r>
                    <w:rPr>
                      <w:color w:val="000000"/>
                      <w:kern w:val="0"/>
                      <w:szCs w:val="21"/>
                    </w:rPr>
                    <w:t>0.0009744</w:t>
                  </w:r>
                </w:p>
              </w:tc>
              <w:tc>
                <w:tcPr>
                  <w:tcW w:w="1090" w:type="dxa"/>
                  <w:vAlign w:val="center"/>
                </w:tcPr>
                <w:p>
                  <w:pPr>
                    <w:widowControl/>
                    <w:jc w:val="center"/>
                    <w:textAlignment w:val="center"/>
                    <w:rPr>
                      <w:szCs w:val="21"/>
                    </w:rPr>
                  </w:pPr>
                  <w:r>
                    <w:rPr>
                      <w:color w:val="000000"/>
                      <w:kern w:val="0"/>
                      <w:szCs w:val="21"/>
                    </w:rPr>
                    <w:t>0.22</w:t>
                  </w:r>
                </w:p>
              </w:tc>
              <w:tc>
                <w:tcPr>
                  <w:tcW w:w="1459" w:type="dxa"/>
                  <w:vAlign w:val="center"/>
                </w:tcPr>
                <w:p>
                  <w:pPr>
                    <w:widowControl/>
                    <w:jc w:val="center"/>
                    <w:textAlignment w:val="center"/>
                    <w:rPr>
                      <w:szCs w:val="21"/>
                    </w:rPr>
                  </w:pPr>
                  <w:r>
                    <w:rPr>
                      <w:color w:val="000000"/>
                      <w:kern w:val="0"/>
                      <w:szCs w:val="21"/>
                    </w:rPr>
                    <w:t>0.0001114</w:t>
                  </w:r>
                </w:p>
              </w:tc>
              <w:tc>
                <w:tcPr>
                  <w:tcW w:w="1057" w:type="dxa"/>
                  <w:vAlign w:val="center"/>
                </w:tcPr>
                <w:p>
                  <w:pPr>
                    <w:widowControl/>
                    <w:jc w:val="center"/>
                    <w:textAlignment w:val="center"/>
                    <w:rPr>
                      <w:szCs w:val="21"/>
                    </w:rPr>
                  </w:pPr>
                  <w:r>
                    <w:rPr>
                      <w:color w:val="000000"/>
                      <w:kern w:val="0"/>
                      <w:szCs w:val="21"/>
                    </w:rPr>
                    <w:t>0.01</w:t>
                  </w:r>
                </w:p>
              </w:tc>
              <w:tc>
                <w:tcPr>
                  <w:tcW w:w="1410" w:type="dxa"/>
                  <w:vAlign w:val="center"/>
                </w:tcPr>
                <w:p>
                  <w:pPr>
                    <w:widowControl/>
                    <w:jc w:val="center"/>
                    <w:textAlignment w:val="center"/>
                    <w:rPr>
                      <w:szCs w:val="21"/>
                    </w:rPr>
                  </w:pPr>
                  <w:r>
                    <w:rPr>
                      <w:color w:val="000000"/>
                      <w:kern w:val="0"/>
                      <w:szCs w:val="21"/>
                    </w:rPr>
                    <w:t>0.0001114</w:t>
                  </w:r>
                </w:p>
              </w:tc>
              <w:tc>
                <w:tcPr>
                  <w:tcW w:w="1154" w:type="dxa"/>
                  <w:vAlign w:val="center"/>
                </w:tcPr>
                <w:p>
                  <w:pPr>
                    <w:widowControl/>
                    <w:jc w:val="center"/>
                    <w:textAlignment w:val="center"/>
                    <w:rPr>
                      <w:szCs w:val="21"/>
                    </w:rPr>
                  </w:pPr>
                  <w:r>
                    <w:rPr>
                      <w:color w:val="000000"/>
                      <w:kern w:val="0"/>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1200</w:t>
                  </w:r>
                </w:p>
              </w:tc>
              <w:tc>
                <w:tcPr>
                  <w:tcW w:w="1397" w:type="dxa"/>
                  <w:vAlign w:val="center"/>
                </w:tcPr>
                <w:p>
                  <w:pPr>
                    <w:widowControl/>
                    <w:jc w:val="center"/>
                    <w:textAlignment w:val="center"/>
                    <w:rPr>
                      <w:szCs w:val="21"/>
                    </w:rPr>
                  </w:pPr>
                  <w:r>
                    <w:rPr>
                      <w:color w:val="000000"/>
                      <w:kern w:val="0"/>
                      <w:szCs w:val="21"/>
                    </w:rPr>
                    <w:t>0.0008649</w:t>
                  </w:r>
                </w:p>
              </w:tc>
              <w:tc>
                <w:tcPr>
                  <w:tcW w:w="1090" w:type="dxa"/>
                  <w:vAlign w:val="center"/>
                </w:tcPr>
                <w:p>
                  <w:pPr>
                    <w:widowControl/>
                    <w:jc w:val="center"/>
                    <w:textAlignment w:val="center"/>
                    <w:rPr>
                      <w:szCs w:val="21"/>
                    </w:rPr>
                  </w:pPr>
                  <w:r>
                    <w:rPr>
                      <w:color w:val="000000"/>
                      <w:kern w:val="0"/>
                      <w:szCs w:val="21"/>
                    </w:rPr>
                    <w:t>0.19</w:t>
                  </w:r>
                </w:p>
              </w:tc>
              <w:tc>
                <w:tcPr>
                  <w:tcW w:w="1459" w:type="dxa"/>
                  <w:vAlign w:val="center"/>
                </w:tcPr>
                <w:p>
                  <w:pPr>
                    <w:widowControl/>
                    <w:jc w:val="center"/>
                    <w:textAlignment w:val="center"/>
                    <w:rPr>
                      <w:szCs w:val="21"/>
                    </w:rPr>
                  </w:pPr>
                  <w:r>
                    <w:rPr>
                      <w:color w:val="000000"/>
                      <w:kern w:val="0"/>
                      <w:szCs w:val="21"/>
                    </w:rPr>
                    <w:t>0.00009885</w:t>
                  </w:r>
                </w:p>
              </w:tc>
              <w:tc>
                <w:tcPr>
                  <w:tcW w:w="1057" w:type="dxa"/>
                  <w:vAlign w:val="center"/>
                </w:tcPr>
                <w:p>
                  <w:pPr>
                    <w:widowControl/>
                    <w:jc w:val="center"/>
                    <w:textAlignment w:val="center"/>
                    <w:rPr>
                      <w:szCs w:val="21"/>
                    </w:rPr>
                  </w:pPr>
                  <w:r>
                    <w:rPr>
                      <w:color w:val="000000"/>
                      <w:kern w:val="0"/>
                      <w:szCs w:val="21"/>
                    </w:rPr>
                    <w:t>0</w:t>
                  </w:r>
                </w:p>
              </w:tc>
              <w:tc>
                <w:tcPr>
                  <w:tcW w:w="1410" w:type="dxa"/>
                  <w:vAlign w:val="center"/>
                </w:tcPr>
                <w:p>
                  <w:pPr>
                    <w:widowControl/>
                    <w:jc w:val="center"/>
                    <w:textAlignment w:val="center"/>
                    <w:rPr>
                      <w:szCs w:val="21"/>
                    </w:rPr>
                  </w:pPr>
                  <w:r>
                    <w:rPr>
                      <w:color w:val="000000"/>
                      <w:kern w:val="0"/>
                      <w:szCs w:val="21"/>
                    </w:rPr>
                    <w:t>0.00009885</w:t>
                  </w:r>
                </w:p>
              </w:tc>
              <w:tc>
                <w:tcPr>
                  <w:tcW w:w="1154" w:type="dxa"/>
                  <w:vAlign w:val="center"/>
                </w:tcPr>
                <w:p>
                  <w:pPr>
                    <w:widowControl/>
                    <w:jc w:val="center"/>
                    <w:textAlignment w:val="center"/>
                    <w:rPr>
                      <w:szCs w:val="21"/>
                    </w:rPr>
                  </w:pPr>
                  <w:r>
                    <w:rPr>
                      <w:color w:val="000000"/>
                      <w:kern w:val="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1300</w:t>
                  </w:r>
                </w:p>
              </w:tc>
              <w:tc>
                <w:tcPr>
                  <w:tcW w:w="1397" w:type="dxa"/>
                  <w:vAlign w:val="center"/>
                </w:tcPr>
                <w:p>
                  <w:pPr>
                    <w:widowControl/>
                    <w:jc w:val="center"/>
                    <w:textAlignment w:val="center"/>
                    <w:rPr>
                      <w:szCs w:val="21"/>
                    </w:rPr>
                  </w:pPr>
                  <w:r>
                    <w:rPr>
                      <w:color w:val="000000"/>
                      <w:kern w:val="0"/>
                      <w:szCs w:val="21"/>
                    </w:rPr>
                    <w:t>0.0007741</w:t>
                  </w:r>
                </w:p>
              </w:tc>
              <w:tc>
                <w:tcPr>
                  <w:tcW w:w="1090" w:type="dxa"/>
                  <w:vAlign w:val="center"/>
                </w:tcPr>
                <w:p>
                  <w:pPr>
                    <w:widowControl/>
                    <w:jc w:val="center"/>
                    <w:textAlignment w:val="center"/>
                    <w:rPr>
                      <w:szCs w:val="21"/>
                    </w:rPr>
                  </w:pPr>
                  <w:r>
                    <w:rPr>
                      <w:color w:val="000000"/>
                      <w:kern w:val="0"/>
                      <w:szCs w:val="21"/>
                    </w:rPr>
                    <w:t>0.17</w:t>
                  </w:r>
                </w:p>
              </w:tc>
              <w:tc>
                <w:tcPr>
                  <w:tcW w:w="1459" w:type="dxa"/>
                  <w:vAlign w:val="center"/>
                </w:tcPr>
                <w:p>
                  <w:pPr>
                    <w:widowControl/>
                    <w:jc w:val="center"/>
                    <w:textAlignment w:val="center"/>
                    <w:rPr>
                      <w:szCs w:val="21"/>
                    </w:rPr>
                  </w:pPr>
                  <w:r>
                    <w:rPr>
                      <w:color w:val="000000"/>
                      <w:kern w:val="0"/>
                      <w:szCs w:val="21"/>
                    </w:rPr>
                    <w:t>0.00008847</w:t>
                  </w:r>
                </w:p>
              </w:tc>
              <w:tc>
                <w:tcPr>
                  <w:tcW w:w="1057" w:type="dxa"/>
                  <w:vAlign w:val="center"/>
                </w:tcPr>
                <w:p>
                  <w:pPr>
                    <w:widowControl/>
                    <w:jc w:val="center"/>
                    <w:textAlignment w:val="center"/>
                    <w:rPr>
                      <w:szCs w:val="21"/>
                    </w:rPr>
                  </w:pPr>
                  <w:r>
                    <w:rPr>
                      <w:color w:val="000000"/>
                      <w:kern w:val="0"/>
                      <w:szCs w:val="21"/>
                    </w:rPr>
                    <w:t>0</w:t>
                  </w:r>
                </w:p>
              </w:tc>
              <w:tc>
                <w:tcPr>
                  <w:tcW w:w="1410" w:type="dxa"/>
                  <w:vAlign w:val="center"/>
                </w:tcPr>
                <w:p>
                  <w:pPr>
                    <w:widowControl/>
                    <w:jc w:val="center"/>
                    <w:textAlignment w:val="center"/>
                    <w:rPr>
                      <w:szCs w:val="21"/>
                    </w:rPr>
                  </w:pPr>
                  <w:r>
                    <w:rPr>
                      <w:color w:val="000000"/>
                      <w:kern w:val="0"/>
                      <w:szCs w:val="21"/>
                    </w:rPr>
                    <w:t>0.00008847</w:t>
                  </w:r>
                </w:p>
              </w:tc>
              <w:tc>
                <w:tcPr>
                  <w:tcW w:w="1154" w:type="dxa"/>
                  <w:vAlign w:val="center"/>
                </w:tcPr>
                <w:p>
                  <w:pPr>
                    <w:widowControl/>
                    <w:jc w:val="center"/>
                    <w:textAlignment w:val="center"/>
                    <w:rPr>
                      <w:szCs w:val="21"/>
                    </w:rPr>
                  </w:pPr>
                  <w:r>
                    <w:rPr>
                      <w:color w:val="000000"/>
                      <w:kern w:val="0"/>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1400</w:t>
                  </w:r>
                </w:p>
              </w:tc>
              <w:tc>
                <w:tcPr>
                  <w:tcW w:w="1397" w:type="dxa"/>
                  <w:vAlign w:val="center"/>
                </w:tcPr>
                <w:p>
                  <w:pPr>
                    <w:widowControl/>
                    <w:jc w:val="center"/>
                    <w:textAlignment w:val="center"/>
                    <w:rPr>
                      <w:szCs w:val="21"/>
                    </w:rPr>
                  </w:pPr>
                  <w:r>
                    <w:rPr>
                      <w:color w:val="000000"/>
                      <w:kern w:val="0"/>
                      <w:szCs w:val="21"/>
                    </w:rPr>
                    <w:t>0.0006978</w:t>
                  </w:r>
                </w:p>
              </w:tc>
              <w:tc>
                <w:tcPr>
                  <w:tcW w:w="1090" w:type="dxa"/>
                  <w:vAlign w:val="center"/>
                </w:tcPr>
                <w:p>
                  <w:pPr>
                    <w:widowControl/>
                    <w:jc w:val="center"/>
                    <w:textAlignment w:val="center"/>
                    <w:rPr>
                      <w:szCs w:val="21"/>
                    </w:rPr>
                  </w:pPr>
                  <w:r>
                    <w:rPr>
                      <w:color w:val="000000"/>
                      <w:kern w:val="0"/>
                      <w:szCs w:val="21"/>
                    </w:rPr>
                    <w:t>0.16</w:t>
                  </w:r>
                </w:p>
              </w:tc>
              <w:tc>
                <w:tcPr>
                  <w:tcW w:w="1459" w:type="dxa"/>
                  <w:vAlign w:val="center"/>
                </w:tcPr>
                <w:p>
                  <w:pPr>
                    <w:widowControl/>
                    <w:jc w:val="center"/>
                    <w:textAlignment w:val="center"/>
                    <w:rPr>
                      <w:szCs w:val="21"/>
                    </w:rPr>
                  </w:pPr>
                  <w:r>
                    <w:rPr>
                      <w:color w:val="000000"/>
                      <w:kern w:val="0"/>
                      <w:szCs w:val="21"/>
                    </w:rPr>
                    <w:t>0.00007975</w:t>
                  </w:r>
                </w:p>
              </w:tc>
              <w:tc>
                <w:tcPr>
                  <w:tcW w:w="1057" w:type="dxa"/>
                  <w:vAlign w:val="center"/>
                </w:tcPr>
                <w:p>
                  <w:pPr>
                    <w:widowControl/>
                    <w:jc w:val="center"/>
                    <w:textAlignment w:val="center"/>
                    <w:rPr>
                      <w:szCs w:val="21"/>
                    </w:rPr>
                  </w:pPr>
                  <w:r>
                    <w:rPr>
                      <w:color w:val="000000"/>
                      <w:kern w:val="0"/>
                      <w:szCs w:val="21"/>
                    </w:rPr>
                    <w:t>0</w:t>
                  </w:r>
                </w:p>
              </w:tc>
              <w:tc>
                <w:tcPr>
                  <w:tcW w:w="1410" w:type="dxa"/>
                  <w:vAlign w:val="center"/>
                </w:tcPr>
                <w:p>
                  <w:pPr>
                    <w:widowControl/>
                    <w:jc w:val="center"/>
                    <w:textAlignment w:val="center"/>
                    <w:rPr>
                      <w:szCs w:val="21"/>
                    </w:rPr>
                  </w:pPr>
                  <w:r>
                    <w:rPr>
                      <w:color w:val="000000"/>
                      <w:kern w:val="0"/>
                      <w:szCs w:val="21"/>
                    </w:rPr>
                    <w:t>0.00007975</w:t>
                  </w:r>
                </w:p>
              </w:tc>
              <w:tc>
                <w:tcPr>
                  <w:tcW w:w="1154" w:type="dxa"/>
                  <w:vAlign w:val="center"/>
                </w:tcPr>
                <w:p>
                  <w:pPr>
                    <w:widowControl/>
                    <w:jc w:val="center"/>
                    <w:textAlignment w:val="center"/>
                    <w:rPr>
                      <w:szCs w:val="21"/>
                    </w:rPr>
                  </w:pPr>
                  <w:r>
                    <w:rPr>
                      <w:color w:val="000000"/>
                      <w:kern w:val="0"/>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1500</w:t>
                  </w:r>
                </w:p>
              </w:tc>
              <w:tc>
                <w:tcPr>
                  <w:tcW w:w="1397" w:type="dxa"/>
                  <w:vAlign w:val="center"/>
                </w:tcPr>
                <w:p>
                  <w:pPr>
                    <w:widowControl/>
                    <w:jc w:val="center"/>
                    <w:textAlignment w:val="center"/>
                    <w:rPr>
                      <w:szCs w:val="21"/>
                    </w:rPr>
                  </w:pPr>
                  <w:r>
                    <w:rPr>
                      <w:color w:val="000000"/>
                      <w:kern w:val="0"/>
                      <w:szCs w:val="21"/>
                    </w:rPr>
                    <w:t>0.000633</w:t>
                  </w:r>
                </w:p>
              </w:tc>
              <w:tc>
                <w:tcPr>
                  <w:tcW w:w="1090" w:type="dxa"/>
                  <w:vAlign w:val="center"/>
                </w:tcPr>
                <w:p>
                  <w:pPr>
                    <w:widowControl/>
                    <w:jc w:val="center"/>
                    <w:textAlignment w:val="center"/>
                    <w:rPr>
                      <w:szCs w:val="21"/>
                    </w:rPr>
                  </w:pPr>
                  <w:r>
                    <w:rPr>
                      <w:color w:val="000000"/>
                      <w:kern w:val="0"/>
                      <w:szCs w:val="21"/>
                    </w:rPr>
                    <w:t>0.14</w:t>
                  </w:r>
                </w:p>
              </w:tc>
              <w:tc>
                <w:tcPr>
                  <w:tcW w:w="1459" w:type="dxa"/>
                  <w:vAlign w:val="center"/>
                </w:tcPr>
                <w:p>
                  <w:pPr>
                    <w:widowControl/>
                    <w:jc w:val="center"/>
                    <w:textAlignment w:val="center"/>
                    <w:rPr>
                      <w:szCs w:val="21"/>
                    </w:rPr>
                  </w:pPr>
                  <w:r>
                    <w:rPr>
                      <w:color w:val="000000"/>
                      <w:kern w:val="0"/>
                      <w:szCs w:val="21"/>
                    </w:rPr>
                    <w:t>0.00007234</w:t>
                  </w:r>
                </w:p>
              </w:tc>
              <w:tc>
                <w:tcPr>
                  <w:tcW w:w="1057" w:type="dxa"/>
                  <w:vAlign w:val="center"/>
                </w:tcPr>
                <w:p>
                  <w:pPr>
                    <w:widowControl/>
                    <w:jc w:val="center"/>
                    <w:textAlignment w:val="center"/>
                    <w:rPr>
                      <w:szCs w:val="21"/>
                    </w:rPr>
                  </w:pPr>
                  <w:r>
                    <w:rPr>
                      <w:color w:val="000000"/>
                      <w:kern w:val="0"/>
                      <w:szCs w:val="21"/>
                    </w:rPr>
                    <w:t>0</w:t>
                  </w:r>
                </w:p>
              </w:tc>
              <w:tc>
                <w:tcPr>
                  <w:tcW w:w="1410" w:type="dxa"/>
                  <w:vAlign w:val="center"/>
                </w:tcPr>
                <w:p>
                  <w:pPr>
                    <w:widowControl/>
                    <w:jc w:val="center"/>
                    <w:textAlignment w:val="center"/>
                    <w:rPr>
                      <w:szCs w:val="21"/>
                    </w:rPr>
                  </w:pPr>
                  <w:r>
                    <w:rPr>
                      <w:color w:val="000000"/>
                      <w:kern w:val="0"/>
                      <w:szCs w:val="21"/>
                    </w:rPr>
                    <w:t>0.00007234</w:t>
                  </w:r>
                </w:p>
              </w:tc>
              <w:tc>
                <w:tcPr>
                  <w:tcW w:w="1154" w:type="dxa"/>
                  <w:vAlign w:val="center"/>
                </w:tcPr>
                <w:p>
                  <w:pPr>
                    <w:widowControl/>
                    <w:jc w:val="center"/>
                    <w:textAlignment w:val="center"/>
                    <w:rPr>
                      <w:szCs w:val="21"/>
                    </w:rPr>
                  </w:pPr>
                  <w:r>
                    <w:rPr>
                      <w:color w:val="000000"/>
                      <w:kern w:val="0"/>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1600</w:t>
                  </w:r>
                </w:p>
              </w:tc>
              <w:tc>
                <w:tcPr>
                  <w:tcW w:w="1397" w:type="dxa"/>
                  <w:vAlign w:val="center"/>
                </w:tcPr>
                <w:p>
                  <w:pPr>
                    <w:widowControl/>
                    <w:jc w:val="center"/>
                    <w:textAlignment w:val="center"/>
                    <w:rPr>
                      <w:szCs w:val="21"/>
                    </w:rPr>
                  </w:pPr>
                  <w:r>
                    <w:rPr>
                      <w:color w:val="000000"/>
                      <w:kern w:val="0"/>
                      <w:szCs w:val="21"/>
                    </w:rPr>
                    <w:t>0.0005775</w:t>
                  </w:r>
                </w:p>
              </w:tc>
              <w:tc>
                <w:tcPr>
                  <w:tcW w:w="1090" w:type="dxa"/>
                  <w:vAlign w:val="center"/>
                </w:tcPr>
                <w:p>
                  <w:pPr>
                    <w:widowControl/>
                    <w:jc w:val="center"/>
                    <w:textAlignment w:val="center"/>
                    <w:rPr>
                      <w:szCs w:val="21"/>
                    </w:rPr>
                  </w:pPr>
                  <w:r>
                    <w:rPr>
                      <w:color w:val="000000"/>
                      <w:kern w:val="0"/>
                      <w:szCs w:val="21"/>
                    </w:rPr>
                    <w:t>0.13</w:t>
                  </w:r>
                </w:p>
              </w:tc>
              <w:tc>
                <w:tcPr>
                  <w:tcW w:w="1459" w:type="dxa"/>
                  <w:vAlign w:val="center"/>
                </w:tcPr>
                <w:p>
                  <w:pPr>
                    <w:widowControl/>
                    <w:jc w:val="center"/>
                    <w:textAlignment w:val="center"/>
                    <w:rPr>
                      <w:szCs w:val="21"/>
                    </w:rPr>
                  </w:pPr>
                  <w:r>
                    <w:rPr>
                      <w:color w:val="000000"/>
                      <w:kern w:val="0"/>
                      <w:szCs w:val="21"/>
                    </w:rPr>
                    <w:t>0.000066</w:t>
                  </w:r>
                </w:p>
              </w:tc>
              <w:tc>
                <w:tcPr>
                  <w:tcW w:w="1057" w:type="dxa"/>
                  <w:vAlign w:val="center"/>
                </w:tcPr>
                <w:p>
                  <w:pPr>
                    <w:widowControl/>
                    <w:jc w:val="center"/>
                    <w:textAlignment w:val="center"/>
                    <w:rPr>
                      <w:szCs w:val="21"/>
                    </w:rPr>
                  </w:pPr>
                  <w:r>
                    <w:rPr>
                      <w:color w:val="000000"/>
                      <w:kern w:val="0"/>
                      <w:szCs w:val="21"/>
                    </w:rPr>
                    <w:t>0</w:t>
                  </w:r>
                </w:p>
              </w:tc>
              <w:tc>
                <w:tcPr>
                  <w:tcW w:w="1410" w:type="dxa"/>
                  <w:vAlign w:val="center"/>
                </w:tcPr>
                <w:p>
                  <w:pPr>
                    <w:widowControl/>
                    <w:jc w:val="center"/>
                    <w:textAlignment w:val="center"/>
                    <w:rPr>
                      <w:szCs w:val="21"/>
                    </w:rPr>
                  </w:pPr>
                  <w:r>
                    <w:rPr>
                      <w:color w:val="000000"/>
                      <w:kern w:val="0"/>
                      <w:szCs w:val="21"/>
                    </w:rPr>
                    <w:t>0.000066</w:t>
                  </w:r>
                </w:p>
              </w:tc>
              <w:tc>
                <w:tcPr>
                  <w:tcW w:w="1154" w:type="dxa"/>
                  <w:vAlign w:val="center"/>
                </w:tcPr>
                <w:p>
                  <w:pPr>
                    <w:widowControl/>
                    <w:jc w:val="center"/>
                    <w:textAlignment w:val="center"/>
                    <w:rPr>
                      <w:szCs w:val="21"/>
                    </w:rPr>
                  </w:pPr>
                  <w:r>
                    <w:rPr>
                      <w:color w:val="000000"/>
                      <w:kern w:val="0"/>
                      <w:szCs w:val="21"/>
                    </w:rPr>
                    <w:t>0.03</w:t>
                  </w:r>
                </w:p>
              </w:tc>
            </w:tr>
          </w:tbl>
          <w:p>
            <w:pPr>
              <w:spacing w:line="480" w:lineRule="exact"/>
              <w:jc w:val="center"/>
              <w:rPr>
                <w:b/>
                <w:bCs/>
              </w:rPr>
            </w:pPr>
            <w:r>
              <w:rPr>
                <w:rFonts w:hint="eastAsia"/>
                <w:b/>
                <w:bCs/>
              </w:rPr>
              <w:t>续</w:t>
            </w:r>
            <w:r>
              <w:rPr>
                <w:b/>
                <w:bCs/>
              </w:rPr>
              <w:t>表</w:t>
            </w:r>
            <w:r>
              <w:rPr>
                <w:rFonts w:hint="eastAsia"/>
                <w:b/>
                <w:bCs/>
              </w:rPr>
              <w:t>23-2</w:t>
            </w:r>
            <w:r>
              <w:rPr>
                <w:b/>
                <w:bCs/>
              </w:rPr>
              <w:t xml:space="preserve">   车间无组织废气估算模式计算结果一览表</w:t>
            </w:r>
          </w:p>
          <w:tbl>
            <w:tblPr>
              <w:tblStyle w:val="31"/>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4"/>
              <w:gridCol w:w="1397"/>
              <w:gridCol w:w="1090"/>
              <w:gridCol w:w="1459"/>
              <w:gridCol w:w="1057"/>
              <w:gridCol w:w="1410"/>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434" w:type="dxa"/>
                  <w:vMerge w:val="restart"/>
                  <w:vAlign w:val="center"/>
                </w:tcPr>
                <w:p>
                  <w:pPr>
                    <w:spacing w:line="240" w:lineRule="exact"/>
                    <w:jc w:val="center"/>
                    <w:rPr>
                      <w:b/>
                      <w:bCs/>
                      <w:szCs w:val="21"/>
                    </w:rPr>
                  </w:pPr>
                  <w:r>
                    <w:rPr>
                      <w:b/>
                      <w:bCs/>
                      <w:szCs w:val="21"/>
                    </w:rPr>
                    <w:t>距离排气筒距离D(m)</w:t>
                  </w:r>
                </w:p>
              </w:tc>
              <w:tc>
                <w:tcPr>
                  <w:tcW w:w="7567" w:type="dxa"/>
                  <w:gridSpan w:val="6"/>
                  <w:vAlign w:val="center"/>
                </w:tcPr>
                <w:p>
                  <w:pPr>
                    <w:spacing w:line="240" w:lineRule="exact"/>
                    <w:jc w:val="center"/>
                    <w:rPr>
                      <w:b/>
                      <w:bCs/>
                      <w:szCs w:val="21"/>
                    </w:rPr>
                  </w:pPr>
                  <w:r>
                    <w:rPr>
                      <w:szCs w:val="21"/>
                    </w:rPr>
                    <w:t>喷晾漆与切割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434" w:type="dxa"/>
                  <w:vMerge w:val="continue"/>
                  <w:vAlign w:val="center"/>
                </w:tcPr>
                <w:p>
                  <w:pPr>
                    <w:spacing w:line="240" w:lineRule="exact"/>
                    <w:jc w:val="center"/>
                    <w:rPr>
                      <w:b/>
                      <w:bCs/>
                      <w:szCs w:val="21"/>
                    </w:rPr>
                  </w:pPr>
                </w:p>
              </w:tc>
              <w:tc>
                <w:tcPr>
                  <w:tcW w:w="2487" w:type="dxa"/>
                  <w:gridSpan w:val="2"/>
                  <w:vAlign w:val="center"/>
                </w:tcPr>
                <w:p>
                  <w:pPr>
                    <w:spacing w:line="240" w:lineRule="exact"/>
                    <w:jc w:val="center"/>
                    <w:rPr>
                      <w:b/>
                      <w:bCs/>
                      <w:szCs w:val="21"/>
                    </w:rPr>
                  </w:pPr>
                  <w:r>
                    <w:rPr>
                      <w:b/>
                      <w:bCs/>
                      <w:szCs w:val="21"/>
                    </w:rPr>
                    <w:t>颗粒物</w:t>
                  </w:r>
                </w:p>
              </w:tc>
              <w:tc>
                <w:tcPr>
                  <w:tcW w:w="2516" w:type="dxa"/>
                  <w:gridSpan w:val="2"/>
                  <w:vAlign w:val="center"/>
                </w:tcPr>
                <w:p>
                  <w:pPr>
                    <w:spacing w:line="240" w:lineRule="exact"/>
                    <w:jc w:val="center"/>
                    <w:rPr>
                      <w:b/>
                      <w:bCs/>
                      <w:szCs w:val="21"/>
                    </w:rPr>
                  </w:pPr>
                  <w:r>
                    <w:rPr>
                      <w:b/>
                      <w:bCs/>
                      <w:szCs w:val="21"/>
                    </w:rPr>
                    <w:t>非甲烷总烃</w:t>
                  </w:r>
                </w:p>
              </w:tc>
              <w:tc>
                <w:tcPr>
                  <w:tcW w:w="2564" w:type="dxa"/>
                  <w:gridSpan w:val="2"/>
                  <w:vAlign w:val="center"/>
                </w:tcPr>
                <w:p>
                  <w:pPr>
                    <w:spacing w:line="240" w:lineRule="exact"/>
                    <w:jc w:val="center"/>
                    <w:rPr>
                      <w:b/>
                      <w:bCs/>
                      <w:szCs w:val="21"/>
                    </w:rPr>
                  </w:pPr>
                  <w:r>
                    <w:rPr>
                      <w:b/>
                      <w:bCs/>
                      <w:szCs w:val="21"/>
                    </w:rPr>
                    <w:t>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1434" w:type="dxa"/>
                  <w:vMerge w:val="continue"/>
                  <w:vAlign w:val="center"/>
                </w:tcPr>
                <w:p>
                  <w:pPr>
                    <w:spacing w:line="240" w:lineRule="exact"/>
                    <w:jc w:val="center"/>
                    <w:rPr>
                      <w:b/>
                      <w:bCs/>
                      <w:szCs w:val="21"/>
                    </w:rPr>
                  </w:pPr>
                </w:p>
              </w:tc>
              <w:tc>
                <w:tcPr>
                  <w:tcW w:w="1397" w:type="dxa"/>
                  <w:vAlign w:val="center"/>
                </w:tcPr>
                <w:p>
                  <w:pPr>
                    <w:spacing w:line="240" w:lineRule="exact"/>
                    <w:jc w:val="center"/>
                    <w:rPr>
                      <w:b/>
                      <w:bCs/>
                      <w:szCs w:val="21"/>
                    </w:rPr>
                  </w:pPr>
                  <w:r>
                    <w:rPr>
                      <w:b/>
                      <w:bCs/>
                      <w:szCs w:val="21"/>
                    </w:rPr>
                    <w:t>C</w:t>
                  </w:r>
                  <w:r>
                    <w:rPr>
                      <w:b/>
                      <w:bCs/>
                      <w:szCs w:val="21"/>
                      <w:vertAlign w:val="subscript"/>
                    </w:rPr>
                    <w:t>i1</w:t>
                  </w:r>
                  <w:r>
                    <w:rPr>
                      <w:b/>
                      <w:bCs/>
                      <w:szCs w:val="21"/>
                    </w:rPr>
                    <w:t>(mg/m</w:t>
                  </w:r>
                  <w:r>
                    <w:rPr>
                      <w:b/>
                      <w:bCs/>
                      <w:szCs w:val="21"/>
                      <w:vertAlign w:val="superscript"/>
                    </w:rPr>
                    <w:t>3</w:t>
                  </w:r>
                  <w:r>
                    <w:rPr>
                      <w:b/>
                      <w:bCs/>
                      <w:szCs w:val="21"/>
                    </w:rPr>
                    <w:t>)</w:t>
                  </w:r>
                </w:p>
              </w:tc>
              <w:tc>
                <w:tcPr>
                  <w:tcW w:w="1090" w:type="dxa"/>
                  <w:vAlign w:val="center"/>
                </w:tcPr>
                <w:p>
                  <w:pPr>
                    <w:spacing w:line="240" w:lineRule="exact"/>
                    <w:jc w:val="center"/>
                    <w:rPr>
                      <w:b/>
                      <w:bCs/>
                      <w:szCs w:val="21"/>
                    </w:rPr>
                  </w:pPr>
                  <w:r>
                    <w:rPr>
                      <w:b/>
                      <w:bCs/>
                      <w:szCs w:val="21"/>
                    </w:rPr>
                    <w:t>P</w:t>
                  </w:r>
                  <w:r>
                    <w:rPr>
                      <w:b/>
                      <w:bCs/>
                      <w:szCs w:val="21"/>
                      <w:vertAlign w:val="subscript"/>
                    </w:rPr>
                    <w:t>i1</w:t>
                  </w:r>
                  <w:r>
                    <w:rPr>
                      <w:b/>
                      <w:bCs/>
                      <w:szCs w:val="21"/>
                    </w:rPr>
                    <w:t>(%)</w:t>
                  </w:r>
                </w:p>
              </w:tc>
              <w:tc>
                <w:tcPr>
                  <w:tcW w:w="1459" w:type="dxa"/>
                  <w:vAlign w:val="center"/>
                </w:tcPr>
                <w:p>
                  <w:pPr>
                    <w:spacing w:line="240" w:lineRule="exact"/>
                    <w:jc w:val="center"/>
                    <w:rPr>
                      <w:b/>
                      <w:bCs/>
                      <w:szCs w:val="21"/>
                    </w:rPr>
                  </w:pPr>
                  <w:r>
                    <w:rPr>
                      <w:b/>
                      <w:bCs/>
                      <w:szCs w:val="21"/>
                    </w:rPr>
                    <w:t>C</w:t>
                  </w:r>
                  <w:r>
                    <w:rPr>
                      <w:b/>
                      <w:bCs/>
                      <w:szCs w:val="21"/>
                      <w:vertAlign w:val="subscript"/>
                    </w:rPr>
                    <w:t>i2</w:t>
                  </w:r>
                  <w:r>
                    <w:rPr>
                      <w:b/>
                      <w:bCs/>
                      <w:szCs w:val="21"/>
                    </w:rPr>
                    <w:t>(mg/m</w:t>
                  </w:r>
                  <w:r>
                    <w:rPr>
                      <w:b/>
                      <w:bCs/>
                      <w:szCs w:val="21"/>
                      <w:vertAlign w:val="superscript"/>
                    </w:rPr>
                    <w:t>3</w:t>
                  </w:r>
                  <w:r>
                    <w:rPr>
                      <w:b/>
                      <w:bCs/>
                      <w:szCs w:val="21"/>
                    </w:rPr>
                    <w:t>)</w:t>
                  </w:r>
                </w:p>
              </w:tc>
              <w:tc>
                <w:tcPr>
                  <w:tcW w:w="1057" w:type="dxa"/>
                  <w:vAlign w:val="center"/>
                </w:tcPr>
                <w:p>
                  <w:pPr>
                    <w:spacing w:line="240" w:lineRule="exact"/>
                    <w:jc w:val="center"/>
                    <w:rPr>
                      <w:b/>
                      <w:bCs/>
                      <w:szCs w:val="21"/>
                    </w:rPr>
                  </w:pPr>
                  <w:r>
                    <w:rPr>
                      <w:b/>
                      <w:bCs/>
                      <w:szCs w:val="21"/>
                    </w:rPr>
                    <w:t>P</w:t>
                  </w:r>
                  <w:r>
                    <w:rPr>
                      <w:b/>
                      <w:bCs/>
                      <w:szCs w:val="21"/>
                      <w:vertAlign w:val="subscript"/>
                    </w:rPr>
                    <w:t>i2</w:t>
                  </w:r>
                  <w:r>
                    <w:rPr>
                      <w:b/>
                      <w:bCs/>
                      <w:szCs w:val="21"/>
                    </w:rPr>
                    <w:t>(%)</w:t>
                  </w:r>
                </w:p>
              </w:tc>
              <w:tc>
                <w:tcPr>
                  <w:tcW w:w="1410" w:type="dxa"/>
                  <w:vAlign w:val="center"/>
                </w:tcPr>
                <w:p>
                  <w:pPr>
                    <w:spacing w:line="240" w:lineRule="exact"/>
                    <w:jc w:val="center"/>
                    <w:rPr>
                      <w:b/>
                      <w:bCs/>
                      <w:szCs w:val="21"/>
                    </w:rPr>
                  </w:pPr>
                  <w:r>
                    <w:rPr>
                      <w:b/>
                      <w:bCs/>
                      <w:szCs w:val="21"/>
                    </w:rPr>
                    <w:t>C</w:t>
                  </w:r>
                  <w:r>
                    <w:rPr>
                      <w:b/>
                      <w:bCs/>
                      <w:szCs w:val="21"/>
                      <w:vertAlign w:val="subscript"/>
                    </w:rPr>
                    <w:t>i3</w:t>
                  </w:r>
                  <w:r>
                    <w:rPr>
                      <w:b/>
                      <w:bCs/>
                      <w:szCs w:val="21"/>
                    </w:rPr>
                    <w:t>(mg/m</w:t>
                  </w:r>
                  <w:r>
                    <w:rPr>
                      <w:b/>
                      <w:bCs/>
                      <w:szCs w:val="21"/>
                      <w:vertAlign w:val="superscript"/>
                    </w:rPr>
                    <w:t>3</w:t>
                  </w:r>
                  <w:r>
                    <w:rPr>
                      <w:b/>
                      <w:bCs/>
                      <w:szCs w:val="21"/>
                    </w:rPr>
                    <w:t>)</w:t>
                  </w:r>
                </w:p>
              </w:tc>
              <w:tc>
                <w:tcPr>
                  <w:tcW w:w="1154" w:type="dxa"/>
                  <w:vAlign w:val="center"/>
                </w:tcPr>
                <w:p>
                  <w:pPr>
                    <w:spacing w:line="240" w:lineRule="exact"/>
                    <w:jc w:val="center"/>
                    <w:rPr>
                      <w:b/>
                      <w:bCs/>
                      <w:szCs w:val="21"/>
                    </w:rPr>
                  </w:pPr>
                  <w:r>
                    <w:rPr>
                      <w:b/>
                      <w:bCs/>
                      <w:szCs w:val="21"/>
                    </w:rPr>
                    <w:t>P</w:t>
                  </w:r>
                  <w:r>
                    <w:rPr>
                      <w:b/>
                      <w:bCs/>
                      <w:szCs w:val="21"/>
                      <w:vertAlign w:val="subscript"/>
                    </w:rPr>
                    <w:t>i3</w:t>
                  </w:r>
                  <w:r>
                    <w:rPr>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1700</w:t>
                  </w:r>
                </w:p>
              </w:tc>
              <w:tc>
                <w:tcPr>
                  <w:tcW w:w="1397" w:type="dxa"/>
                  <w:vAlign w:val="center"/>
                </w:tcPr>
                <w:p>
                  <w:pPr>
                    <w:widowControl/>
                    <w:jc w:val="center"/>
                    <w:textAlignment w:val="center"/>
                    <w:rPr>
                      <w:szCs w:val="21"/>
                    </w:rPr>
                  </w:pPr>
                  <w:r>
                    <w:rPr>
                      <w:color w:val="000000"/>
                      <w:kern w:val="0"/>
                      <w:szCs w:val="21"/>
                    </w:rPr>
                    <w:t>0.0005295</w:t>
                  </w:r>
                </w:p>
              </w:tc>
              <w:tc>
                <w:tcPr>
                  <w:tcW w:w="1090" w:type="dxa"/>
                  <w:vAlign w:val="center"/>
                </w:tcPr>
                <w:p>
                  <w:pPr>
                    <w:widowControl/>
                    <w:jc w:val="center"/>
                    <w:textAlignment w:val="center"/>
                    <w:rPr>
                      <w:szCs w:val="21"/>
                    </w:rPr>
                  </w:pPr>
                  <w:r>
                    <w:rPr>
                      <w:color w:val="000000"/>
                      <w:kern w:val="0"/>
                      <w:szCs w:val="21"/>
                    </w:rPr>
                    <w:t>0.12</w:t>
                  </w:r>
                </w:p>
              </w:tc>
              <w:tc>
                <w:tcPr>
                  <w:tcW w:w="1459" w:type="dxa"/>
                  <w:vAlign w:val="center"/>
                </w:tcPr>
                <w:p>
                  <w:pPr>
                    <w:widowControl/>
                    <w:jc w:val="center"/>
                    <w:textAlignment w:val="center"/>
                    <w:rPr>
                      <w:szCs w:val="21"/>
                    </w:rPr>
                  </w:pPr>
                  <w:r>
                    <w:rPr>
                      <w:color w:val="000000"/>
                      <w:kern w:val="0"/>
                      <w:szCs w:val="21"/>
                    </w:rPr>
                    <w:t>0.00006051</w:t>
                  </w:r>
                </w:p>
              </w:tc>
              <w:tc>
                <w:tcPr>
                  <w:tcW w:w="1057" w:type="dxa"/>
                  <w:vAlign w:val="center"/>
                </w:tcPr>
                <w:p>
                  <w:pPr>
                    <w:widowControl/>
                    <w:jc w:val="center"/>
                    <w:textAlignment w:val="center"/>
                    <w:rPr>
                      <w:szCs w:val="21"/>
                    </w:rPr>
                  </w:pPr>
                  <w:r>
                    <w:rPr>
                      <w:color w:val="000000"/>
                      <w:kern w:val="0"/>
                      <w:szCs w:val="21"/>
                    </w:rPr>
                    <w:t>0</w:t>
                  </w:r>
                </w:p>
              </w:tc>
              <w:tc>
                <w:tcPr>
                  <w:tcW w:w="1410" w:type="dxa"/>
                  <w:vAlign w:val="center"/>
                </w:tcPr>
                <w:p>
                  <w:pPr>
                    <w:widowControl/>
                    <w:jc w:val="center"/>
                    <w:textAlignment w:val="center"/>
                    <w:rPr>
                      <w:szCs w:val="21"/>
                    </w:rPr>
                  </w:pPr>
                  <w:r>
                    <w:rPr>
                      <w:color w:val="000000"/>
                      <w:kern w:val="0"/>
                      <w:szCs w:val="21"/>
                    </w:rPr>
                    <w:t>0.00006051</w:t>
                  </w:r>
                </w:p>
              </w:tc>
              <w:tc>
                <w:tcPr>
                  <w:tcW w:w="1154" w:type="dxa"/>
                  <w:vAlign w:val="center"/>
                </w:tcPr>
                <w:p>
                  <w:pPr>
                    <w:widowControl/>
                    <w:jc w:val="center"/>
                    <w:textAlignment w:val="center"/>
                    <w:rPr>
                      <w:szCs w:val="21"/>
                    </w:rPr>
                  </w:pPr>
                  <w:r>
                    <w:rPr>
                      <w:color w:val="000000"/>
                      <w:kern w:val="0"/>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1800</w:t>
                  </w:r>
                </w:p>
              </w:tc>
              <w:tc>
                <w:tcPr>
                  <w:tcW w:w="1397" w:type="dxa"/>
                  <w:vAlign w:val="center"/>
                </w:tcPr>
                <w:p>
                  <w:pPr>
                    <w:widowControl/>
                    <w:jc w:val="center"/>
                    <w:textAlignment w:val="center"/>
                    <w:rPr>
                      <w:szCs w:val="21"/>
                    </w:rPr>
                  </w:pPr>
                  <w:r>
                    <w:rPr>
                      <w:color w:val="000000"/>
                      <w:kern w:val="0"/>
                      <w:szCs w:val="21"/>
                    </w:rPr>
                    <w:t>0.0004877</w:t>
                  </w:r>
                </w:p>
              </w:tc>
              <w:tc>
                <w:tcPr>
                  <w:tcW w:w="1090" w:type="dxa"/>
                  <w:vAlign w:val="center"/>
                </w:tcPr>
                <w:p>
                  <w:pPr>
                    <w:widowControl/>
                    <w:jc w:val="center"/>
                    <w:textAlignment w:val="center"/>
                    <w:rPr>
                      <w:szCs w:val="21"/>
                    </w:rPr>
                  </w:pPr>
                  <w:r>
                    <w:rPr>
                      <w:color w:val="000000"/>
                      <w:kern w:val="0"/>
                      <w:szCs w:val="21"/>
                    </w:rPr>
                    <w:t>0.11</w:t>
                  </w:r>
                </w:p>
              </w:tc>
              <w:tc>
                <w:tcPr>
                  <w:tcW w:w="1459" w:type="dxa"/>
                  <w:vAlign w:val="center"/>
                </w:tcPr>
                <w:p>
                  <w:pPr>
                    <w:widowControl/>
                    <w:jc w:val="center"/>
                    <w:textAlignment w:val="center"/>
                    <w:rPr>
                      <w:szCs w:val="21"/>
                    </w:rPr>
                  </w:pPr>
                  <w:r>
                    <w:rPr>
                      <w:color w:val="000000"/>
                      <w:kern w:val="0"/>
                      <w:szCs w:val="21"/>
                    </w:rPr>
                    <w:t>0.00005574</w:t>
                  </w:r>
                </w:p>
              </w:tc>
              <w:tc>
                <w:tcPr>
                  <w:tcW w:w="1057" w:type="dxa"/>
                  <w:vAlign w:val="center"/>
                </w:tcPr>
                <w:p>
                  <w:pPr>
                    <w:widowControl/>
                    <w:jc w:val="center"/>
                    <w:textAlignment w:val="center"/>
                    <w:rPr>
                      <w:szCs w:val="21"/>
                    </w:rPr>
                  </w:pPr>
                  <w:r>
                    <w:rPr>
                      <w:color w:val="000000"/>
                      <w:kern w:val="0"/>
                      <w:szCs w:val="21"/>
                    </w:rPr>
                    <w:t>0</w:t>
                  </w:r>
                </w:p>
              </w:tc>
              <w:tc>
                <w:tcPr>
                  <w:tcW w:w="1410" w:type="dxa"/>
                  <w:vAlign w:val="center"/>
                </w:tcPr>
                <w:p>
                  <w:pPr>
                    <w:widowControl/>
                    <w:jc w:val="center"/>
                    <w:textAlignment w:val="center"/>
                    <w:rPr>
                      <w:szCs w:val="21"/>
                    </w:rPr>
                  </w:pPr>
                  <w:r>
                    <w:rPr>
                      <w:color w:val="000000"/>
                      <w:kern w:val="0"/>
                      <w:szCs w:val="21"/>
                    </w:rPr>
                    <w:t>0.00005574</w:t>
                  </w:r>
                </w:p>
              </w:tc>
              <w:tc>
                <w:tcPr>
                  <w:tcW w:w="1154" w:type="dxa"/>
                  <w:vAlign w:val="center"/>
                </w:tcPr>
                <w:p>
                  <w:pPr>
                    <w:widowControl/>
                    <w:jc w:val="center"/>
                    <w:textAlignment w:val="center"/>
                    <w:rPr>
                      <w:szCs w:val="21"/>
                    </w:rPr>
                  </w:pPr>
                  <w:r>
                    <w:rPr>
                      <w:color w:val="000000"/>
                      <w:kern w:val="0"/>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1900</w:t>
                  </w:r>
                </w:p>
              </w:tc>
              <w:tc>
                <w:tcPr>
                  <w:tcW w:w="1397" w:type="dxa"/>
                  <w:vAlign w:val="center"/>
                </w:tcPr>
                <w:p>
                  <w:pPr>
                    <w:widowControl/>
                    <w:jc w:val="center"/>
                    <w:textAlignment w:val="center"/>
                    <w:rPr>
                      <w:szCs w:val="21"/>
                    </w:rPr>
                  </w:pPr>
                  <w:r>
                    <w:rPr>
                      <w:color w:val="000000"/>
                      <w:kern w:val="0"/>
                      <w:szCs w:val="21"/>
                    </w:rPr>
                    <w:t>0.0004511</w:t>
                  </w:r>
                </w:p>
              </w:tc>
              <w:tc>
                <w:tcPr>
                  <w:tcW w:w="1090" w:type="dxa"/>
                  <w:vAlign w:val="center"/>
                </w:tcPr>
                <w:p>
                  <w:pPr>
                    <w:widowControl/>
                    <w:jc w:val="center"/>
                    <w:textAlignment w:val="center"/>
                    <w:rPr>
                      <w:szCs w:val="21"/>
                    </w:rPr>
                  </w:pPr>
                  <w:r>
                    <w:rPr>
                      <w:color w:val="000000"/>
                      <w:kern w:val="0"/>
                      <w:szCs w:val="21"/>
                    </w:rPr>
                    <w:t>0.1</w:t>
                  </w:r>
                </w:p>
              </w:tc>
              <w:tc>
                <w:tcPr>
                  <w:tcW w:w="1459" w:type="dxa"/>
                  <w:vAlign w:val="center"/>
                </w:tcPr>
                <w:p>
                  <w:pPr>
                    <w:widowControl/>
                    <w:jc w:val="center"/>
                    <w:textAlignment w:val="center"/>
                    <w:rPr>
                      <w:szCs w:val="21"/>
                    </w:rPr>
                  </w:pPr>
                  <w:r>
                    <w:rPr>
                      <w:color w:val="000000"/>
                      <w:kern w:val="0"/>
                      <w:szCs w:val="21"/>
                    </w:rPr>
                    <w:t>0.00005155</w:t>
                  </w:r>
                </w:p>
              </w:tc>
              <w:tc>
                <w:tcPr>
                  <w:tcW w:w="1057" w:type="dxa"/>
                  <w:vAlign w:val="center"/>
                </w:tcPr>
                <w:p>
                  <w:pPr>
                    <w:widowControl/>
                    <w:jc w:val="center"/>
                    <w:textAlignment w:val="center"/>
                    <w:rPr>
                      <w:szCs w:val="21"/>
                    </w:rPr>
                  </w:pPr>
                  <w:r>
                    <w:rPr>
                      <w:color w:val="000000"/>
                      <w:kern w:val="0"/>
                      <w:szCs w:val="21"/>
                    </w:rPr>
                    <w:t>0</w:t>
                  </w:r>
                </w:p>
              </w:tc>
              <w:tc>
                <w:tcPr>
                  <w:tcW w:w="1410" w:type="dxa"/>
                  <w:vAlign w:val="center"/>
                </w:tcPr>
                <w:p>
                  <w:pPr>
                    <w:widowControl/>
                    <w:jc w:val="center"/>
                    <w:textAlignment w:val="center"/>
                    <w:rPr>
                      <w:szCs w:val="21"/>
                    </w:rPr>
                  </w:pPr>
                  <w:r>
                    <w:rPr>
                      <w:color w:val="000000"/>
                      <w:kern w:val="0"/>
                      <w:szCs w:val="21"/>
                    </w:rPr>
                    <w:t>0.00005155</w:t>
                  </w:r>
                </w:p>
              </w:tc>
              <w:tc>
                <w:tcPr>
                  <w:tcW w:w="1154" w:type="dxa"/>
                  <w:vAlign w:val="center"/>
                </w:tcPr>
                <w:p>
                  <w:pPr>
                    <w:widowControl/>
                    <w:jc w:val="center"/>
                    <w:textAlignment w:val="center"/>
                    <w:rPr>
                      <w:szCs w:val="21"/>
                    </w:rPr>
                  </w:pPr>
                  <w:r>
                    <w:rPr>
                      <w:color w:val="000000"/>
                      <w:kern w:val="0"/>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34" w:type="dxa"/>
                  <w:vAlign w:val="center"/>
                </w:tcPr>
                <w:p>
                  <w:pPr>
                    <w:spacing w:line="240" w:lineRule="exact"/>
                    <w:jc w:val="center"/>
                    <w:rPr>
                      <w:szCs w:val="21"/>
                    </w:rPr>
                  </w:pPr>
                  <w:r>
                    <w:rPr>
                      <w:szCs w:val="21"/>
                    </w:rPr>
                    <w:t>2000</w:t>
                  </w:r>
                </w:p>
              </w:tc>
              <w:tc>
                <w:tcPr>
                  <w:tcW w:w="1397" w:type="dxa"/>
                  <w:vAlign w:val="center"/>
                </w:tcPr>
                <w:p>
                  <w:pPr>
                    <w:widowControl/>
                    <w:jc w:val="center"/>
                    <w:textAlignment w:val="center"/>
                    <w:rPr>
                      <w:szCs w:val="21"/>
                    </w:rPr>
                  </w:pPr>
                  <w:r>
                    <w:rPr>
                      <w:color w:val="000000"/>
                      <w:kern w:val="0"/>
                      <w:szCs w:val="21"/>
                    </w:rPr>
                    <w:t>0.0004188</w:t>
                  </w:r>
                </w:p>
              </w:tc>
              <w:tc>
                <w:tcPr>
                  <w:tcW w:w="1090" w:type="dxa"/>
                  <w:vAlign w:val="center"/>
                </w:tcPr>
                <w:p>
                  <w:pPr>
                    <w:widowControl/>
                    <w:jc w:val="center"/>
                    <w:textAlignment w:val="center"/>
                    <w:rPr>
                      <w:szCs w:val="21"/>
                    </w:rPr>
                  </w:pPr>
                  <w:r>
                    <w:rPr>
                      <w:color w:val="000000"/>
                      <w:kern w:val="0"/>
                      <w:szCs w:val="21"/>
                    </w:rPr>
                    <w:t>0.09</w:t>
                  </w:r>
                </w:p>
              </w:tc>
              <w:tc>
                <w:tcPr>
                  <w:tcW w:w="1459" w:type="dxa"/>
                  <w:vAlign w:val="center"/>
                </w:tcPr>
                <w:p>
                  <w:pPr>
                    <w:widowControl/>
                    <w:jc w:val="center"/>
                    <w:textAlignment w:val="center"/>
                    <w:rPr>
                      <w:szCs w:val="21"/>
                    </w:rPr>
                  </w:pPr>
                  <w:r>
                    <w:rPr>
                      <w:color w:val="000000"/>
                      <w:kern w:val="0"/>
                      <w:szCs w:val="21"/>
                    </w:rPr>
                    <w:t>0.00004786</w:t>
                  </w:r>
                </w:p>
              </w:tc>
              <w:tc>
                <w:tcPr>
                  <w:tcW w:w="1057" w:type="dxa"/>
                  <w:vAlign w:val="center"/>
                </w:tcPr>
                <w:p>
                  <w:pPr>
                    <w:widowControl/>
                    <w:jc w:val="center"/>
                    <w:textAlignment w:val="center"/>
                    <w:rPr>
                      <w:szCs w:val="21"/>
                    </w:rPr>
                  </w:pPr>
                  <w:r>
                    <w:rPr>
                      <w:color w:val="000000"/>
                      <w:kern w:val="0"/>
                      <w:szCs w:val="21"/>
                    </w:rPr>
                    <w:t>0</w:t>
                  </w:r>
                </w:p>
              </w:tc>
              <w:tc>
                <w:tcPr>
                  <w:tcW w:w="1410" w:type="dxa"/>
                  <w:vAlign w:val="center"/>
                </w:tcPr>
                <w:p>
                  <w:pPr>
                    <w:widowControl/>
                    <w:jc w:val="center"/>
                    <w:textAlignment w:val="center"/>
                    <w:rPr>
                      <w:szCs w:val="21"/>
                    </w:rPr>
                  </w:pPr>
                  <w:r>
                    <w:rPr>
                      <w:color w:val="000000"/>
                      <w:kern w:val="0"/>
                      <w:szCs w:val="21"/>
                    </w:rPr>
                    <w:t>0.00004786</w:t>
                  </w:r>
                </w:p>
              </w:tc>
              <w:tc>
                <w:tcPr>
                  <w:tcW w:w="1154" w:type="dxa"/>
                  <w:vAlign w:val="center"/>
                </w:tcPr>
                <w:p>
                  <w:pPr>
                    <w:widowControl/>
                    <w:jc w:val="center"/>
                    <w:textAlignment w:val="center"/>
                    <w:rPr>
                      <w:szCs w:val="21"/>
                    </w:rPr>
                  </w:pPr>
                  <w:r>
                    <w:rPr>
                      <w:color w:val="000000"/>
                      <w:kern w:val="0"/>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2100</w:t>
                  </w:r>
                </w:p>
              </w:tc>
              <w:tc>
                <w:tcPr>
                  <w:tcW w:w="1397" w:type="dxa"/>
                  <w:vAlign w:val="center"/>
                </w:tcPr>
                <w:p>
                  <w:pPr>
                    <w:widowControl/>
                    <w:jc w:val="center"/>
                    <w:textAlignment w:val="center"/>
                    <w:rPr>
                      <w:szCs w:val="21"/>
                    </w:rPr>
                  </w:pPr>
                  <w:r>
                    <w:rPr>
                      <w:color w:val="000000"/>
                      <w:kern w:val="0"/>
                      <w:szCs w:val="21"/>
                    </w:rPr>
                    <w:t>0.0003915</w:t>
                  </w:r>
                </w:p>
              </w:tc>
              <w:tc>
                <w:tcPr>
                  <w:tcW w:w="1090" w:type="dxa"/>
                  <w:vAlign w:val="center"/>
                </w:tcPr>
                <w:p>
                  <w:pPr>
                    <w:widowControl/>
                    <w:jc w:val="center"/>
                    <w:textAlignment w:val="center"/>
                    <w:rPr>
                      <w:szCs w:val="21"/>
                    </w:rPr>
                  </w:pPr>
                  <w:r>
                    <w:rPr>
                      <w:color w:val="000000"/>
                      <w:kern w:val="0"/>
                      <w:szCs w:val="21"/>
                    </w:rPr>
                    <w:t>0.09</w:t>
                  </w:r>
                </w:p>
              </w:tc>
              <w:tc>
                <w:tcPr>
                  <w:tcW w:w="1459" w:type="dxa"/>
                  <w:vAlign w:val="center"/>
                </w:tcPr>
                <w:p>
                  <w:pPr>
                    <w:widowControl/>
                    <w:jc w:val="center"/>
                    <w:textAlignment w:val="center"/>
                    <w:rPr>
                      <w:szCs w:val="21"/>
                    </w:rPr>
                  </w:pPr>
                  <w:r>
                    <w:rPr>
                      <w:color w:val="000000"/>
                      <w:kern w:val="0"/>
                      <w:szCs w:val="21"/>
                    </w:rPr>
                    <w:t>0.00004474</w:t>
                  </w:r>
                </w:p>
              </w:tc>
              <w:tc>
                <w:tcPr>
                  <w:tcW w:w="1057" w:type="dxa"/>
                  <w:vAlign w:val="center"/>
                </w:tcPr>
                <w:p>
                  <w:pPr>
                    <w:widowControl/>
                    <w:jc w:val="center"/>
                    <w:textAlignment w:val="center"/>
                    <w:rPr>
                      <w:szCs w:val="21"/>
                    </w:rPr>
                  </w:pPr>
                  <w:r>
                    <w:rPr>
                      <w:color w:val="000000"/>
                      <w:kern w:val="0"/>
                      <w:szCs w:val="21"/>
                    </w:rPr>
                    <w:t>0</w:t>
                  </w:r>
                </w:p>
              </w:tc>
              <w:tc>
                <w:tcPr>
                  <w:tcW w:w="1410" w:type="dxa"/>
                  <w:vAlign w:val="center"/>
                </w:tcPr>
                <w:p>
                  <w:pPr>
                    <w:widowControl/>
                    <w:jc w:val="center"/>
                    <w:textAlignment w:val="center"/>
                    <w:rPr>
                      <w:szCs w:val="21"/>
                    </w:rPr>
                  </w:pPr>
                  <w:r>
                    <w:rPr>
                      <w:color w:val="000000"/>
                      <w:kern w:val="0"/>
                      <w:szCs w:val="21"/>
                    </w:rPr>
                    <w:t>0.00004474</w:t>
                  </w:r>
                </w:p>
              </w:tc>
              <w:tc>
                <w:tcPr>
                  <w:tcW w:w="1154" w:type="dxa"/>
                  <w:vAlign w:val="center"/>
                </w:tcPr>
                <w:p>
                  <w:pPr>
                    <w:widowControl/>
                    <w:jc w:val="center"/>
                    <w:textAlignment w:val="center"/>
                    <w:rPr>
                      <w:szCs w:val="21"/>
                    </w:rPr>
                  </w:pPr>
                  <w:r>
                    <w:rPr>
                      <w:color w:val="000000"/>
                      <w:kern w:val="0"/>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2200</w:t>
                  </w:r>
                </w:p>
              </w:tc>
              <w:tc>
                <w:tcPr>
                  <w:tcW w:w="1397" w:type="dxa"/>
                  <w:vAlign w:val="center"/>
                </w:tcPr>
                <w:p>
                  <w:pPr>
                    <w:widowControl/>
                    <w:jc w:val="center"/>
                    <w:textAlignment w:val="center"/>
                    <w:rPr>
                      <w:szCs w:val="21"/>
                    </w:rPr>
                  </w:pPr>
                  <w:r>
                    <w:rPr>
                      <w:color w:val="000000"/>
                      <w:kern w:val="0"/>
                      <w:szCs w:val="21"/>
                    </w:rPr>
                    <w:t>0.0003671</w:t>
                  </w:r>
                </w:p>
              </w:tc>
              <w:tc>
                <w:tcPr>
                  <w:tcW w:w="1090" w:type="dxa"/>
                  <w:vAlign w:val="center"/>
                </w:tcPr>
                <w:p>
                  <w:pPr>
                    <w:widowControl/>
                    <w:jc w:val="center"/>
                    <w:textAlignment w:val="center"/>
                    <w:rPr>
                      <w:szCs w:val="21"/>
                    </w:rPr>
                  </w:pPr>
                  <w:r>
                    <w:rPr>
                      <w:color w:val="000000"/>
                      <w:kern w:val="0"/>
                      <w:szCs w:val="21"/>
                    </w:rPr>
                    <w:t>0.08</w:t>
                  </w:r>
                </w:p>
              </w:tc>
              <w:tc>
                <w:tcPr>
                  <w:tcW w:w="1459" w:type="dxa"/>
                  <w:vAlign w:val="center"/>
                </w:tcPr>
                <w:p>
                  <w:pPr>
                    <w:widowControl/>
                    <w:jc w:val="center"/>
                    <w:textAlignment w:val="center"/>
                    <w:rPr>
                      <w:szCs w:val="21"/>
                    </w:rPr>
                  </w:pPr>
                  <w:r>
                    <w:rPr>
                      <w:color w:val="000000"/>
                      <w:kern w:val="0"/>
                      <w:szCs w:val="21"/>
                    </w:rPr>
                    <w:t>0.00004195</w:t>
                  </w:r>
                </w:p>
              </w:tc>
              <w:tc>
                <w:tcPr>
                  <w:tcW w:w="1057" w:type="dxa"/>
                  <w:vAlign w:val="center"/>
                </w:tcPr>
                <w:p>
                  <w:pPr>
                    <w:widowControl/>
                    <w:jc w:val="center"/>
                    <w:textAlignment w:val="center"/>
                    <w:rPr>
                      <w:szCs w:val="21"/>
                    </w:rPr>
                  </w:pPr>
                  <w:r>
                    <w:rPr>
                      <w:color w:val="000000"/>
                      <w:kern w:val="0"/>
                      <w:szCs w:val="21"/>
                    </w:rPr>
                    <w:t>0</w:t>
                  </w:r>
                </w:p>
              </w:tc>
              <w:tc>
                <w:tcPr>
                  <w:tcW w:w="1410" w:type="dxa"/>
                  <w:vAlign w:val="center"/>
                </w:tcPr>
                <w:p>
                  <w:pPr>
                    <w:widowControl/>
                    <w:jc w:val="center"/>
                    <w:textAlignment w:val="center"/>
                    <w:rPr>
                      <w:szCs w:val="21"/>
                    </w:rPr>
                  </w:pPr>
                  <w:r>
                    <w:rPr>
                      <w:color w:val="000000"/>
                      <w:kern w:val="0"/>
                      <w:szCs w:val="21"/>
                    </w:rPr>
                    <w:t>0.00004195</w:t>
                  </w:r>
                </w:p>
              </w:tc>
              <w:tc>
                <w:tcPr>
                  <w:tcW w:w="1154" w:type="dxa"/>
                  <w:vAlign w:val="center"/>
                </w:tcPr>
                <w:p>
                  <w:pPr>
                    <w:widowControl/>
                    <w:jc w:val="center"/>
                    <w:textAlignment w:val="center"/>
                    <w:rPr>
                      <w:szCs w:val="21"/>
                    </w:rPr>
                  </w:pPr>
                  <w:r>
                    <w:rPr>
                      <w:color w:val="000000"/>
                      <w:kern w:val="0"/>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2300</w:t>
                  </w:r>
                </w:p>
              </w:tc>
              <w:tc>
                <w:tcPr>
                  <w:tcW w:w="1397" w:type="dxa"/>
                  <w:vAlign w:val="center"/>
                </w:tcPr>
                <w:p>
                  <w:pPr>
                    <w:widowControl/>
                    <w:jc w:val="center"/>
                    <w:textAlignment w:val="center"/>
                    <w:rPr>
                      <w:szCs w:val="21"/>
                    </w:rPr>
                  </w:pPr>
                  <w:r>
                    <w:rPr>
                      <w:color w:val="000000"/>
                      <w:kern w:val="0"/>
                      <w:szCs w:val="21"/>
                    </w:rPr>
                    <w:t>0.0003452</w:t>
                  </w:r>
                </w:p>
              </w:tc>
              <w:tc>
                <w:tcPr>
                  <w:tcW w:w="1090" w:type="dxa"/>
                  <w:vAlign w:val="center"/>
                </w:tcPr>
                <w:p>
                  <w:pPr>
                    <w:widowControl/>
                    <w:jc w:val="center"/>
                    <w:textAlignment w:val="center"/>
                    <w:rPr>
                      <w:szCs w:val="21"/>
                    </w:rPr>
                  </w:pPr>
                  <w:r>
                    <w:rPr>
                      <w:color w:val="000000"/>
                      <w:kern w:val="0"/>
                      <w:szCs w:val="21"/>
                    </w:rPr>
                    <w:t>0.08</w:t>
                  </w:r>
                </w:p>
              </w:tc>
              <w:tc>
                <w:tcPr>
                  <w:tcW w:w="1459" w:type="dxa"/>
                  <w:vAlign w:val="center"/>
                </w:tcPr>
                <w:p>
                  <w:pPr>
                    <w:widowControl/>
                    <w:jc w:val="center"/>
                    <w:textAlignment w:val="center"/>
                    <w:rPr>
                      <w:szCs w:val="21"/>
                    </w:rPr>
                  </w:pPr>
                  <w:r>
                    <w:rPr>
                      <w:color w:val="000000"/>
                      <w:kern w:val="0"/>
                      <w:szCs w:val="21"/>
                    </w:rPr>
                    <w:t>0.00003945</w:t>
                  </w:r>
                </w:p>
              </w:tc>
              <w:tc>
                <w:tcPr>
                  <w:tcW w:w="1057" w:type="dxa"/>
                  <w:vAlign w:val="center"/>
                </w:tcPr>
                <w:p>
                  <w:pPr>
                    <w:widowControl/>
                    <w:jc w:val="center"/>
                    <w:textAlignment w:val="center"/>
                    <w:rPr>
                      <w:szCs w:val="21"/>
                    </w:rPr>
                  </w:pPr>
                  <w:r>
                    <w:rPr>
                      <w:color w:val="000000"/>
                      <w:kern w:val="0"/>
                      <w:szCs w:val="21"/>
                    </w:rPr>
                    <w:t>0</w:t>
                  </w:r>
                </w:p>
              </w:tc>
              <w:tc>
                <w:tcPr>
                  <w:tcW w:w="1410" w:type="dxa"/>
                  <w:vAlign w:val="center"/>
                </w:tcPr>
                <w:p>
                  <w:pPr>
                    <w:widowControl/>
                    <w:jc w:val="center"/>
                    <w:textAlignment w:val="center"/>
                    <w:rPr>
                      <w:szCs w:val="21"/>
                    </w:rPr>
                  </w:pPr>
                  <w:r>
                    <w:rPr>
                      <w:color w:val="000000"/>
                      <w:kern w:val="0"/>
                      <w:szCs w:val="21"/>
                    </w:rPr>
                    <w:t>0.00003945</w:t>
                  </w:r>
                </w:p>
              </w:tc>
              <w:tc>
                <w:tcPr>
                  <w:tcW w:w="1154" w:type="dxa"/>
                  <w:vAlign w:val="center"/>
                </w:tcPr>
                <w:p>
                  <w:pPr>
                    <w:widowControl/>
                    <w:jc w:val="center"/>
                    <w:textAlignment w:val="center"/>
                    <w:rPr>
                      <w:szCs w:val="21"/>
                    </w:rPr>
                  </w:pPr>
                  <w:r>
                    <w:rPr>
                      <w:color w:val="000000"/>
                      <w:kern w:val="0"/>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2400</w:t>
                  </w:r>
                </w:p>
              </w:tc>
              <w:tc>
                <w:tcPr>
                  <w:tcW w:w="1397" w:type="dxa"/>
                  <w:vAlign w:val="center"/>
                </w:tcPr>
                <w:p>
                  <w:pPr>
                    <w:widowControl/>
                    <w:jc w:val="center"/>
                    <w:textAlignment w:val="center"/>
                    <w:rPr>
                      <w:szCs w:val="21"/>
                    </w:rPr>
                  </w:pPr>
                  <w:r>
                    <w:rPr>
                      <w:color w:val="000000"/>
                      <w:kern w:val="0"/>
                      <w:szCs w:val="21"/>
                    </w:rPr>
                    <w:t>0.0003254</w:t>
                  </w:r>
                </w:p>
              </w:tc>
              <w:tc>
                <w:tcPr>
                  <w:tcW w:w="1090" w:type="dxa"/>
                  <w:vAlign w:val="center"/>
                </w:tcPr>
                <w:p>
                  <w:pPr>
                    <w:widowControl/>
                    <w:jc w:val="center"/>
                    <w:textAlignment w:val="center"/>
                    <w:rPr>
                      <w:szCs w:val="21"/>
                    </w:rPr>
                  </w:pPr>
                  <w:r>
                    <w:rPr>
                      <w:color w:val="000000"/>
                      <w:kern w:val="0"/>
                      <w:szCs w:val="21"/>
                    </w:rPr>
                    <w:t>0.07</w:t>
                  </w:r>
                </w:p>
              </w:tc>
              <w:tc>
                <w:tcPr>
                  <w:tcW w:w="1459" w:type="dxa"/>
                  <w:vAlign w:val="center"/>
                </w:tcPr>
                <w:p>
                  <w:pPr>
                    <w:widowControl/>
                    <w:jc w:val="center"/>
                    <w:textAlignment w:val="center"/>
                    <w:rPr>
                      <w:szCs w:val="21"/>
                    </w:rPr>
                  </w:pPr>
                  <w:r>
                    <w:rPr>
                      <w:color w:val="000000"/>
                      <w:kern w:val="0"/>
                      <w:szCs w:val="21"/>
                    </w:rPr>
                    <w:t>0.00003718</w:t>
                  </w:r>
                </w:p>
              </w:tc>
              <w:tc>
                <w:tcPr>
                  <w:tcW w:w="1057" w:type="dxa"/>
                  <w:vAlign w:val="center"/>
                </w:tcPr>
                <w:p>
                  <w:pPr>
                    <w:widowControl/>
                    <w:jc w:val="center"/>
                    <w:textAlignment w:val="center"/>
                    <w:rPr>
                      <w:szCs w:val="21"/>
                    </w:rPr>
                  </w:pPr>
                  <w:r>
                    <w:rPr>
                      <w:color w:val="000000"/>
                      <w:kern w:val="0"/>
                      <w:szCs w:val="21"/>
                    </w:rPr>
                    <w:t>0</w:t>
                  </w:r>
                </w:p>
              </w:tc>
              <w:tc>
                <w:tcPr>
                  <w:tcW w:w="1410" w:type="dxa"/>
                  <w:vAlign w:val="center"/>
                </w:tcPr>
                <w:p>
                  <w:pPr>
                    <w:widowControl/>
                    <w:jc w:val="center"/>
                    <w:textAlignment w:val="center"/>
                    <w:rPr>
                      <w:szCs w:val="21"/>
                    </w:rPr>
                  </w:pPr>
                  <w:r>
                    <w:rPr>
                      <w:color w:val="000000"/>
                      <w:kern w:val="0"/>
                      <w:szCs w:val="21"/>
                    </w:rPr>
                    <w:t>0.00003718</w:t>
                  </w:r>
                </w:p>
              </w:tc>
              <w:tc>
                <w:tcPr>
                  <w:tcW w:w="1154" w:type="dxa"/>
                  <w:vAlign w:val="center"/>
                </w:tcPr>
                <w:p>
                  <w:pPr>
                    <w:widowControl/>
                    <w:jc w:val="center"/>
                    <w:textAlignment w:val="center"/>
                    <w:rPr>
                      <w:szCs w:val="21"/>
                    </w:rPr>
                  </w:pPr>
                  <w:r>
                    <w:rPr>
                      <w:color w:val="000000"/>
                      <w:kern w:val="0"/>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2500</w:t>
                  </w:r>
                </w:p>
              </w:tc>
              <w:tc>
                <w:tcPr>
                  <w:tcW w:w="1397" w:type="dxa"/>
                  <w:vAlign w:val="center"/>
                </w:tcPr>
                <w:p>
                  <w:pPr>
                    <w:widowControl/>
                    <w:jc w:val="center"/>
                    <w:textAlignment w:val="center"/>
                    <w:rPr>
                      <w:szCs w:val="21"/>
                    </w:rPr>
                  </w:pPr>
                  <w:r>
                    <w:rPr>
                      <w:color w:val="000000"/>
                      <w:kern w:val="0"/>
                      <w:szCs w:val="21"/>
                    </w:rPr>
                    <w:t>0.0003074</w:t>
                  </w:r>
                </w:p>
              </w:tc>
              <w:tc>
                <w:tcPr>
                  <w:tcW w:w="1090" w:type="dxa"/>
                  <w:vAlign w:val="center"/>
                </w:tcPr>
                <w:p>
                  <w:pPr>
                    <w:widowControl/>
                    <w:jc w:val="center"/>
                    <w:textAlignment w:val="center"/>
                    <w:rPr>
                      <w:szCs w:val="21"/>
                    </w:rPr>
                  </w:pPr>
                  <w:r>
                    <w:rPr>
                      <w:color w:val="000000"/>
                      <w:kern w:val="0"/>
                      <w:szCs w:val="21"/>
                    </w:rPr>
                    <w:t>0.07</w:t>
                  </w:r>
                </w:p>
              </w:tc>
              <w:tc>
                <w:tcPr>
                  <w:tcW w:w="1459" w:type="dxa"/>
                  <w:vAlign w:val="center"/>
                </w:tcPr>
                <w:p>
                  <w:pPr>
                    <w:widowControl/>
                    <w:jc w:val="center"/>
                    <w:textAlignment w:val="center"/>
                    <w:rPr>
                      <w:szCs w:val="21"/>
                    </w:rPr>
                  </w:pPr>
                  <w:r>
                    <w:rPr>
                      <w:color w:val="000000"/>
                      <w:kern w:val="0"/>
                      <w:szCs w:val="21"/>
                    </w:rPr>
                    <w:t>0.00003513</w:t>
                  </w:r>
                </w:p>
              </w:tc>
              <w:tc>
                <w:tcPr>
                  <w:tcW w:w="1057" w:type="dxa"/>
                  <w:vAlign w:val="center"/>
                </w:tcPr>
                <w:p>
                  <w:pPr>
                    <w:widowControl/>
                    <w:jc w:val="center"/>
                    <w:textAlignment w:val="center"/>
                    <w:rPr>
                      <w:szCs w:val="21"/>
                    </w:rPr>
                  </w:pPr>
                  <w:r>
                    <w:rPr>
                      <w:color w:val="000000"/>
                      <w:kern w:val="0"/>
                      <w:szCs w:val="21"/>
                    </w:rPr>
                    <w:t>0</w:t>
                  </w:r>
                </w:p>
              </w:tc>
              <w:tc>
                <w:tcPr>
                  <w:tcW w:w="1410" w:type="dxa"/>
                  <w:vAlign w:val="center"/>
                </w:tcPr>
                <w:p>
                  <w:pPr>
                    <w:widowControl/>
                    <w:jc w:val="center"/>
                    <w:textAlignment w:val="center"/>
                    <w:rPr>
                      <w:szCs w:val="21"/>
                    </w:rPr>
                  </w:pPr>
                  <w:r>
                    <w:rPr>
                      <w:color w:val="000000"/>
                      <w:kern w:val="0"/>
                      <w:szCs w:val="21"/>
                    </w:rPr>
                    <w:t>0.00003513</w:t>
                  </w:r>
                </w:p>
              </w:tc>
              <w:tc>
                <w:tcPr>
                  <w:tcW w:w="1154" w:type="dxa"/>
                  <w:vAlign w:val="center"/>
                </w:tcPr>
                <w:p>
                  <w:pPr>
                    <w:widowControl/>
                    <w:jc w:val="center"/>
                    <w:textAlignment w:val="center"/>
                    <w:rPr>
                      <w:szCs w:val="21"/>
                    </w:rPr>
                  </w:pPr>
                  <w:r>
                    <w:rPr>
                      <w:color w:val="000000"/>
                      <w:kern w:val="0"/>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付神首村</w:t>
                  </w:r>
                </w:p>
              </w:tc>
              <w:tc>
                <w:tcPr>
                  <w:tcW w:w="1397" w:type="dxa"/>
                  <w:vAlign w:val="center"/>
                </w:tcPr>
                <w:p>
                  <w:pPr>
                    <w:widowControl/>
                    <w:jc w:val="center"/>
                    <w:textAlignment w:val="center"/>
                    <w:rPr>
                      <w:szCs w:val="21"/>
                    </w:rPr>
                  </w:pPr>
                  <w:r>
                    <w:rPr>
                      <w:color w:val="000000"/>
                      <w:kern w:val="0"/>
                      <w:szCs w:val="21"/>
                    </w:rPr>
                    <w:t>0.003418</w:t>
                  </w:r>
                </w:p>
              </w:tc>
              <w:tc>
                <w:tcPr>
                  <w:tcW w:w="1090" w:type="dxa"/>
                  <w:vAlign w:val="center"/>
                </w:tcPr>
                <w:p>
                  <w:pPr>
                    <w:widowControl/>
                    <w:jc w:val="center"/>
                    <w:textAlignment w:val="center"/>
                    <w:rPr>
                      <w:szCs w:val="21"/>
                    </w:rPr>
                  </w:pPr>
                  <w:r>
                    <w:rPr>
                      <w:color w:val="000000"/>
                      <w:kern w:val="0"/>
                      <w:szCs w:val="21"/>
                    </w:rPr>
                    <w:t>0.76</w:t>
                  </w:r>
                </w:p>
              </w:tc>
              <w:tc>
                <w:tcPr>
                  <w:tcW w:w="1459" w:type="dxa"/>
                  <w:vAlign w:val="center"/>
                </w:tcPr>
                <w:p>
                  <w:pPr>
                    <w:widowControl/>
                    <w:jc w:val="center"/>
                    <w:textAlignment w:val="center"/>
                    <w:rPr>
                      <w:szCs w:val="21"/>
                    </w:rPr>
                  </w:pPr>
                  <w:r>
                    <w:rPr>
                      <w:color w:val="000000"/>
                      <w:kern w:val="0"/>
                      <w:szCs w:val="21"/>
                    </w:rPr>
                    <w:t>0.0003907</w:t>
                  </w:r>
                </w:p>
              </w:tc>
              <w:tc>
                <w:tcPr>
                  <w:tcW w:w="1057" w:type="dxa"/>
                  <w:vAlign w:val="center"/>
                </w:tcPr>
                <w:p>
                  <w:pPr>
                    <w:widowControl/>
                    <w:jc w:val="center"/>
                    <w:textAlignment w:val="center"/>
                    <w:rPr>
                      <w:szCs w:val="21"/>
                    </w:rPr>
                  </w:pPr>
                  <w:r>
                    <w:rPr>
                      <w:color w:val="000000"/>
                      <w:kern w:val="0"/>
                      <w:szCs w:val="21"/>
                    </w:rPr>
                    <w:t>0.02</w:t>
                  </w:r>
                </w:p>
              </w:tc>
              <w:tc>
                <w:tcPr>
                  <w:tcW w:w="1410" w:type="dxa"/>
                  <w:vAlign w:val="center"/>
                </w:tcPr>
                <w:p>
                  <w:pPr>
                    <w:widowControl/>
                    <w:jc w:val="center"/>
                    <w:textAlignment w:val="center"/>
                    <w:rPr>
                      <w:szCs w:val="21"/>
                    </w:rPr>
                  </w:pPr>
                  <w:r>
                    <w:rPr>
                      <w:color w:val="000000"/>
                      <w:kern w:val="0"/>
                      <w:szCs w:val="21"/>
                    </w:rPr>
                    <w:t>0.0003907</w:t>
                  </w:r>
                </w:p>
              </w:tc>
              <w:tc>
                <w:tcPr>
                  <w:tcW w:w="1154" w:type="dxa"/>
                  <w:vAlign w:val="center"/>
                </w:tcPr>
                <w:p>
                  <w:pPr>
                    <w:widowControl/>
                    <w:jc w:val="center"/>
                    <w:textAlignment w:val="center"/>
                    <w:rPr>
                      <w:szCs w:val="21"/>
                    </w:rPr>
                  </w:pPr>
                  <w:r>
                    <w:rPr>
                      <w:color w:val="00000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最大值</w:t>
                  </w:r>
                </w:p>
              </w:tc>
              <w:tc>
                <w:tcPr>
                  <w:tcW w:w="1397" w:type="dxa"/>
                  <w:vAlign w:val="center"/>
                </w:tcPr>
                <w:p>
                  <w:pPr>
                    <w:widowControl/>
                    <w:jc w:val="center"/>
                    <w:textAlignment w:val="center"/>
                    <w:rPr>
                      <w:szCs w:val="21"/>
                    </w:rPr>
                  </w:pPr>
                  <w:r>
                    <w:rPr>
                      <w:color w:val="000000"/>
                      <w:kern w:val="0"/>
                      <w:szCs w:val="21"/>
                    </w:rPr>
                    <w:t>0.003813</w:t>
                  </w:r>
                </w:p>
              </w:tc>
              <w:tc>
                <w:tcPr>
                  <w:tcW w:w="1090" w:type="dxa"/>
                  <w:vAlign w:val="center"/>
                </w:tcPr>
                <w:p>
                  <w:pPr>
                    <w:widowControl/>
                    <w:jc w:val="center"/>
                    <w:textAlignment w:val="center"/>
                    <w:rPr>
                      <w:szCs w:val="21"/>
                    </w:rPr>
                  </w:pPr>
                  <w:r>
                    <w:rPr>
                      <w:color w:val="000000"/>
                      <w:kern w:val="0"/>
                      <w:szCs w:val="21"/>
                    </w:rPr>
                    <w:t>0.85</w:t>
                  </w:r>
                </w:p>
              </w:tc>
              <w:tc>
                <w:tcPr>
                  <w:tcW w:w="1459" w:type="dxa"/>
                  <w:vAlign w:val="center"/>
                </w:tcPr>
                <w:p>
                  <w:pPr>
                    <w:widowControl/>
                    <w:jc w:val="center"/>
                    <w:textAlignment w:val="center"/>
                    <w:rPr>
                      <w:szCs w:val="21"/>
                    </w:rPr>
                  </w:pPr>
                  <w:r>
                    <w:rPr>
                      <w:color w:val="000000"/>
                      <w:kern w:val="0"/>
                      <w:szCs w:val="21"/>
                    </w:rPr>
                    <w:t>0.0004358</w:t>
                  </w:r>
                </w:p>
              </w:tc>
              <w:tc>
                <w:tcPr>
                  <w:tcW w:w="1057" w:type="dxa"/>
                  <w:vAlign w:val="center"/>
                </w:tcPr>
                <w:p>
                  <w:pPr>
                    <w:widowControl/>
                    <w:jc w:val="center"/>
                    <w:textAlignment w:val="center"/>
                    <w:rPr>
                      <w:szCs w:val="21"/>
                    </w:rPr>
                  </w:pPr>
                  <w:r>
                    <w:rPr>
                      <w:color w:val="000000"/>
                      <w:kern w:val="0"/>
                      <w:szCs w:val="21"/>
                    </w:rPr>
                    <w:t>0.02</w:t>
                  </w:r>
                </w:p>
              </w:tc>
              <w:tc>
                <w:tcPr>
                  <w:tcW w:w="1410" w:type="dxa"/>
                  <w:vAlign w:val="center"/>
                </w:tcPr>
                <w:p>
                  <w:pPr>
                    <w:widowControl/>
                    <w:jc w:val="center"/>
                    <w:textAlignment w:val="center"/>
                    <w:rPr>
                      <w:szCs w:val="21"/>
                    </w:rPr>
                  </w:pPr>
                  <w:r>
                    <w:rPr>
                      <w:color w:val="000000"/>
                      <w:kern w:val="0"/>
                      <w:szCs w:val="21"/>
                    </w:rPr>
                    <w:t>0.0004358</w:t>
                  </w:r>
                </w:p>
              </w:tc>
              <w:tc>
                <w:tcPr>
                  <w:tcW w:w="1154" w:type="dxa"/>
                  <w:vAlign w:val="center"/>
                </w:tcPr>
                <w:p>
                  <w:pPr>
                    <w:widowControl/>
                    <w:jc w:val="center"/>
                    <w:textAlignment w:val="center"/>
                    <w:rPr>
                      <w:szCs w:val="21"/>
                    </w:rPr>
                  </w:pPr>
                  <w:r>
                    <w:rPr>
                      <w:color w:val="000000"/>
                      <w:kern w:val="0"/>
                      <w:szCs w:val="21"/>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34" w:type="dxa"/>
                  <w:vAlign w:val="center"/>
                </w:tcPr>
                <w:p>
                  <w:pPr>
                    <w:spacing w:line="240" w:lineRule="exact"/>
                    <w:jc w:val="center"/>
                    <w:rPr>
                      <w:szCs w:val="21"/>
                    </w:rPr>
                  </w:pPr>
                  <w:r>
                    <w:rPr>
                      <w:szCs w:val="21"/>
                    </w:rPr>
                    <w:t>出现距离D(m)</w:t>
                  </w:r>
                </w:p>
              </w:tc>
              <w:tc>
                <w:tcPr>
                  <w:tcW w:w="7567" w:type="dxa"/>
                  <w:gridSpan w:val="6"/>
                  <w:vAlign w:val="center"/>
                </w:tcPr>
                <w:p>
                  <w:pPr>
                    <w:spacing w:line="240" w:lineRule="exact"/>
                    <w:jc w:val="center"/>
                    <w:rPr>
                      <w:szCs w:val="21"/>
                    </w:rPr>
                  </w:pPr>
                  <w:r>
                    <w:rPr>
                      <w:szCs w:val="21"/>
                    </w:rPr>
                    <w:t>173</w:t>
                  </w:r>
                </w:p>
              </w:tc>
            </w:tr>
          </w:tbl>
          <w:p>
            <w:pPr>
              <w:keepNext/>
              <w:keepLines/>
              <w:spacing w:line="360" w:lineRule="auto"/>
              <w:ind w:firstLine="480" w:firstLineChars="200"/>
              <w:rPr>
                <w:sz w:val="24"/>
                <w:szCs w:val="24"/>
              </w:rPr>
            </w:pPr>
            <w:r>
              <w:rPr>
                <w:sz w:val="24"/>
                <w:szCs w:val="24"/>
              </w:rPr>
              <w:t>根据估算模式计算结果，车间点源</w:t>
            </w:r>
            <w:r>
              <w:rPr>
                <w:rFonts w:hint="eastAsia"/>
                <w:sz w:val="24"/>
                <w:szCs w:val="24"/>
              </w:rPr>
              <w:t>切割粉尘中</w:t>
            </w:r>
            <w:r>
              <w:rPr>
                <w:sz w:val="24"/>
                <w:szCs w:val="24"/>
              </w:rPr>
              <w:t>颗粒物</w:t>
            </w:r>
            <w:r>
              <w:rPr>
                <w:kern w:val="24"/>
                <w:sz w:val="24"/>
                <w:szCs w:val="24"/>
              </w:rPr>
              <w:t>最</w:t>
            </w:r>
            <w:r>
              <w:rPr>
                <w:sz w:val="24"/>
                <w:szCs w:val="24"/>
              </w:rPr>
              <w:t>大落地浓度为</w:t>
            </w:r>
            <w:r>
              <w:rPr>
                <w:rFonts w:hint="eastAsia"/>
                <w:sz w:val="24"/>
                <w:szCs w:val="24"/>
              </w:rPr>
              <w:t>0.00001935</w:t>
            </w:r>
            <w:r>
              <w:rPr>
                <w:kern w:val="24"/>
                <w:sz w:val="24"/>
                <w:szCs w:val="24"/>
              </w:rPr>
              <w:t>mg/m</w:t>
            </w:r>
            <w:r>
              <w:rPr>
                <w:kern w:val="24"/>
                <w:sz w:val="24"/>
                <w:szCs w:val="24"/>
                <w:vertAlign w:val="superscript"/>
              </w:rPr>
              <w:t>3</w:t>
            </w:r>
            <w:r>
              <w:rPr>
                <w:kern w:val="24"/>
                <w:sz w:val="24"/>
                <w:szCs w:val="24"/>
              </w:rPr>
              <w:t>，占标率为</w:t>
            </w:r>
            <w:r>
              <w:rPr>
                <w:kern w:val="0"/>
                <w:sz w:val="24"/>
                <w:szCs w:val="24"/>
              </w:rPr>
              <w:t>0%</w:t>
            </w:r>
            <w:r>
              <w:rPr>
                <w:kern w:val="24"/>
                <w:sz w:val="24"/>
                <w:szCs w:val="24"/>
              </w:rPr>
              <w:t>，</w:t>
            </w:r>
            <w:r>
              <w:rPr>
                <w:sz w:val="24"/>
                <w:szCs w:val="24"/>
              </w:rPr>
              <w:t>最大落地浓度出现距离均为下风向</w:t>
            </w:r>
            <w:r>
              <w:rPr>
                <w:rFonts w:hint="eastAsia"/>
                <w:sz w:val="24"/>
                <w:szCs w:val="24"/>
              </w:rPr>
              <w:t>317</w:t>
            </w:r>
            <w:r>
              <w:rPr>
                <w:sz w:val="24"/>
                <w:szCs w:val="24"/>
              </w:rPr>
              <w:t>m。点源</w:t>
            </w:r>
            <w:r>
              <w:rPr>
                <w:rFonts w:hint="eastAsia"/>
                <w:sz w:val="24"/>
                <w:szCs w:val="24"/>
              </w:rPr>
              <w:t>回火炉废气中非甲烷总烃</w:t>
            </w:r>
            <w:r>
              <w:rPr>
                <w:kern w:val="24"/>
                <w:sz w:val="24"/>
                <w:szCs w:val="24"/>
              </w:rPr>
              <w:t>最</w:t>
            </w:r>
            <w:r>
              <w:rPr>
                <w:sz w:val="24"/>
                <w:szCs w:val="24"/>
              </w:rPr>
              <w:t>大落地浓度为</w:t>
            </w:r>
            <w:r>
              <w:rPr>
                <w:rFonts w:hint="eastAsia"/>
                <w:sz w:val="24"/>
                <w:szCs w:val="24"/>
              </w:rPr>
              <w:t>0.002075</w:t>
            </w:r>
            <w:r>
              <w:rPr>
                <w:kern w:val="24"/>
                <w:sz w:val="24"/>
                <w:szCs w:val="24"/>
              </w:rPr>
              <w:t>mg/m</w:t>
            </w:r>
            <w:r>
              <w:rPr>
                <w:kern w:val="24"/>
                <w:sz w:val="24"/>
                <w:szCs w:val="24"/>
                <w:vertAlign w:val="superscript"/>
              </w:rPr>
              <w:t>3</w:t>
            </w:r>
            <w:r>
              <w:rPr>
                <w:kern w:val="24"/>
                <w:sz w:val="24"/>
                <w:szCs w:val="24"/>
              </w:rPr>
              <w:t>，占标率为</w:t>
            </w:r>
            <w:r>
              <w:rPr>
                <w:kern w:val="0"/>
                <w:sz w:val="24"/>
                <w:szCs w:val="24"/>
              </w:rPr>
              <w:t>0.</w:t>
            </w:r>
            <w:r>
              <w:rPr>
                <w:rFonts w:hint="eastAsia"/>
                <w:kern w:val="0"/>
                <w:sz w:val="24"/>
                <w:szCs w:val="24"/>
              </w:rPr>
              <w:t>01</w:t>
            </w:r>
            <w:r>
              <w:rPr>
                <w:kern w:val="0"/>
                <w:sz w:val="24"/>
                <w:szCs w:val="24"/>
              </w:rPr>
              <w:t>%</w:t>
            </w:r>
            <w:r>
              <w:rPr>
                <w:kern w:val="24"/>
                <w:sz w:val="24"/>
                <w:szCs w:val="24"/>
              </w:rPr>
              <w:t>，</w:t>
            </w:r>
            <w:r>
              <w:rPr>
                <w:sz w:val="24"/>
                <w:szCs w:val="24"/>
              </w:rPr>
              <w:t>最大落地浓度出现距离均为下风向</w:t>
            </w:r>
            <w:r>
              <w:rPr>
                <w:rFonts w:hint="eastAsia"/>
                <w:sz w:val="24"/>
                <w:szCs w:val="24"/>
              </w:rPr>
              <w:t>305</w:t>
            </w:r>
            <w:r>
              <w:rPr>
                <w:sz w:val="24"/>
                <w:szCs w:val="24"/>
              </w:rPr>
              <w:t>m。车间点源</w:t>
            </w:r>
            <w:r>
              <w:rPr>
                <w:rFonts w:hint="eastAsia"/>
                <w:sz w:val="24"/>
                <w:szCs w:val="24"/>
              </w:rPr>
              <w:t>喷晾漆废气中颗粒物</w:t>
            </w:r>
            <w:r>
              <w:rPr>
                <w:kern w:val="24"/>
                <w:sz w:val="24"/>
                <w:szCs w:val="24"/>
              </w:rPr>
              <w:t>最</w:t>
            </w:r>
            <w:r>
              <w:rPr>
                <w:sz w:val="24"/>
                <w:szCs w:val="24"/>
              </w:rPr>
              <w:t>大落地浓度为</w:t>
            </w:r>
            <w:r>
              <w:rPr>
                <w:rFonts w:hint="eastAsia"/>
                <w:sz w:val="24"/>
                <w:szCs w:val="24"/>
              </w:rPr>
              <w:t>0.002225</w:t>
            </w:r>
            <w:r>
              <w:rPr>
                <w:kern w:val="24"/>
                <w:sz w:val="24"/>
                <w:szCs w:val="24"/>
              </w:rPr>
              <w:t>mg/m</w:t>
            </w:r>
            <w:r>
              <w:rPr>
                <w:kern w:val="24"/>
                <w:sz w:val="24"/>
                <w:szCs w:val="24"/>
                <w:vertAlign w:val="superscript"/>
              </w:rPr>
              <w:t>3</w:t>
            </w:r>
            <w:r>
              <w:rPr>
                <w:kern w:val="24"/>
                <w:sz w:val="24"/>
                <w:szCs w:val="24"/>
              </w:rPr>
              <w:t>，占标率为</w:t>
            </w:r>
            <w:r>
              <w:rPr>
                <w:rFonts w:hint="eastAsia"/>
                <w:kern w:val="0"/>
                <w:sz w:val="24"/>
                <w:szCs w:val="24"/>
              </w:rPr>
              <w:t>0.49</w:t>
            </w:r>
            <w:r>
              <w:rPr>
                <w:kern w:val="0"/>
                <w:sz w:val="24"/>
                <w:szCs w:val="24"/>
              </w:rPr>
              <w:t>%</w:t>
            </w:r>
            <w:r>
              <w:rPr>
                <w:kern w:val="24"/>
                <w:sz w:val="24"/>
                <w:szCs w:val="24"/>
              </w:rPr>
              <w:t>，</w:t>
            </w:r>
            <w:r>
              <w:rPr>
                <w:rFonts w:hint="eastAsia"/>
                <w:kern w:val="24"/>
                <w:sz w:val="24"/>
                <w:szCs w:val="24"/>
              </w:rPr>
              <w:t>非甲烷总烃</w:t>
            </w:r>
            <w:r>
              <w:rPr>
                <w:kern w:val="24"/>
                <w:sz w:val="24"/>
                <w:szCs w:val="24"/>
              </w:rPr>
              <w:t>最</w:t>
            </w:r>
            <w:r>
              <w:rPr>
                <w:sz w:val="24"/>
                <w:szCs w:val="24"/>
              </w:rPr>
              <w:t>大落地浓度为</w:t>
            </w:r>
            <w:r>
              <w:rPr>
                <w:rFonts w:hint="eastAsia"/>
                <w:sz w:val="24"/>
                <w:szCs w:val="24"/>
              </w:rPr>
              <w:t>0.00009196</w:t>
            </w:r>
            <w:r>
              <w:rPr>
                <w:kern w:val="24"/>
                <w:sz w:val="24"/>
                <w:szCs w:val="24"/>
              </w:rPr>
              <w:t>mg/m</w:t>
            </w:r>
            <w:r>
              <w:rPr>
                <w:kern w:val="24"/>
                <w:sz w:val="24"/>
                <w:szCs w:val="24"/>
                <w:vertAlign w:val="superscript"/>
              </w:rPr>
              <w:t>3</w:t>
            </w:r>
            <w:r>
              <w:rPr>
                <w:kern w:val="24"/>
                <w:sz w:val="24"/>
                <w:szCs w:val="24"/>
              </w:rPr>
              <w:t>，占标率为</w:t>
            </w:r>
            <w:r>
              <w:rPr>
                <w:rFonts w:hint="eastAsia"/>
                <w:kern w:val="0"/>
                <w:sz w:val="24"/>
                <w:szCs w:val="24"/>
              </w:rPr>
              <w:t>0</w:t>
            </w:r>
            <w:r>
              <w:rPr>
                <w:kern w:val="0"/>
                <w:sz w:val="24"/>
                <w:szCs w:val="24"/>
              </w:rPr>
              <w:t>%</w:t>
            </w:r>
            <w:r>
              <w:rPr>
                <w:kern w:val="24"/>
                <w:sz w:val="24"/>
                <w:szCs w:val="24"/>
              </w:rPr>
              <w:t>，</w:t>
            </w:r>
            <w:r>
              <w:rPr>
                <w:rFonts w:hint="eastAsia"/>
                <w:kern w:val="24"/>
                <w:sz w:val="24"/>
                <w:szCs w:val="24"/>
              </w:rPr>
              <w:t>二甲苯</w:t>
            </w:r>
            <w:r>
              <w:rPr>
                <w:kern w:val="24"/>
                <w:sz w:val="24"/>
                <w:szCs w:val="24"/>
              </w:rPr>
              <w:t>最</w:t>
            </w:r>
            <w:r>
              <w:rPr>
                <w:sz w:val="24"/>
                <w:szCs w:val="24"/>
              </w:rPr>
              <w:t>大落地浓度为</w:t>
            </w:r>
            <w:r>
              <w:rPr>
                <w:rFonts w:hint="eastAsia"/>
                <w:sz w:val="24"/>
                <w:szCs w:val="24"/>
              </w:rPr>
              <w:t>0.0001287</w:t>
            </w:r>
            <w:r>
              <w:rPr>
                <w:kern w:val="24"/>
                <w:sz w:val="24"/>
                <w:szCs w:val="24"/>
              </w:rPr>
              <w:t>mg/m</w:t>
            </w:r>
            <w:r>
              <w:rPr>
                <w:kern w:val="24"/>
                <w:sz w:val="24"/>
                <w:szCs w:val="24"/>
                <w:vertAlign w:val="superscript"/>
              </w:rPr>
              <w:t>3</w:t>
            </w:r>
            <w:r>
              <w:rPr>
                <w:kern w:val="24"/>
                <w:sz w:val="24"/>
                <w:szCs w:val="24"/>
              </w:rPr>
              <w:t>，占标率为</w:t>
            </w:r>
            <w:r>
              <w:rPr>
                <w:rFonts w:hint="eastAsia"/>
                <w:kern w:val="0"/>
                <w:sz w:val="24"/>
                <w:szCs w:val="24"/>
              </w:rPr>
              <w:t>0.06</w:t>
            </w:r>
            <w:r>
              <w:rPr>
                <w:kern w:val="0"/>
                <w:sz w:val="24"/>
                <w:szCs w:val="24"/>
              </w:rPr>
              <w:t>%</w:t>
            </w:r>
            <w:r>
              <w:rPr>
                <w:kern w:val="24"/>
                <w:sz w:val="24"/>
                <w:szCs w:val="24"/>
              </w:rPr>
              <w:t>，</w:t>
            </w:r>
            <w:r>
              <w:rPr>
                <w:sz w:val="24"/>
                <w:szCs w:val="24"/>
              </w:rPr>
              <w:t>最大落地浓度出现距离均为下风向</w:t>
            </w:r>
            <w:r>
              <w:rPr>
                <w:rFonts w:hint="eastAsia"/>
                <w:sz w:val="24"/>
                <w:szCs w:val="24"/>
              </w:rPr>
              <w:t>325</w:t>
            </w:r>
            <w:r>
              <w:rPr>
                <w:sz w:val="24"/>
                <w:szCs w:val="24"/>
              </w:rPr>
              <w:t>m。</w:t>
            </w:r>
            <w:r>
              <w:rPr>
                <w:rFonts w:hint="eastAsia"/>
                <w:sz w:val="24"/>
                <w:szCs w:val="24"/>
              </w:rPr>
              <w:t>总装车间面源非甲烷总烃</w:t>
            </w:r>
            <w:r>
              <w:rPr>
                <w:kern w:val="24"/>
                <w:sz w:val="24"/>
                <w:szCs w:val="24"/>
              </w:rPr>
              <w:t>最</w:t>
            </w:r>
            <w:r>
              <w:rPr>
                <w:sz w:val="24"/>
                <w:szCs w:val="24"/>
              </w:rPr>
              <w:t>大落地浓度为</w:t>
            </w:r>
            <w:r>
              <w:rPr>
                <w:rFonts w:hint="eastAsia"/>
                <w:sz w:val="24"/>
                <w:szCs w:val="24"/>
              </w:rPr>
              <w:t>0.002006</w:t>
            </w:r>
            <w:r>
              <w:rPr>
                <w:kern w:val="24"/>
                <w:sz w:val="24"/>
                <w:szCs w:val="24"/>
              </w:rPr>
              <w:t>mg/m</w:t>
            </w:r>
            <w:r>
              <w:rPr>
                <w:kern w:val="24"/>
                <w:sz w:val="24"/>
                <w:szCs w:val="24"/>
                <w:vertAlign w:val="superscript"/>
              </w:rPr>
              <w:t>3</w:t>
            </w:r>
            <w:r>
              <w:rPr>
                <w:kern w:val="24"/>
                <w:sz w:val="24"/>
                <w:szCs w:val="24"/>
              </w:rPr>
              <w:t>，占标率为</w:t>
            </w:r>
            <w:r>
              <w:rPr>
                <w:rFonts w:hint="eastAsia"/>
                <w:kern w:val="0"/>
                <w:sz w:val="24"/>
                <w:szCs w:val="24"/>
              </w:rPr>
              <w:t>0.1</w:t>
            </w:r>
            <w:r>
              <w:rPr>
                <w:kern w:val="0"/>
                <w:sz w:val="24"/>
                <w:szCs w:val="24"/>
              </w:rPr>
              <w:t>%</w:t>
            </w:r>
            <w:r>
              <w:rPr>
                <w:kern w:val="24"/>
                <w:sz w:val="24"/>
                <w:szCs w:val="24"/>
              </w:rPr>
              <w:t>，</w:t>
            </w:r>
            <w:r>
              <w:rPr>
                <w:sz w:val="24"/>
                <w:szCs w:val="24"/>
              </w:rPr>
              <w:t>最大落地浓度出现距离均为下风向</w:t>
            </w:r>
            <w:r>
              <w:rPr>
                <w:rFonts w:hint="eastAsia"/>
                <w:sz w:val="24"/>
                <w:szCs w:val="24"/>
              </w:rPr>
              <w:t>173</w:t>
            </w:r>
            <w:r>
              <w:rPr>
                <w:sz w:val="24"/>
                <w:szCs w:val="24"/>
              </w:rPr>
              <w:t>m。车间</w:t>
            </w:r>
            <w:r>
              <w:rPr>
                <w:rFonts w:hint="eastAsia"/>
                <w:sz w:val="24"/>
                <w:szCs w:val="24"/>
              </w:rPr>
              <w:t>面源焊接烟尘颗粒物</w:t>
            </w:r>
            <w:r>
              <w:rPr>
                <w:kern w:val="24"/>
                <w:sz w:val="24"/>
                <w:szCs w:val="24"/>
              </w:rPr>
              <w:t>最</w:t>
            </w:r>
            <w:r>
              <w:rPr>
                <w:sz w:val="24"/>
                <w:szCs w:val="24"/>
              </w:rPr>
              <w:t>大落地浓度为</w:t>
            </w:r>
            <w:r>
              <w:rPr>
                <w:rFonts w:hint="eastAsia"/>
                <w:sz w:val="24"/>
                <w:szCs w:val="24"/>
              </w:rPr>
              <w:t>0.000</w:t>
            </w:r>
            <w:r>
              <w:rPr>
                <w:rFonts w:hint="eastAsia"/>
                <w:sz w:val="24"/>
                <w:szCs w:val="24"/>
                <w:lang w:val="en-US" w:eastAsia="zh-CN"/>
              </w:rPr>
              <w:t>771</w:t>
            </w:r>
            <w:r>
              <w:rPr>
                <w:kern w:val="24"/>
                <w:sz w:val="24"/>
                <w:szCs w:val="24"/>
              </w:rPr>
              <w:t>mg/m</w:t>
            </w:r>
            <w:r>
              <w:rPr>
                <w:kern w:val="24"/>
                <w:sz w:val="24"/>
                <w:szCs w:val="24"/>
                <w:vertAlign w:val="superscript"/>
              </w:rPr>
              <w:t>3</w:t>
            </w:r>
            <w:r>
              <w:rPr>
                <w:kern w:val="24"/>
                <w:sz w:val="24"/>
                <w:szCs w:val="24"/>
              </w:rPr>
              <w:t>，占标率为</w:t>
            </w:r>
            <w:r>
              <w:rPr>
                <w:rFonts w:hint="eastAsia"/>
                <w:kern w:val="0"/>
                <w:sz w:val="24"/>
                <w:szCs w:val="24"/>
              </w:rPr>
              <w:t>0.</w:t>
            </w:r>
            <w:r>
              <w:rPr>
                <w:rFonts w:hint="eastAsia"/>
                <w:kern w:val="0"/>
                <w:sz w:val="24"/>
                <w:szCs w:val="24"/>
                <w:lang w:val="en-US" w:eastAsia="zh-CN"/>
              </w:rPr>
              <w:t>17</w:t>
            </w:r>
            <w:r>
              <w:rPr>
                <w:kern w:val="0"/>
                <w:sz w:val="24"/>
                <w:szCs w:val="24"/>
              </w:rPr>
              <w:t>%</w:t>
            </w:r>
            <w:r>
              <w:rPr>
                <w:kern w:val="24"/>
                <w:sz w:val="24"/>
                <w:szCs w:val="24"/>
              </w:rPr>
              <w:t>，</w:t>
            </w:r>
            <w:r>
              <w:rPr>
                <w:sz w:val="24"/>
                <w:szCs w:val="24"/>
              </w:rPr>
              <w:t>最大落地浓度出现距离均为下风向</w:t>
            </w:r>
            <w:r>
              <w:rPr>
                <w:rFonts w:hint="eastAsia"/>
                <w:sz w:val="24"/>
                <w:szCs w:val="24"/>
              </w:rPr>
              <w:t>309</w:t>
            </w:r>
            <w:r>
              <w:rPr>
                <w:sz w:val="24"/>
                <w:szCs w:val="24"/>
              </w:rPr>
              <w:t>m</w:t>
            </w:r>
            <w:r>
              <w:rPr>
                <w:rFonts w:hint="eastAsia"/>
                <w:sz w:val="24"/>
                <w:szCs w:val="24"/>
              </w:rPr>
              <w:t>。</w:t>
            </w:r>
            <w:r>
              <w:rPr>
                <w:sz w:val="24"/>
                <w:szCs w:val="24"/>
              </w:rPr>
              <w:t>车间</w:t>
            </w:r>
            <w:r>
              <w:rPr>
                <w:rFonts w:hint="eastAsia"/>
                <w:sz w:val="24"/>
                <w:szCs w:val="24"/>
              </w:rPr>
              <w:t>面源喷晾漆与切割废气中</w:t>
            </w:r>
            <w:r>
              <w:rPr>
                <w:sz w:val="24"/>
                <w:szCs w:val="24"/>
              </w:rPr>
              <w:t>颗粒物</w:t>
            </w:r>
            <w:r>
              <w:rPr>
                <w:kern w:val="24"/>
                <w:sz w:val="24"/>
                <w:szCs w:val="24"/>
              </w:rPr>
              <w:t>最</w:t>
            </w:r>
            <w:r>
              <w:rPr>
                <w:sz w:val="24"/>
                <w:szCs w:val="24"/>
              </w:rPr>
              <w:t>大落地浓度为</w:t>
            </w:r>
            <w:r>
              <w:rPr>
                <w:rFonts w:hint="eastAsia"/>
                <w:sz w:val="24"/>
                <w:szCs w:val="24"/>
              </w:rPr>
              <w:t>0.003813</w:t>
            </w:r>
            <w:r>
              <w:rPr>
                <w:kern w:val="24"/>
                <w:sz w:val="24"/>
                <w:szCs w:val="24"/>
              </w:rPr>
              <w:t>mg/m</w:t>
            </w:r>
            <w:r>
              <w:rPr>
                <w:kern w:val="24"/>
                <w:sz w:val="24"/>
                <w:szCs w:val="24"/>
                <w:vertAlign w:val="superscript"/>
              </w:rPr>
              <w:t>3</w:t>
            </w:r>
            <w:r>
              <w:rPr>
                <w:kern w:val="24"/>
                <w:sz w:val="24"/>
                <w:szCs w:val="24"/>
              </w:rPr>
              <w:t>，占标率为</w:t>
            </w:r>
            <w:r>
              <w:rPr>
                <w:kern w:val="0"/>
                <w:sz w:val="24"/>
                <w:szCs w:val="24"/>
              </w:rPr>
              <w:t>0.</w:t>
            </w:r>
            <w:r>
              <w:rPr>
                <w:rFonts w:hint="eastAsia"/>
                <w:kern w:val="0"/>
                <w:sz w:val="24"/>
                <w:szCs w:val="24"/>
              </w:rPr>
              <w:t>85</w:t>
            </w:r>
            <w:r>
              <w:rPr>
                <w:kern w:val="0"/>
                <w:sz w:val="24"/>
                <w:szCs w:val="24"/>
              </w:rPr>
              <w:t>%</w:t>
            </w:r>
            <w:r>
              <w:rPr>
                <w:kern w:val="24"/>
                <w:sz w:val="24"/>
                <w:szCs w:val="24"/>
              </w:rPr>
              <w:t>，</w:t>
            </w:r>
            <w:r>
              <w:rPr>
                <w:rFonts w:hint="eastAsia"/>
                <w:kern w:val="24"/>
                <w:sz w:val="24"/>
                <w:szCs w:val="24"/>
              </w:rPr>
              <w:t>非甲烷总烃</w:t>
            </w:r>
            <w:r>
              <w:rPr>
                <w:kern w:val="24"/>
                <w:sz w:val="24"/>
                <w:szCs w:val="24"/>
              </w:rPr>
              <w:t>最</w:t>
            </w:r>
            <w:r>
              <w:rPr>
                <w:sz w:val="24"/>
                <w:szCs w:val="24"/>
              </w:rPr>
              <w:t>大落地浓度为</w:t>
            </w:r>
            <w:r>
              <w:rPr>
                <w:rFonts w:hint="eastAsia"/>
                <w:sz w:val="24"/>
                <w:szCs w:val="24"/>
              </w:rPr>
              <w:t>0.0004358</w:t>
            </w:r>
            <w:r>
              <w:rPr>
                <w:kern w:val="24"/>
                <w:sz w:val="24"/>
                <w:szCs w:val="24"/>
              </w:rPr>
              <w:t>mg/m</w:t>
            </w:r>
            <w:r>
              <w:rPr>
                <w:kern w:val="24"/>
                <w:sz w:val="24"/>
                <w:szCs w:val="24"/>
                <w:vertAlign w:val="superscript"/>
              </w:rPr>
              <w:t>3</w:t>
            </w:r>
            <w:r>
              <w:rPr>
                <w:kern w:val="24"/>
                <w:sz w:val="24"/>
                <w:szCs w:val="24"/>
              </w:rPr>
              <w:t>，占标率为</w:t>
            </w:r>
            <w:r>
              <w:rPr>
                <w:rFonts w:hint="eastAsia"/>
                <w:kern w:val="0"/>
                <w:sz w:val="24"/>
                <w:szCs w:val="24"/>
              </w:rPr>
              <w:t>0.02</w:t>
            </w:r>
            <w:r>
              <w:rPr>
                <w:sz w:val="24"/>
                <w:szCs w:val="24"/>
              </w:rPr>
              <w:t>，</w:t>
            </w:r>
            <w:r>
              <w:rPr>
                <w:rFonts w:hint="eastAsia"/>
                <w:sz w:val="24"/>
                <w:szCs w:val="24"/>
              </w:rPr>
              <w:t>二甲苯</w:t>
            </w:r>
            <w:r>
              <w:rPr>
                <w:kern w:val="24"/>
                <w:sz w:val="24"/>
                <w:szCs w:val="24"/>
              </w:rPr>
              <w:t>最</w:t>
            </w:r>
            <w:r>
              <w:rPr>
                <w:sz w:val="24"/>
                <w:szCs w:val="24"/>
              </w:rPr>
              <w:t>大落地浓度为</w:t>
            </w:r>
            <w:r>
              <w:rPr>
                <w:rFonts w:hint="eastAsia"/>
                <w:sz w:val="24"/>
                <w:szCs w:val="24"/>
              </w:rPr>
              <w:t>0.0004358</w:t>
            </w:r>
            <w:r>
              <w:rPr>
                <w:kern w:val="24"/>
                <w:sz w:val="24"/>
                <w:szCs w:val="24"/>
              </w:rPr>
              <w:t>mg/m</w:t>
            </w:r>
            <w:r>
              <w:rPr>
                <w:kern w:val="24"/>
                <w:sz w:val="24"/>
                <w:szCs w:val="24"/>
                <w:vertAlign w:val="superscript"/>
              </w:rPr>
              <w:t>3</w:t>
            </w:r>
            <w:r>
              <w:rPr>
                <w:kern w:val="24"/>
                <w:sz w:val="24"/>
                <w:szCs w:val="24"/>
              </w:rPr>
              <w:t>，占标率为</w:t>
            </w:r>
            <w:r>
              <w:rPr>
                <w:rFonts w:hint="eastAsia"/>
                <w:kern w:val="0"/>
                <w:sz w:val="24"/>
                <w:szCs w:val="24"/>
              </w:rPr>
              <w:t>0.22</w:t>
            </w:r>
            <w:r>
              <w:rPr>
                <w:kern w:val="24"/>
                <w:sz w:val="24"/>
                <w:szCs w:val="24"/>
              </w:rPr>
              <w:t>%，</w:t>
            </w:r>
            <w:r>
              <w:rPr>
                <w:sz w:val="24"/>
                <w:szCs w:val="24"/>
              </w:rPr>
              <w:t>最大落地浓度出现距离均为下风向</w:t>
            </w:r>
            <w:r>
              <w:rPr>
                <w:rFonts w:hint="eastAsia"/>
                <w:sz w:val="24"/>
                <w:szCs w:val="24"/>
              </w:rPr>
              <w:t>173</w:t>
            </w:r>
            <w:r>
              <w:rPr>
                <w:sz w:val="24"/>
                <w:szCs w:val="24"/>
              </w:rPr>
              <w:t>m。非甲烷总烃可满足河北省地方标准《环境空气质量 非甲烷总烃限值》（DB13/1577-2012）中表1二级标准要求，颗粒物可满足</w:t>
            </w:r>
            <w:r>
              <w:rPr>
                <w:sz w:val="24"/>
              </w:rPr>
              <w:t>《环境空气质量标准》(</w:t>
            </w:r>
            <w:r>
              <w:rPr>
                <w:spacing w:val="-4"/>
                <w:sz w:val="24"/>
              </w:rPr>
              <w:t>GB3095-2012</w:t>
            </w:r>
            <w:r>
              <w:rPr>
                <w:sz w:val="24"/>
              </w:rPr>
              <w:t>)中二级标准要求</w:t>
            </w:r>
            <w:r>
              <w:rPr>
                <w:sz w:val="24"/>
                <w:szCs w:val="24"/>
              </w:rPr>
              <w:t>，</w:t>
            </w:r>
            <w:r>
              <w:rPr>
                <w:rFonts w:hint="eastAsia"/>
                <w:sz w:val="24"/>
                <w:szCs w:val="24"/>
              </w:rPr>
              <w:t>二甲苯</w:t>
            </w:r>
            <w:r>
              <w:rPr>
                <w:sz w:val="24"/>
              </w:rPr>
              <w:t>可满足《工业企业卫生设计标准》（TJ36-79）中居住区大气中有害物质的最高允许浓度要求</w:t>
            </w:r>
            <w:r>
              <w:rPr>
                <w:sz w:val="24"/>
                <w:szCs w:val="24"/>
              </w:rPr>
              <w:t>。由以上分析可知，本项目排放的污染物对环境的影响不大，当地环境空气质量可继续维持现状水平。</w:t>
            </w:r>
          </w:p>
          <w:p>
            <w:pPr>
              <w:keepNext/>
              <w:keepLines/>
              <w:spacing w:line="360" w:lineRule="auto"/>
              <w:ind w:firstLine="480" w:firstLineChars="200"/>
              <w:rPr>
                <w:sz w:val="24"/>
              </w:rPr>
            </w:pPr>
            <w:r>
              <w:rPr>
                <w:sz w:val="24"/>
              </w:rPr>
              <w:t>（</w:t>
            </w:r>
            <w:r>
              <w:rPr>
                <w:rFonts w:hint="eastAsia"/>
                <w:sz w:val="24"/>
              </w:rPr>
              <w:t>6</w:t>
            </w:r>
            <w:r>
              <w:rPr>
                <w:sz w:val="24"/>
              </w:rPr>
              <w:t>）大气环境防护距离</w:t>
            </w:r>
          </w:p>
          <w:p>
            <w:pPr>
              <w:keepNext/>
              <w:keepLines/>
              <w:spacing w:line="360" w:lineRule="auto"/>
              <w:ind w:firstLine="480" w:firstLineChars="200"/>
              <w:rPr>
                <w:sz w:val="24"/>
              </w:rPr>
            </w:pPr>
            <w:r>
              <w:rPr>
                <w:sz w:val="24"/>
              </w:rPr>
              <w:t>根据《环境影响评价技术导则大气环境》（HJ2.2-2008）中的推荐模式计算拟建项目的大气环境防护距离，计算结果见表</w:t>
            </w:r>
            <w:r>
              <w:rPr>
                <w:rFonts w:hint="eastAsia"/>
                <w:sz w:val="24"/>
              </w:rPr>
              <w:t>24</w:t>
            </w:r>
            <w:r>
              <w:rPr>
                <w:sz w:val="24"/>
              </w:rPr>
              <w:t>。</w:t>
            </w:r>
          </w:p>
          <w:p>
            <w:pPr>
              <w:pStyle w:val="48"/>
              <w:ind w:firstLine="630" w:firstLineChars="300"/>
              <w:jc w:val="center"/>
              <w:rPr>
                <w:sz w:val="21"/>
                <w:szCs w:val="21"/>
              </w:rPr>
            </w:pPr>
            <w:r>
              <w:rPr>
                <w:b/>
                <w:bCs/>
                <w:sz w:val="21"/>
                <w:szCs w:val="21"/>
              </w:rPr>
              <w:t>表</w:t>
            </w:r>
            <w:r>
              <w:rPr>
                <w:rFonts w:hint="eastAsia"/>
                <w:b/>
                <w:bCs/>
                <w:sz w:val="21"/>
                <w:szCs w:val="21"/>
              </w:rPr>
              <w:t xml:space="preserve">24  </w:t>
            </w:r>
            <w:r>
              <w:rPr>
                <w:b/>
                <w:bCs/>
                <w:sz w:val="21"/>
                <w:szCs w:val="21"/>
              </w:rPr>
              <w:t xml:space="preserve">  主要大气污染物最大地面浓度占标率计算结果（无组织）</w:t>
            </w:r>
          </w:p>
          <w:tbl>
            <w:tblPr>
              <w:tblStyle w:val="31"/>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1749"/>
              <w:gridCol w:w="1790"/>
              <w:gridCol w:w="1467"/>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72" w:type="dxa"/>
                  <w:tcMar>
                    <w:left w:w="28" w:type="dxa"/>
                    <w:right w:w="28" w:type="dxa"/>
                  </w:tcMar>
                  <w:vAlign w:val="center"/>
                </w:tcPr>
                <w:p>
                  <w:pPr>
                    <w:pStyle w:val="88"/>
                    <w:rPr>
                      <w:rFonts w:ascii="Times New Roman" w:hAnsi="Times New Roman"/>
                      <w:b/>
                      <w:bCs/>
                      <w:sz w:val="21"/>
                      <w:szCs w:val="21"/>
                    </w:rPr>
                  </w:pPr>
                  <w:r>
                    <w:rPr>
                      <w:rFonts w:ascii="Times New Roman" w:hAnsi="Times New Roman"/>
                      <w:b/>
                      <w:bCs/>
                      <w:sz w:val="21"/>
                      <w:szCs w:val="21"/>
                    </w:rPr>
                    <w:t>污染源</w:t>
                  </w:r>
                </w:p>
              </w:tc>
              <w:tc>
                <w:tcPr>
                  <w:tcW w:w="1749" w:type="dxa"/>
                  <w:tcMar>
                    <w:left w:w="28" w:type="dxa"/>
                    <w:right w:w="28" w:type="dxa"/>
                  </w:tcMar>
                  <w:vAlign w:val="center"/>
                </w:tcPr>
                <w:p>
                  <w:pPr>
                    <w:pStyle w:val="88"/>
                    <w:rPr>
                      <w:rFonts w:ascii="Times New Roman" w:hAnsi="Times New Roman"/>
                      <w:b/>
                      <w:bCs/>
                      <w:sz w:val="21"/>
                      <w:szCs w:val="21"/>
                    </w:rPr>
                  </w:pPr>
                  <w:r>
                    <w:rPr>
                      <w:rFonts w:ascii="Times New Roman" w:hAnsi="Times New Roman"/>
                      <w:b/>
                      <w:bCs/>
                      <w:sz w:val="21"/>
                      <w:szCs w:val="21"/>
                    </w:rPr>
                    <w:t>评价因子</w:t>
                  </w:r>
                </w:p>
              </w:tc>
              <w:tc>
                <w:tcPr>
                  <w:tcW w:w="1790" w:type="dxa"/>
                  <w:tcMar>
                    <w:left w:w="28" w:type="dxa"/>
                    <w:right w:w="28" w:type="dxa"/>
                  </w:tcMar>
                  <w:vAlign w:val="center"/>
                </w:tcPr>
                <w:p>
                  <w:pPr>
                    <w:pStyle w:val="88"/>
                    <w:rPr>
                      <w:rFonts w:ascii="Times New Roman" w:hAnsi="Times New Roman"/>
                      <w:b/>
                      <w:bCs/>
                      <w:sz w:val="21"/>
                      <w:szCs w:val="21"/>
                    </w:rPr>
                  </w:pPr>
                  <w:r>
                    <w:rPr>
                      <w:rFonts w:ascii="Times New Roman" w:hAnsi="Times New Roman"/>
                      <w:b/>
                      <w:bCs/>
                      <w:sz w:val="21"/>
                      <w:szCs w:val="21"/>
                    </w:rPr>
                    <w:t>Cmax(mg/m</w:t>
                  </w:r>
                  <w:r>
                    <w:rPr>
                      <w:rFonts w:ascii="Times New Roman" w:hAnsi="Times New Roman"/>
                      <w:b/>
                      <w:bCs/>
                      <w:sz w:val="21"/>
                      <w:szCs w:val="21"/>
                      <w:vertAlign w:val="superscript"/>
                    </w:rPr>
                    <w:t>3</w:t>
                  </w:r>
                  <w:r>
                    <w:rPr>
                      <w:rFonts w:ascii="Times New Roman" w:hAnsi="Times New Roman"/>
                      <w:b/>
                      <w:bCs/>
                      <w:sz w:val="21"/>
                      <w:szCs w:val="21"/>
                    </w:rPr>
                    <w:t>)</w:t>
                  </w:r>
                </w:p>
              </w:tc>
              <w:tc>
                <w:tcPr>
                  <w:tcW w:w="1467" w:type="dxa"/>
                  <w:tcMar>
                    <w:left w:w="28" w:type="dxa"/>
                    <w:right w:w="28" w:type="dxa"/>
                  </w:tcMar>
                  <w:vAlign w:val="center"/>
                </w:tcPr>
                <w:p>
                  <w:pPr>
                    <w:pStyle w:val="88"/>
                    <w:rPr>
                      <w:rFonts w:ascii="Times New Roman" w:hAnsi="Times New Roman"/>
                      <w:b/>
                      <w:bCs/>
                      <w:sz w:val="21"/>
                      <w:szCs w:val="21"/>
                    </w:rPr>
                  </w:pPr>
                  <w:r>
                    <w:rPr>
                      <w:rFonts w:ascii="Times New Roman" w:hAnsi="Times New Roman"/>
                      <w:b/>
                      <w:bCs/>
                      <w:sz w:val="21"/>
                      <w:szCs w:val="21"/>
                    </w:rPr>
                    <w:t>Pmax(%)</w:t>
                  </w:r>
                </w:p>
              </w:tc>
              <w:tc>
                <w:tcPr>
                  <w:tcW w:w="1623" w:type="dxa"/>
                  <w:vAlign w:val="center"/>
                </w:tcPr>
                <w:p>
                  <w:pPr>
                    <w:pStyle w:val="88"/>
                    <w:rPr>
                      <w:rFonts w:ascii="Times New Roman" w:hAnsi="Times New Roman"/>
                      <w:b/>
                      <w:bCs/>
                      <w:sz w:val="21"/>
                      <w:szCs w:val="21"/>
                    </w:rPr>
                  </w:pPr>
                  <w:r>
                    <w:rPr>
                      <w:rFonts w:ascii="Times New Roman" w:hAnsi="Times New Roman"/>
                      <w:b/>
                      <w:bCs/>
                      <w:sz w:val="21"/>
                      <w:szCs w:val="21"/>
                    </w:rPr>
                    <w:t>D</w:t>
                  </w:r>
                  <w:r>
                    <w:rPr>
                      <w:rFonts w:ascii="Times New Roman" w:hAnsi="Times New Roman"/>
                      <w:b/>
                      <w:bCs/>
                      <w:sz w:val="21"/>
                      <w:szCs w:val="21"/>
                      <w:vertAlign w:val="subscript"/>
                    </w:rPr>
                    <w:t>10</w:t>
                  </w:r>
                  <w:r>
                    <w:rPr>
                      <w:rFonts w:ascii="Times New Roman" w:hAnsi="Times New Roman"/>
                      <w:b/>
                      <w:bCs/>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72" w:type="dxa"/>
                  <w:tcMar>
                    <w:left w:w="28" w:type="dxa"/>
                    <w:right w:w="28" w:type="dxa"/>
                  </w:tcMar>
                  <w:vAlign w:val="center"/>
                </w:tcPr>
                <w:p>
                  <w:pPr>
                    <w:autoSpaceDE w:val="0"/>
                    <w:autoSpaceDN w:val="0"/>
                    <w:adjustRightInd w:val="0"/>
                    <w:spacing w:line="240" w:lineRule="atLeast"/>
                    <w:jc w:val="center"/>
                    <w:rPr>
                      <w:szCs w:val="21"/>
                    </w:rPr>
                  </w:pPr>
                  <w:r>
                    <w:rPr>
                      <w:rFonts w:hint="eastAsia"/>
                      <w:szCs w:val="21"/>
                    </w:rPr>
                    <w:t>总装车间（热处理）</w:t>
                  </w:r>
                </w:p>
              </w:tc>
              <w:tc>
                <w:tcPr>
                  <w:tcW w:w="1749" w:type="dxa"/>
                  <w:tcMar>
                    <w:left w:w="28" w:type="dxa"/>
                    <w:right w:w="28" w:type="dxa"/>
                  </w:tcMar>
                  <w:vAlign w:val="center"/>
                </w:tcPr>
                <w:p>
                  <w:pPr>
                    <w:jc w:val="center"/>
                    <w:rPr>
                      <w:szCs w:val="21"/>
                    </w:rPr>
                  </w:pPr>
                  <w:r>
                    <w:rPr>
                      <w:rFonts w:hint="eastAsia"/>
                      <w:szCs w:val="21"/>
                    </w:rPr>
                    <w:t>颗粒物</w:t>
                  </w:r>
                </w:p>
              </w:tc>
              <w:tc>
                <w:tcPr>
                  <w:tcW w:w="1790" w:type="dxa"/>
                  <w:tcMar>
                    <w:left w:w="28" w:type="dxa"/>
                    <w:right w:w="28" w:type="dxa"/>
                  </w:tcMar>
                  <w:vAlign w:val="center"/>
                </w:tcPr>
                <w:p>
                  <w:pPr>
                    <w:widowControl/>
                    <w:jc w:val="center"/>
                    <w:textAlignment w:val="center"/>
                    <w:rPr>
                      <w:szCs w:val="21"/>
                    </w:rPr>
                  </w:pPr>
                  <w:r>
                    <w:rPr>
                      <w:kern w:val="0"/>
                      <w:szCs w:val="21"/>
                    </w:rPr>
                    <w:t>0.002006</w:t>
                  </w:r>
                </w:p>
              </w:tc>
              <w:tc>
                <w:tcPr>
                  <w:tcW w:w="1467" w:type="dxa"/>
                  <w:tcMar>
                    <w:left w:w="28" w:type="dxa"/>
                    <w:right w:w="28" w:type="dxa"/>
                  </w:tcMar>
                  <w:vAlign w:val="center"/>
                </w:tcPr>
                <w:p>
                  <w:pPr>
                    <w:widowControl/>
                    <w:jc w:val="center"/>
                    <w:textAlignment w:val="center"/>
                    <w:rPr>
                      <w:szCs w:val="21"/>
                    </w:rPr>
                  </w:pPr>
                  <w:r>
                    <w:rPr>
                      <w:kern w:val="0"/>
                      <w:szCs w:val="21"/>
                    </w:rPr>
                    <w:t>0.1</w:t>
                  </w:r>
                </w:p>
              </w:tc>
              <w:tc>
                <w:tcPr>
                  <w:tcW w:w="1623" w:type="dxa"/>
                  <w:vAlign w:val="center"/>
                </w:tcPr>
                <w:p>
                  <w:pPr>
                    <w:snapToGrid w:val="0"/>
                    <w:jc w:val="center"/>
                    <w:rPr>
                      <w:szCs w:val="21"/>
                    </w:rPr>
                  </w:pPr>
                  <w:r>
                    <w:rPr>
                      <w:rFonts w:hint="eastAsia"/>
                      <w:szCs w:val="21"/>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72" w:type="dxa"/>
                  <w:tcMar>
                    <w:left w:w="28" w:type="dxa"/>
                    <w:right w:w="28" w:type="dxa"/>
                  </w:tcMar>
                  <w:vAlign w:val="center"/>
                </w:tcPr>
                <w:p>
                  <w:pPr>
                    <w:autoSpaceDE w:val="0"/>
                    <w:autoSpaceDN w:val="0"/>
                    <w:adjustRightInd w:val="0"/>
                    <w:spacing w:line="240" w:lineRule="atLeast"/>
                    <w:jc w:val="center"/>
                    <w:rPr>
                      <w:szCs w:val="21"/>
                    </w:rPr>
                  </w:pPr>
                  <w:r>
                    <w:rPr>
                      <w:rFonts w:hint="eastAsia"/>
                      <w:szCs w:val="21"/>
                    </w:rPr>
                    <w:t>焊接烟尘</w:t>
                  </w:r>
                </w:p>
              </w:tc>
              <w:tc>
                <w:tcPr>
                  <w:tcW w:w="1749" w:type="dxa"/>
                  <w:tcMar>
                    <w:left w:w="28" w:type="dxa"/>
                    <w:right w:w="28" w:type="dxa"/>
                  </w:tcMar>
                  <w:vAlign w:val="center"/>
                </w:tcPr>
                <w:p>
                  <w:pPr>
                    <w:jc w:val="center"/>
                    <w:rPr>
                      <w:rFonts w:hint="eastAsia" w:eastAsia="宋体"/>
                      <w:szCs w:val="21"/>
                      <w:lang w:eastAsia="zh-CN"/>
                    </w:rPr>
                  </w:pPr>
                  <w:r>
                    <w:rPr>
                      <w:rFonts w:hint="eastAsia"/>
                      <w:szCs w:val="21"/>
                      <w:lang w:eastAsia="zh-CN"/>
                    </w:rPr>
                    <w:t>颗粒物</w:t>
                  </w:r>
                </w:p>
              </w:tc>
              <w:tc>
                <w:tcPr>
                  <w:tcW w:w="1790" w:type="dxa"/>
                  <w:tcMar>
                    <w:left w:w="28" w:type="dxa"/>
                    <w:right w:w="28" w:type="dxa"/>
                  </w:tcMar>
                  <w:vAlign w:val="center"/>
                </w:tcPr>
                <w:p>
                  <w:pPr>
                    <w:widowControl/>
                    <w:jc w:val="center"/>
                    <w:textAlignment w:val="center"/>
                    <w:rPr>
                      <w:kern w:val="0"/>
                      <w:szCs w:val="21"/>
                    </w:rPr>
                  </w:pPr>
                  <w:r>
                    <w:rPr>
                      <w:kern w:val="0"/>
                      <w:szCs w:val="21"/>
                    </w:rPr>
                    <w:t>0.000</w:t>
                  </w:r>
                  <w:r>
                    <w:rPr>
                      <w:rFonts w:hint="eastAsia"/>
                      <w:kern w:val="0"/>
                      <w:szCs w:val="21"/>
                      <w:lang w:val="en-US" w:eastAsia="zh-CN"/>
                    </w:rPr>
                    <w:t>771</w:t>
                  </w:r>
                </w:p>
              </w:tc>
              <w:tc>
                <w:tcPr>
                  <w:tcW w:w="1467" w:type="dxa"/>
                  <w:tcMar>
                    <w:left w:w="28" w:type="dxa"/>
                    <w:right w:w="28" w:type="dxa"/>
                  </w:tcMar>
                  <w:vAlign w:val="center"/>
                </w:tcPr>
                <w:p>
                  <w:pPr>
                    <w:widowControl/>
                    <w:jc w:val="center"/>
                    <w:textAlignment w:val="center"/>
                    <w:rPr>
                      <w:rFonts w:hint="eastAsia" w:eastAsia="宋体"/>
                      <w:szCs w:val="21"/>
                      <w:lang w:eastAsia="zh-CN"/>
                    </w:rPr>
                  </w:pPr>
                  <w:r>
                    <w:rPr>
                      <w:rFonts w:hint="eastAsia"/>
                      <w:kern w:val="0"/>
                      <w:szCs w:val="21"/>
                      <w:lang w:val="en-US" w:eastAsia="zh-CN"/>
                    </w:rPr>
                    <w:t>0.17</w:t>
                  </w:r>
                </w:p>
              </w:tc>
              <w:tc>
                <w:tcPr>
                  <w:tcW w:w="1623" w:type="dxa"/>
                  <w:vAlign w:val="center"/>
                </w:tcPr>
                <w:p>
                  <w:pPr>
                    <w:snapToGrid w:val="0"/>
                    <w:jc w:val="center"/>
                    <w:rPr>
                      <w:szCs w:val="21"/>
                    </w:rPr>
                  </w:pPr>
                  <w:r>
                    <w:rPr>
                      <w:rFonts w:hint="eastAsia"/>
                      <w:szCs w:val="21"/>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72" w:type="dxa"/>
                  <w:vMerge w:val="restart"/>
                  <w:tcMar>
                    <w:left w:w="28" w:type="dxa"/>
                    <w:right w:w="28" w:type="dxa"/>
                  </w:tcMar>
                  <w:vAlign w:val="center"/>
                </w:tcPr>
                <w:p>
                  <w:pPr>
                    <w:autoSpaceDE w:val="0"/>
                    <w:autoSpaceDN w:val="0"/>
                    <w:adjustRightInd w:val="0"/>
                    <w:spacing w:line="240" w:lineRule="atLeast"/>
                    <w:jc w:val="center"/>
                    <w:rPr>
                      <w:szCs w:val="21"/>
                    </w:rPr>
                  </w:pPr>
                  <w:r>
                    <w:rPr>
                      <w:rFonts w:hint="eastAsia"/>
                      <w:szCs w:val="21"/>
                    </w:rPr>
                    <w:t>喷晾漆及切割</w:t>
                  </w:r>
                </w:p>
              </w:tc>
              <w:tc>
                <w:tcPr>
                  <w:tcW w:w="1749" w:type="dxa"/>
                  <w:tcMar>
                    <w:left w:w="28" w:type="dxa"/>
                    <w:right w:w="28" w:type="dxa"/>
                  </w:tcMar>
                  <w:vAlign w:val="center"/>
                </w:tcPr>
                <w:p>
                  <w:pPr>
                    <w:jc w:val="center"/>
                    <w:rPr>
                      <w:szCs w:val="21"/>
                    </w:rPr>
                  </w:pPr>
                  <w:r>
                    <w:rPr>
                      <w:rFonts w:hint="eastAsia"/>
                      <w:szCs w:val="21"/>
                    </w:rPr>
                    <w:t>颗粒物</w:t>
                  </w:r>
                </w:p>
              </w:tc>
              <w:tc>
                <w:tcPr>
                  <w:tcW w:w="1790" w:type="dxa"/>
                  <w:tcMar>
                    <w:left w:w="28" w:type="dxa"/>
                    <w:right w:w="28" w:type="dxa"/>
                  </w:tcMar>
                  <w:vAlign w:val="center"/>
                </w:tcPr>
                <w:p>
                  <w:pPr>
                    <w:widowControl/>
                    <w:jc w:val="center"/>
                    <w:textAlignment w:val="center"/>
                    <w:rPr>
                      <w:szCs w:val="21"/>
                    </w:rPr>
                  </w:pPr>
                  <w:r>
                    <w:rPr>
                      <w:kern w:val="0"/>
                      <w:szCs w:val="21"/>
                    </w:rPr>
                    <w:t>0.003813</w:t>
                  </w:r>
                </w:p>
              </w:tc>
              <w:tc>
                <w:tcPr>
                  <w:tcW w:w="1467" w:type="dxa"/>
                  <w:tcMar>
                    <w:left w:w="28" w:type="dxa"/>
                    <w:right w:w="28" w:type="dxa"/>
                  </w:tcMar>
                  <w:vAlign w:val="center"/>
                </w:tcPr>
                <w:p>
                  <w:pPr>
                    <w:widowControl/>
                    <w:jc w:val="center"/>
                    <w:textAlignment w:val="center"/>
                    <w:rPr>
                      <w:szCs w:val="21"/>
                    </w:rPr>
                  </w:pPr>
                  <w:r>
                    <w:rPr>
                      <w:kern w:val="0"/>
                      <w:szCs w:val="21"/>
                    </w:rPr>
                    <w:t>0.85</w:t>
                  </w:r>
                </w:p>
              </w:tc>
              <w:tc>
                <w:tcPr>
                  <w:tcW w:w="1623" w:type="dxa"/>
                  <w:vMerge w:val="restart"/>
                  <w:vAlign w:val="center"/>
                </w:tcPr>
                <w:p>
                  <w:pPr>
                    <w:snapToGrid w:val="0"/>
                    <w:jc w:val="center"/>
                    <w:rPr>
                      <w:szCs w:val="21"/>
                    </w:rPr>
                  </w:pPr>
                  <w:r>
                    <w:rPr>
                      <w:rFonts w:hint="eastAsia"/>
                      <w:szCs w:val="21"/>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72" w:type="dxa"/>
                  <w:vMerge w:val="continue"/>
                  <w:tcMar>
                    <w:left w:w="28" w:type="dxa"/>
                    <w:right w:w="28" w:type="dxa"/>
                  </w:tcMar>
                  <w:vAlign w:val="center"/>
                </w:tcPr>
                <w:p>
                  <w:pPr>
                    <w:autoSpaceDE w:val="0"/>
                    <w:autoSpaceDN w:val="0"/>
                    <w:adjustRightInd w:val="0"/>
                    <w:spacing w:line="240" w:lineRule="atLeast"/>
                    <w:jc w:val="center"/>
                    <w:rPr>
                      <w:szCs w:val="21"/>
                    </w:rPr>
                  </w:pPr>
                </w:p>
              </w:tc>
              <w:tc>
                <w:tcPr>
                  <w:tcW w:w="1749" w:type="dxa"/>
                  <w:tcMar>
                    <w:left w:w="28" w:type="dxa"/>
                    <w:right w:w="28" w:type="dxa"/>
                  </w:tcMar>
                  <w:vAlign w:val="center"/>
                </w:tcPr>
                <w:p>
                  <w:pPr>
                    <w:jc w:val="center"/>
                    <w:rPr>
                      <w:szCs w:val="21"/>
                    </w:rPr>
                  </w:pPr>
                  <w:r>
                    <w:rPr>
                      <w:rFonts w:hint="eastAsia"/>
                      <w:szCs w:val="21"/>
                    </w:rPr>
                    <w:t>非甲烷总烃</w:t>
                  </w:r>
                </w:p>
              </w:tc>
              <w:tc>
                <w:tcPr>
                  <w:tcW w:w="1790" w:type="dxa"/>
                  <w:tcMar>
                    <w:left w:w="28" w:type="dxa"/>
                    <w:right w:w="28" w:type="dxa"/>
                  </w:tcMar>
                  <w:vAlign w:val="center"/>
                </w:tcPr>
                <w:p>
                  <w:pPr>
                    <w:widowControl/>
                    <w:jc w:val="center"/>
                    <w:textAlignment w:val="center"/>
                    <w:rPr>
                      <w:szCs w:val="21"/>
                    </w:rPr>
                  </w:pPr>
                  <w:r>
                    <w:rPr>
                      <w:kern w:val="0"/>
                      <w:szCs w:val="21"/>
                    </w:rPr>
                    <w:t>0.0004358</w:t>
                  </w:r>
                </w:p>
              </w:tc>
              <w:tc>
                <w:tcPr>
                  <w:tcW w:w="1467" w:type="dxa"/>
                  <w:tcMar>
                    <w:left w:w="28" w:type="dxa"/>
                    <w:right w:w="28" w:type="dxa"/>
                  </w:tcMar>
                  <w:vAlign w:val="center"/>
                </w:tcPr>
                <w:p>
                  <w:pPr>
                    <w:widowControl/>
                    <w:jc w:val="center"/>
                    <w:textAlignment w:val="center"/>
                    <w:rPr>
                      <w:szCs w:val="21"/>
                    </w:rPr>
                  </w:pPr>
                  <w:r>
                    <w:rPr>
                      <w:kern w:val="0"/>
                      <w:szCs w:val="21"/>
                    </w:rPr>
                    <w:t>0.02</w:t>
                  </w:r>
                </w:p>
              </w:tc>
              <w:tc>
                <w:tcPr>
                  <w:tcW w:w="1623" w:type="dxa"/>
                  <w:vMerge w:val="continue"/>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72" w:type="dxa"/>
                  <w:vMerge w:val="continue"/>
                  <w:tcMar>
                    <w:left w:w="28" w:type="dxa"/>
                    <w:right w:w="28" w:type="dxa"/>
                  </w:tcMar>
                  <w:vAlign w:val="center"/>
                </w:tcPr>
                <w:p>
                  <w:pPr>
                    <w:autoSpaceDE w:val="0"/>
                    <w:autoSpaceDN w:val="0"/>
                    <w:adjustRightInd w:val="0"/>
                    <w:spacing w:line="240" w:lineRule="atLeast"/>
                    <w:jc w:val="center"/>
                    <w:rPr>
                      <w:szCs w:val="21"/>
                    </w:rPr>
                  </w:pPr>
                </w:p>
              </w:tc>
              <w:tc>
                <w:tcPr>
                  <w:tcW w:w="1749" w:type="dxa"/>
                  <w:tcMar>
                    <w:left w:w="28" w:type="dxa"/>
                    <w:right w:w="28" w:type="dxa"/>
                  </w:tcMar>
                  <w:vAlign w:val="center"/>
                </w:tcPr>
                <w:p>
                  <w:pPr>
                    <w:jc w:val="center"/>
                    <w:rPr>
                      <w:szCs w:val="21"/>
                    </w:rPr>
                  </w:pPr>
                  <w:r>
                    <w:rPr>
                      <w:rFonts w:hint="eastAsia"/>
                      <w:szCs w:val="21"/>
                    </w:rPr>
                    <w:t>二甲苯</w:t>
                  </w:r>
                </w:p>
              </w:tc>
              <w:tc>
                <w:tcPr>
                  <w:tcW w:w="1790" w:type="dxa"/>
                  <w:tcMar>
                    <w:left w:w="28" w:type="dxa"/>
                    <w:right w:w="28" w:type="dxa"/>
                  </w:tcMar>
                  <w:vAlign w:val="center"/>
                </w:tcPr>
                <w:p>
                  <w:pPr>
                    <w:widowControl/>
                    <w:jc w:val="center"/>
                    <w:textAlignment w:val="center"/>
                    <w:rPr>
                      <w:szCs w:val="21"/>
                    </w:rPr>
                  </w:pPr>
                  <w:r>
                    <w:rPr>
                      <w:kern w:val="0"/>
                      <w:szCs w:val="21"/>
                    </w:rPr>
                    <w:t>0.0004358</w:t>
                  </w:r>
                </w:p>
              </w:tc>
              <w:tc>
                <w:tcPr>
                  <w:tcW w:w="1467" w:type="dxa"/>
                  <w:tcMar>
                    <w:left w:w="28" w:type="dxa"/>
                    <w:right w:w="28" w:type="dxa"/>
                  </w:tcMar>
                  <w:vAlign w:val="center"/>
                </w:tcPr>
                <w:p>
                  <w:pPr>
                    <w:widowControl/>
                    <w:jc w:val="center"/>
                    <w:textAlignment w:val="center"/>
                    <w:rPr>
                      <w:szCs w:val="21"/>
                    </w:rPr>
                  </w:pPr>
                  <w:r>
                    <w:rPr>
                      <w:kern w:val="0"/>
                      <w:szCs w:val="21"/>
                    </w:rPr>
                    <w:t>0.22</w:t>
                  </w:r>
                </w:p>
              </w:tc>
              <w:tc>
                <w:tcPr>
                  <w:tcW w:w="1623" w:type="dxa"/>
                  <w:vMerge w:val="continue"/>
                  <w:vAlign w:val="center"/>
                </w:tcPr>
                <w:p>
                  <w:pPr>
                    <w:snapToGrid w:val="0"/>
                    <w:jc w:val="center"/>
                    <w:rPr>
                      <w:szCs w:val="21"/>
                    </w:rPr>
                  </w:pPr>
                </w:p>
              </w:tc>
            </w:tr>
          </w:tbl>
          <w:p>
            <w:pPr>
              <w:pStyle w:val="62"/>
              <w:adjustRightInd w:val="0"/>
              <w:spacing w:line="460" w:lineRule="exact"/>
              <w:ind w:firstLine="480"/>
            </w:pPr>
            <w:r>
              <w:t>计算结果无超标点，因此不需设置大气环境防护距离。</w:t>
            </w:r>
          </w:p>
          <w:p>
            <w:pPr>
              <w:spacing w:line="360" w:lineRule="auto"/>
              <w:ind w:firstLine="480" w:firstLineChars="200"/>
              <w:rPr>
                <w:sz w:val="24"/>
                <w:szCs w:val="24"/>
              </w:rPr>
            </w:pPr>
            <w:r>
              <w:rPr>
                <w:sz w:val="24"/>
                <w:szCs w:val="24"/>
              </w:rPr>
              <w:t>（</w:t>
            </w:r>
            <w:r>
              <w:rPr>
                <w:rFonts w:hint="eastAsia"/>
                <w:sz w:val="24"/>
                <w:szCs w:val="24"/>
              </w:rPr>
              <w:t>7</w:t>
            </w:r>
            <w:r>
              <w:rPr>
                <w:sz w:val="24"/>
                <w:szCs w:val="24"/>
              </w:rPr>
              <w:t>）卫生防护距离</w:t>
            </w:r>
          </w:p>
          <w:p>
            <w:pPr>
              <w:keepNext/>
              <w:keepLines/>
              <w:spacing w:line="360" w:lineRule="auto"/>
              <w:ind w:firstLine="480" w:firstLineChars="200"/>
              <w:rPr>
                <w:sz w:val="24"/>
                <w:szCs w:val="24"/>
              </w:rPr>
            </w:pPr>
            <w:r>
              <w:rPr>
                <w:sz w:val="24"/>
                <w:szCs w:val="24"/>
              </w:rPr>
              <w:t>根据《制定地方大气污染物排放标准的技术方法》（GB/T13201-91）的有关规定，本项目卫生防护距离的计算采用以下公式计算：</w:t>
            </w:r>
          </w:p>
          <w:p>
            <w:pPr>
              <w:keepNext/>
              <w:keepLines/>
              <w:spacing w:line="360" w:lineRule="auto"/>
              <w:ind w:firstLine="420" w:firstLineChars="200"/>
            </w:pPr>
            <w:r>
              <w:object>
                <v:shape id="_x0000_i1025" o:spt="75" type="#_x0000_t75" style="height:37.05pt;width:149.7pt;" o:ole="t" filled="f" o:preferrelative="t" stroked="f" coordsize="21600,21600">
                  <v:path/>
                  <v:fill on="f" focussize="0,0"/>
                  <v:stroke on="f" joinstyle="miter"/>
                  <v:imagedata r:id="rId14" o:title=""/>
                  <o:lock v:ext="edit" aspectratio="t"/>
                  <w10:wrap type="none"/>
                  <w10:anchorlock/>
                </v:shape>
                <o:OLEObject Type="Embed" ProgID="Equations" ShapeID="_x0000_i1025" DrawAspect="Content" ObjectID="_1468075725" r:id="rId13">
                  <o:LockedField>false</o:LockedField>
                </o:OLEObject>
              </w:object>
            </w:r>
          </w:p>
          <w:p>
            <w:pPr>
              <w:keepNext/>
              <w:keepLines/>
              <w:spacing w:line="360" w:lineRule="auto"/>
              <w:ind w:firstLine="480" w:firstLineChars="200"/>
              <w:rPr>
                <w:sz w:val="24"/>
                <w:szCs w:val="24"/>
              </w:rPr>
            </w:pPr>
            <w:r>
              <w:rPr>
                <w:sz w:val="24"/>
                <w:szCs w:val="24"/>
              </w:rPr>
              <w:t>QC-------有害气体无组织排放量可以达到的控制水平，kg/h；</w:t>
            </w:r>
          </w:p>
          <w:p>
            <w:pPr>
              <w:keepNext/>
              <w:keepLines/>
              <w:spacing w:line="360" w:lineRule="auto"/>
              <w:ind w:firstLine="480" w:firstLineChars="200"/>
              <w:rPr>
                <w:sz w:val="24"/>
                <w:szCs w:val="24"/>
              </w:rPr>
            </w:pPr>
            <w:r>
              <w:rPr>
                <w:sz w:val="24"/>
                <w:szCs w:val="24"/>
              </w:rPr>
              <w:t>Cm-------标准浓度限值，mg/m</w:t>
            </w:r>
            <w:r>
              <w:rPr>
                <w:sz w:val="24"/>
                <w:szCs w:val="24"/>
                <w:vertAlign w:val="superscript"/>
              </w:rPr>
              <w:t>3</w:t>
            </w:r>
            <w:r>
              <w:rPr>
                <w:sz w:val="24"/>
                <w:szCs w:val="24"/>
              </w:rPr>
              <w:t>；</w:t>
            </w:r>
          </w:p>
          <w:p>
            <w:pPr>
              <w:keepNext/>
              <w:keepLines/>
              <w:spacing w:line="360" w:lineRule="auto"/>
              <w:ind w:firstLine="480" w:firstLineChars="200"/>
              <w:rPr>
                <w:sz w:val="24"/>
                <w:szCs w:val="24"/>
              </w:rPr>
            </w:pPr>
            <w:r>
              <w:rPr>
                <w:sz w:val="24"/>
                <w:szCs w:val="24"/>
              </w:rPr>
              <w:t>L ------工业企业所需的卫生防护距离，m；</w:t>
            </w:r>
          </w:p>
          <w:p>
            <w:pPr>
              <w:keepNext/>
              <w:keepLines/>
              <w:spacing w:line="360" w:lineRule="auto"/>
              <w:ind w:firstLine="480" w:firstLineChars="200"/>
              <w:rPr>
                <w:sz w:val="24"/>
                <w:szCs w:val="24"/>
              </w:rPr>
            </w:pPr>
            <w:r>
              <w:rPr>
                <w:sz w:val="24"/>
                <w:szCs w:val="24"/>
              </w:rPr>
              <w:t>r ------有害气体无组织排放源所在生产单元的等效半径，m；</w:t>
            </w:r>
          </w:p>
          <w:p>
            <w:pPr>
              <w:keepNext/>
              <w:keepLines/>
              <w:spacing w:line="360" w:lineRule="auto"/>
              <w:ind w:firstLine="480" w:firstLineChars="200"/>
              <w:rPr>
                <w:sz w:val="24"/>
                <w:szCs w:val="24"/>
              </w:rPr>
            </w:pPr>
            <w:r>
              <w:rPr>
                <w:sz w:val="24"/>
                <w:szCs w:val="24"/>
              </w:rPr>
              <w:t>A、B、C、D------卫生防护距离计算系数，从GB/T13201-91中查找。</w:t>
            </w:r>
          </w:p>
          <w:p>
            <w:pPr>
              <w:keepNext/>
              <w:keepLines/>
              <w:spacing w:line="360" w:lineRule="auto"/>
              <w:ind w:firstLine="480" w:firstLineChars="200"/>
              <w:rPr>
                <w:b/>
                <w:bCs/>
                <w:szCs w:val="21"/>
              </w:rPr>
            </w:pPr>
            <w:r>
              <w:rPr>
                <w:sz w:val="24"/>
                <w:szCs w:val="24"/>
              </w:rPr>
              <w:t>本评价根据非甲烷总烃无组织排放量，计算卫生防护距离。根据无组织外排量计算相应的卫生防护距离，具体见下表</w:t>
            </w:r>
            <w:r>
              <w:rPr>
                <w:rFonts w:hint="eastAsia"/>
                <w:sz w:val="24"/>
                <w:szCs w:val="24"/>
              </w:rPr>
              <w:t>25</w:t>
            </w:r>
            <w:r>
              <w:rPr>
                <w:sz w:val="24"/>
                <w:szCs w:val="24"/>
              </w:rPr>
              <w:t>。</w:t>
            </w:r>
          </w:p>
          <w:p>
            <w:pPr>
              <w:pStyle w:val="62"/>
              <w:adjustRightInd w:val="0"/>
              <w:spacing w:line="480" w:lineRule="exact"/>
              <w:ind w:firstLine="0" w:firstLineChars="0"/>
              <w:jc w:val="center"/>
              <w:rPr>
                <w:b/>
                <w:bCs/>
                <w:sz w:val="21"/>
                <w:szCs w:val="21"/>
              </w:rPr>
            </w:pPr>
            <w:r>
              <w:rPr>
                <w:b/>
                <w:bCs/>
                <w:sz w:val="21"/>
                <w:szCs w:val="21"/>
              </w:rPr>
              <w:t>表</w:t>
            </w:r>
            <w:r>
              <w:rPr>
                <w:rFonts w:hint="eastAsia"/>
                <w:b/>
                <w:bCs/>
                <w:sz w:val="21"/>
                <w:szCs w:val="21"/>
              </w:rPr>
              <w:t>25</w:t>
            </w:r>
            <w:r>
              <w:rPr>
                <w:b/>
                <w:bCs/>
                <w:sz w:val="21"/>
                <w:szCs w:val="21"/>
              </w:rPr>
              <w:t xml:space="preserve">   项目卫生防护距离计算一览表</w:t>
            </w:r>
          </w:p>
          <w:tbl>
            <w:tblPr>
              <w:tblStyle w:val="31"/>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764"/>
              <w:gridCol w:w="1377"/>
              <w:gridCol w:w="947"/>
              <w:gridCol w:w="963"/>
              <w:gridCol w:w="690"/>
              <w:gridCol w:w="806"/>
              <w:gridCol w:w="722"/>
              <w:gridCol w:w="643"/>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168" w:type="dxa"/>
                  <w:vAlign w:val="center"/>
                </w:tcPr>
                <w:p>
                  <w:pPr>
                    <w:pStyle w:val="77"/>
                    <w:tabs>
                      <w:tab w:val="left" w:pos="0"/>
                    </w:tabs>
                    <w:spacing w:line="240" w:lineRule="exact"/>
                    <w:ind w:left="-210" w:leftChars="-100" w:right="-210" w:rightChars="-100" w:firstLine="0" w:firstLineChars="0"/>
                    <w:jc w:val="center"/>
                    <w:rPr>
                      <w:rFonts w:ascii="Times New Roman" w:hAnsi="Times New Roman"/>
                      <w:b/>
                      <w:sz w:val="21"/>
                      <w:szCs w:val="21"/>
                    </w:rPr>
                  </w:pPr>
                  <w:r>
                    <w:rPr>
                      <w:rFonts w:ascii="Times New Roman" w:hAnsi="Times New Roman"/>
                      <w:b/>
                      <w:sz w:val="21"/>
                      <w:szCs w:val="21"/>
                    </w:rPr>
                    <w:t>污染</w:t>
                  </w:r>
                  <w:r>
                    <w:rPr>
                      <w:rFonts w:hint="eastAsia" w:ascii="Times New Roman" w:hAnsi="Times New Roman"/>
                      <w:b/>
                      <w:sz w:val="21"/>
                      <w:szCs w:val="21"/>
                    </w:rPr>
                    <w:t>单元</w:t>
                  </w:r>
                </w:p>
              </w:tc>
              <w:tc>
                <w:tcPr>
                  <w:tcW w:w="764" w:type="dxa"/>
                  <w:vAlign w:val="center"/>
                </w:tcPr>
                <w:p>
                  <w:pPr>
                    <w:pStyle w:val="77"/>
                    <w:tabs>
                      <w:tab w:val="left" w:pos="0"/>
                    </w:tabs>
                    <w:spacing w:line="240" w:lineRule="exact"/>
                    <w:ind w:left="-210" w:leftChars="-100" w:right="-210" w:rightChars="-100" w:firstLine="0" w:firstLineChars="0"/>
                    <w:jc w:val="center"/>
                  </w:pPr>
                  <w:r>
                    <w:rPr>
                      <w:rFonts w:ascii="Times New Roman" w:hAnsi="Times New Roman"/>
                      <w:b/>
                      <w:sz w:val="21"/>
                      <w:szCs w:val="21"/>
                    </w:rPr>
                    <w:t>污染物</w:t>
                  </w:r>
                </w:p>
              </w:tc>
              <w:tc>
                <w:tcPr>
                  <w:tcW w:w="1377" w:type="dxa"/>
                  <w:vAlign w:val="center"/>
                </w:tcPr>
                <w:p>
                  <w:pPr>
                    <w:pStyle w:val="77"/>
                    <w:tabs>
                      <w:tab w:val="left" w:pos="0"/>
                    </w:tabs>
                    <w:spacing w:line="240" w:lineRule="exact"/>
                    <w:ind w:firstLine="0" w:firstLineChars="0"/>
                    <w:jc w:val="center"/>
                    <w:rPr>
                      <w:rFonts w:ascii="Times New Roman" w:hAnsi="Times New Roman"/>
                      <w:b/>
                      <w:sz w:val="21"/>
                      <w:szCs w:val="21"/>
                      <w:vertAlign w:val="subscript"/>
                    </w:rPr>
                  </w:pPr>
                  <w:r>
                    <w:rPr>
                      <w:rFonts w:ascii="Times New Roman" w:hAnsi="Times New Roman"/>
                      <w:b/>
                      <w:sz w:val="21"/>
                      <w:szCs w:val="21"/>
                    </w:rPr>
                    <w:t>Q</w:t>
                  </w:r>
                  <w:r>
                    <w:rPr>
                      <w:rFonts w:ascii="Times New Roman" w:hAnsi="Times New Roman"/>
                      <w:b/>
                      <w:sz w:val="21"/>
                      <w:szCs w:val="21"/>
                      <w:vertAlign w:val="subscript"/>
                    </w:rPr>
                    <w:t>C</w:t>
                  </w:r>
                </w:p>
                <w:p>
                  <w:pPr>
                    <w:pStyle w:val="77"/>
                    <w:tabs>
                      <w:tab w:val="left" w:pos="0"/>
                    </w:tabs>
                    <w:spacing w:line="240" w:lineRule="exact"/>
                    <w:ind w:firstLine="0" w:firstLineChars="0"/>
                    <w:jc w:val="center"/>
                    <w:rPr>
                      <w:rFonts w:ascii="Times New Roman" w:hAnsi="Times New Roman"/>
                      <w:b/>
                      <w:sz w:val="21"/>
                      <w:szCs w:val="21"/>
                    </w:rPr>
                  </w:pPr>
                  <w:r>
                    <w:rPr>
                      <w:rFonts w:ascii="Times New Roman" w:hAnsi="Times New Roman"/>
                      <w:b/>
                      <w:sz w:val="21"/>
                      <w:szCs w:val="21"/>
                    </w:rPr>
                    <w:t>(kg/h)</w:t>
                  </w:r>
                </w:p>
              </w:tc>
              <w:tc>
                <w:tcPr>
                  <w:tcW w:w="947" w:type="dxa"/>
                  <w:vAlign w:val="center"/>
                </w:tcPr>
                <w:p>
                  <w:pPr>
                    <w:pStyle w:val="77"/>
                    <w:tabs>
                      <w:tab w:val="left" w:pos="0"/>
                    </w:tabs>
                    <w:spacing w:line="240" w:lineRule="exact"/>
                    <w:ind w:firstLine="0" w:firstLineChars="0"/>
                    <w:jc w:val="center"/>
                    <w:rPr>
                      <w:rFonts w:ascii="Times New Roman" w:hAnsi="Times New Roman"/>
                      <w:b/>
                      <w:sz w:val="21"/>
                      <w:szCs w:val="21"/>
                    </w:rPr>
                  </w:pPr>
                  <w:r>
                    <w:rPr>
                      <w:rFonts w:ascii="Times New Roman" w:hAnsi="Times New Roman"/>
                      <w:b/>
                      <w:sz w:val="21"/>
                      <w:szCs w:val="21"/>
                    </w:rPr>
                    <w:t>C</w:t>
                  </w:r>
                  <w:r>
                    <w:rPr>
                      <w:rFonts w:ascii="Times New Roman" w:hAnsi="Times New Roman"/>
                      <w:b/>
                      <w:sz w:val="21"/>
                      <w:szCs w:val="21"/>
                      <w:vertAlign w:val="subscript"/>
                    </w:rPr>
                    <w:t>m</w:t>
                  </w:r>
                </w:p>
                <w:p>
                  <w:pPr>
                    <w:pStyle w:val="77"/>
                    <w:tabs>
                      <w:tab w:val="left" w:pos="0"/>
                    </w:tabs>
                    <w:spacing w:line="240" w:lineRule="exact"/>
                    <w:ind w:firstLine="0" w:firstLineChars="0"/>
                    <w:jc w:val="center"/>
                    <w:rPr>
                      <w:rFonts w:ascii="Times New Roman" w:hAnsi="Times New Roman"/>
                      <w:b/>
                      <w:sz w:val="21"/>
                      <w:szCs w:val="21"/>
                    </w:rPr>
                  </w:pPr>
                  <w:r>
                    <w:rPr>
                      <w:rFonts w:ascii="Times New Roman" w:hAnsi="Times New Roman"/>
                      <w:b/>
                      <w:sz w:val="21"/>
                      <w:szCs w:val="21"/>
                    </w:rPr>
                    <w:t>(mg/m</w:t>
                  </w:r>
                  <w:r>
                    <w:rPr>
                      <w:rFonts w:ascii="Times New Roman" w:hAnsi="Times New Roman"/>
                      <w:b/>
                      <w:sz w:val="21"/>
                      <w:szCs w:val="21"/>
                      <w:vertAlign w:val="superscript"/>
                    </w:rPr>
                    <w:t>3</w:t>
                  </w:r>
                  <w:r>
                    <w:rPr>
                      <w:rFonts w:ascii="Times New Roman" w:hAnsi="Times New Roman"/>
                      <w:b/>
                      <w:sz w:val="21"/>
                      <w:szCs w:val="21"/>
                    </w:rPr>
                    <w:t>)</w:t>
                  </w:r>
                </w:p>
              </w:tc>
              <w:tc>
                <w:tcPr>
                  <w:tcW w:w="963" w:type="dxa"/>
                  <w:vAlign w:val="center"/>
                </w:tcPr>
                <w:p>
                  <w:pPr>
                    <w:pStyle w:val="77"/>
                    <w:tabs>
                      <w:tab w:val="left" w:pos="0"/>
                    </w:tabs>
                    <w:spacing w:line="240" w:lineRule="exact"/>
                    <w:ind w:firstLine="0" w:firstLineChars="0"/>
                    <w:jc w:val="center"/>
                    <w:rPr>
                      <w:rFonts w:ascii="Times New Roman" w:hAnsi="Times New Roman"/>
                      <w:b/>
                      <w:sz w:val="21"/>
                      <w:szCs w:val="21"/>
                    </w:rPr>
                  </w:pPr>
                  <w:r>
                    <w:rPr>
                      <w:rFonts w:ascii="Times New Roman" w:hAnsi="Times New Roman"/>
                      <w:b/>
                      <w:sz w:val="21"/>
                      <w:szCs w:val="21"/>
                    </w:rPr>
                    <w:t>风速</w:t>
                  </w:r>
                </w:p>
                <w:p>
                  <w:pPr>
                    <w:pStyle w:val="77"/>
                    <w:tabs>
                      <w:tab w:val="left" w:pos="0"/>
                    </w:tabs>
                    <w:spacing w:line="240" w:lineRule="exact"/>
                    <w:ind w:firstLine="0" w:firstLineChars="0"/>
                    <w:jc w:val="center"/>
                    <w:rPr>
                      <w:rFonts w:ascii="Times New Roman" w:hAnsi="Times New Roman"/>
                      <w:b/>
                      <w:sz w:val="21"/>
                      <w:szCs w:val="21"/>
                    </w:rPr>
                  </w:pPr>
                  <w:r>
                    <w:rPr>
                      <w:rFonts w:ascii="Times New Roman" w:hAnsi="Times New Roman"/>
                      <w:b/>
                      <w:sz w:val="21"/>
                      <w:szCs w:val="21"/>
                    </w:rPr>
                    <w:t>（m/s）</w:t>
                  </w:r>
                </w:p>
              </w:tc>
              <w:tc>
                <w:tcPr>
                  <w:tcW w:w="690" w:type="dxa"/>
                  <w:vAlign w:val="center"/>
                </w:tcPr>
                <w:p>
                  <w:pPr>
                    <w:pStyle w:val="77"/>
                    <w:tabs>
                      <w:tab w:val="left" w:pos="0"/>
                    </w:tabs>
                    <w:spacing w:line="240" w:lineRule="exact"/>
                    <w:ind w:firstLine="0" w:firstLineChars="0"/>
                    <w:jc w:val="center"/>
                    <w:rPr>
                      <w:rFonts w:ascii="Times New Roman" w:hAnsi="Times New Roman"/>
                      <w:b/>
                      <w:sz w:val="21"/>
                      <w:szCs w:val="21"/>
                    </w:rPr>
                  </w:pPr>
                  <w:r>
                    <w:rPr>
                      <w:rFonts w:ascii="Times New Roman" w:hAnsi="Times New Roman"/>
                      <w:b/>
                      <w:sz w:val="21"/>
                      <w:szCs w:val="21"/>
                    </w:rPr>
                    <w:t>A</w:t>
                  </w:r>
                </w:p>
              </w:tc>
              <w:tc>
                <w:tcPr>
                  <w:tcW w:w="806" w:type="dxa"/>
                  <w:vAlign w:val="center"/>
                </w:tcPr>
                <w:p>
                  <w:pPr>
                    <w:pStyle w:val="77"/>
                    <w:tabs>
                      <w:tab w:val="left" w:pos="0"/>
                    </w:tabs>
                    <w:spacing w:line="240" w:lineRule="exact"/>
                    <w:ind w:firstLine="0" w:firstLineChars="0"/>
                    <w:jc w:val="center"/>
                    <w:rPr>
                      <w:rFonts w:ascii="Times New Roman" w:hAnsi="Times New Roman"/>
                      <w:b/>
                      <w:sz w:val="21"/>
                      <w:szCs w:val="21"/>
                    </w:rPr>
                  </w:pPr>
                  <w:r>
                    <w:rPr>
                      <w:rFonts w:ascii="Times New Roman" w:hAnsi="Times New Roman"/>
                      <w:b/>
                      <w:sz w:val="21"/>
                      <w:szCs w:val="21"/>
                    </w:rPr>
                    <w:t>B</w:t>
                  </w:r>
                </w:p>
              </w:tc>
              <w:tc>
                <w:tcPr>
                  <w:tcW w:w="722" w:type="dxa"/>
                  <w:vAlign w:val="center"/>
                </w:tcPr>
                <w:p>
                  <w:pPr>
                    <w:pStyle w:val="77"/>
                    <w:tabs>
                      <w:tab w:val="left" w:pos="0"/>
                    </w:tabs>
                    <w:spacing w:line="240" w:lineRule="exact"/>
                    <w:ind w:firstLine="0" w:firstLineChars="0"/>
                    <w:jc w:val="center"/>
                    <w:rPr>
                      <w:rFonts w:ascii="Times New Roman" w:hAnsi="Times New Roman"/>
                      <w:b/>
                      <w:sz w:val="21"/>
                      <w:szCs w:val="21"/>
                    </w:rPr>
                  </w:pPr>
                  <w:r>
                    <w:rPr>
                      <w:rFonts w:ascii="Times New Roman" w:hAnsi="Times New Roman"/>
                      <w:b/>
                      <w:sz w:val="21"/>
                      <w:szCs w:val="21"/>
                    </w:rPr>
                    <w:t>C</w:t>
                  </w:r>
                </w:p>
              </w:tc>
              <w:tc>
                <w:tcPr>
                  <w:tcW w:w="643" w:type="dxa"/>
                  <w:vAlign w:val="center"/>
                </w:tcPr>
                <w:p>
                  <w:pPr>
                    <w:pStyle w:val="77"/>
                    <w:tabs>
                      <w:tab w:val="left" w:pos="0"/>
                    </w:tabs>
                    <w:spacing w:line="240" w:lineRule="exact"/>
                    <w:ind w:firstLine="0" w:firstLineChars="0"/>
                    <w:jc w:val="center"/>
                    <w:rPr>
                      <w:rFonts w:ascii="Times New Roman" w:hAnsi="Times New Roman"/>
                      <w:b/>
                      <w:sz w:val="21"/>
                      <w:szCs w:val="21"/>
                    </w:rPr>
                  </w:pPr>
                  <w:r>
                    <w:rPr>
                      <w:rFonts w:ascii="Times New Roman" w:hAnsi="Times New Roman"/>
                      <w:b/>
                      <w:sz w:val="21"/>
                      <w:szCs w:val="21"/>
                    </w:rPr>
                    <w:t>D</w:t>
                  </w:r>
                </w:p>
              </w:tc>
              <w:tc>
                <w:tcPr>
                  <w:tcW w:w="921" w:type="dxa"/>
                  <w:vAlign w:val="center"/>
                </w:tcPr>
                <w:p>
                  <w:pPr>
                    <w:pStyle w:val="77"/>
                    <w:tabs>
                      <w:tab w:val="left" w:pos="0"/>
                    </w:tabs>
                    <w:spacing w:line="240" w:lineRule="exact"/>
                    <w:ind w:firstLine="0" w:firstLineChars="0"/>
                    <w:jc w:val="center"/>
                    <w:rPr>
                      <w:rFonts w:ascii="Times New Roman" w:hAnsi="Times New Roman"/>
                      <w:b/>
                      <w:sz w:val="21"/>
                      <w:szCs w:val="21"/>
                    </w:rPr>
                  </w:pPr>
                  <w:r>
                    <w:rPr>
                      <w:rFonts w:ascii="Times New Roman" w:hAnsi="Times New Roman"/>
                      <w:b/>
                      <w:sz w:val="21"/>
                      <w:szCs w:val="21"/>
                    </w:rPr>
                    <w:t>L</w:t>
                  </w:r>
                </w:p>
                <w:p>
                  <w:pPr>
                    <w:pStyle w:val="77"/>
                    <w:tabs>
                      <w:tab w:val="left" w:pos="0"/>
                    </w:tabs>
                    <w:spacing w:line="240" w:lineRule="exact"/>
                    <w:ind w:firstLine="0" w:firstLineChars="0"/>
                    <w:jc w:val="center"/>
                    <w:rPr>
                      <w:rFonts w:ascii="Times New Roman" w:hAnsi="Times New Roman"/>
                      <w:b/>
                      <w:sz w:val="21"/>
                      <w:szCs w:val="21"/>
                    </w:rPr>
                  </w:pPr>
                  <w:r>
                    <w:rPr>
                      <w:rFonts w:ascii="Times New Roman" w:hAnsi="Times New Roman"/>
                      <w:b/>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168" w:type="dxa"/>
                  <w:vAlign w:val="center"/>
                </w:tcPr>
                <w:p>
                  <w:pPr>
                    <w:autoSpaceDE w:val="0"/>
                    <w:autoSpaceDN w:val="0"/>
                    <w:adjustRightInd w:val="0"/>
                    <w:spacing w:line="240" w:lineRule="atLeast"/>
                    <w:jc w:val="center"/>
                    <w:rPr>
                      <w:bCs/>
                      <w:szCs w:val="21"/>
                    </w:rPr>
                  </w:pPr>
                  <w:r>
                    <w:rPr>
                      <w:rFonts w:hint="eastAsia"/>
                      <w:szCs w:val="21"/>
                    </w:rPr>
                    <w:t>总装车间（热处理）</w:t>
                  </w:r>
                </w:p>
              </w:tc>
              <w:tc>
                <w:tcPr>
                  <w:tcW w:w="764" w:type="dxa"/>
                  <w:vAlign w:val="center"/>
                </w:tcPr>
                <w:p>
                  <w:pPr>
                    <w:autoSpaceDE w:val="0"/>
                    <w:autoSpaceDN w:val="0"/>
                    <w:adjustRightInd w:val="0"/>
                    <w:spacing w:line="240" w:lineRule="atLeast"/>
                    <w:jc w:val="center"/>
                  </w:pPr>
                  <w:r>
                    <w:rPr>
                      <w:rFonts w:hint="eastAsia"/>
                      <w:szCs w:val="21"/>
                    </w:rPr>
                    <w:t>面源</w:t>
                  </w:r>
                </w:p>
              </w:tc>
              <w:tc>
                <w:tcPr>
                  <w:tcW w:w="1377" w:type="dxa"/>
                  <w:vAlign w:val="center"/>
                </w:tcPr>
                <w:p>
                  <w:pPr>
                    <w:spacing w:line="240" w:lineRule="atLeast"/>
                    <w:jc w:val="center"/>
                    <w:rPr>
                      <w:szCs w:val="21"/>
                    </w:rPr>
                  </w:pPr>
                  <w:r>
                    <w:rPr>
                      <w:szCs w:val="21"/>
                    </w:rPr>
                    <w:t>非甲烷总烃</w:t>
                  </w:r>
                </w:p>
              </w:tc>
              <w:tc>
                <w:tcPr>
                  <w:tcW w:w="947" w:type="dxa"/>
                  <w:vAlign w:val="center"/>
                </w:tcPr>
                <w:p>
                  <w:pPr>
                    <w:spacing w:line="240" w:lineRule="atLeast"/>
                    <w:jc w:val="center"/>
                    <w:rPr>
                      <w:szCs w:val="21"/>
                    </w:rPr>
                  </w:pPr>
                  <w:r>
                    <w:rPr>
                      <w:rFonts w:hint="eastAsia"/>
                      <w:szCs w:val="21"/>
                    </w:rPr>
                    <w:t>0.006</w:t>
                  </w:r>
                </w:p>
              </w:tc>
              <w:tc>
                <w:tcPr>
                  <w:tcW w:w="963" w:type="dxa"/>
                  <w:vMerge w:val="restart"/>
                  <w:vAlign w:val="center"/>
                </w:tcPr>
                <w:p>
                  <w:pPr>
                    <w:jc w:val="center"/>
                    <w:rPr>
                      <w:szCs w:val="21"/>
                    </w:rPr>
                  </w:pPr>
                  <w:r>
                    <w:rPr>
                      <w:szCs w:val="21"/>
                    </w:rPr>
                    <w:t>2.</w:t>
                  </w:r>
                  <w:r>
                    <w:rPr>
                      <w:rFonts w:hint="eastAsia"/>
                      <w:szCs w:val="21"/>
                    </w:rPr>
                    <w:t>1</w:t>
                  </w:r>
                </w:p>
              </w:tc>
              <w:tc>
                <w:tcPr>
                  <w:tcW w:w="690" w:type="dxa"/>
                  <w:vAlign w:val="center"/>
                </w:tcPr>
                <w:p>
                  <w:pPr>
                    <w:pStyle w:val="6"/>
                    <w:spacing w:line="320" w:lineRule="exact"/>
                    <w:ind w:firstLine="0"/>
                    <w:jc w:val="center"/>
                    <w:rPr>
                      <w:szCs w:val="21"/>
                    </w:rPr>
                  </w:pPr>
                  <w:r>
                    <w:rPr>
                      <w:szCs w:val="21"/>
                    </w:rPr>
                    <w:t>470</w:t>
                  </w:r>
                </w:p>
              </w:tc>
              <w:tc>
                <w:tcPr>
                  <w:tcW w:w="806" w:type="dxa"/>
                  <w:vAlign w:val="center"/>
                </w:tcPr>
                <w:p>
                  <w:pPr>
                    <w:pStyle w:val="6"/>
                    <w:spacing w:line="320" w:lineRule="exact"/>
                    <w:ind w:firstLine="0"/>
                    <w:jc w:val="center"/>
                    <w:rPr>
                      <w:szCs w:val="21"/>
                    </w:rPr>
                  </w:pPr>
                  <w:r>
                    <w:rPr>
                      <w:szCs w:val="21"/>
                    </w:rPr>
                    <w:t>0.021</w:t>
                  </w:r>
                </w:p>
              </w:tc>
              <w:tc>
                <w:tcPr>
                  <w:tcW w:w="722" w:type="dxa"/>
                  <w:vAlign w:val="center"/>
                </w:tcPr>
                <w:p>
                  <w:pPr>
                    <w:pStyle w:val="6"/>
                    <w:spacing w:line="320" w:lineRule="exact"/>
                    <w:ind w:firstLine="0"/>
                    <w:jc w:val="center"/>
                    <w:rPr>
                      <w:szCs w:val="21"/>
                    </w:rPr>
                  </w:pPr>
                  <w:r>
                    <w:rPr>
                      <w:szCs w:val="21"/>
                    </w:rPr>
                    <w:t>1.85</w:t>
                  </w:r>
                </w:p>
              </w:tc>
              <w:tc>
                <w:tcPr>
                  <w:tcW w:w="643" w:type="dxa"/>
                  <w:vAlign w:val="center"/>
                </w:tcPr>
                <w:p>
                  <w:pPr>
                    <w:pStyle w:val="6"/>
                    <w:spacing w:line="320" w:lineRule="exact"/>
                    <w:ind w:firstLine="0"/>
                    <w:jc w:val="center"/>
                    <w:rPr>
                      <w:szCs w:val="21"/>
                    </w:rPr>
                  </w:pPr>
                  <w:r>
                    <w:rPr>
                      <w:szCs w:val="21"/>
                    </w:rPr>
                    <w:t>0.84</w:t>
                  </w:r>
                </w:p>
              </w:tc>
              <w:tc>
                <w:tcPr>
                  <w:tcW w:w="921" w:type="dxa"/>
                  <w:vAlign w:val="center"/>
                </w:tcPr>
                <w:p>
                  <w:pPr>
                    <w:jc w:val="center"/>
                    <w:rPr>
                      <w:szCs w:val="21"/>
                    </w:rPr>
                  </w:pPr>
                  <w:r>
                    <w:rPr>
                      <w:rFonts w:hint="eastAsia"/>
                      <w:szCs w:val="21"/>
                    </w:rPr>
                    <w:t>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168" w:type="dxa"/>
                  <w:vAlign w:val="center"/>
                </w:tcPr>
                <w:p>
                  <w:pPr>
                    <w:autoSpaceDE w:val="0"/>
                    <w:autoSpaceDN w:val="0"/>
                    <w:adjustRightInd w:val="0"/>
                    <w:spacing w:line="240" w:lineRule="atLeast"/>
                    <w:jc w:val="center"/>
                    <w:rPr>
                      <w:szCs w:val="21"/>
                    </w:rPr>
                  </w:pPr>
                  <w:r>
                    <w:rPr>
                      <w:rFonts w:hint="eastAsia"/>
                      <w:szCs w:val="21"/>
                    </w:rPr>
                    <w:t>焊接</w:t>
                  </w:r>
                </w:p>
              </w:tc>
              <w:tc>
                <w:tcPr>
                  <w:tcW w:w="764" w:type="dxa"/>
                  <w:vAlign w:val="center"/>
                </w:tcPr>
                <w:p>
                  <w:pPr>
                    <w:autoSpaceDE w:val="0"/>
                    <w:autoSpaceDN w:val="0"/>
                    <w:adjustRightInd w:val="0"/>
                    <w:spacing w:line="240" w:lineRule="atLeast"/>
                    <w:jc w:val="center"/>
                  </w:pPr>
                  <w:r>
                    <w:rPr>
                      <w:rFonts w:hint="eastAsia"/>
                      <w:szCs w:val="21"/>
                    </w:rPr>
                    <w:t>面源</w:t>
                  </w:r>
                </w:p>
              </w:tc>
              <w:tc>
                <w:tcPr>
                  <w:tcW w:w="1377" w:type="dxa"/>
                  <w:vAlign w:val="center"/>
                </w:tcPr>
                <w:p>
                  <w:pPr>
                    <w:spacing w:line="240" w:lineRule="atLeast"/>
                    <w:jc w:val="center"/>
                    <w:rPr>
                      <w:szCs w:val="21"/>
                    </w:rPr>
                  </w:pPr>
                  <w:r>
                    <w:rPr>
                      <w:rFonts w:hint="eastAsia"/>
                      <w:szCs w:val="21"/>
                    </w:rPr>
                    <w:t>颗粒物</w:t>
                  </w:r>
                </w:p>
              </w:tc>
              <w:tc>
                <w:tcPr>
                  <w:tcW w:w="947" w:type="dxa"/>
                  <w:vAlign w:val="center"/>
                </w:tcPr>
                <w:p>
                  <w:pPr>
                    <w:spacing w:line="240" w:lineRule="atLeast"/>
                    <w:jc w:val="center"/>
                    <w:rPr>
                      <w:szCs w:val="21"/>
                    </w:rPr>
                  </w:pPr>
                  <w:r>
                    <w:rPr>
                      <w:rFonts w:hint="eastAsia"/>
                      <w:szCs w:val="21"/>
                    </w:rPr>
                    <w:t>0.001</w:t>
                  </w:r>
                </w:p>
              </w:tc>
              <w:tc>
                <w:tcPr>
                  <w:tcW w:w="963" w:type="dxa"/>
                  <w:vMerge w:val="continue"/>
                  <w:vAlign w:val="center"/>
                </w:tcPr>
                <w:p>
                  <w:pPr>
                    <w:jc w:val="center"/>
                    <w:rPr>
                      <w:szCs w:val="21"/>
                    </w:rPr>
                  </w:pPr>
                </w:p>
              </w:tc>
              <w:tc>
                <w:tcPr>
                  <w:tcW w:w="690" w:type="dxa"/>
                  <w:vAlign w:val="center"/>
                </w:tcPr>
                <w:p>
                  <w:pPr>
                    <w:pStyle w:val="6"/>
                    <w:spacing w:line="320" w:lineRule="exact"/>
                    <w:ind w:firstLine="0"/>
                    <w:jc w:val="center"/>
                    <w:rPr>
                      <w:szCs w:val="21"/>
                    </w:rPr>
                  </w:pPr>
                  <w:r>
                    <w:rPr>
                      <w:szCs w:val="21"/>
                    </w:rPr>
                    <w:t>470</w:t>
                  </w:r>
                </w:p>
              </w:tc>
              <w:tc>
                <w:tcPr>
                  <w:tcW w:w="806" w:type="dxa"/>
                  <w:vAlign w:val="center"/>
                </w:tcPr>
                <w:p>
                  <w:pPr>
                    <w:pStyle w:val="6"/>
                    <w:spacing w:line="320" w:lineRule="exact"/>
                    <w:ind w:firstLine="0"/>
                    <w:jc w:val="center"/>
                    <w:rPr>
                      <w:szCs w:val="21"/>
                    </w:rPr>
                  </w:pPr>
                  <w:r>
                    <w:rPr>
                      <w:szCs w:val="21"/>
                    </w:rPr>
                    <w:t>0.021</w:t>
                  </w:r>
                </w:p>
              </w:tc>
              <w:tc>
                <w:tcPr>
                  <w:tcW w:w="722" w:type="dxa"/>
                  <w:vAlign w:val="center"/>
                </w:tcPr>
                <w:p>
                  <w:pPr>
                    <w:pStyle w:val="6"/>
                    <w:spacing w:line="320" w:lineRule="exact"/>
                    <w:ind w:firstLine="0"/>
                    <w:jc w:val="center"/>
                    <w:rPr>
                      <w:szCs w:val="21"/>
                    </w:rPr>
                  </w:pPr>
                  <w:r>
                    <w:rPr>
                      <w:szCs w:val="21"/>
                    </w:rPr>
                    <w:t>1.85</w:t>
                  </w:r>
                </w:p>
              </w:tc>
              <w:tc>
                <w:tcPr>
                  <w:tcW w:w="643" w:type="dxa"/>
                  <w:vAlign w:val="center"/>
                </w:tcPr>
                <w:p>
                  <w:pPr>
                    <w:pStyle w:val="6"/>
                    <w:spacing w:line="320" w:lineRule="exact"/>
                    <w:ind w:firstLine="0"/>
                    <w:jc w:val="center"/>
                    <w:rPr>
                      <w:szCs w:val="21"/>
                    </w:rPr>
                  </w:pPr>
                  <w:r>
                    <w:rPr>
                      <w:szCs w:val="21"/>
                    </w:rPr>
                    <w:t>0.84</w:t>
                  </w:r>
                </w:p>
              </w:tc>
              <w:tc>
                <w:tcPr>
                  <w:tcW w:w="921" w:type="dxa"/>
                  <w:vAlign w:val="center"/>
                </w:tcPr>
                <w:p>
                  <w:pPr>
                    <w:jc w:val="center"/>
                    <w:rPr>
                      <w:szCs w:val="21"/>
                    </w:rPr>
                  </w:pPr>
                  <w:r>
                    <w:rPr>
                      <w:rFonts w:hint="eastAsia"/>
                      <w:szCs w:val="21"/>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168" w:type="dxa"/>
                  <w:vMerge w:val="restart"/>
                  <w:vAlign w:val="center"/>
                </w:tcPr>
                <w:p>
                  <w:pPr>
                    <w:autoSpaceDE w:val="0"/>
                    <w:autoSpaceDN w:val="0"/>
                    <w:adjustRightInd w:val="0"/>
                    <w:spacing w:line="240" w:lineRule="atLeast"/>
                    <w:jc w:val="center"/>
                    <w:rPr>
                      <w:szCs w:val="21"/>
                    </w:rPr>
                  </w:pPr>
                  <w:r>
                    <w:rPr>
                      <w:rFonts w:hint="eastAsia"/>
                      <w:szCs w:val="21"/>
                    </w:rPr>
                    <w:t>喷晾漆及切割</w:t>
                  </w:r>
                </w:p>
              </w:tc>
              <w:tc>
                <w:tcPr>
                  <w:tcW w:w="764" w:type="dxa"/>
                  <w:vMerge w:val="restart"/>
                  <w:vAlign w:val="center"/>
                </w:tcPr>
                <w:p>
                  <w:pPr>
                    <w:autoSpaceDE w:val="0"/>
                    <w:autoSpaceDN w:val="0"/>
                    <w:adjustRightInd w:val="0"/>
                    <w:spacing w:line="240" w:lineRule="atLeast"/>
                    <w:jc w:val="center"/>
                    <w:rPr>
                      <w:szCs w:val="21"/>
                    </w:rPr>
                  </w:pPr>
                  <w:r>
                    <w:rPr>
                      <w:rFonts w:hint="eastAsia"/>
                      <w:szCs w:val="21"/>
                    </w:rPr>
                    <w:t>面源</w:t>
                  </w:r>
                </w:p>
              </w:tc>
              <w:tc>
                <w:tcPr>
                  <w:tcW w:w="1377" w:type="dxa"/>
                  <w:vAlign w:val="center"/>
                </w:tcPr>
                <w:p>
                  <w:pPr>
                    <w:spacing w:line="340" w:lineRule="exact"/>
                    <w:jc w:val="center"/>
                    <w:rPr>
                      <w:szCs w:val="21"/>
                    </w:rPr>
                  </w:pPr>
                  <w:r>
                    <w:rPr>
                      <w:szCs w:val="21"/>
                    </w:rPr>
                    <w:t>颗粒物</w:t>
                  </w:r>
                </w:p>
              </w:tc>
              <w:tc>
                <w:tcPr>
                  <w:tcW w:w="947" w:type="dxa"/>
                  <w:vAlign w:val="center"/>
                </w:tcPr>
                <w:p>
                  <w:pPr>
                    <w:spacing w:line="240" w:lineRule="atLeast"/>
                    <w:jc w:val="center"/>
                    <w:rPr>
                      <w:szCs w:val="21"/>
                    </w:rPr>
                  </w:pPr>
                  <w:r>
                    <w:rPr>
                      <w:rFonts w:hint="eastAsia"/>
                      <w:szCs w:val="21"/>
                    </w:rPr>
                    <w:t>0.007</w:t>
                  </w:r>
                </w:p>
              </w:tc>
              <w:tc>
                <w:tcPr>
                  <w:tcW w:w="963" w:type="dxa"/>
                  <w:vMerge w:val="continue"/>
                  <w:vAlign w:val="center"/>
                </w:tcPr>
                <w:p>
                  <w:pPr>
                    <w:jc w:val="center"/>
                    <w:rPr>
                      <w:szCs w:val="21"/>
                    </w:rPr>
                  </w:pPr>
                </w:p>
              </w:tc>
              <w:tc>
                <w:tcPr>
                  <w:tcW w:w="690" w:type="dxa"/>
                  <w:vAlign w:val="center"/>
                </w:tcPr>
                <w:p>
                  <w:pPr>
                    <w:pStyle w:val="6"/>
                    <w:spacing w:line="320" w:lineRule="exact"/>
                    <w:ind w:firstLine="0"/>
                    <w:jc w:val="center"/>
                    <w:rPr>
                      <w:szCs w:val="21"/>
                    </w:rPr>
                  </w:pPr>
                  <w:r>
                    <w:rPr>
                      <w:szCs w:val="21"/>
                    </w:rPr>
                    <w:t>470</w:t>
                  </w:r>
                </w:p>
              </w:tc>
              <w:tc>
                <w:tcPr>
                  <w:tcW w:w="806" w:type="dxa"/>
                  <w:vAlign w:val="center"/>
                </w:tcPr>
                <w:p>
                  <w:pPr>
                    <w:pStyle w:val="6"/>
                    <w:spacing w:line="320" w:lineRule="exact"/>
                    <w:ind w:firstLine="0"/>
                    <w:jc w:val="center"/>
                    <w:rPr>
                      <w:szCs w:val="21"/>
                    </w:rPr>
                  </w:pPr>
                  <w:r>
                    <w:rPr>
                      <w:szCs w:val="21"/>
                    </w:rPr>
                    <w:t>0.021</w:t>
                  </w:r>
                </w:p>
              </w:tc>
              <w:tc>
                <w:tcPr>
                  <w:tcW w:w="722" w:type="dxa"/>
                  <w:vAlign w:val="center"/>
                </w:tcPr>
                <w:p>
                  <w:pPr>
                    <w:pStyle w:val="6"/>
                    <w:spacing w:line="320" w:lineRule="exact"/>
                    <w:ind w:firstLine="0"/>
                    <w:jc w:val="center"/>
                    <w:rPr>
                      <w:szCs w:val="21"/>
                    </w:rPr>
                  </w:pPr>
                  <w:r>
                    <w:rPr>
                      <w:szCs w:val="21"/>
                    </w:rPr>
                    <w:t>1.85</w:t>
                  </w:r>
                </w:p>
              </w:tc>
              <w:tc>
                <w:tcPr>
                  <w:tcW w:w="643" w:type="dxa"/>
                  <w:vAlign w:val="center"/>
                </w:tcPr>
                <w:p>
                  <w:pPr>
                    <w:pStyle w:val="6"/>
                    <w:spacing w:line="320" w:lineRule="exact"/>
                    <w:ind w:firstLine="0"/>
                    <w:jc w:val="center"/>
                    <w:rPr>
                      <w:szCs w:val="21"/>
                    </w:rPr>
                  </w:pPr>
                  <w:r>
                    <w:rPr>
                      <w:szCs w:val="21"/>
                    </w:rPr>
                    <w:t>0.84</w:t>
                  </w:r>
                </w:p>
              </w:tc>
              <w:tc>
                <w:tcPr>
                  <w:tcW w:w="921" w:type="dxa"/>
                  <w:vAlign w:val="center"/>
                </w:tcPr>
                <w:p>
                  <w:pPr>
                    <w:jc w:val="center"/>
                    <w:rPr>
                      <w:szCs w:val="21"/>
                    </w:rPr>
                  </w:pPr>
                  <w:r>
                    <w:rPr>
                      <w:rFonts w:hint="eastAsia"/>
                      <w:szCs w:val="21"/>
                    </w:rPr>
                    <w:t>3.387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168" w:type="dxa"/>
                  <w:vMerge w:val="continue"/>
                  <w:vAlign w:val="center"/>
                </w:tcPr>
                <w:p>
                  <w:pPr>
                    <w:autoSpaceDE w:val="0"/>
                    <w:autoSpaceDN w:val="0"/>
                    <w:adjustRightInd w:val="0"/>
                    <w:spacing w:line="240" w:lineRule="atLeast"/>
                    <w:jc w:val="center"/>
                    <w:rPr>
                      <w:szCs w:val="21"/>
                    </w:rPr>
                  </w:pPr>
                </w:p>
              </w:tc>
              <w:tc>
                <w:tcPr>
                  <w:tcW w:w="764" w:type="dxa"/>
                  <w:vMerge w:val="continue"/>
                  <w:vAlign w:val="center"/>
                </w:tcPr>
                <w:p>
                  <w:pPr>
                    <w:autoSpaceDE w:val="0"/>
                    <w:autoSpaceDN w:val="0"/>
                    <w:adjustRightInd w:val="0"/>
                    <w:spacing w:line="240" w:lineRule="atLeast"/>
                    <w:jc w:val="center"/>
                    <w:rPr>
                      <w:szCs w:val="21"/>
                    </w:rPr>
                  </w:pPr>
                </w:p>
              </w:tc>
              <w:tc>
                <w:tcPr>
                  <w:tcW w:w="1377" w:type="dxa"/>
                  <w:vAlign w:val="center"/>
                </w:tcPr>
                <w:p>
                  <w:pPr>
                    <w:spacing w:line="340" w:lineRule="exact"/>
                    <w:jc w:val="center"/>
                    <w:rPr>
                      <w:szCs w:val="21"/>
                    </w:rPr>
                  </w:pPr>
                  <w:r>
                    <w:rPr>
                      <w:szCs w:val="21"/>
                    </w:rPr>
                    <w:t>非甲烷总烃</w:t>
                  </w:r>
                </w:p>
              </w:tc>
              <w:tc>
                <w:tcPr>
                  <w:tcW w:w="947" w:type="dxa"/>
                  <w:vAlign w:val="center"/>
                </w:tcPr>
                <w:p>
                  <w:pPr>
                    <w:spacing w:line="240" w:lineRule="atLeast"/>
                    <w:jc w:val="center"/>
                    <w:rPr>
                      <w:szCs w:val="21"/>
                    </w:rPr>
                  </w:pPr>
                  <w:r>
                    <w:rPr>
                      <w:rFonts w:hint="eastAsia"/>
                      <w:szCs w:val="21"/>
                    </w:rPr>
                    <w:t>0.0008</w:t>
                  </w:r>
                </w:p>
              </w:tc>
              <w:tc>
                <w:tcPr>
                  <w:tcW w:w="963" w:type="dxa"/>
                  <w:vMerge w:val="continue"/>
                  <w:vAlign w:val="center"/>
                </w:tcPr>
                <w:p>
                  <w:pPr>
                    <w:jc w:val="center"/>
                    <w:rPr>
                      <w:szCs w:val="21"/>
                    </w:rPr>
                  </w:pPr>
                </w:p>
              </w:tc>
              <w:tc>
                <w:tcPr>
                  <w:tcW w:w="690" w:type="dxa"/>
                  <w:vAlign w:val="center"/>
                </w:tcPr>
                <w:p>
                  <w:pPr>
                    <w:pStyle w:val="6"/>
                    <w:spacing w:line="320" w:lineRule="exact"/>
                    <w:ind w:firstLine="0"/>
                    <w:jc w:val="center"/>
                    <w:rPr>
                      <w:szCs w:val="21"/>
                    </w:rPr>
                  </w:pPr>
                  <w:r>
                    <w:rPr>
                      <w:szCs w:val="21"/>
                    </w:rPr>
                    <w:t>470</w:t>
                  </w:r>
                </w:p>
              </w:tc>
              <w:tc>
                <w:tcPr>
                  <w:tcW w:w="806" w:type="dxa"/>
                  <w:vAlign w:val="center"/>
                </w:tcPr>
                <w:p>
                  <w:pPr>
                    <w:pStyle w:val="6"/>
                    <w:spacing w:line="320" w:lineRule="exact"/>
                    <w:ind w:firstLine="0"/>
                    <w:jc w:val="center"/>
                    <w:rPr>
                      <w:szCs w:val="21"/>
                    </w:rPr>
                  </w:pPr>
                  <w:r>
                    <w:rPr>
                      <w:szCs w:val="21"/>
                    </w:rPr>
                    <w:t>0.021</w:t>
                  </w:r>
                </w:p>
              </w:tc>
              <w:tc>
                <w:tcPr>
                  <w:tcW w:w="722" w:type="dxa"/>
                  <w:vAlign w:val="center"/>
                </w:tcPr>
                <w:p>
                  <w:pPr>
                    <w:pStyle w:val="6"/>
                    <w:spacing w:line="320" w:lineRule="exact"/>
                    <w:ind w:firstLine="0"/>
                    <w:jc w:val="center"/>
                    <w:rPr>
                      <w:szCs w:val="21"/>
                    </w:rPr>
                  </w:pPr>
                  <w:r>
                    <w:rPr>
                      <w:szCs w:val="21"/>
                    </w:rPr>
                    <w:t>1.85</w:t>
                  </w:r>
                </w:p>
              </w:tc>
              <w:tc>
                <w:tcPr>
                  <w:tcW w:w="643" w:type="dxa"/>
                  <w:vAlign w:val="center"/>
                </w:tcPr>
                <w:p>
                  <w:pPr>
                    <w:pStyle w:val="6"/>
                    <w:spacing w:line="320" w:lineRule="exact"/>
                    <w:ind w:firstLine="0"/>
                    <w:jc w:val="center"/>
                    <w:rPr>
                      <w:szCs w:val="21"/>
                    </w:rPr>
                  </w:pPr>
                  <w:r>
                    <w:rPr>
                      <w:szCs w:val="21"/>
                    </w:rPr>
                    <w:t>0.84</w:t>
                  </w:r>
                </w:p>
              </w:tc>
              <w:tc>
                <w:tcPr>
                  <w:tcW w:w="921" w:type="dxa"/>
                  <w:vAlign w:val="center"/>
                </w:tcPr>
                <w:p>
                  <w:pPr>
                    <w:jc w:val="center"/>
                    <w:rPr>
                      <w:szCs w:val="21"/>
                    </w:rPr>
                  </w:pPr>
                  <w:r>
                    <w:rPr>
                      <w:rFonts w:hint="eastAsia"/>
                      <w:szCs w:val="21"/>
                    </w:rPr>
                    <w:t>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168" w:type="dxa"/>
                  <w:vMerge w:val="continue"/>
                  <w:vAlign w:val="center"/>
                </w:tcPr>
                <w:p>
                  <w:pPr>
                    <w:autoSpaceDE w:val="0"/>
                    <w:autoSpaceDN w:val="0"/>
                    <w:adjustRightInd w:val="0"/>
                    <w:spacing w:line="240" w:lineRule="atLeast"/>
                    <w:jc w:val="center"/>
                    <w:rPr>
                      <w:szCs w:val="21"/>
                    </w:rPr>
                  </w:pPr>
                </w:p>
              </w:tc>
              <w:tc>
                <w:tcPr>
                  <w:tcW w:w="764" w:type="dxa"/>
                  <w:vMerge w:val="continue"/>
                  <w:vAlign w:val="center"/>
                </w:tcPr>
                <w:p>
                  <w:pPr>
                    <w:autoSpaceDE w:val="0"/>
                    <w:autoSpaceDN w:val="0"/>
                    <w:adjustRightInd w:val="0"/>
                    <w:spacing w:line="240" w:lineRule="atLeast"/>
                    <w:jc w:val="center"/>
                    <w:rPr>
                      <w:szCs w:val="21"/>
                    </w:rPr>
                  </w:pPr>
                </w:p>
              </w:tc>
              <w:tc>
                <w:tcPr>
                  <w:tcW w:w="1377" w:type="dxa"/>
                  <w:vAlign w:val="center"/>
                </w:tcPr>
                <w:p>
                  <w:pPr>
                    <w:spacing w:line="340" w:lineRule="exact"/>
                    <w:jc w:val="center"/>
                    <w:rPr>
                      <w:szCs w:val="21"/>
                    </w:rPr>
                  </w:pPr>
                  <w:r>
                    <w:rPr>
                      <w:szCs w:val="21"/>
                    </w:rPr>
                    <w:t>二甲苯</w:t>
                  </w:r>
                </w:p>
              </w:tc>
              <w:tc>
                <w:tcPr>
                  <w:tcW w:w="947" w:type="dxa"/>
                  <w:vAlign w:val="center"/>
                </w:tcPr>
                <w:p>
                  <w:pPr>
                    <w:spacing w:line="240" w:lineRule="atLeast"/>
                    <w:jc w:val="center"/>
                    <w:rPr>
                      <w:szCs w:val="21"/>
                    </w:rPr>
                  </w:pPr>
                  <w:r>
                    <w:rPr>
                      <w:rFonts w:hint="eastAsia"/>
                      <w:szCs w:val="21"/>
                    </w:rPr>
                    <w:t>0.0008</w:t>
                  </w:r>
                </w:p>
              </w:tc>
              <w:tc>
                <w:tcPr>
                  <w:tcW w:w="963" w:type="dxa"/>
                  <w:vMerge w:val="continue"/>
                  <w:vAlign w:val="center"/>
                </w:tcPr>
                <w:p>
                  <w:pPr>
                    <w:jc w:val="center"/>
                    <w:rPr>
                      <w:szCs w:val="21"/>
                    </w:rPr>
                  </w:pPr>
                </w:p>
              </w:tc>
              <w:tc>
                <w:tcPr>
                  <w:tcW w:w="690" w:type="dxa"/>
                  <w:vAlign w:val="center"/>
                </w:tcPr>
                <w:p>
                  <w:pPr>
                    <w:pStyle w:val="6"/>
                    <w:spacing w:line="320" w:lineRule="exact"/>
                    <w:ind w:firstLine="0"/>
                    <w:jc w:val="center"/>
                    <w:rPr>
                      <w:szCs w:val="21"/>
                    </w:rPr>
                  </w:pPr>
                  <w:r>
                    <w:rPr>
                      <w:szCs w:val="21"/>
                    </w:rPr>
                    <w:t>470</w:t>
                  </w:r>
                </w:p>
              </w:tc>
              <w:tc>
                <w:tcPr>
                  <w:tcW w:w="806" w:type="dxa"/>
                  <w:vAlign w:val="center"/>
                </w:tcPr>
                <w:p>
                  <w:pPr>
                    <w:pStyle w:val="6"/>
                    <w:spacing w:line="320" w:lineRule="exact"/>
                    <w:ind w:firstLine="0"/>
                    <w:jc w:val="center"/>
                    <w:rPr>
                      <w:szCs w:val="21"/>
                    </w:rPr>
                  </w:pPr>
                  <w:r>
                    <w:rPr>
                      <w:szCs w:val="21"/>
                    </w:rPr>
                    <w:t>0.021</w:t>
                  </w:r>
                </w:p>
              </w:tc>
              <w:tc>
                <w:tcPr>
                  <w:tcW w:w="722" w:type="dxa"/>
                  <w:vAlign w:val="center"/>
                </w:tcPr>
                <w:p>
                  <w:pPr>
                    <w:pStyle w:val="6"/>
                    <w:spacing w:line="320" w:lineRule="exact"/>
                    <w:ind w:firstLine="0"/>
                    <w:jc w:val="center"/>
                    <w:rPr>
                      <w:szCs w:val="21"/>
                    </w:rPr>
                  </w:pPr>
                  <w:r>
                    <w:rPr>
                      <w:szCs w:val="21"/>
                    </w:rPr>
                    <w:t>1.85</w:t>
                  </w:r>
                </w:p>
              </w:tc>
              <w:tc>
                <w:tcPr>
                  <w:tcW w:w="643" w:type="dxa"/>
                  <w:vAlign w:val="center"/>
                </w:tcPr>
                <w:p>
                  <w:pPr>
                    <w:pStyle w:val="6"/>
                    <w:spacing w:line="320" w:lineRule="exact"/>
                    <w:ind w:firstLine="0"/>
                    <w:jc w:val="center"/>
                    <w:rPr>
                      <w:szCs w:val="21"/>
                    </w:rPr>
                  </w:pPr>
                  <w:r>
                    <w:rPr>
                      <w:szCs w:val="21"/>
                    </w:rPr>
                    <w:t>0.84</w:t>
                  </w:r>
                </w:p>
              </w:tc>
              <w:tc>
                <w:tcPr>
                  <w:tcW w:w="921" w:type="dxa"/>
                  <w:vAlign w:val="center"/>
                </w:tcPr>
                <w:p>
                  <w:pPr>
                    <w:jc w:val="center"/>
                    <w:rPr>
                      <w:szCs w:val="21"/>
                    </w:rPr>
                  </w:pPr>
                  <w:r>
                    <w:rPr>
                      <w:rFonts w:hint="eastAsia"/>
                      <w:szCs w:val="21"/>
                    </w:rPr>
                    <w:t>0.684</w:t>
                  </w:r>
                </w:p>
              </w:tc>
            </w:tr>
          </w:tbl>
          <w:p>
            <w:pPr>
              <w:keepNext/>
              <w:keepLines/>
              <w:spacing w:beforeLines="50" w:line="360" w:lineRule="auto"/>
              <w:ind w:firstLine="480" w:firstLineChars="200"/>
              <w:rPr>
                <w:rStyle w:val="108"/>
                <w:rFonts w:ascii="Times New Roman" w:hAnsi="Times New Roman"/>
              </w:rPr>
            </w:pPr>
            <w:r>
              <w:rPr>
                <w:rFonts w:hint="eastAsia"/>
                <w:sz w:val="24"/>
              </w:rPr>
              <w:t>根据《制定地方大气污染物排放标准的技术方法》（GB/T 13201-91）的规定，</w:t>
            </w:r>
            <w:r>
              <w:rPr>
                <w:bCs/>
                <w:sz w:val="24"/>
                <w:szCs w:val="24"/>
              </w:rPr>
              <w:t>卫生防护距离在100m以内时，级差为50m；超过100m，但小于或等于1000m时级差为100m，计算的L值在两级之间时，取偏宽的一级。有两种污染因子时，需提一级</w:t>
            </w:r>
            <w:r>
              <w:rPr>
                <w:rFonts w:hint="eastAsia"/>
                <w:sz w:val="24"/>
              </w:rPr>
              <w:t>。根据此规定，本项目卫生防护距离定为100米。</w:t>
            </w:r>
            <w:r>
              <w:rPr>
                <w:sz w:val="24"/>
                <w:szCs w:val="24"/>
              </w:rPr>
              <w:t>距项目最近的敏感点为</w:t>
            </w:r>
            <w:r>
              <w:rPr>
                <w:rFonts w:hint="eastAsia"/>
                <w:sz w:val="24"/>
                <w:szCs w:val="24"/>
              </w:rPr>
              <w:t>西</w:t>
            </w:r>
            <w:r>
              <w:rPr>
                <w:sz w:val="24"/>
                <w:szCs w:val="24"/>
              </w:rPr>
              <w:t>侧</w:t>
            </w:r>
            <w:r>
              <w:rPr>
                <w:rFonts w:hint="eastAsia"/>
                <w:sz w:val="24"/>
                <w:szCs w:val="24"/>
              </w:rPr>
              <w:t>250</w:t>
            </w:r>
            <w:r>
              <w:rPr>
                <w:sz w:val="24"/>
                <w:szCs w:val="24"/>
              </w:rPr>
              <w:t>m</w:t>
            </w:r>
            <w:r>
              <w:rPr>
                <w:rFonts w:hint="eastAsia"/>
                <w:sz w:val="24"/>
                <w:szCs w:val="24"/>
              </w:rPr>
              <w:t>的付神首村，</w:t>
            </w:r>
            <w:r>
              <w:rPr>
                <w:rFonts w:hint="eastAsia"/>
                <w:sz w:val="24"/>
              </w:rPr>
              <w:t>能够满足卫生防护距离的要求。</w:t>
            </w:r>
          </w:p>
          <w:p>
            <w:pPr>
              <w:pStyle w:val="48"/>
            </w:pPr>
            <w:r>
              <w:t>综上，项目废气对周围环境影响较小。</w:t>
            </w:r>
          </w:p>
          <w:p>
            <w:pPr>
              <w:snapToGrid w:val="0"/>
              <w:spacing w:line="360" w:lineRule="auto"/>
              <w:ind w:firstLine="480" w:firstLineChars="200"/>
              <w:rPr>
                <w:b/>
                <w:bCs/>
                <w:sz w:val="24"/>
                <w:szCs w:val="24"/>
              </w:rPr>
            </w:pPr>
            <w:r>
              <w:rPr>
                <w:rFonts w:hint="eastAsia"/>
                <w:b/>
                <w:bCs/>
                <w:sz w:val="24"/>
                <w:szCs w:val="24"/>
              </w:rPr>
              <w:t>2、废水环境影响分析</w:t>
            </w:r>
          </w:p>
          <w:p>
            <w:pPr>
              <w:snapToGrid w:val="0"/>
              <w:spacing w:line="360" w:lineRule="auto"/>
              <w:ind w:firstLine="480" w:firstLineChars="200"/>
              <w:rPr>
                <w:sz w:val="24"/>
                <w:szCs w:val="24"/>
              </w:rPr>
            </w:pPr>
            <w:r>
              <w:rPr>
                <w:rFonts w:hint="eastAsia"/>
                <w:sz w:val="24"/>
                <w:szCs w:val="24"/>
              </w:rPr>
              <w:t>本次技改项目不涉及给排水。</w:t>
            </w:r>
          </w:p>
          <w:p>
            <w:pPr>
              <w:snapToGrid w:val="0"/>
              <w:spacing w:line="480" w:lineRule="exact"/>
              <w:ind w:firstLine="480" w:firstLineChars="200"/>
              <w:rPr>
                <w:b/>
                <w:bCs/>
                <w:sz w:val="24"/>
                <w:szCs w:val="24"/>
              </w:rPr>
            </w:pPr>
            <w:r>
              <w:rPr>
                <w:rFonts w:hint="eastAsia"/>
                <w:b/>
                <w:bCs/>
                <w:sz w:val="24"/>
                <w:szCs w:val="24"/>
              </w:rPr>
              <w:t>3、声环境影响分析</w:t>
            </w:r>
          </w:p>
          <w:p>
            <w:pPr>
              <w:spacing w:line="360" w:lineRule="auto"/>
              <w:ind w:firstLine="480" w:firstLineChars="200"/>
              <w:rPr>
                <w:bCs/>
                <w:sz w:val="24"/>
                <w:szCs w:val="24"/>
              </w:rPr>
            </w:pPr>
            <w:r>
              <w:rPr>
                <w:rFonts w:hint="eastAsia"/>
                <w:bCs/>
                <w:sz w:val="24"/>
                <w:szCs w:val="24"/>
              </w:rPr>
              <w:t>（1）噪声源强分析</w:t>
            </w:r>
          </w:p>
          <w:p>
            <w:pPr>
              <w:spacing w:line="480" w:lineRule="exact"/>
              <w:ind w:firstLine="480" w:firstLineChars="200"/>
              <w:rPr>
                <w:bCs/>
                <w:sz w:val="24"/>
                <w:szCs w:val="24"/>
              </w:rPr>
            </w:pPr>
            <w:r>
              <w:rPr>
                <w:rFonts w:hint="eastAsia"/>
                <w:bCs/>
                <w:sz w:val="24"/>
                <w:szCs w:val="24"/>
              </w:rPr>
              <w:t>技改</w:t>
            </w:r>
            <w:r>
              <w:rPr>
                <w:bCs/>
                <w:sz w:val="24"/>
                <w:szCs w:val="24"/>
              </w:rPr>
              <w:t>项目产生噪声的设备主要有</w:t>
            </w:r>
            <w:r>
              <w:rPr>
                <w:rFonts w:hint="eastAsia"/>
                <w:bCs/>
                <w:sz w:val="24"/>
                <w:szCs w:val="24"/>
              </w:rPr>
              <w:t>二保焊机、数控车床、钻床、铣床</w:t>
            </w:r>
            <w:r>
              <w:rPr>
                <w:bCs/>
                <w:sz w:val="24"/>
                <w:szCs w:val="24"/>
              </w:rPr>
              <w:t>等</w:t>
            </w:r>
            <w:r>
              <w:rPr>
                <w:rFonts w:hint="eastAsia"/>
                <w:bCs/>
                <w:sz w:val="24"/>
                <w:szCs w:val="24"/>
              </w:rPr>
              <w:t>，</w:t>
            </w:r>
            <w:r>
              <w:rPr>
                <w:bCs/>
                <w:sz w:val="24"/>
                <w:szCs w:val="24"/>
              </w:rPr>
              <w:t>噪声级在</w:t>
            </w:r>
            <w:r>
              <w:rPr>
                <w:rFonts w:hint="eastAsia"/>
                <w:bCs/>
                <w:sz w:val="24"/>
                <w:szCs w:val="24"/>
              </w:rPr>
              <w:t>70~95</w:t>
            </w:r>
            <w:r>
              <w:rPr>
                <w:bCs/>
                <w:sz w:val="24"/>
                <w:szCs w:val="24"/>
              </w:rPr>
              <w:t>dB</w:t>
            </w:r>
            <w:r>
              <w:rPr>
                <w:rFonts w:hint="eastAsia"/>
                <w:bCs/>
                <w:sz w:val="24"/>
                <w:szCs w:val="24"/>
              </w:rPr>
              <w:t>（</w:t>
            </w:r>
            <w:r>
              <w:rPr>
                <w:bCs/>
                <w:sz w:val="24"/>
                <w:szCs w:val="24"/>
              </w:rPr>
              <w:t>A</w:t>
            </w:r>
            <w:r>
              <w:rPr>
                <w:rFonts w:hint="eastAsia"/>
                <w:bCs/>
                <w:sz w:val="24"/>
                <w:szCs w:val="24"/>
              </w:rPr>
              <w:t>）</w:t>
            </w:r>
            <w:r>
              <w:rPr>
                <w:bCs/>
                <w:sz w:val="24"/>
                <w:szCs w:val="24"/>
              </w:rPr>
              <w:t>之间</w:t>
            </w:r>
            <w:r>
              <w:rPr>
                <w:rFonts w:hint="eastAsia"/>
                <w:bCs/>
                <w:sz w:val="24"/>
                <w:szCs w:val="24"/>
              </w:rPr>
              <w:t>，</w:t>
            </w:r>
            <w:r>
              <w:rPr>
                <w:bCs/>
                <w:sz w:val="24"/>
                <w:szCs w:val="24"/>
              </w:rPr>
              <w:t>采用低噪设备，并对产噪设备进行基础减振，合理布局，设置在车间内部，密闭生产，根据同类生产厂家的运行实践，本工程采取的减</w:t>
            </w:r>
            <w:r>
              <w:rPr>
                <w:rFonts w:hint="eastAsia"/>
                <w:bCs/>
                <w:sz w:val="24"/>
                <w:szCs w:val="24"/>
              </w:rPr>
              <w:t>振</w:t>
            </w:r>
            <w:r>
              <w:rPr>
                <w:bCs/>
                <w:sz w:val="24"/>
                <w:szCs w:val="24"/>
              </w:rPr>
              <w:t>等措施均是成熟可靠的，严格管理，勤于维护，采取合理布局、低噪设备、基础减</w:t>
            </w:r>
            <w:r>
              <w:rPr>
                <w:rFonts w:hint="eastAsia"/>
                <w:bCs/>
                <w:sz w:val="24"/>
                <w:szCs w:val="24"/>
              </w:rPr>
              <w:t>振</w:t>
            </w:r>
            <w:r>
              <w:rPr>
                <w:bCs/>
                <w:sz w:val="24"/>
                <w:szCs w:val="24"/>
              </w:rPr>
              <w:t>等措施后，可降噪20～35dB（A）</w:t>
            </w:r>
            <w:r>
              <w:rPr>
                <w:rFonts w:hint="eastAsia"/>
                <w:bCs/>
                <w:sz w:val="24"/>
                <w:szCs w:val="24"/>
              </w:rPr>
              <w:t>。</w:t>
            </w:r>
          </w:p>
          <w:p>
            <w:pPr>
              <w:spacing w:line="360" w:lineRule="auto"/>
              <w:ind w:firstLine="480" w:firstLineChars="200"/>
              <w:rPr>
                <w:bCs/>
                <w:sz w:val="24"/>
                <w:szCs w:val="24"/>
              </w:rPr>
            </w:pPr>
            <w:r>
              <w:rPr>
                <w:rFonts w:hint="eastAsia"/>
                <w:bCs/>
                <w:sz w:val="24"/>
                <w:szCs w:val="24"/>
              </w:rPr>
              <w:t>具体</w:t>
            </w:r>
            <w:r>
              <w:rPr>
                <w:bCs/>
                <w:sz w:val="24"/>
                <w:szCs w:val="24"/>
              </w:rPr>
              <w:t>噪声源</w:t>
            </w:r>
            <w:r>
              <w:rPr>
                <w:rFonts w:hint="eastAsia"/>
                <w:bCs/>
                <w:sz w:val="24"/>
                <w:szCs w:val="24"/>
              </w:rPr>
              <w:t>强及布局</w:t>
            </w:r>
            <w:r>
              <w:rPr>
                <w:bCs/>
                <w:sz w:val="24"/>
                <w:szCs w:val="24"/>
              </w:rPr>
              <w:t>见表</w:t>
            </w:r>
            <w:r>
              <w:rPr>
                <w:rFonts w:hint="eastAsia"/>
                <w:bCs/>
                <w:sz w:val="24"/>
                <w:szCs w:val="24"/>
              </w:rPr>
              <w:t>26</w:t>
            </w:r>
            <w:r>
              <w:rPr>
                <w:bCs/>
                <w:sz w:val="24"/>
                <w:szCs w:val="24"/>
              </w:rPr>
              <w:t>。</w:t>
            </w:r>
          </w:p>
          <w:p>
            <w:pPr>
              <w:spacing w:line="360" w:lineRule="auto"/>
              <w:ind w:firstLine="420" w:firstLineChars="200"/>
              <w:jc w:val="center"/>
              <w:rPr>
                <w:szCs w:val="21"/>
              </w:rPr>
            </w:pPr>
            <w:r>
              <w:rPr>
                <w:b/>
                <w:bCs/>
                <w:szCs w:val="21"/>
              </w:rPr>
              <w:t>表</w:t>
            </w:r>
            <w:r>
              <w:rPr>
                <w:rFonts w:hint="eastAsia"/>
                <w:b/>
                <w:bCs/>
                <w:szCs w:val="21"/>
              </w:rPr>
              <w:t xml:space="preserve">26 </w:t>
            </w:r>
            <w:r>
              <w:rPr>
                <w:b/>
                <w:bCs/>
                <w:szCs w:val="21"/>
              </w:rPr>
              <w:t xml:space="preserve">   厂区项目噪声源一览表</w:t>
            </w:r>
          </w:p>
          <w:tbl>
            <w:tblPr>
              <w:tblStyle w:val="31"/>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1341"/>
              <w:gridCol w:w="1496"/>
              <w:gridCol w:w="2442"/>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8" w:type="dxa"/>
                  <w:vAlign w:val="center"/>
                </w:tcPr>
                <w:p>
                  <w:pPr>
                    <w:jc w:val="center"/>
                    <w:rPr>
                      <w:b/>
                      <w:szCs w:val="21"/>
                    </w:rPr>
                  </w:pPr>
                  <w:r>
                    <w:rPr>
                      <w:b/>
                      <w:szCs w:val="21"/>
                    </w:rPr>
                    <w:t>噪声源</w:t>
                  </w:r>
                </w:p>
              </w:tc>
              <w:tc>
                <w:tcPr>
                  <w:tcW w:w="1341" w:type="dxa"/>
                  <w:vAlign w:val="center"/>
                </w:tcPr>
                <w:p>
                  <w:pPr>
                    <w:jc w:val="center"/>
                    <w:rPr>
                      <w:b/>
                      <w:szCs w:val="21"/>
                    </w:rPr>
                  </w:pPr>
                  <w:r>
                    <w:rPr>
                      <w:b/>
                      <w:szCs w:val="21"/>
                    </w:rPr>
                    <w:t>数量（台/套）</w:t>
                  </w:r>
                </w:p>
              </w:tc>
              <w:tc>
                <w:tcPr>
                  <w:tcW w:w="1496" w:type="dxa"/>
                  <w:vAlign w:val="center"/>
                </w:tcPr>
                <w:p>
                  <w:pPr>
                    <w:jc w:val="center"/>
                    <w:rPr>
                      <w:b/>
                      <w:szCs w:val="21"/>
                    </w:rPr>
                  </w:pPr>
                  <w:r>
                    <w:rPr>
                      <w:b/>
                      <w:szCs w:val="21"/>
                    </w:rPr>
                    <w:t>源强dB（A）</w:t>
                  </w:r>
                </w:p>
              </w:tc>
              <w:tc>
                <w:tcPr>
                  <w:tcW w:w="2442" w:type="dxa"/>
                  <w:vAlign w:val="center"/>
                </w:tcPr>
                <w:p>
                  <w:pPr>
                    <w:jc w:val="center"/>
                    <w:rPr>
                      <w:b/>
                      <w:szCs w:val="21"/>
                    </w:rPr>
                  </w:pPr>
                  <w:r>
                    <w:rPr>
                      <w:b/>
                      <w:szCs w:val="21"/>
                    </w:rPr>
                    <w:t>控制措施</w:t>
                  </w:r>
                </w:p>
              </w:tc>
              <w:tc>
                <w:tcPr>
                  <w:tcW w:w="1804" w:type="dxa"/>
                  <w:vAlign w:val="center"/>
                </w:tcPr>
                <w:p>
                  <w:pPr>
                    <w:jc w:val="center"/>
                    <w:rPr>
                      <w:b/>
                      <w:szCs w:val="21"/>
                    </w:rPr>
                  </w:pPr>
                  <w:r>
                    <w:rPr>
                      <w:b/>
                      <w:szCs w:val="21"/>
                    </w:rPr>
                    <w:t>降噪效果dB（A）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8" w:type="dxa"/>
                  <w:vAlign w:val="center"/>
                </w:tcPr>
                <w:p>
                  <w:pPr>
                    <w:jc w:val="center"/>
                    <w:rPr>
                      <w:szCs w:val="21"/>
                    </w:rPr>
                  </w:pPr>
                  <w:r>
                    <w:rPr>
                      <w:rFonts w:hint="eastAsia"/>
                      <w:szCs w:val="21"/>
                    </w:rPr>
                    <w:t>二保焊机</w:t>
                  </w:r>
                </w:p>
              </w:tc>
              <w:tc>
                <w:tcPr>
                  <w:tcW w:w="1341" w:type="dxa"/>
                  <w:vAlign w:val="center"/>
                </w:tcPr>
                <w:p>
                  <w:pPr>
                    <w:jc w:val="center"/>
                    <w:rPr>
                      <w:szCs w:val="21"/>
                    </w:rPr>
                  </w:pPr>
                  <w:r>
                    <w:rPr>
                      <w:rFonts w:hint="eastAsia"/>
                      <w:szCs w:val="21"/>
                    </w:rPr>
                    <w:t>7</w:t>
                  </w:r>
                </w:p>
              </w:tc>
              <w:tc>
                <w:tcPr>
                  <w:tcW w:w="1496" w:type="dxa"/>
                  <w:vAlign w:val="center"/>
                </w:tcPr>
                <w:p>
                  <w:pPr>
                    <w:jc w:val="center"/>
                    <w:rPr>
                      <w:szCs w:val="21"/>
                    </w:rPr>
                  </w:pPr>
                  <w:r>
                    <w:rPr>
                      <w:rFonts w:hint="eastAsia"/>
                      <w:szCs w:val="21"/>
                    </w:rPr>
                    <w:t>90</w:t>
                  </w:r>
                </w:p>
              </w:tc>
              <w:tc>
                <w:tcPr>
                  <w:tcW w:w="2442" w:type="dxa"/>
                  <w:vAlign w:val="center"/>
                </w:tcPr>
                <w:p>
                  <w:pPr>
                    <w:jc w:val="center"/>
                    <w:rPr>
                      <w:szCs w:val="21"/>
                    </w:rPr>
                  </w:pPr>
                  <w:r>
                    <w:rPr>
                      <w:szCs w:val="21"/>
                    </w:rPr>
                    <w:t>室内布置</w:t>
                  </w:r>
                  <w:r>
                    <w:rPr>
                      <w:spacing w:val="-10"/>
                      <w:szCs w:val="21"/>
                    </w:rPr>
                    <w:t>+建筑隔声</w:t>
                  </w:r>
                </w:p>
              </w:tc>
              <w:tc>
                <w:tcPr>
                  <w:tcW w:w="1804" w:type="dxa"/>
                  <w:vAlign w:val="center"/>
                </w:tcPr>
                <w:p>
                  <w:pPr>
                    <w:jc w:val="center"/>
                    <w:rPr>
                      <w:szCs w:val="21"/>
                    </w:rPr>
                  </w:pPr>
                  <w:r>
                    <w:rPr>
                      <w:szCs w:val="21"/>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8" w:type="dxa"/>
                  <w:vAlign w:val="center"/>
                </w:tcPr>
                <w:p>
                  <w:pPr>
                    <w:jc w:val="center"/>
                    <w:rPr>
                      <w:szCs w:val="21"/>
                    </w:rPr>
                  </w:pPr>
                  <w:r>
                    <w:rPr>
                      <w:szCs w:val="21"/>
                    </w:rPr>
                    <w:t>自动龙门焊</w:t>
                  </w:r>
                </w:p>
              </w:tc>
              <w:tc>
                <w:tcPr>
                  <w:tcW w:w="1341" w:type="dxa"/>
                  <w:vAlign w:val="center"/>
                </w:tcPr>
                <w:p>
                  <w:pPr>
                    <w:jc w:val="center"/>
                    <w:rPr>
                      <w:szCs w:val="21"/>
                    </w:rPr>
                  </w:pPr>
                  <w:r>
                    <w:rPr>
                      <w:szCs w:val="21"/>
                    </w:rPr>
                    <w:t>4</w:t>
                  </w:r>
                </w:p>
              </w:tc>
              <w:tc>
                <w:tcPr>
                  <w:tcW w:w="1496" w:type="dxa"/>
                  <w:vAlign w:val="center"/>
                </w:tcPr>
                <w:p>
                  <w:pPr>
                    <w:jc w:val="center"/>
                    <w:rPr>
                      <w:szCs w:val="21"/>
                    </w:rPr>
                  </w:pPr>
                  <w:r>
                    <w:rPr>
                      <w:szCs w:val="21"/>
                    </w:rPr>
                    <w:t>75</w:t>
                  </w:r>
                </w:p>
              </w:tc>
              <w:tc>
                <w:tcPr>
                  <w:tcW w:w="2442" w:type="dxa"/>
                  <w:vAlign w:val="center"/>
                </w:tcPr>
                <w:p>
                  <w:pPr>
                    <w:jc w:val="center"/>
                    <w:rPr>
                      <w:szCs w:val="21"/>
                    </w:rPr>
                  </w:pPr>
                  <w:r>
                    <w:rPr>
                      <w:szCs w:val="21"/>
                    </w:rPr>
                    <w:t>室内布置</w:t>
                  </w:r>
                  <w:r>
                    <w:rPr>
                      <w:spacing w:val="-10"/>
                      <w:szCs w:val="21"/>
                    </w:rPr>
                    <w:t>+建筑隔声</w:t>
                  </w:r>
                </w:p>
              </w:tc>
              <w:tc>
                <w:tcPr>
                  <w:tcW w:w="1804" w:type="dxa"/>
                  <w:vAlign w:val="center"/>
                </w:tcPr>
                <w:p>
                  <w:pPr>
                    <w:jc w:val="center"/>
                    <w:rPr>
                      <w:szCs w:val="21"/>
                    </w:rPr>
                  </w:pPr>
                  <w:r>
                    <w:rPr>
                      <w:szCs w:val="21"/>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8" w:type="dxa"/>
                  <w:vAlign w:val="center"/>
                </w:tcPr>
                <w:p>
                  <w:pPr>
                    <w:jc w:val="center"/>
                    <w:rPr>
                      <w:szCs w:val="21"/>
                    </w:rPr>
                  </w:pPr>
                  <w:r>
                    <w:rPr>
                      <w:szCs w:val="21"/>
                    </w:rPr>
                    <w:t>油缸焊接机</w:t>
                  </w:r>
                </w:p>
              </w:tc>
              <w:tc>
                <w:tcPr>
                  <w:tcW w:w="1341" w:type="dxa"/>
                  <w:vAlign w:val="center"/>
                </w:tcPr>
                <w:p>
                  <w:pPr>
                    <w:jc w:val="center"/>
                    <w:rPr>
                      <w:szCs w:val="21"/>
                    </w:rPr>
                  </w:pPr>
                  <w:r>
                    <w:rPr>
                      <w:szCs w:val="21"/>
                    </w:rPr>
                    <w:t>1</w:t>
                  </w:r>
                </w:p>
              </w:tc>
              <w:tc>
                <w:tcPr>
                  <w:tcW w:w="1496" w:type="dxa"/>
                  <w:vAlign w:val="center"/>
                </w:tcPr>
                <w:p>
                  <w:pPr>
                    <w:jc w:val="center"/>
                    <w:rPr>
                      <w:szCs w:val="21"/>
                    </w:rPr>
                  </w:pPr>
                  <w:r>
                    <w:rPr>
                      <w:rFonts w:hint="eastAsia"/>
                      <w:szCs w:val="21"/>
                    </w:rPr>
                    <w:t>80</w:t>
                  </w:r>
                </w:p>
              </w:tc>
              <w:tc>
                <w:tcPr>
                  <w:tcW w:w="2442" w:type="dxa"/>
                  <w:vAlign w:val="center"/>
                </w:tcPr>
                <w:p>
                  <w:pPr>
                    <w:jc w:val="center"/>
                    <w:rPr>
                      <w:szCs w:val="21"/>
                    </w:rPr>
                  </w:pPr>
                  <w:r>
                    <w:rPr>
                      <w:szCs w:val="21"/>
                    </w:rPr>
                    <w:t>室内布置</w:t>
                  </w:r>
                  <w:r>
                    <w:rPr>
                      <w:spacing w:val="-10"/>
                      <w:szCs w:val="21"/>
                    </w:rPr>
                    <w:t>+建筑隔声</w:t>
                  </w:r>
                </w:p>
              </w:tc>
              <w:tc>
                <w:tcPr>
                  <w:tcW w:w="1804" w:type="dxa"/>
                  <w:vAlign w:val="center"/>
                </w:tcPr>
                <w:p>
                  <w:pPr>
                    <w:jc w:val="center"/>
                    <w:rPr>
                      <w:szCs w:val="21"/>
                    </w:rPr>
                  </w:pPr>
                  <w:r>
                    <w:rPr>
                      <w:szCs w:val="21"/>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8" w:type="dxa"/>
                  <w:vAlign w:val="center"/>
                </w:tcPr>
                <w:p>
                  <w:pPr>
                    <w:jc w:val="center"/>
                    <w:rPr>
                      <w:szCs w:val="21"/>
                    </w:rPr>
                  </w:pPr>
                  <w:r>
                    <w:rPr>
                      <w:szCs w:val="21"/>
                    </w:rPr>
                    <w:t>油嘴焊接</w:t>
                  </w:r>
                </w:p>
              </w:tc>
              <w:tc>
                <w:tcPr>
                  <w:tcW w:w="1341" w:type="dxa"/>
                  <w:vAlign w:val="center"/>
                </w:tcPr>
                <w:p>
                  <w:pPr>
                    <w:jc w:val="center"/>
                    <w:rPr>
                      <w:szCs w:val="21"/>
                    </w:rPr>
                  </w:pPr>
                  <w:r>
                    <w:rPr>
                      <w:szCs w:val="21"/>
                    </w:rPr>
                    <w:t>1</w:t>
                  </w:r>
                </w:p>
              </w:tc>
              <w:tc>
                <w:tcPr>
                  <w:tcW w:w="1496" w:type="dxa"/>
                  <w:vAlign w:val="center"/>
                </w:tcPr>
                <w:p>
                  <w:pPr>
                    <w:jc w:val="center"/>
                    <w:rPr>
                      <w:szCs w:val="21"/>
                    </w:rPr>
                  </w:pPr>
                  <w:r>
                    <w:rPr>
                      <w:rFonts w:hint="eastAsia"/>
                      <w:szCs w:val="21"/>
                    </w:rPr>
                    <w:t>90</w:t>
                  </w:r>
                </w:p>
              </w:tc>
              <w:tc>
                <w:tcPr>
                  <w:tcW w:w="2442" w:type="dxa"/>
                  <w:vAlign w:val="center"/>
                </w:tcPr>
                <w:p>
                  <w:pPr>
                    <w:jc w:val="center"/>
                    <w:rPr>
                      <w:szCs w:val="21"/>
                    </w:rPr>
                  </w:pPr>
                  <w:r>
                    <w:rPr>
                      <w:szCs w:val="21"/>
                    </w:rPr>
                    <w:t>室内布置</w:t>
                  </w:r>
                  <w:r>
                    <w:rPr>
                      <w:spacing w:val="-10"/>
                      <w:szCs w:val="21"/>
                    </w:rPr>
                    <w:t>+建筑隔声</w:t>
                  </w:r>
                </w:p>
              </w:tc>
              <w:tc>
                <w:tcPr>
                  <w:tcW w:w="1804" w:type="dxa"/>
                  <w:vAlign w:val="center"/>
                </w:tcPr>
                <w:p>
                  <w:pPr>
                    <w:jc w:val="center"/>
                    <w:rPr>
                      <w:szCs w:val="21"/>
                    </w:rPr>
                  </w:pPr>
                  <w:r>
                    <w:rPr>
                      <w:szCs w:val="21"/>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8" w:type="dxa"/>
                  <w:vAlign w:val="center"/>
                </w:tcPr>
                <w:p>
                  <w:pPr>
                    <w:jc w:val="center"/>
                    <w:rPr>
                      <w:szCs w:val="21"/>
                    </w:rPr>
                  </w:pPr>
                  <w:r>
                    <w:rPr>
                      <w:szCs w:val="21"/>
                    </w:rPr>
                    <w:t>数控机床</w:t>
                  </w:r>
                </w:p>
              </w:tc>
              <w:tc>
                <w:tcPr>
                  <w:tcW w:w="1341" w:type="dxa"/>
                  <w:vAlign w:val="center"/>
                </w:tcPr>
                <w:p>
                  <w:pPr>
                    <w:jc w:val="center"/>
                    <w:rPr>
                      <w:szCs w:val="21"/>
                    </w:rPr>
                  </w:pPr>
                  <w:r>
                    <w:rPr>
                      <w:rFonts w:hint="eastAsia"/>
                      <w:szCs w:val="21"/>
                    </w:rPr>
                    <w:t>11</w:t>
                  </w:r>
                </w:p>
              </w:tc>
              <w:tc>
                <w:tcPr>
                  <w:tcW w:w="1496" w:type="dxa"/>
                  <w:vAlign w:val="center"/>
                </w:tcPr>
                <w:p>
                  <w:pPr>
                    <w:jc w:val="center"/>
                    <w:rPr>
                      <w:szCs w:val="21"/>
                    </w:rPr>
                  </w:pPr>
                  <w:r>
                    <w:rPr>
                      <w:rFonts w:hint="eastAsia"/>
                      <w:szCs w:val="21"/>
                    </w:rPr>
                    <w:t>85</w:t>
                  </w:r>
                </w:p>
              </w:tc>
              <w:tc>
                <w:tcPr>
                  <w:tcW w:w="2442" w:type="dxa"/>
                  <w:vAlign w:val="center"/>
                </w:tcPr>
                <w:p>
                  <w:pPr>
                    <w:jc w:val="center"/>
                    <w:rPr>
                      <w:szCs w:val="21"/>
                    </w:rPr>
                  </w:pPr>
                  <w:r>
                    <w:rPr>
                      <w:szCs w:val="21"/>
                    </w:rPr>
                    <w:t>室内布置</w:t>
                  </w:r>
                  <w:r>
                    <w:rPr>
                      <w:spacing w:val="-10"/>
                      <w:szCs w:val="21"/>
                    </w:rPr>
                    <w:t>+建筑隔声</w:t>
                  </w:r>
                </w:p>
              </w:tc>
              <w:tc>
                <w:tcPr>
                  <w:tcW w:w="1804" w:type="dxa"/>
                  <w:vAlign w:val="center"/>
                </w:tcPr>
                <w:p>
                  <w:pPr>
                    <w:jc w:val="center"/>
                    <w:rPr>
                      <w:szCs w:val="21"/>
                    </w:rPr>
                  </w:pPr>
                  <w:r>
                    <w:rPr>
                      <w:szCs w:val="21"/>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8" w:type="dxa"/>
                  <w:vAlign w:val="center"/>
                </w:tcPr>
                <w:p>
                  <w:pPr>
                    <w:jc w:val="center"/>
                    <w:rPr>
                      <w:szCs w:val="21"/>
                    </w:rPr>
                  </w:pPr>
                  <w:r>
                    <w:rPr>
                      <w:szCs w:val="21"/>
                    </w:rPr>
                    <w:t>工业电阻炉</w:t>
                  </w:r>
                </w:p>
              </w:tc>
              <w:tc>
                <w:tcPr>
                  <w:tcW w:w="1341" w:type="dxa"/>
                  <w:vAlign w:val="center"/>
                </w:tcPr>
                <w:p>
                  <w:pPr>
                    <w:jc w:val="center"/>
                    <w:rPr>
                      <w:szCs w:val="21"/>
                    </w:rPr>
                  </w:pPr>
                  <w:r>
                    <w:rPr>
                      <w:rFonts w:hint="eastAsia"/>
                      <w:szCs w:val="21"/>
                    </w:rPr>
                    <w:t>1</w:t>
                  </w:r>
                </w:p>
              </w:tc>
              <w:tc>
                <w:tcPr>
                  <w:tcW w:w="1496" w:type="dxa"/>
                </w:tcPr>
                <w:p>
                  <w:pPr>
                    <w:jc w:val="center"/>
                    <w:rPr>
                      <w:szCs w:val="21"/>
                    </w:rPr>
                  </w:pPr>
                  <w:r>
                    <w:rPr>
                      <w:rFonts w:hint="eastAsia"/>
                      <w:szCs w:val="21"/>
                    </w:rPr>
                    <w:t>80</w:t>
                  </w:r>
                </w:p>
              </w:tc>
              <w:tc>
                <w:tcPr>
                  <w:tcW w:w="2442" w:type="dxa"/>
                  <w:vAlign w:val="center"/>
                </w:tcPr>
                <w:p>
                  <w:pPr>
                    <w:jc w:val="center"/>
                    <w:rPr>
                      <w:szCs w:val="21"/>
                    </w:rPr>
                  </w:pPr>
                  <w:r>
                    <w:rPr>
                      <w:szCs w:val="21"/>
                    </w:rPr>
                    <w:t>室内布置</w:t>
                  </w:r>
                  <w:r>
                    <w:rPr>
                      <w:spacing w:val="-10"/>
                      <w:szCs w:val="21"/>
                    </w:rPr>
                    <w:t>+建筑隔声</w:t>
                  </w:r>
                </w:p>
              </w:tc>
              <w:tc>
                <w:tcPr>
                  <w:tcW w:w="1804" w:type="dxa"/>
                  <w:vAlign w:val="center"/>
                </w:tcPr>
                <w:p>
                  <w:pPr>
                    <w:jc w:val="center"/>
                    <w:rPr>
                      <w:szCs w:val="21"/>
                    </w:rPr>
                  </w:pPr>
                  <w:r>
                    <w:rPr>
                      <w:szCs w:val="21"/>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8" w:type="dxa"/>
                  <w:vAlign w:val="center"/>
                </w:tcPr>
                <w:p>
                  <w:pPr>
                    <w:jc w:val="center"/>
                    <w:rPr>
                      <w:szCs w:val="21"/>
                    </w:rPr>
                  </w:pPr>
                  <w:r>
                    <w:rPr>
                      <w:szCs w:val="21"/>
                    </w:rPr>
                    <w:t>工业台式炉</w:t>
                  </w:r>
                </w:p>
              </w:tc>
              <w:tc>
                <w:tcPr>
                  <w:tcW w:w="1341" w:type="dxa"/>
                  <w:vAlign w:val="center"/>
                </w:tcPr>
                <w:p>
                  <w:pPr>
                    <w:jc w:val="center"/>
                    <w:rPr>
                      <w:szCs w:val="21"/>
                    </w:rPr>
                  </w:pPr>
                  <w:r>
                    <w:rPr>
                      <w:rFonts w:hint="eastAsia"/>
                      <w:szCs w:val="21"/>
                    </w:rPr>
                    <w:t>1</w:t>
                  </w:r>
                </w:p>
              </w:tc>
              <w:tc>
                <w:tcPr>
                  <w:tcW w:w="1496" w:type="dxa"/>
                </w:tcPr>
                <w:p>
                  <w:pPr>
                    <w:jc w:val="center"/>
                    <w:rPr>
                      <w:szCs w:val="21"/>
                    </w:rPr>
                  </w:pPr>
                  <w:r>
                    <w:rPr>
                      <w:rFonts w:hint="eastAsia"/>
                      <w:szCs w:val="21"/>
                    </w:rPr>
                    <w:t>85</w:t>
                  </w:r>
                </w:p>
              </w:tc>
              <w:tc>
                <w:tcPr>
                  <w:tcW w:w="2442" w:type="dxa"/>
                  <w:vAlign w:val="center"/>
                </w:tcPr>
                <w:p>
                  <w:pPr>
                    <w:jc w:val="center"/>
                    <w:rPr>
                      <w:szCs w:val="21"/>
                    </w:rPr>
                  </w:pPr>
                  <w:r>
                    <w:rPr>
                      <w:szCs w:val="21"/>
                    </w:rPr>
                    <w:t>室内布置</w:t>
                  </w:r>
                  <w:r>
                    <w:rPr>
                      <w:spacing w:val="-10"/>
                      <w:szCs w:val="21"/>
                    </w:rPr>
                    <w:t>+建筑隔声</w:t>
                  </w:r>
                </w:p>
              </w:tc>
              <w:tc>
                <w:tcPr>
                  <w:tcW w:w="1804" w:type="dxa"/>
                  <w:vAlign w:val="center"/>
                </w:tcPr>
                <w:p>
                  <w:pPr>
                    <w:jc w:val="center"/>
                    <w:rPr>
                      <w:szCs w:val="21"/>
                    </w:rPr>
                  </w:pPr>
                  <w:r>
                    <w:rPr>
                      <w:szCs w:val="21"/>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8" w:type="dxa"/>
                  <w:vAlign w:val="center"/>
                </w:tcPr>
                <w:p>
                  <w:pPr>
                    <w:jc w:val="center"/>
                    <w:rPr>
                      <w:szCs w:val="21"/>
                    </w:rPr>
                  </w:pPr>
                  <w:r>
                    <w:rPr>
                      <w:szCs w:val="21"/>
                    </w:rPr>
                    <w:t>立钻</w:t>
                  </w:r>
                </w:p>
              </w:tc>
              <w:tc>
                <w:tcPr>
                  <w:tcW w:w="1341" w:type="dxa"/>
                  <w:vAlign w:val="center"/>
                </w:tcPr>
                <w:p>
                  <w:pPr>
                    <w:jc w:val="center"/>
                    <w:rPr>
                      <w:szCs w:val="21"/>
                    </w:rPr>
                  </w:pPr>
                  <w:r>
                    <w:rPr>
                      <w:rFonts w:hint="eastAsia"/>
                      <w:szCs w:val="21"/>
                    </w:rPr>
                    <w:t>1</w:t>
                  </w:r>
                </w:p>
              </w:tc>
              <w:tc>
                <w:tcPr>
                  <w:tcW w:w="1496" w:type="dxa"/>
                </w:tcPr>
                <w:p>
                  <w:pPr>
                    <w:jc w:val="center"/>
                    <w:rPr>
                      <w:szCs w:val="21"/>
                    </w:rPr>
                  </w:pPr>
                  <w:r>
                    <w:rPr>
                      <w:rFonts w:hint="eastAsia"/>
                      <w:szCs w:val="21"/>
                    </w:rPr>
                    <w:t>85</w:t>
                  </w:r>
                </w:p>
              </w:tc>
              <w:tc>
                <w:tcPr>
                  <w:tcW w:w="2442" w:type="dxa"/>
                  <w:vAlign w:val="center"/>
                </w:tcPr>
                <w:p>
                  <w:pPr>
                    <w:jc w:val="center"/>
                    <w:rPr>
                      <w:szCs w:val="21"/>
                    </w:rPr>
                  </w:pPr>
                  <w:r>
                    <w:rPr>
                      <w:szCs w:val="21"/>
                    </w:rPr>
                    <w:t>室内布置</w:t>
                  </w:r>
                  <w:r>
                    <w:rPr>
                      <w:spacing w:val="-10"/>
                      <w:szCs w:val="21"/>
                    </w:rPr>
                    <w:t>+建筑隔声</w:t>
                  </w:r>
                </w:p>
              </w:tc>
              <w:tc>
                <w:tcPr>
                  <w:tcW w:w="1804" w:type="dxa"/>
                  <w:vAlign w:val="center"/>
                </w:tcPr>
                <w:p>
                  <w:pPr>
                    <w:jc w:val="center"/>
                    <w:rPr>
                      <w:szCs w:val="21"/>
                    </w:rPr>
                  </w:pPr>
                  <w:r>
                    <w:rPr>
                      <w:szCs w:val="21"/>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8" w:type="dxa"/>
                  <w:vAlign w:val="center"/>
                </w:tcPr>
                <w:p>
                  <w:pPr>
                    <w:jc w:val="center"/>
                    <w:rPr>
                      <w:szCs w:val="21"/>
                    </w:rPr>
                  </w:pPr>
                  <w:r>
                    <w:rPr>
                      <w:szCs w:val="21"/>
                    </w:rPr>
                    <w:t>数控钻床</w:t>
                  </w:r>
                </w:p>
              </w:tc>
              <w:tc>
                <w:tcPr>
                  <w:tcW w:w="1341" w:type="dxa"/>
                  <w:vAlign w:val="center"/>
                </w:tcPr>
                <w:p>
                  <w:pPr>
                    <w:jc w:val="center"/>
                    <w:rPr>
                      <w:szCs w:val="21"/>
                    </w:rPr>
                  </w:pPr>
                  <w:r>
                    <w:rPr>
                      <w:rFonts w:hint="eastAsia"/>
                      <w:szCs w:val="21"/>
                    </w:rPr>
                    <w:t>1</w:t>
                  </w:r>
                </w:p>
              </w:tc>
              <w:tc>
                <w:tcPr>
                  <w:tcW w:w="1496" w:type="dxa"/>
                </w:tcPr>
                <w:p>
                  <w:pPr>
                    <w:jc w:val="center"/>
                    <w:rPr>
                      <w:szCs w:val="21"/>
                    </w:rPr>
                  </w:pPr>
                  <w:r>
                    <w:rPr>
                      <w:rFonts w:hint="eastAsia"/>
                      <w:szCs w:val="21"/>
                    </w:rPr>
                    <w:t>85</w:t>
                  </w:r>
                </w:p>
              </w:tc>
              <w:tc>
                <w:tcPr>
                  <w:tcW w:w="2442" w:type="dxa"/>
                  <w:vAlign w:val="center"/>
                </w:tcPr>
                <w:p>
                  <w:pPr>
                    <w:jc w:val="center"/>
                    <w:rPr>
                      <w:szCs w:val="21"/>
                    </w:rPr>
                  </w:pPr>
                  <w:r>
                    <w:rPr>
                      <w:szCs w:val="21"/>
                    </w:rPr>
                    <w:t>室内布置</w:t>
                  </w:r>
                  <w:r>
                    <w:rPr>
                      <w:spacing w:val="-10"/>
                      <w:szCs w:val="21"/>
                    </w:rPr>
                    <w:t>+建筑隔声</w:t>
                  </w:r>
                </w:p>
              </w:tc>
              <w:tc>
                <w:tcPr>
                  <w:tcW w:w="1804" w:type="dxa"/>
                  <w:vAlign w:val="center"/>
                </w:tcPr>
                <w:p>
                  <w:pPr>
                    <w:jc w:val="center"/>
                    <w:rPr>
                      <w:szCs w:val="21"/>
                    </w:rPr>
                  </w:pPr>
                  <w:r>
                    <w:rPr>
                      <w:szCs w:val="21"/>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8" w:type="dxa"/>
                  <w:vAlign w:val="center"/>
                </w:tcPr>
                <w:p>
                  <w:pPr>
                    <w:jc w:val="center"/>
                    <w:rPr>
                      <w:szCs w:val="21"/>
                    </w:rPr>
                  </w:pPr>
                  <w:r>
                    <w:rPr>
                      <w:szCs w:val="21"/>
                    </w:rPr>
                    <w:t>摇臂钻床</w:t>
                  </w:r>
                </w:p>
              </w:tc>
              <w:tc>
                <w:tcPr>
                  <w:tcW w:w="1341" w:type="dxa"/>
                  <w:vAlign w:val="center"/>
                </w:tcPr>
                <w:p>
                  <w:pPr>
                    <w:jc w:val="center"/>
                    <w:rPr>
                      <w:szCs w:val="21"/>
                    </w:rPr>
                  </w:pPr>
                  <w:r>
                    <w:rPr>
                      <w:rFonts w:hint="eastAsia"/>
                      <w:szCs w:val="21"/>
                    </w:rPr>
                    <w:t>3</w:t>
                  </w:r>
                </w:p>
              </w:tc>
              <w:tc>
                <w:tcPr>
                  <w:tcW w:w="1496" w:type="dxa"/>
                </w:tcPr>
                <w:p>
                  <w:pPr>
                    <w:jc w:val="center"/>
                    <w:rPr>
                      <w:szCs w:val="21"/>
                    </w:rPr>
                  </w:pPr>
                  <w:r>
                    <w:rPr>
                      <w:rFonts w:hint="eastAsia"/>
                      <w:szCs w:val="21"/>
                    </w:rPr>
                    <w:t>80</w:t>
                  </w:r>
                </w:p>
              </w:tc>
              <w:tc>
                <w:tcPr>
                  <w:tcW w:w="2442" w:type="dxa"/>
                  <w:vAlign w:val="center"/>
                </w:tcPr>
                <w:p>
                  <w:pPr>
                    <w:jc w:val="center"/>
                    <w:rPr>
                      <w:szCs w:val="21"/>
                    </w:rPr>
                  </w:pPr>
                  <w:r>
                    <w:rPr>
                      <w:szCs w:val="21"/>
                    </w:rPr>
                    <w:t>室内布置</w:t>
                  </w:r>
                  <w:r>
                    <w:rPr>
                      <w:spacing w:val="-10"/>
                      <w:szCs w:val="21"/>
                    </w:rPr>
                    <w:t>+建筑隔声</w:t>
                  </w:r>
                </w:p>
              </w:tc>
              <w:tc>
                <w:tcPr>
                  <w:tcW w:w="1804" w:type="dxa"/>
                  <w:vAlign w:val="center"/>
                </w:tcPr>
                <w:p>
                  <w:pPr>
                    <w:jc w:val="center"/>
                    <w:rPr>
                      <w:szCs w:val="21"/>
                    </w:rPr>
                  </w:pPr>
                  <w:r>
                    <w:rPr>
                      <w:szCs w:val="21"/>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8" w:type="dxa"/>
                  <w:vAlign w:val="center"/>
                </w:tcPr>
                <w:p>
                  <w:pPr>
                    <w:jc w:val="center"/>
                    <w:rPr>
                      <w:szCs w:val="21"/>
                    </w:rPr>
                  </w:pPr>
                  <w:r>
                    <w:rPr>
                      <w:szCs w:val="21"/>
                    </w:rPr>
                    <w:t>万向摇臂钻</w:t>
                  </w:r>
                </w:p>
              </w:tc>
              <w:tc>
                <w:tcPr>
                  <w:tcW w:w="1341" w:type="dxa"/>
                  <w:vAlign w:val="center"/>
                </w:tcPr>
                <w:p>
                  <w:pPr>
                    <w:jc w:val="center"/>
                    <w:rPr>
                      <w:szCs w:val="21"/>
                    </w:rPr>
                  </w:pPr>
                  <w:r>
                    <w:rPr>
                      <w:rFonts w:hint="eastAsia"/>
                      <w:szCs w:val="21"/>
                    </w:rPr>
                    <w:t>1</w:t>
                  </w:r>
                </w:p>
              </w:tc>
              <w:tc>
                <w:tcPr>
                  <w:tcW w:w="1496" w:type="dxa"/>
                </w:tcPr>
                <w:p>
                  <w:pPr>
                    <w:jc w:val="center"/>
                    <w:rPr>
                      <w:szCs w:val="21"/>
                    </w:rPr>
                  </w:pPr>
                  <w:r>
                    <w:rPr>
                      <w:rFonts w:hint="eastAsia"/>
                      <w:szCs w:val="21"/>
                    </w:rPr>
                    <w:t>80</w:t>
                  </w:r>
                </w:p>
              </w:tc>
              <w:tc>
                <w:tcPr>
                  <w:tcW w:w="2442" w:type="dxa"/>
                  <w:vAlign w:val="center"/>
                </w:tcPr>
                <w:p>
                  <w:pPr>
                    <w:jc w:val="center"/>
                    <w:rPr>
                      <w:szCs w:val="21"/>
                    </w:rPr>
                  </w:pPr>
                  <w:r>
                    <w:rPr>
                      <w:szCs w:val="21"/>
                    </w:rPr>
                    <w:t>室内布置</w:t>
                  </w:r>
                  <w:r>
                    <w:rPr>
                      <w:spacing w:val="-10"/>
                      <w:szCs w:val="21"/>
                    </w:rPr>
                    <w:t>+建筑隔声</w:t>
                  </w:r>
                </w:p>
              </w:tc>
              <w:tc>
                <w:tcPr>
                  <w:tcW w:w="1804" w:type="dxa"/>
                  <w:vAlign w:val="center"/>
                </w:tcPr>
                <w:p>
                  <w:pPr>
                    <w:jc w:val="center"/>
                    <w:rPr>
                      <w:szCs w:val="21"/>
                    </w:rPr>
                  </w:pPr>
                  <w:r>
                    <w:rPr>
                      <w:szCs w:val="21"/>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8" w:type="dxa"/>
                  <w:vAlign w:val="center"/>
                </w:tcPr>
                <w:p>
                  <w:pPr>
                    <w:jc w:val="center"/>
                    <w:rPr>
                      <w:szCs w:val="21"/>
                    </w:rPr>
                  </w:pPr>
                  <w:r>
                    <w:rPr>
                      <w:szCs w:val="21"/>
                    </w:rPr>
                    <w:t>群钻</w:t>
                  </w:r>
                </w:p>
              </w:tc>
              <w:tc>
                <w:tcPr>
                  <w:tcW w:w="1341" w:type="dxa"/>
                  <w:vAlign w:val="center"/>
                </w:tcPr>
                <w:p>
                  <w:pPr>
                    <w:jc w:val="center"/>
                    <w:rPr>
                      <w:szCs w:val="21"/>
                    </w:rPr>
                  </w:pPr>
                  <w:r>
                    <w:rPr>
                      <w:rFonts w:hint="eastAsia"/>
                      <w:szCs w:val="21"/>
                    </w:rPr>
                    <w:t>1</w:t>
                  </w:r>
                </w:p>
              </w:tc>
              <w:tc>
                <w:tcPr>
                  <w:tcW w:w="1496" w:type="dxa"/>
                </w:tcPr>
                <w:p>
                  <w:pPr>
                    <w:jc w:val="center"/>
                    <w:rPr>
                      <w:szCs w:val="21"/>
                    </w:rPr>
                  </w:pPr>
                  <w:r>
                    <w:rPr>
                      <w:rFonts w:hint="eastAsia"/>
                      <w:szCs w:val="21"/>
                    </w:rPr>
                    <w:t>80</w:t>
                  </w:r>
                </w:p>
              </w:tc>
              <w:tc>
                <w:tcPr>
                  <w:tcW w:w="2442" w:type="dxa"/>
                  <w:vAlign w:val="center"/>
                </w:tcPr>
                <w:p>
                  <w:pPr>
                    <w:jc w:val="center"/>
                    <w:rPr>
                      <w:szCs w:val="21"/>
                    </w:rPr>
                  </w:pPr>
                  <w:r>
                    <w:rPr>
                      <w:szCs w:val="21"/>
                    </w:rPr>
                    <w:t>室内布置</w:t>
                  </w:r>
                  <w:r>
                    <w:rPr>
                      <w:spacing w:val="-10"/>
                      <w:szCs w:val="21"/>
                    </w:rPr>
                    <w:t>+建筑隔声</w:t>
                  </w:r>
                </w:p>
              </w:tc>
              <w:tc>
                <w:tcPr>
                  <w:tcW w:w="1804" w:type="dxa"/>
                  <w:vAlign w:val="center"/>
                </w:tcPr>
                <w:p>
                  <w:pPr>
                    <w:jc w:val="center"/>
                    <w:rPr>
                      <w:szCs w:val="21"/>
                    </w:rPr>
                  </w:pPr>
                  <w:r>
                    <w:rPr>
                      <w:szCs w:val="21"/>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8" w:type="dxa"/>
                  <w:vAlign w:val="center"/>
                </w:tcPr>
                <w:p>
                  <w:pPr>
                    <w:jc w:val="center"/>
                    <w:rPr>
                      <w:szCs w:val="21"/>
                    </w:rPr>
                  </w:pPr>
                  <w:r>
                    <w:rPr>
                      <w:szCs w:val="21"/>
                    </w:rPr>
                    <w:t>数控铣床</w:t>
                  </w:r>
                </w:p>
              </w:tc>
              <w:tc>
                <w:tcPr>
                  <w:tcW w:w="1341" w:type="dxa"/>
                  <w:vAlign w:val="center"/>
                </w:tcPr>
                <w:p>
                  <w:pPr>
                    <w:jc w:val="center"/>
                    <w:rPr>
                      <w:szCs w:val="21"/>
                    </w:rPr>
                  </w:pPr>
                  <w:r>
                    <w:rPr>
                      <w:rFonts w:hint="eastAsia"/>
                      <w:szCs w:val="21"/>
                    </w:rPr>
                    <w:t>1</w:t>
                  </w:r>
                </w:p>
              </w:tc>
              <w:tc>
                <w:tcPr>
                  <w:tcW w:w="1496" w:type="dxa"/>
                </w:tcPr>
                <w:p>
                  <w:pPr>
                    <w:jc w:val="center"/>
                    <w:rPr>
                      <w:szCs w:val="21"/>
                    </w:rPr>
                  </w:pPr>
                  <w:r>
                    <w:rPr>
                      <w:rFonts w:hint="eastAsia"/>
                      <w:szCs w:val="21"/>
                    </w:rPr>
                    <w:t>75</w:t>
                  </w:r>
                </w:p>
              </w:tc>
              <w:tc>
                <w:tcPr>
                  <w:tcW w:w="2442" w:type="dxa"/>
                  <w:vAlign w:val="center"/>
                </w:tcPr>
                <w:p>
                  <w:pPr>
                    <w:jc w:val="center"/>
                    <w:rPr>
                      <w:szCs w:val="21"/>
                    </w:rPr>
                  </w:pPr>
                  <w:r>
                    <w:rPr>
                      <w:szCs w:val="21"/>
                    </w:rPr>
                    <w:t>室内布置</w:t>
                  </w:r>
                  <w:r>
                    <w:rPr>
                      <w:spacing w:val="-10"/>
                      <w:szCs w:val="21"/>
                    </w:rPr>
                    <w:t>+建筑隔声</w:t>
                  </w:r>
                </w:p>
              </w:tc>
              <w:tc>
                <w:tcPr>
                  <w:tcW w:w="1804" w:type="dxa"/>
                  <w:vAlign w:val="center"/>
                </w:tcPr>
                <w:p>
                  <w:pPr>
                    <w:jc w:val="center"/>
                    <w:rPr>
                      <w:szCs w:val="21"/>
                    </w:rPr>
                  </w:pPr>
                  <w:r>
                    <w:rPr>
                      <w:szCs w:val="21"/>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8" w:type="dxa"/>
                  <w:vAlign w:val="center"/>
                </w:tcPr>
                <w:p>
                  <w:pPr>
                    <w:jc w:val="center"/>
                    <w:rPr>
                      <w:szCs w:val="21"/>
                    </w:rPr>
                  </w:pPr>
                  <w:r>
                    <w:rPr>
                      <w:szCs w:val="21"/>
                    </w:rPr>
                    <w:t>龙门铣床</w:t>
                  </w:r>
                </w:p>
              </w:tc>
              <w:tc>
                <w:tcPr>
                  <w:tcW w:w="1341" w:type="dxa"/>
                  <w:vAlign w:val="center"/>
                </w:tcPr>
                <w:p>
                  <w:pPr>
                    <w:jc w:val="center"/>
                    <w:rPr>
                      <w:szCs w:val="21"/>
                    </w:rPr>
                  </w:pPr>
                  <w:r>
                    <w:rPr>
                      <w:rFonts w:hint="eastAsia"/>
                      <w:szCs w:val="21"/>
                    </w:rPr>
                    <w:t>2</w:t>
                  </w:r>
                </w:p>
              </w:tc>
              <w:tc>
                <w:tcPr>
                  <w:tcW w:w="1496" w:type="dxa"/>
                </w:tcPr>
                <w:p>
                  <w:pPr>
                    <w:jc w:val="center"/>
                    <w:rPr>
                      <w:szCs w:val="21"/>
                    </w:rPr>
                  </w:pPr>
                  <w:r>
                    <w:rPr>
                      <w:rFonts w:hint="eastAsia"/>
                      <w:szCs w:val="21"/>
                    </w:rPr>
                    <w:t>80</w:t>
                  </w:r>
                </w:p>
              </w:tc>
              <w:tc>
                <w:tcPr>
                  <w:tcW w:w="2442" w:type="dxa"/>
                  <w:vAlign w:val="center"/>
                </w:tcPr>
                <w:p>
                  <w:pPr>
                    <w:jc w:val="center"/>
                    <w:rPr>
                      <w:szCs w:val="21"/>
                    </w:rPr>
                  </w:pPr>
                  <w:r>
                    <w:rPr>
                      <w:szCs w:val="21"/>
                    </w:rPr>
                    <w:t>室内布置</w:t>
                  </w:r>
                  <w:r>
                    <w:rPr>
                      <w:spacing w:val="-10"/>
                      <w:szCs w:val="21"/>
                    </w:rPr>
                    <w:t>+建筑隔声</w:t>
                  </w:r>
                </w:p>
              </w:tc>
              <w:tc>
                <w:tcPr>
                  <w:tcW w:w="1804" w:type="dxa"/>
                  <w:vAlign w:val="center"/>
                </w:tcPr>
                <w:p>
                  <w:pPr>
                    <w:jc w:val="center"/>
                    <w:rPr>
                      <w:szCs w:val="21"/>
                    </w:rPr>
                  </w:pPr>
                  <w:r>
                    <w:rPr>
                      <w:szCs w:val="21"/>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8" w:type="dxa"/>
                  <w:vAlign w:val="center"/>
                </w:tcPr>
                <w:p>
                  <w:pPr>
                    <w:jc w:val="center"/>
                    <w:rPr>
                      <w:szCs w:val="21"/>
                    </w:rPr>
                  </w:pPr>
                  <w:r>
                    <w:rPr>
                      <w:szCs w:val="21"/>
                    </w:rPr>
                    <w:t>侧面铣</w:t>
                  </w:r>
                </w:p>
              </w:tc>
              <w:tc>
                <w:tcPr>
                  <w:tcW w:w="1341" w:type="dxa"/>
                  <w:vAlign w:val="center"/>
                </w:tcPr>
                <w:p>
                  <w:pPr>
                    <w:jc w:val="center"/>
                    <w:rPr>
                      <w:szCs w:val="21"/>
                    </w:rPr>
                  </w:pPr>
                  <w:r>
                    <w:rPr>
                      <w:rFonts w:hint="eastAsia"/>
                      <w:szCs w:val="21"/>
                    </w:rPr>
                    <w:t>1</w:t>
                  </w:r>
                </w:p>
              </w:tc>
              <w:tc>
                <w:tcPr>
                  <w:tcW w:w="1496" w:type="dxa"/>
                </w:tcPr>
                <w:p>
                  <w:pPr>
                    <w:jc w:val="center"/>
                    <w:rPr>
                      <w:szCs w:val="21"/>
                    </w:rPr>
                  </w:pPr>
                  <w:r>
                    <w:rPr>
                      <w:rFonts w:hint="eastAsia"/>
                      <w:szCs w:val="21"/>
                    </w:rPr>
                    <w:t>80</w:t>
                  </w:r>
                </w:p>
              </w:tc>
              <w:tc>
                <w:tcPr>
                  <w:tcW w:w="2442" w:type="dxa"/>
                  <w:vAlign w:val="center"/>
                </w:tcPr>
                <w:p>
                  <w:pPr>
                    <w:jc w:val="center"/>
                    <w:rPr>
                      <w:szCs w:val="21"/>
                    </w:rPr>
                  </w:pPr>
                  <w:r>
                    <w:rPr>
                      <w:szCs w:val="21"/>
                    </w:rPr>
                    <w:t>室内布置</w:t>
                  </w:r>
                  <w:r>
                    <w:rPr>
                      <w:spacing w:val="-10"/>
                      <w:szCs w:val="21"/>
                    </w:rPr>
                    <w:t>+建筑隔声</w:t>
                  </w:r>
                </w:p>
              </w:tc>
              <w:tc>
                <w:tcPr>
                  <w:tcW w:w="1804" w:type="dxa"/>
                  <w:vAlign w:val="center"/>
                </w:tcPr>
                <w:p>
                  <w:pPr>
                    <w:jc w:val="center"/>
                    <w:rPr>
                      <w:szCs w:val="21"/>
                    </w:rPr>
                  </w:pPr>
                  <w:r>
                    <w:rPr>
                      <w:szCs w:val="21"/>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8" w:type="dxa"/>
                  <w:vAlign w:val="center"/>
                </w:tcPr>
                <w:p>
                  <w:pPr>
                    <w:jc w:val="center"/>
                    <w:rPr>
                      <w:szCs w:val="21"/>
                    </w:rPr>
                  </w:pPr>
                  <w:r>
                    <w:rPr>
                      <w:szCs w:val="21"/>
                    </w:rPr>
                    <w:t>金属带锯床</w:t>
                  </w:r>
                </w:p>
              </w:tc>
              <w:tc>
                <w:tcPr>
                  <w:tcW w:w="1341" w:type="dxa"/>
                  <w:vAlign w:val="center"/>
                </w:tcPr>
                <w:p>
                  <w:pPr>
                    <w:jc w:val="center"/>
                    <w:rPr>
                      <w:szCs w:val="21"/>
                    </w:rPr>
                  </w:pPr>
                  <w:r>
                    <w:rPr>
                      <w:rFonts w:hint="eastAsia"/>
                      <w:szCs w:val="21"/>
                    </w:rPr>
                    <w:t>2</w:t>
                  </w:r>
                </w:p>
              </w:tc>
              <w:tc>
                <w:tcPr>
                  <w:tcW w:w="1496" w:type="dxa"/>
                </w:tcPr>
                <w:p>
                  <w:pPr>
                    <w:jc w:val="center"/>
                    <w:rPr>
                      <w:szCs w:val="21"/>
                    </w:rPr>
                  </w:pPr>
                  <w:r>
                    <w:rPr>
                      <w:rFonts w:hint="eastAsia"/>
                      <w:szCs w:val="21"/>
                    </w:rPr>
                    <w:t>85</w:t>
                  </w:r>
                </w:p>
              </w:tc>
              <w:tc>
                <w:tcPr>
                  <w:tcW w:w="2442" w:type="dxa"/>
                  <w:vAlign w:val="center"/>
                </w:tcPr>
                <w:p>
                  <w:pPr>
                    <w:jc w:val="center"/>
                    <w:rPr>
                      <w:szCs w:val="21"/>
                    </w:rPr>
                  </w:pPr>
                  <w:r>
                    <w:rPr>
                      <w:szCs w:val="21"/>
                    </w:rPr>
                    <w:t>室内布置</w:t>
                  </w:r>
                  <w:r>
                    <w:rPr>
                      <w:spacing w:val="-10"/>
                      <w:szCs w:val="21"/>
                    </w:rPr>
                    <w:t>+建筑隔声</w:t>
                  </w:r>
                </w:p>
              </w:tc>
              <w:tc>
                <w:tcPr>
                  <w:tcW w:w="1804" w:type="dxa"/>
                  <w:vAlign w:val="center"/>
                </w:tcPr>
                <w:p>
                  <w:pPr>
                    <w:jc w:val="center"/>
                    <w:rPr>
                      <w:szCs w:val="21"/>
                    </w:rPr>
                  </w:pPr>
                  <w:r>
                    <w:rPr>
                      <w:szCs w:val="21"/>
                    </w:rPr>
                    <w:t>20~35</w:t>
                  </w:r>
                </w:p>
              </w:tc>
            </w:tr>
          </w:tbl>
          <w:p>
            <w:pPr>
              <w:spacing w:line="360" w:lineRule="auto"/>
              <w:ind w:firstLine="480" w:firstLineChars="200"/>
              <w:rPr>
                <w:bCs/>
                <w:sz w:val="24"/>
                <w:szCs w:val="24"/>
              </w:rPr>
            </w:pPr>
            <w:r>
              <w:rPr>
                <w:rFonts w:hint="eastAsia"/>
                <w:bCs/>
                <w:sz w:val="24"/>
                <w:szCs w:val="24"/>
              </w:rPr>
              <w:t>（2）声环境影响预测</w:t>
            </w:r>
          </w:p>
          <w:p>
            <w:pPr>
              <w:spacing w:line="360" w:lineRule="auto"/>
              <w:ind w:firstLine="480" w:firstLineChars="200"/>
              <w:rPr>
                <w:sz w:val="24"/>
                <w:szCs w:val="24"/>
              </w:rPr>
            </w:pPr>
            <w:r>
              <w:rPr>
                <w:sz w:val="24"/>
                <w:szCs w:val="24"/>
              </w:rPr>
              <w:t>根据预测模式及噪声源强参数，预测噪声源对厂界四周的影响，具体结果见表</w:t>
            </w:r>
            <w:r>
              <w:rPr>
                <w:rFonts w:hint="eastAsia"/>
                <w:sz w:val="24"/>
                <w:szCs w:val="24"/>
              </w:rPr>
              <w:t>27。</w:t>
            </w:r>
          </w:p>
          <w:p>
            <w:pPr>
              <w:spacing w:line="360" w:lineRule="auto"/>
              <w:jc w:val="center"/>
              <w:rPr>
                <w:b/>
                <w:bCs/>
                <w:szCs w:val="21"/>
              </w:rPr>
            </w:pPr>
            <w:r>
              <w:rPr>
                <w:b/>
                <w:bCs/>
                <w:szCs w:val="21"/>
              </w:rPr>
              <w:t>表</w:t>
            </w:r>
            <w:r>
              <w:rPr>
                <w:rFonts w:hint="eastAsia"/>
                <w:b/>
                <w:bCs/>
                <w:szCs w:val="21"/>
              </w:rPr>
              <w:t xml:space="preserve">27    </w:t>
            </w:r>
            <w:r>
              <w:rPr>
                <w:b/>
                <w:bCs/>
                <w:szCs w:val="21"/>
              </w:rPr>
              <w:t>厂区四周噪声预测结果        单位：dB(A)</w:t>
            </w:r>
          </w:p>
          <w:tbl>
            <w:tblPr>
              <w:tblStyle w:val="31"/>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356"/>
              <w:gridCol w:w="1803"/>
              <w:gridCol w:w="1803"/>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Align w:val="center"/>
                </w:tcPr>
                <w:p>
                  <w:pPr>
                    <w:pStyle w:val="77"/>
                    <w:tabs>
                      <w:tab w:val="left" w:pos="0"/>
                    </w:tabs>
                    <w:spacing w:line="280" w:lineRule="exact"/>
                    <w:ind w:firstLine="0" w:firstLineChars="0"/>
                    <w:jc w:val="center"/>
                    <w:rPr>
                      <w:rFonts w:ascii="Times New Roman" w:hAnsi="Times New Roman"/>
                      <w:b/>
                      <w:sz w:val="21"/>
                    </w:rPr>
                  </w:pPr>
                  <w:r>
                    <w:rPr>
                      <w:rFonts w:ascii="Times New Roman" w:hAnsi="Times New Roman"/>
                      <w:b/>
                      <w:sz w:val="21"/>
                    </w:rPr>
                    <w:t>监测点</w:t>
                  </w:r>
                </w:p>
              </w:tc>
              <w:tc>
                <w:tcPr>
                  <w:tcW w:w="1356" w:type="dxa"/>
                  <w:vAlign w:val="center"/>
                </w:tcPr>
                <w:p>
                  <w:pPr>
                    <w:pStyle w:val="77"/>
                    <w:tabs>
                      <w:tab w:val="left" w:pos="0"/>
                    </w:tabs>
                    <w:spacing w:line="280" w:lineRule="exact"/>
                    <w:ind w:firstLine="0" w:firstLineChars="0"/>
                    <w:jc w:val="center"/>
                    <w:rPr>
                      <w:rFonts w:ascii="Times New Roman" w:hAnsi="Times New Roman"/>
                      <w:b/>
                      <w:sz w:val="21"/>
                    </w:rPr>
                  </w:pPr>
                  <w:r>
                    <w:rPr>
                      <w:rFonts w:ascii="Times New Roman" w:hAnsi="Times New Roman"/>
                      <w:b/>
                      <w:sz w:val="21"/>
                    </w:rPr>
                    <w:t>时段</w:t>
                  </w:r>
                </w:p>
              </w:tc>
              <w:tc>
                <w:tcPr>
                  <w:tcW w:w="1803" w:type="dxa"/>
                  <w:vAlign w:val="center"/>
                </w:tcPr>
                <w:p>
                  <w:pPr>
                    <w:pStyle w:val="77"/>
                    <w:tabs>
                      <w:tab w:val="left" w:pos="0"/>
                    </w:tabs>
                    <w:spacing w:line="280" w:lineRule="exact"/>
                    <w:ind w:firstLine="0" w:firstLineChars="0"/>
                    <w:jc w:val="center"/>
                    <w:rPr>
                      <w:rFonts w:ascii="Times New Roman" w:hAnsi="Times New Roman"/>
                      <w:b/>
                      <w:sz w:val="21"/>
                    </w:rPr>
                  </w:pPr>
                  <w:r>
                    <w:rPr>
                      <w:rFonts w:ascii="Times New Roman" w:hAnsi="Times New Roman"/>
                      <w:b/>
                      <w:sz w:val="21"/>
                    </w:rPr>
                    <w:t>贡献值</w:t>
                  </w:r>
                </w:p>
              </w:tc>
              <w:tc>
                <w:tcPr>
                  <w:tcW w:w="1803" w:type="dxa"/>
                  <w:vAlign w:val="center"/>
                </w:tcPr>
                <w:p>
                  <w:pPr>
                    <w:pStyle w:val="77"/>
                    <w:tabs>
                      <w:tab w:val="left" w:pos="0"/>
                    </w:tabs>
                    <w:spacing w:line="280" w:lineRule="exact"/>
                    <w:ind w:firstLine="0" w:firstLineChars="0"/>
                    <w:jc w:val="center"/>
                    <w:rPr>
                      <w:rFonts w:ascii="Times New Roman" w:hAnsi="Times New Roman"/>
                      <w:b/>
                      <w:sz w:val="21"/>
                    </w:rPr>
                  </w:pPr>
                  <w:r>
                    <w:rPr>
                      <w:rFonts w:ascii="Times New Roman" w:hAnsi="Times New Roman"/>
                      <w:b/>
                      <w:sz w:val="21"/>
                    </w:rPr>
                    <w:t>标准值</w:t>
                  </w:r>
                </w:p>
              </w:tc>
              <w:tc>
                <w:tcPr>
                  <w:tcW w:w="2247" w:type="dxa"/>
                  <w:vAlign w:val="center"/>
                </w:tcPr>
                <w:p>
                  <w:pPr>
                    <w:pStyle w:val="77"/>
                    <w:tabs>
                      <w:tab w:val="left" w:pos="0"/>
                    </w:tabs>
                    <w:spacing w:line="280" w:lineRule="exact"/>
                    <w:ind w:firstLine="0" w:firstLineChars="0"/>
                    <w:jc w:val="center"/>
                    <w:rPr>
                      <w:rFonts w:ascii="Times New Roman" w:hAnsi="Times New Roman"/>
                      <w:b/>
                      <w:sz w:val="21"/>
                    </w:rPr>
                  </w:pPr>
                  <w:r>
                    <w:rPr>
                      <w:rFonts w:ascii="Times New Roman" w:hAnsi="Times New Roman"/>
                      <w:b/>
                      <w:sz w:val="21"/>
                    </w:rPr>
                    <w:t>达标状况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restart"/>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东</w:t>
                  </w:r>
                </w:p>
              </w:tc>
              <w:tc>
                <w:tcPr>
                  <w:tcW w:w="1356" w:type="dxa"/>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昼间</w:t>
                  </w:r>
                </w:p>
              </w:tc>
              <w:tc>
                <w:tcPr>
                  <w:tcW w:w="1803" w:type="dxa"/>
                  <w:vAlign w:val="center"/>
                </w:tcPr>
                <w:p>
                  <w:pPr>
                    <w:pStyle w:val="77"/>
                    <w:tabs>
                      <w:tab w:val="left" w:pos="0"/>
                    </w:tabs>
                    <w:spacing w:line="280" w:lineRule="exact"/>
                    <w:ind w:firstLine="0" w:firstLineChars="0"/>
                    <w:jc w:val="center"/>
                    <w:rPr>
                      <w:rFonts w:ascii="Times New Roman" w:hAnsi="Times New Roman"/>
                      <w:sz w:val="21"/>
                    </w:rPr>
                  </w:pPr>
                  <w:r>
                    <w:rPr>
                      <w:rFonts w:hint="eastAsia" w:ascii="Times New Roman" w:hAnsi="Times New Roman"/>
                      <w:sz w:val="21"/>
                    </w:rPr>
                    <w:t>60</w:t>
                  </w:r>
                </w:p>
              </w:tc>
              <w:tc>
                <w:tcPr>
                  <w:tcW w:w="1803" w:type="dxa"/>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6</w:t>
                  </w:r>
                  <w:r>
                    <w:rPr>
                      <w:rFonts w:hint="eastAsia" w:ascii="Times New Roman" w:hAnsi="Times New Roman"/>
                      <w:sz w:val="21"/>
                    </w:rPr>
                    <w:t>5</w:t>
                  </w:r>
                </w:p>
              </w:tc>
              <w:tc>
                <w:tcPr>
                  <w:tcW w:w="2247" w:type="dxa"/>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pStyle w:val="77"/>
                    <w:tabs>
                      <w:tab w:val="left" w:pos="0"/>
                    </w:tabs>
                    <w:spacing w:line="280" w:lineRule="exact"/>
                    <w:ind w:firstLine="0" w:firstLineChars="0"/>
                    <w:jc w:val="center"/>
                    <w:rPr>
                      <w:rFonts w:ascii="Times New Roman" w:hAnsi="Times New Roman"/>
                      <w:sz w:val="21"/>
                    </w:rPr>
                  </w:pPr>
                </w:p>
              </w:tc>
              <w:tc>
                <w:tcPr>
                  <w:tcW w:w="1356" w:type="dxa"/>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夜间</w:t>
                  </w:r>
                </w:p>
              </w:tc>
              <w:tc>
                <w:tcPr>
                  <w:tcW w:w="1803" w:type="dxa"/>
                  <w:vAlign w:val="center"/>
                </w:tcPr>
                <w:p>
                  <w:pPr>
                    <w:pStyle w:val="77"/>
                    <w:tabs>
                      <w:tab w:val="left" w:pos="0"/>
                    </w:tabs>
                    <w:spacing w:line="280" w:lineRule="exact"/>
                    <w:ind w:firstLine="0" w:firstLineChars="0"/>
                    <w:jc w:val="center"/>
                    <w:rPr>
                      <w:rFonts w:ascii="Times New Roman" w:hAnsi="Times New Roman"/>
                      <w:sz w:val="21"/>
                    </w:rPr>
                  </w:pPr>
                  <w:r>
                    <w:rPr>
                      <w:rFonts w:hint="eastAsia" w:ascii="Times New Roman" w:hAnsi="Times New Roman"/>
                      <w:sz w:val="21"/>
                    </w:rPr>
                    <w:t>49</w:t>
                  </w:r>
                </w:p>
              </w:tc>
              <w:tc>
                <w:tcPr>
                  <w:tcW w:w="1803" w:type="dxa"/>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5</w:t>
                  </w:r>
                  <w:r>
                    <w:rPr>
                      <w:rFonts w:hint="eastAsia" w:ascii="Times New Roman" w:hAnsi="Times New Roman"/>
                      <w:sz w:val="21"/>
                    </w:rPr>
                    <w:t>5</w:t>
                  </w:r>
                </w:p>
              </w:tc>
              <w:tc>
                <w:tcPr>
                  <w:tcW w:w="2247" w:type="dxa"/>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restart"/>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南</w:t>
                  </w:r>
                </w:p>
              </w:tc>
              <w:tc>
                <w:tcPr>
                  <w:tcW w:w="1356" w:type="dxa"/>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昼间</w:t>
                  </w:r>
                </w:p>
              </w:tc>
              <w:tc>
                <w:tcPr>
                  <w:tcW w:w="1803" w:type="dxa"/>
                  <w:vAlign w:val="center"/>
                </w:tcPr>
                <w:p>
                  <w:pPr>
                    <w:pStyle w:val="77"/>
                    <w:tabs>
                      <w:tab w:val="left" w:pos="0"/>
                    </w:tabs>
                    <w:spacing w:line="280" w:lineRule="exact"/>
                    <w:ind w:firstLine="0" w:firstLineChars="0"/>
                    <w:jc w:val="center"/>
                    <w:rPr>
                      <w:rFonts w:ascii="Times New Roman" w:hAnsi="Times New Roman"/>
                      <w:sz w:val="21"/>
                    </w:rPr>
                  </w:pPr>
                  <w:r>
                    <w:rPr>
                      <w:rFonts w:hint="eastAsia" w:ascii="Times New Roman" w:hAnsi="Times New Roman"/>
                      <w:sz w:val="21"/>
                    </w:rPr>
                    <w:t>61</w:t>
                  </w:r>
                </w:p>
              </w:tc>
              <w:tc>
                <w:tcPr>
                  <w:tcW w:w="1803" w:type="dxa"/>
                  <w:vAlign w:val="center"/>
                </w:tcPr>
                <w:p>
                  <w:pPr>
                    <w:pStyle w:val="77"/>
                    <w:tabs>
                      <w:tab w:val="left" w:pos="0"/>
                    </w:tabs>
                    <w:spacing w:line="280" w:lineRule="exact"/>
                    <w:ind w:firstLine="0" w:firstLineChars="0"/>
                    <w:jc w:val="center"/>
                    <w:rPr>
                      <w:rFonts w:ascii="Times New Roman" w:hAnsi="Times New Roman"/>
                      <w:sz w:val="21"/>
                    </w:rPr>
                  </w:pPr>
                  <w:r>
                    <w:rPr>
                      <w:rFonts w:hint="eastAsia" w:ascii="Times New Roman" w:hAnsi="Times New Roman"/>
                      <w:sz w:val="21"/>
                    </w:rPr>
                    <w:t>70</w:t>
                  </w:r>
                </w:p>
              </w:tc>
              <w:tc>
                <w:tcPr>
                  <w:tcW w:w="2247" w:type="dxa"/>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pStyle w:val="77"/>
                    <w:tabs>
                      <w:tab w:val="left" w:pos="0"/>
                    </w:tabs>
                    <w:spacing w:line="280" w:lineRule="exact"/>
                    <w:ind w:firstLine="0" w:firstLineChars="0"/>
                    <w:jc w:val="center"/>
                    <w:rPr>
                      <w:rFonts w:ascii="Times New Roman" w:hAnsi="Times New Roman"/>
                      <w:sz w:val="21"/>
                    </w:rPr>
                  </w:pPr>
                </w:p>
              </w:tc>
              <w:tc>
                <w:tcPr>
                  <w:tcW w:w="1356" w:type="dxa"/>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夜间</w:t>
                  </w:r>
                </w:p>
              </w:tc>
              <w:tc>
                <w:tcPr>
                  <w:tcW w:w="1803" w:type="dxa"/>
                  <w:vAlign w:val="center"/>
                </w:tcPr>
                <w:p>
                  <w:pPr>
                    <w:pStyle w:val="77"/>
                    <w:tabs>
                      <w:tab w:val="left" w:pos="0"/>
                    </w:tabs>
                    <w:spacing w:line="280" w:lineRule="exact"/>
                    <w:ind w:firstLine="0" w:firstLineChars="0"/>
                    <w:jc w:val="center"/>
                    <w:rPr>
                      <w:rFonts w:ascii="Times New Roman" w:hAnsi="Times New Roman"/>
                      <w:sz w:val="21"/>
                    </w:rPr>
                  </w:pPr>
                  <w:r>
                    <w:rPr>
                      <w:rFonts w:hint="eastAsia" w:ascii="Times New Roman" w:hAnsi="Times New Roman"/>
                      <w:sz w:val="21"/>
                    </w:rPr>
                    <w:t>51</w:t>
                  </w:r>
                </w:p>
              </w:tc>
              <w:tc>
                <w:tcPr>
                  <w:tcW w:w="1803" w:type="dxa"/>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5</w:t>
                  </w:r>
                  <w:r>
                    <w:rPr>
                      <w:rFonts w:hint="eastAsia" w:ascii="Times New Roman" w:hAnsi="Times New Roman"/>
                      <w:sz w:val="21"/>
                    </w:rPr>
                    <w:t>5</w:t>
                  </w:r>
                </w:p>
              </w:tc>
              <w:tc>
                <w:tcPr>
                  <w:tcW w:w="2247" w:type="dxa"/>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restart"/>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西</w:t>
                  </w:r>
                </w:p>
              </w:tc>
              <w:tc>
                <w:tcPr>
                  <w:tcW w:w="1356" w:type="dxa"/>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昼间</w:t>
                  </w:r>
                </w:p>
              </w:tc>
              <w:tc>
                <w:tcPr>
                  <w:tcW w:w="1803" w:type="dxa"/>
                  <w:vAlign w:val="center"/>
                </w:tcPr>
                <w:p>
                  <w:pPr>
                    <w:pStyle w:val="77"/>
                    <w:tabs>
                      <w:tab w:val="left" w:pos="0"/>
                    </w:tabs>
                    <w:spacing w:line="280" w:lineRule="exact"/>
                    <w:ind w:firstLine="0" w:firstLineChars="0"/>
                    <w:jc w:val="center"/>
                    <w:rPr>
                      <w:rFonts w:ascii="Times New Roman" w:hAnsi="Times New Roman"/>
                      <w:sz w:val="21"/>
                    </w:rPr>
                  </w:pPr>
                  <w:r>
                    <w:rPr>
                      <w:rFonts w:hint="eastAsia" w:ascii="Times New Roman" w:hAnsi="Times New Roman"/>
                      <w:sz w:val="21"/>
                    </w:rPr>
                    <w:t>62</w:t>
                  </w:r>
                </w:p>
              </w:tc>
              <w:tc>
                <w:tcPr>
                  <w:tcW w:w="1803" w:type="dxa"/>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6</w:t>
                  </w:r>
                  <w:r>
                    <w:rPr>
                      <w:rFonts w:hint="eastAsia" w:ascii="Times New Roman" w:hAnsi="Times New Roman"/>
                      <w:sz w:val="21"/>
                    </w:rPr>
                    <w:t>5</w:t>
                  </w:r>
                </w:p>
              </w:tc>
              <w:tc>
                <w:tcPr>
                  <w:tcW w:w="2247" w:type="dxa"/>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pStyle w:val="77"/>
                    <w:tabs>
                      <w:tab w:val="left" w:pos="0"/>
                    </w:tabs>
                    <w:spacing w:line="280" w:lineRule="exact"/>
                    <w:ind w:firstLine="0" w:firstLineChars="0"/>
                    <w:jc w:val="center"/>
                    <w:rPr>
                      <w:rFonts w:ascii="Times New Roman" w:hAnsi="Times New Roman"/>
                      <w:sz w:val="21"/>
                    </w:rPr>
                  </w:pPr>
                </w:p>
              </w:tc>
              <w:tc>
                <w:tcPr>
                  <w:tcW w:w="1356" w:type="dxa"/>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夜间</w:t>
                  </w:r>
                </w:p>
              </w:tc>
              <w:tc>
                <w:tcPr>
                  <w:tcW w:w="1803" w:type="dxa"/>
                  <w:vAlign w:val="center"/>
                </w:tcPr>
                <w:p>
                  <w:pPr>
                    <w:pStyle w:val="77"/>
                    <w:tabs>
                      <w:tab w:val="left" w:pos="0"/>
                    </w:tabs>
                    <w:spacing w:line="280" w:lineRule="exact"/>
                    <w:ind w:firstLine="0" w:firstLineChars="0"/>
                    <w:jc w:val="center"/>
                    <w:rPr>
                      <w:rFonts w:ascii="Times New Roman" w:hAnsi="Times New Roman"/>
                      <w:sz w:val="21"/>
                    </w:rPr>
                  </w:pPr>
                  <w:r>
                    <w:rPr>
                      <w:rFonts w:hint="eastAsia" w:ascii="Times New Roman" w:hAnsi="Times New Roman"/>
                      <w:sz w:val="21"/>
                    </w:rPr>
                    <w:t>50</w:t>
                  </w:r>
                </w:p>
              </w:tc>
              <w:tc>
                <w:tcPr>
                  <w:tcW w:w="1803" w:type="dxa"/>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5</w:t>
                  </w:r>
                  <w:r>
                    <w:rPr>
                      <w:rFonts w:hint="eastAsia" w:ascii="Times New Roman" w:hAnsi="Times New Roman"/>
                      <w:sz w:val="21"/>
                    </w:rPr>
                    <w:t>5</w:t>
                  </w:r>
                </w:p>
              </w:tc>
              <w:tc>
                <w:tcPr>
                  <w:tcW w:w="2247" w:type="dxa"/>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restart"/>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北</w:t>
                  </w:r>
                </w:p>
              </w:tc>
              <w:tc>
                <w:tcPr>
                  <w:tcW w:w="1356" w:type="dxa"/>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昼间</w:t>
                  </w:r>
                </w:p>
              </w:tc>
              <w:tc>
                <w:tcPr>
                  <w:tcW w:w="1803" w:type="dxa"/>
                  <w:vAlign w:val="center"/>
                </w:tcPr>
                <w:p>
                  <w:pPr>
                    <w:pStyle w:val="77"/>
                    <w:tabs>
                      <w:tab w:val="left" w:pos="0"/>
                    </w:tabs>
                    <w:spacing w:line="280" w:lineRule="exact"/>
                    <w:ind w:firstLine="0" w:firstLineChars="0"/>
                    <w:jc w:val="center"/>
                    <w:rPr>
                      <w:rFonts w:ascii="Times New Roman" w:hAnsi="Times New Roman"/>
                      <w:sz w:val="21"/>
                    </w:rPr>
                  </w:pPr>
                  <w:r>
                    <w:rPr>
                      <w:rFonts w:hint="eastAsia" w:ascii="Times New Roman" w:hAnsi="Times New Roman"/>
                      <w:sz w:val="21"/>
                    </w:rPr>
                    <w:t>58</w:t>
                  </w:r>
                </w:p>
              </w:tc>
              <w:tc>
                <w:tcPr>
                  <w:tcW w:w="1803" w:type="dxa"/>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6</w:t>
                  </w:r>
                  <w:r>
                    <w:rPr>
                      <w:rFonts w:hint="eastAsia" w:ascii="Times New Roman" w:hAnsi="Times New Roman"/>
                      <w:sz w:val="21"/>
                    </w:rPr>
                    <w:t>5</w:t>
                  </w:r>
                </w:p>
              </w:tc>
              <w:tc>
                <w:tcPr>
                  <w:tcW w:w="2247" w:type="dxa"/>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2" w:type="dxa"/>
                  <w:vMerge w:val="continue"/>
                  <w:vAlign w:val="center"/>
                </w:tcPr>
                <w:p>
                  <w:pPr>
                    <w:pStyle w:val="77"/>
                    <w:tabs>
                      <w:tab w:val="left" w:pos="0"/>
                    </w:tabs>
                    <w:spacing w:line="280" w:lineRule="exact"/>
                    <w:ind w:firstLine="0" w:firstLineChars="0"/>
                    <w:jc w:val="center"/>
                    <w:rPr>
                      <w:rFonts w:ascii="Times New Roman" w:hAnsi="Times New Roman"/>
                      <w:sz w:val="21"/>
                    </w:rPr>
                  </w:pPr>
                </w:p>
              </w:tc>
              <w:tc>
                <w:tcPr>
                  <w:tcW w:w="1356" w:type="dxa"/>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夜间</w:t>
                  </w:r>
                </w:p>
              </w:tc>
              <w:tc>
                <w:tcPr>
                  <w:tcW w:w="1803" w:type="dxa"/>
                  <w:vAlign w:val="center"/>
                </w:tcPr>
                <w:p>
                  <w:pPr>
                    <w:pStyle w:val="77"/>
                    <w:tabs>
                      <w:tab w:val="left" w:pos="0"/>
                    </w:tabs>
                    <w:spacing w:line="280" w:lineRule="exact"/>
                    <w:ind w:firstLine="0" w:firstLineChars="0"/>
                    <w:jc w:val="center"/>
                    <w:rPr>
                      <w:rFonts w:ascii="Times New Roman" w:hAnsi="Times New Roman"/>
                      <w:sz w:val="21"/>
                    </w:rPr>
                  </w:pPr>
                  <w:r>
                    <w:rPr>
                      <w:rFonts w:hint="eastAsia" w:ascii="Times New Roman" w:hAnsi="Times New Roman"/>
                      <w:sz w:val="21"/>
                    </w:rPr>
                    <w:t>49</w:t>
                  </w:r>
                </w:p>
              </w:tc>
              <w:tc>
                <w:tcPr>
                  <w:tcW w:w="1803" w:type="dxa"/>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5</w:t>
                  </w:r>
                  <w:r>
                    <w:rPr>
                      <w:rFonts w:hint="eastAsia" w:ascii="Times New Roman" w:hAnsi="Times New Roman"/>
                      <w:sz w:val="21"/>
                    </w:rPr>
                    <w:t>5</w:t>
                  </w:r>
                </w:p>
              </w:tc>
              <w:tc>
                <w:tcPr>
                  <w:tcW w:w="2247" w:type="dxa"/>
                  <w:vAlign w:val="center"/>
                </w:tcPr>
                <w:p>
                  <w:pPr>
                    <w:pStyle w:val="77"/>
                    <w:tabs>
                      <w:tab w:val="left" w:pos="0"/>
                    </w:tabs>
                    <w:spacing w:line="280" w:lineRule="exact"/>
                    <w:ind w:firstLine="0" w:firstLineChars="0"/>
                    <w:jc w:val="center"/>
                    <w:rPr>
                      <w:rFonts w:ascii="Times New Roman" w:hAnsi="Times New Roman"/>
                      <w:sz w:val="21"/>
                    </w:rPr>
                  </w:pPr>
                  <w:r>
                    <w:rPr>
                      <w:rFonts w:ascii="Times New Roman" w:hAnsi="Times New Roman"/>
                      <w:sz w:val="21"/>
                    </w:rPr>
                    <w:t>达标</w:t>
                  </w:r>
                </w:p>
              </w:tc>
            </w:tr>
          </w:tbl>
          <w:p>
            <w:pPr>
              <w:spacing w:line="480" w:lineRule="exact"/>
              <w:ind w:firstLine="480" w:firstLineChars="200"/>
              <w:rPr>
                <w:sz w:val="24"/>
              </w:rPr>
            </w:pPr>
            <w:r>
              <w:rPr>
                <w:rFonts w:hint="eastAsia"/>
                <w:bCs/>
                <w:sz w:val="24"/>
                <w:szCs w:val="24"/>
              </w:rPr>
              <w:t>由表27可知，南</w:t>
            </w:r>
            <w:r>
              <w:rPr>
                <w:bCs/>
                <w:sz w:val="24"/>
                <w:szCs w:val="24"/>
              </w:rPr>
              <w:t>厂界噪声均满足《工业企业厂界环境噪声排放标准》</w:t>
            </w:r>
            <w:r>
              <w:rPr>
                <w:rFonts w:hint="eastAsia"/>
                <w:bCs/>
                <w:sz w:val="24"/>
                <w:szCs w:val="24"/>
              </w:rPr>
              <w:t>（</w:t>
            </w:r>
            <w:r>
              <w:rPr>
                <w:bCs/>
                <w:sz w:val="24"/>
                <w:szCs w:val="24"/>
              </w:rPr>
              <w:t>GB12348</w:t>
            </w:r>
            <w:r>
              <w:rPr>
                <w:rFonts w:hint="eastAsia"/>
                <w:bCs/>
                <w:sz w:val="24"/>
                <w:szCs w:val="24"/>
              </w:rPr>
              <w:t>-</w:t>
            </w:r>
            <w:r>
              <w:rPr>
                <w:bCs/>
                <w:sz w:val="24"/>
                <w:szCs w:val="24"/>
              </w:rPr>
              <w:t>2008</w:t>
            </w:r>
            <w:r>
              <w:rPr>
                <w:rFonts w:hint="eastAsia"/>
                <w:bCs/>
                <w:sz w:val="24"/>
                <w:szCs w:val="24"/>
              </w:rPr>
              <w:t>）</w:t>
            </w:r>
            <w:r>
              <w:rPr>
                <w:bCs/>
                <w:sz w:val="24"/>
                <w:szCs w:val="24"/>
              </w:rPr>
              <w:t>中</w:t>
            </w:r>
            <w:r>
              <w:rPr>
                <w:rFonts w:hint="eastAsia"/>
                <w:bCs/>
                <w:sz w:val="24"/>
                <w:szCs w:val="24"/>
              </w:rPr>
              <w:t>4</w:t>
            </w:r>
            <w:r>
              <w:rPr>
                <w:bCs/>
                <w:sz w:val="24"/>
                <w:szCs w:val="24"/>
              </w:rPr>
              <w:t>类标准</w:t>
            </w:r>
            <w:r>
              <w:rPr>
                <w:rFonts w:hint="eastAsia"/>
                <w:bCs/>
                <w:sz w:val="24"/>
                <w:szCs w:val="24"/>
              </w:rPr>
              <w:t>，其余三</w:t>
            </w:r>
            <w:r>
              <w:rPr>
                <w:bCs/>
                <w:sz w:val="24"/>
                <w:szCs w:val="24"/>
              </w:rPr>
              <w:t>厂界噪声均满足《工业企业厂界环境噪声排放标准》</w:t>
            </w:r>
            <w:r>
              <w:rPr>
                <w:rFonts w:hint="eastAsia"/>
                <w:bCs/>
                <w:sz w:val="24"/>
                <w:szCs w:val="24"/>
              </w:rPr>
              <w:t>（</w:t>
            </w:r>
            <w:r>
              <w:rPr>
                <w:bCs/>
                <w:sz w:val="24"/>
                <w:szCs w:val="24"/>
              </w:rPr>
              <w:t>GB12348</w:t>
            </w:r>
            <w:r>
              <w:rPr>
                <w:rFonts w:hint="eastAsia"/>
                <w:bCs/>
                <w:sz w:val="24"/>
                <w:szCs w:val="24"/>
              </w:rPr>
              <w:t>-</w:t>
            </w:r>
            <w:r>
              <w:rPr>
                <w:bCs/>
                <w:sz w:val="24"/>
                <w:szCs w:val="24"/>
              </w:rPr>
              <w:t>2008</w:t>
            </w:r>
            <w:r>
              <w:rPr>
                <w:rFonts w:hint="eastAsia"/>
                <w:bCs/>
                <w:sz w:val="24"/>
                <w:szCs w:val="24"/>
              </w:rPr>
              <w:t>）</w:t>
            </w:r>
            <w:r>
              <w:rPr>
                <w:bCs/>
                <w:sz w:val="24"/>
                <w:szCs w:val="24"/>
              </w:rPr>
              <w:t>中</w:t>
            </w:r>
            <w:r>
              <w:rPr>
                <w:rFonts w:hint="eastAsia"/>
                <w:bCs/>
                <w:sz w:val="24"/>
                <w:szCs w:val="24"/>
              </w:rPr>
              <w:t>3</w:t>
            </w:r>
            <w:r>
              <w:rPr>
                <w:bCs/>
                <w:sz w:val="24"/>
                <w:szCs w:val="24"/>
              </w:rPr>
              <w:t>类标准。</w:t>
            </w:r>
            <w:r>
              <w:rPr>
                <w:sz w:val="24"/>
              </w:rPr>
              <w:t>因此，项目</w:t>
            </w:r>
            <w:r>
              <w:rPr>
                <w:rFonts w:hint="eastAsia"/>
                <w:sz w:val="24"/>
              </w:rPr>
              <w:t>营运</w:t>
            </w:r>
            <w:r>
              <w:rPr>
                <w:sz w:val="24"/>
              </w:rPr>
              <w:t>期对周围声环境影响较小。</w:t>
            </w:r>
          </w:p>
          <w:p>
            <w:pPr>
              <w:snapToGrid w:val="0"/>
              <w:spacing w:line="480" w:lineRule="exact"/>
              <w:ind w:firstLine="480" w:firstLineChars="200"/>
              <w:rPr>
                <w:b/>
                <w:bCs/>
                <w:sz w:val="24"/>
                <w:szCs w:val="24"/>
              </w:rPr>
            </w:pPr>
            <w:r>
              <w:rPr>
                <w:rFonts w:hint="eastAsia"/>
                <w:b/>
                <w:bCs/>
                <w:sz w:val="24"/>
                <w:szCs w:val="24"/>
              </w:rPr>
              <w:t>4、固体废物影响分析</w:t>
            </w:r>
          </w:p>
          <w:p>
            <w:pPr>
              <w:spacing w:line="480" w:lineRule="exact"/>
              <w:ind w:firstLine="480" w:firstLineChars="200"/>
              <w:rPr>
                <w:color w:val="0000FF"/>
                <w:sz w:val="24"/>
                <w:szCs w:val="24"/>
              </w:rPr>
            </w:pPr>
            <w:r>
              <w:rPr>
                <w:rFonts w:hint="eastAsia"/>
                <w:sz w:val="24"/>
                <w:szCs w:val="24"/>
              </w:rPr>
              <w:t>技改项目产生的固废主要为废滤芯、废油漆桶、废机油</w:t>
            </w:r>
            <w:r>
              <w:rPr>
                <w:rFonts w:hint="eastAsia"/>
                <w:color w:val="auto"/>
                <w:sz w:val="24"/>
                <w:szCs w:val="24"/>
              </w:rPr>
              <w:t>。</w:t>
            </w:r>
          </w:p>
          <w:p>
            <w:pPr>
              <w:spacing w:line="460" w:lineRule="exact"/>
              <w:ind w:left="420" w:leftChars="200"/>
              <w:rPr>
                <w:sz w:val="24"/>
                <w:szCs w:val="24"/>
              </w:rPr>
            </w:pPr>
            <w:r>
              <w:rPr>
                <w:rFonts w:hint="eastAsia"/>
                <w:sz w:val="24"/>
                <w:szCs w:val="24"/>
              </w:rPr>
              <w:t>（1）废滤芯</w:t>
            </w:r>
          </w:p>
          <w:p>
            <w:pPr>
              <w:spacing w:line="460" w:lineRule="exact"/>
              <w:ind w:firstLine="480" w:firstLineChars="200"/>
              <w:rPr>
                <w:sz w:val="24"/>
                <w:szCs w:val="24"/>
              </w:rPr>
            </w:pPr>
            <w:r>
              <w:rPr>
                <w:rFonts w:hint="eastAsia"/>
                <w:sz w:val="24"/>
                <w:szCs w:val="24"/>
              </w:rPr>
              <w:t>喷漆过程需要干式过滤器对漆雾进行过滤处理，滤芯需要定期更换，滤芯每次更换量为50kg，每四个月更换一次，则废滤芯的产生量为0.15t/a，根据《国家危险废物名录（2016年）》中相关规定，废滤芯属危险废物HW12类。委托有资质单位处理。</w:t>
            </w:r>
          </w:p>
          <w:p>
            <w:pPr>
              <w:spacing w:line="460" w:lineRule="exact"/>
              <w:ind w:firstLine="480" w:firstLineChars="200"/>
              <w:rPr>
                <w:sz w:val="24"/>
                <w:szCs w:val="24"/>
              </w:rPr>
            </w:pPr>
            <w:r>
              <w:rPr>
                <w:rFonts w:hint="eastAsia"/>
                <w:sz w:val="24"/>
                <w:szCs w:val="24"/>
              </w:rPr>
              <w:t>（2）废油漆桶</w:t>
            </w:r>
          </w:p>
          <w:p>
            <w:pPr>
              <w:spacing w:line="460" w:lineRule="exact"/>
              <w:ind w:firstLine="480" w:firstLineChars="200"/>
              <w:rPr>
                <w:sz w:val="24"/>
                <w:szCs w:val="24"/>
              </w:rPr>
            </w:pPr>
            <w:r>
              <w:rPr>
                <w:snapToGrid w:val="0"/>
                <w:kern w:val="0"/>
                <w:sz w:val="24"/>
                <w:szCs w:val="24"/>
              </w:rPr>
              <w:t>废油漆桶</w:t>
            </w:r>
            <w:r>
              <w:rPr>
                <w:sz w:val="24"/>
              </w:rPr>
              <w:t>以每个桶重量为0.2kg，年使用油漆</w:t>
            </w:r>
            <w:r>
              <w:rPr>
                <w:rFonts w:hint="eastAsia"/>
                <w:sz w:val="24"/>
              </w:rPr>
              <w:t>13</w:t>
            </w:r>
            <w:r>
              <w:rPr>
                <w:sz w:val="24"/>
              </w:rPr>
              <w:t>0桶，废油漆桶的产生量为</w:t>
            </w:r>
            <w:r>
              <w:rPr>
                <w:rFonts w:hint="eastAsia"/>
                <w:sz w:val="24"/>
              </w:rPr>
              <w:t>0.26</w:t>
            </w:r>
            <w:r>
              <w:rPr>
                <w:sz w:val="24"/>
              </w:rPr>
              <w:t>t/a</w:t>
            </w:r>
            <w:r>
              <w:rPr>
                <w:snapToGrid w:val="0"/>
                <w:kern w:val="0"/>
                <w:sz w:val="24"/>
                <w:szCs w:val="24"/>
              </w:rPr>
              <w:t>，</w:t>
            </w:r>
            <w:r>
              <w:rPr>
                <w:rFonts w:hint="eastAsia"/>
                <w:sz w:val="24"/>
                <w:szCs w:val="24"/>
              </w:rPr>
              <w:t>根据《国家危险废物名录（2016年）》中相关规定，废油漆桶属危险废物HW12类。</w:t>
            </w:r>
            <w:r>
              <w:rPr>
                <w:snapToGrid w:val="0"/>
                <w:kern w:val="0"/>
                <w:sz w:val="24"/>
                <w:szCs w:val="24"/>
              </w:rPr>
              <w:t>集中收集后，交有资质单位处理。</w:t>
            </w:r>
          </w:p>
          <w:p>
            <w:pPr>
              <w:spacing w:line="460" w:lineRule="exact"/>
              <w:ind w:firstLine="480" w:firstLineChars="200"/>
              <w:rPr>
                <w:sz w:val="24"/>
                <w:szCs w:val="24"/>
              </w:rPr>
            </w:pPr>
            <w:r>
              <w:rPr>
                <w:rFonts w:hint="eastAsia"/>
                <w:sz w:val="24"/>
                <w:szCs w:val="24"/>
              </w:rPr>
              <w:t>（3）</w:t>
            </w:r>
            <w:commentRangeStart w:id="5"/>
            <w:r>
              <w:rPr>
                <w:rFonts w:hint="eastAsia"/>
                <w:sz w:val="24"/>
                <w:szCs w:val="24"/>
              </w:rPr>
              <w:t>废机油</w:t>
            </w:r>
            <w:commentRangeEnd w:id="5"/>
            <w:r>
              <w:rPr>
                <w:rStyle w:val="45"/>
              </w:rPr>
              <w:commentReference w:id="5"/>
            </w:r>
            <w:r>
              <w:rPr>
                <w:rFonts w:hint="eastAsia"/>
                <w:sz w:val="24"/>
                <w:szCs w:val="24"/>
                <w:lang w:eastAsia="zh-CN"/>
              </w:rPr>
              <w:t>及废机油桶</w:t>
            </w:r>
          </w:p>
          <w:p>
            <w:pPr>
              <w:spacing w:line="460" w:lineRule="exact"/>
              <w:ind w:firstLine="480" w:firstLineChars="200"/>
              <w:rPr>
                <w:rFonts w:hint="eastAsia" w:eastAsia="宋体"/>
                <w:sz w:val="24"/>
                <w:szCs w:val="24"/>
                <w:lang w:val="en-US" w:eastAsia="zh-CN"/>
              </w:rPr>
            </w:pPr>
            <w:r>
              <w:rPr>
                <w:rFonts w:hint="eastAsia"/>
                <w:sz w:val="24"/>
                <w:szCs w:val="24"/>
              </w:rPr>
              <w:t>废机油的产生量为0.05t/a，根据《国家危险废物名录（2016年）》中相关规定，废机油属危险废物HW08类，委托有资质单位处理。</w:t>
            </w:r>
            <w:r>
              <w:rPr>
                <w:rFonts w:hint="eastAsia"/>
                <w:color w:val="FF0000"/>
                <w:sz w:val="24"/>
                <w:szCs w:val="24"/>
                <w:lang w:eastAsia="zh-CN"/>
              </w:rPr>
              <w:t>废机油桶属于一般固废，产生量为</w:t>
            </w:r>
            <w:r>
              <w:rPr>
                <w:rFonts w:hint="eastAsia"/>
                <w:color w:val="FF0000"/>
                <w:sz w:val="24"/>
                <w:szCs w:val="24"/>
                <w:lang w:val="en-US" w:eastAsia="zh-CN"/>
              </w:rPr>
              <w:t>0.2t/a，集中收集后，由原厂家回收。</w:t>
            </w:r>
          </w:p>
          <w:p>
            <w:pPr>
              <w:spacing w:line="480" w:lineRule="exact"/>
              <w:ind w:firstLine="480" w:firstLineChars="200"/>
              <w:rPr>
                <w:sz w:val="24"/>
                <w:szCs w:val="24"/>
              </w:rPr>
            </w:pPr>
          </w:p>
          <w:p>
            <w:pPr>
              <w:spacing w:line="480" w:lineRule="exact"/>
              <w:ind w:firstLine="480" w:firstLineChars="200"/>
              <w:rPr>
                <w:rFonts w:hAnsi="宋体"/>
                <w:snapToGrid w:val="0"/>
                <w:color w:val="FF0000"/>
                <w:kern w:val="0"/>
                <w:sz w:val="24"/>
              </w:rPr>
            </w:pPr>
          </w:p>
          <w:p>
            <w:pPr>
              <w:spacing w:line="480" w:lineRule="exact"/>
              <w:ind w:firstLine="480" w:firstLineChars="200"/>
              <w:rPr>
                <w:rFonts w:hAnsi="宋体"/>
                <w:snapToGrid w:val="0"/>
                <w:color w:val="FF0000"/>
                <w:kern w:val="0"/>
                <w:sz w:val="24"/>
              </w:rPr>
            </w:pPr>
          </w:p>
          <w:p>
            <w:pPr>
              <w:spacing w:line="480" w:lineRule="exact"/>
              <w:ind w:firstLine="480" w:firstLineChars="200"/>
              <w:rPr>
                <w:rFonts w:hAnsi="宋体"/>
                <w:snapToGrid w:val="0"/>
                <w:color w:val="FF0000"/>
                <w:kern w:val="0"/>
                <w:sz w:val="24"/>
              </w:rPr>
            </w:pPr>
          </w:p>
          <w:p>
            <w:pPr>
              <w:spacing w:line="480" w:lineRule="exact"/>
              <w:ind w:firstLine="480" w:firstLineChars="200"/>
              <w:rPr>
                <w:rFonts w:hAnsi="宋体"/>
                <w:snapToGrid w:val="0"/>
                <w:color w:val="FF0000"/>
                <w:kern w:val="0"/>
                <w:sz w:val="24"/>
              </w:rPr>
            </w:pPr>
          </w:p>
          <w:p>
            <w:pPr>
              <w:spacing w:line="480" w:lineRule="exact"/>
              <w:ind w:firstLine="480" w:firstLineChars="200"/>
              <w:rPr>
                <w:rFonts w:hAnsi="宋体"/>
                <w:snapToGrid w:val="0"/>
                <w:kern w:val="0"/>
                <w:sz w:val="24"/>
              </w:rPr>
            </w:pPr>
            <w:r>
              <w:rPr>
                <w:rFonts w:hint="eastAsia" w:hAnsi="宋体"/>
                <w:snapToGrid w:val="0"/>
                <w:kern w:val="0"/>
                <w:sz w:val="24"/>
              </w:rPr>
              <w:t>项目危险废物汇总见表28：</w:t>
            </w:r>
          </w:p>
          <w:p>
            <w:pPr>
              <w:widowControl/>
              <w:adjustRightInd w:val="0"/>
              <w:spacing w:beforeLines="50"/>
              <w:jc w:val="center"/>
              <w:rPr>
                <w:b/>
                <w:kern w:val="0"/>
              </w:rPr>
            </w:pPr>
            <w:r>
              <w:rPr>
                <w:rFonts w:hint="eastAsia"/>
                <w:b/>
                <w:kern w:val="0"/>
              </w:rPr>
              <w:t>表28  危险废物汇总表</w:t>
            </w:r>
          </w:p>
          <w:tbl>
            <w:tblPr>
              <w:tblStyle w:val="31"/>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029"/>
              <w:gridCol w:w="956"/>
              <w:gridCol w:w="840"/>
              <w:gridCol w:w="1013"/>
              <w:gridCol w:w="378"/>
              <w:gridCol w:w="867"/>
              <w:gridCol w:w="732"/>
              <w:gridCol w:w="689"/>
              <w:gridCol w:w="709"/>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jc w:val="center"/>
                    <w:rPr>
                      <w:szCs w:val="21"/>
                    </w:rPr>
                  </w:pPr>
                  <w:r>
                    <w:rPr>
                      <w:rFonts w:hint="eastAsia"/>
                      <w:szCs w:val="21"/>
                    </w:rPr>
                    <w:t>危险废物</w:t>
                  </w:r>
                  <w:r>
                    <w:rPr>
                      <w:szCs w:val="21"/>
                    </w:rPr>
                    <w:t>名称</w:t>
                  </w:r>
                </w:p>
              </w:tc>
              <w:tc>
                <w:tcPr>
                  <w:tcW w:w="1029" w:type="dxa"/>
                  <w:vAlign w:val="center"/>
                </w:tcPr>
                <w:p>
                  <w:pPr>
                    <w:jc w:val="center"/>
                    <w:rPr>
                      <w:szCs w:val="21"/>
                    </w:rPr>
                  </w:pPr>
                  <w:r>
                    <w:rPr>
                      <w:rFonts w:hint="eastAsia"/>
                      <w:szCs w:val="21"/>
                    </w:rPr>
                    <w:t>危险废物</w:t>
                  </w:r>
                  <w:r>
                    <w:rPr>
                      <w:szCs w:val="21"/>
                    </w:rPr>
                    <w:t>类别</w:t>
                  </w:r>
                </w:p>
              </w:tc>
              <w:tc>
                <w:tcPr>
                  <w:tcW w:w="956" w:type="dxa"/>
                  <w:vAlign w:val="center"/>
                </w:tcPr>
                <w:p>
                  <w:pPr>
                    <w:jc w:val="center"/>
                    <w:rPr>
                      <w:szCs w:val="21"/>
                    </w:rPr>
                  </w:pPr>
                  <w:r>
                    <w:rPr>
                      <w:rFonts w:hint="eastAsia"/>
                      <w:szCs w:val="21"/>
                    </w:rPr>
                    <w:t>危险废物代码</w:t>
                  </w:r>
                </w:p>
              </w:tc>
              <w:tc>
                <w:tcPr>
                  <w:tcW w:w="840" w:type="dxa"/>
                  <w:vAlign w:val="center"/>
                </w:tcPr>
                <w:p>
                  <w:pPr>
                    <w:jc w:val="center"/>
                    <w:rPr>
                      <w:szCs w:val="21"/>
                    </w:rPr>
                  </w:pPr>
                  <w:r>
                    <w:rPr>
                      <w:szCs w:val="21"/>
                    </w:rPr>
                    <w:t>产生量（t/a）</w:t>
                  </w:r>
                </w:p>
              </w:tc>
              <w:tc>
                <w:tcPr>
                  <w:tcW w:w="1013" w:type="dxa"/>
                  <w:vAlign w:val="center"/>
                </w:tcPr>
                <w:p>
                  <w:pPr>
                    <w:jc w:val="center"/>
                    <w:rPr>
                      <w:szCs w:val="21"/>
                    </w:rPr>
                  </w:pPr>
                  <w:r>
                    <w:rPr>
                      <w:rFonts w:hint="eastAsia"/>
                      <w:szCs w:val="21"/>
                    </w:rPr>
                    <w:t>产生</w:t>
                  </w:r>
                  <w:r>
                    <w:rPr>
                      <w:szCs w:val="21"/>
                    </w:rPr>
                    <w:t>工序及装置</w:t>
                  </w:r>
                </w:p>
              </w:tc>
              <w:tc>
                <w:tcPr>
                  <w:tcW w:w="378" w:type="dxa"/>
                  <w:vAlign w:val="center"/>
                </w:tcPr>
                <w:p>
                  <w:pPr>
                    <w:jc w:val="center"/>
                    <w:rPr>
                      <w:szCs w:val="21"/>
                    </w:rPr>
                  </w:pPr>
                  <w:r>
                    <w:rPr>
                      <w:rFonts w:hint="eastAsia"/>
                      <w:szCs w:val="21"/>
                    </w:rPr>
                    <w:t>形态</w:t>
                  </w:r>
                </w:p>
              </w:tc>
              <w:tc>
                <w:tcPr>
                  <w:tcW w:w="867" w:type="dxa"/>
                  <w:vAlign w:val="center"/>
                </w:tcPr>
                <w:p>
                  <w:pPr>
                    <w:jc w:val="center"/>
                    <w:rPr>
                      <w:szCs w:val="21"/>
                    </w:rPr>
                  </w:pPr>
                  <w:r>
                    <w:rPr>
                      <w:rFonts w:hint="eastAsia"/>
                      <w:szCs w:val="21"/>
                    </w:rPr>
                    <w:t>主要成分</w:t>
                  </w:r>
                </w:p>
              </w:tc>
              <w:tc>
                <w:tcPr>
                  <w:tcW w:w="732" w:type="dxa"/>
                  <w:vAlign w:val="center"/>
                </w:tcPr>
                <w:p>
                  <w:pPr>
                    <w:jc w:val="center"/>
                    <w:rPr>
                      <w:szCs w:val="21"/>
                    </w:rPr>
                  </w:pPr>
                  <w:r>
                    <w:rPr>
                      <w:rFonts w:hint="eastAsia"/>
                      <w:szCs w:val="21"/>
                    </w:rPr>
                    <w:t>有害成分</w:t>
                  </w:r>
                </w:p>
              </w:tc>
              <w:tc>
                <w:tcPr>
                  <w:tcW w:w="689" w:type="dxa"/>
                  <w:vAlign w:val="center"/>
                </w:tcPr>
                <w:p>
                  <w:pPr>
                    <w:jc w:val="center"/>
                    <w:rPr>
                      <w:szCs w:val="21"/>
                    </w:rPr>
                  </w:pPr>
                  <w:r>
                    <w:rPr>
                      <w:rFonts w:hint="eastAsia"/>
                      <w:szCs w:val="21"/>
                    </w:rPr>
                    <w:t>产废周期</w:t>
                  </w:r>
                </w:p>
              </w:tc>
              <w:tc>
                <w:tcPr>
                  <w:tcW w:w="709" w:type="dxa"/>
                  <w:vAlign w:val="center"/>
                </w:tcPr>
                <w:p>
                  <w:pPr>
                    <w:jc w:val="center"/>
                    <w:rPr>
                      <w:szCs w:val="21"/>
                    </w:rPr>
                  </w:pPr>
                  <w:r>
                    <w:rPr>
                      <w:rFonts w:hint="eastAsia"/>
                      <w:szCs w:val="21"/>
                    </w:rPr>
                    <w:t>危险</w:t>
                  </w:r>
                  <w:r>
                    <w:rPr>
                      <w:szCs w:val="21"/>
                    </w:rPr>
                    <w:t>特性</w:t>
                  </w:r>
                </w:p>
              </w:tc>
              <w:tc>
                <w:tcPr>
                  <w:tcW w:w="1007" w:type="dxa"/>
                  <w:vAlign w:val="center"/>
                </w:tcPr>
                <w:p>
                  <w:pPr>
                    <w:jc w:val="center"/>
                    <w:rPr>
                      <w:szCs w:val="21"/>
                    </w:rPr>
                  </w:pPr>
                  <w:r>
                    <w:rPr>
                      <w:rFonts w:hint="eastAsia"/>
                      <w:szCs w:val="21"/>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781" w:type="dxa"/>
                  <w:vAlign w:val="center"/>
                </w:tcPr>
                <w:p>
                  <w:pPr>
                    <w:rPr>
                      <w:szCs w:val="21"/>
                    </w:rPr>
                  </w:pPr>
                  <w:r>
                    <w:rPr>
                      <w:rFonts w:hint="eastAsia"/>
                      <w:szCs w:val="21"/>
                    </w:rPr>
                    <w:t>废滤芯</w:t>
                  </w:r>
                </w:p>
                <w:p>
                  <w:pPr>
                    <w:rPr>
                      <w:szCs w:val="21"/>
                    </w:rPr>
                  </w:pPr>
                </w:p>
              </w:tc>
              <w:tc>
                <w:tcPr>
                  <w:tcW w:w="1029" w:type="dxa"/>
                  <w:vAlign w:val="center"/>
                </w:tcPr>
                <w:p>
                  <w:pPr>
                    <w:jc w:val="center"/>
                    <w:rPr>
                      <w:szCs w:val="21"/>
                    </w:rPr>
                  </w:pPr>
                  <w:r>
                    <w:rPr>
                      <w:rFonts w:hint="eastAsia"/>
                      <w:szCs w:val="21"/>
                    </w:rPr>
                    <w:t>HW12</w:t>
                  </w:r>
                </w:p>
                <w:p>
                  <w:pPr>
                    <w:jc w:val="center"/>
                    <w:rPr>
                      <w:szCs w:val="21"/>
                    </w:rPr>
                  </w:pPr>
                  <w:r>
                    <w:rPr>
                      <w:rFonts w:hint="eastAsia"/>
                      <w:szCs w:val="21"/>
                    </w:rPr>
                    <w:t>染料、涂</w:t>
                  </w:r>
                </w:p>
                <w:p>
                  <w:pPr>
                    <w:jc w:val="center"/>
                    <w:rPr>
                      <w:szCs w:val="21"/>
                    </w:rPr>
                  </w:pPr>
                  <w:r>
                    <w:rPr>
                      <w:rFonts w:hint="eastAsia"/>
                      <w:szCs w:val="21"/>
                    </w:rPr>
                    <w:t>料废物</w:t>
                  </w:r>
                </w:p>
              </w:tc>
              <w:tc>
                <w:tcPr>
                  <w:tcW w:w="956" w:type="dxa"/>
                  <w:vAlign w:val="center"/>
                </w:tcPr>
                <w:p>
                  <w:pPr>
                    <w:jc w:val="center"/>
                    <w:rPr>
                      <w:szCs w:val="21"/>
                    </w:rPr>
                  </w:pPr>
                  <w:r>
                    <w:rPr>
                      <w:szCs w:val="21"/>
                    </w:rPr>
                    <w:t>900-</w:t>
                  </w:r>
                  <w:r>
                    <w:rPr>
                      <w:rFonts w:hint="eastAsia"/>
                      <w:szCs w:val="21"/>
                    </w:rPr>
                    <w:t>252</w:t>
                  </w:r>
                  <w:r>
                    <w:rPr>
                      <w:szCs w:val="21"/>
                    </w:rPr>
                    <w:t>-</w:t>
                  </w:r>
                  <w:r>
                    <w:rPr>
                      <w:rFonts w:hint="eastAsia"/>
                      <w:szCs w:val="21"/>
                    </w:rPr>
                    <w:t>12</w:t>
                  </w:r>
                </w:p>
              </w:tc>
              <w:tc>
                <w:tcPr>
                  <w:tcW w:w="840" w:type="dxa"/>
                  <w:vAlign w:val="center"/>
                </w:tcPr>
                <w:p>
                  <w:pPr>
                    <w:jc w:val="center"/>
                    <w:rPr>
                      <w:szCs w:val="21"/>
                    </w:rPr>
                  </w:pPr>
                  <w:r>
                    <w:rPr>
                      <w:rFonts w:hint="eastAsia"/>
                      <w:szCs w:val="21"/>
                    </w:rPr>
                    <w:t>0.15</w:t>
                  </w:r>
                </w:p>
              </w:tc>
              <w:tc>
                <w:tcPr>
                  <w:tcW w:w="1013" w:type="dxa"/>
                  <w:vAlign w:val="center"/>
                </w:tcPr>
                <w:p>
                  <w:pPr>
                    <w:jc w:val="center"/>
                    <w:rPr>
                      <w:szCs w:val="21"/>
                    </w:rPr>
                  </w:pPr>
                  <w:r>
                    <w:rPr>
                      <w:rFonts w:hint="eastAsia"/>
                      <w:szCs w:val="21"/>
                    </w:rPr>
                    <w:t>设备更换</w:t>
                  </w:r>
                </w:p>
              </w:tc>
              <w:tc>
                <w:tcPr>
                  <w:tcW w:w="378" w:type="dxa"/>
                  <w:vAlign w:val="center"/>
                </w:tcPr>
                <w:p>
                  <w:pPr>
                    <w:jc w:val="center"/>
                    <w:rPr>
                      <w:szCs w:val="21"/>
                    </w:rPr>
                  </w:pPr>
                  <w:r>
                    <w:rPr>
                      <w:rFonts w:hint="eastAsia"/>
                      <w:szCs w:val="21"/>
                    </w:rPr>
                    <w:t>固态</w:t>
                  </w:r>
                </w:p>
              </w:tc>
              <w:tc>
                <w:tcPr>
                  <w:tcW w:w="867" w:type="dxa"/>
                  <w:vAlign w:val="center"/>
                </w:tcPr>
                <w:p>
                  <w:pPr>
                    <w:jc w:val="center"/>
                    <w:rPr>
                      <w:szCs w:val="21"/>
                    </w:rPr>
                  </w:pPr>
                  <w:r>
                    <w:rPr>
                      <w:rFonts w:hint="eastAsia"/>
                      <w:szCs w:val="21"/>
                    </w:rPr>
                    <w:t>漆渣、无纺布</w:t>
                  </w:r>
                </w:p>
              </w:tc>
              <w:tc>
                <w:tcPr>
                  <w:tcW w:w="732" w:type="dxa"/>
                  <w:vAlign w:val="center"/>
                </w:tcPr>
                <w:p>
                  <w:pPr>
                    <w:jc w:val="center"/>
                    <w:rPr>
                      <w:szCs w:val="21"/>
                    </w:rPr>
                  </w:pPr>
                  <w:r>
                    <w:rPr>
                      <w:rFonts w:hint="eastAsia"/>
                      <w:szCs w:val="21"/>
                    </w:rPr>
                    <w:t>漆渣</w:t>
                  </w:r>
                </w:p>
              </w:tc>
              <w:tc>
                <w:tcPr>
                  <w:tcW w:w="689" w:type="dxa"/>
                  <w:vAlign w:val="center"/>
                </w:tcPr>
                <w:p>
                  <w:pPr>
                    <w:jc w:val="center"/>
                    <w:rPr>
                      <w:szCs w:val="21"/>
                    </w:rPr>
                  </w:pPr>
                  <w:r>
                    <w:rPr>
                      <w:rFonts w:hint="eastAsia"/>
                      <w:szCs w:val="21"/>
                    </w:rPr>
                    <w:t>4个月</w:t>
                  </w:r>
                </w:p>
              </w:tc>
              <w:tc>
                <w:tcPr>
                  <w:tcW w:w="709" w:type="dxa"/>
                  <w:vAlign w:val="center"/>
                </w:tcPr>
                <w:p>
                  <w:pPr>
                    <w:jc w:val="center"/>
                    <w:rPr>
                      <w:szCs w:val="21"/>
                    </w:rPr>
                  </w:pPr>
                  <w:r>
                    <w:rPr>
                      <w:szCs w:val="21"/>
                    </w:rPr>
                    <w:t>T</w:t>
                  </w:r>
                  <w:r>
                    <w:rPr>
                      <w:rFonts w:hint="eastAsia"/>
                      <w:szCs w:val="21"/>
                    </w:rPr>
                    <w:t>，</w:t>
                  </w:r>
                  <w:r>
                    <w:rPr>
                      <w:szCs w:val="21"/>
                    </w:rPr>
                    <w:t>I</w:t>
                  </w:r>
                </w:p>
              </w:tc>
              <w:tc>
                <w:tcPr>
                  <w:tcW w:w="1007" w:type="dxa"/>
                  <w:vAlign w:val="center"/>
                </w:tcPr>
                <w:p>
                  <w:pPr>
                    <w:jc w:val="center"/>
                    <w:rPr>
                      <w:szCs w:val="21"/>
                    </w:rPr>
                  </w:pPr>
                  <w:r>
                    <w:rPr>
                      <w:rFonts w:hint="eastAsia"/>
                      <w:szCs w:val="21"/>
                    </w:rPr>
                    <w:t>暂存于危废间定期交有资质单位处理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781" w:type="dxa"/>
                  <w:vAlign w:val="center"/>
                </w:tcPr>
                <w:p>
                  <w:pPr>
                    <w:jc w:val="center"/>
                    <w:rPr>
                      <w:szCs w:val="21"/>
                    </w:rPr>
                  </w:pPr>
                  <w:r>
                    <w:rPr>
                      <w:rFonts w:hint="eastAsia"/>
                      <w:szCs w:val="21"/>
                    </w:rPr>
                    <w:t>废油漆桶</w:t>
                  </w:r>
                </w:p>
              </w:tc>
              <w:tc>
                <w:tcPr>
                  <w:tcW w:w="1029" w:type="dxa"/>
                  <w:vAlign w:val="center"/>
                </w:tcPr>
                <w:p>
                  <w:pPr>
                    <w:jc w:val="center"/>
                    <w:rPr>
                      <w:szCs w:val="21"/>
                    </w:rPr>
                  </w:pPr>
                  <w:r>
                    <w:rPr>
                      <w:rFonts w:hint="eastAsia"/>
                      <w:szCs w:val="21"/>
                    </w:rPr>
                    <w:t>HW12</w:t>
                  </w:r>
                </w:p>
                <w:p>
                  <w:pPr>
                    <w:jc w:val="center"/>
                    <w:rPr>
                      <w:szCs w:val="21"/>
                    </w:rPr>
                  </w:pPr>
                  <w:r>
                    <w:rPr>
                      <w:rFonts w:hint="eastAsia"/>
                      <w:szCs w:val="21"/>
                    </w:rPr>
                    <w:t>染料、涂</w:t>
                  </w:r>
                </w:p>
                <w:p>
                  <w:pPr>
                    <w:jc w:val="center"/>
                    <w:rPr>
                      <w:szCs w:val="21"/>
                    </w:rPr>
                  </w:pPr>
                  <w:r>
                    <w:rPr>
                      <w:rFonts w:hint="eastAsia"/>
                      <w:szCs w:val="21"/>
                    </w:rPr>
                    <w:t>料废物</w:t>
                  </w:r>
                </w:p>
              </w:tc>
              <w:tc>
                <w:tcPr>
                  <w:tcW w:w="956" w:type="dxa"/>
                  <w:vAlign w:val="center"/>
                </w:tcPr>
                <w:p>
                  <w:pPr>
                    <w:jc w:val="center"/>
                    <w:rPr>
                      <w:szCs w:val="21"/>
                    </w:rPr>
                  </w:pPr>
                  <w:r>
                    <w:rPr>
                      <w:szCs w:val="21"/>
                    </w:rPr>
                    <w:t>900-</w:t>
                  </w:r>
                  <w:r>
                    <w:rPr>
                      <w:rFonts w:hint="eastAsia"/>
                      <w:szCs w:val="21"/>
                    </w:rPr>
                    <w:t>252</w:t>
                  </w:r>
                  <w:r>
                    <w:rPr>
                      <w:szCs w:val="21"/>
                    </w:rPr>
                    <w:t>-</w:t>
                  </w:r>
                  <w:r>
                    <w:rPr>
                      <w:rFonts w:hint="eastAsia"/>
                      <w:szCs w:val="21"/>
                    </w:rPr>
                    <w:t>12</w:t>
                  </w:r>
                </w:p>
              </w:tc>
              <w:tc>
                <w:tcPr>
                  <w:tcW w:w="840" w:type="dxa"/>
                  <w:vAlign w:val="center"/>
                </w:tcPr>
                <w:p>
                  <w:pPr>
                    <w:jc w:val="center"/>
                    <w:rPr>
                      <w:szCs w:val="21"/>
                    </w:rPr>
                  </w:pPr>
                  <w:r>
                    <w:rPr>
                      <w:rFonts w:hint="eastAsia"/>
                      <w:szCs w:val="21"/>
                    </w:rPr>
                    <w:t>0.26</w:t>
                  </w:r>
                </w:p>
              </w:tc>
              <w:tc>
                <w:tcPr>
                  <w:tcW w:w="1013" w:type="dxa"/>
                  <w:vAlign w:val="center"/>
                </w:tcPr>
                <w:p>
                  <w:pPr>
                    <w:jc w:val="center"/>
                    <w:rPr>
                      <w:szCs w:val="21"/>
                    </w:rPr>
                  </w:pPr>
                  <w:r>
                    <w:rPr>
                      <w:rFonts w:hint="eastAsia"/>
                      <w:szCs w:val="21"/>
                    </w:rPr>
                    <w:t>使用过程</w:t>
                  </w:r>
                </w:p>
              </w:tc>
              <w:tc>
                <w:tcPr>
                  <w:tcW w:w="378" w:type="dxa"/>
                  <w:vAlign w:val="center"/>
                </w:tcPr>
                <w:p>
                  <w:pPr>
                    <w:jc w:val="center"/>
                    <w:rPr>
                      <w:szCs w:val="21"/>
                    </w:rPr>
                  </w:pPr>
                  <w:r>
                    <w:rPr>
                      <w:rFonts w:hint="eastAsia"/>
                      <w:szCs w:val="21"/>
                    </w:rPr>
                    <w:t>固态</w:t>
                  </w:r>
                </w:p>
              </w:tc>
              <w:tc>
                <w:tcPr>
                  <w:tcW w:w="867" w:type="dxa"/>
                  <w:vAlign w:val="center"/>
                </w:tcPr>
                <w:p>
                  <w:pPr>
                    <w:jc w:val="center"/>
                    <w:rPr>
                      <w:szCs w:val="21"/>
                    </w:rPr>
                  </w:pPr>
                  <w:r>
                    <w:rPr>
                      <w:rFonts w:hint="eastAsia"/>
                      <w:szCs w:val="21"/>
                    </w:rPr>
                    <w:t>漆渣</w:t>
                  </w:r>
                </w:p>
              </w:tc>
              <w:tc>
                <w:tcPr>
                  <w:tcW w:w="732" w:type="dxa"/>
                  <w:vAlign w:val="center"/>
                </w:tcPr>
                <w:p>
                  <w:pPr>
                    <w:jc w:val="center"/>
                    <w:rPr>
                      <w:szCs w:val="21"/>
                    </w:rPr>
                  </w:pPr>
                  <w:r>
                    <w:rPr>
                      <w:rFonts w:hint="eastAsia"/>
                      <w:szCs w:val="21"/>
                    </w:rPr>
                    <w:t>漆渣</w:t>
                  </w:r>
                </w:p>
              </w:tc>
              <w:tc>
                <w:tcPr>
                  <w:tcW w:w="689" w:type="dxa"/>
                  <w:vAlign w:val="center"/>
                </w:tcPr>
                <w:p>
                  <w:pPr>
                    <w:jc w:val="center"/>
                    <w:rPr>
                      <w:szCs w:val="21"/>
                    </w:rPr>
                  </w:pPr>
                  <w:r>
                    <w:rPr>
                      <w:rFonts w:hint="eastAsia"/>
                      <w:szCs w:val="21"/>
                    </w:rPr>
                    <w:t>1年</w:t>
                  </w:r>
                </w:p>
              </w:tc>
              <w:tc>
                <w:tcPr>
                  <w:tcW w:w="709" w:type="dxa"/>
                  <w:vAlign w:val="center"/>
                </w:tcPr>
                <w:p>
                  <w:pPr>
                    <w:jc w:val="center"/>
                    <w:rPr>
                      <w:szCs w:val="21"/>
                    </w:rPr>
                  </w:pPr>
                  <w:r>
                    <w:rPr>
                      <w:szCs w:val="21"/>
                    </w:rPr>
                    <w:t>T</w:t>
                  </w:r>
                  <w:r>
                    <w:rPr>
                      <w:rFonts w:hint="eastAsia"/>
                      <w:szCs w:val="21"/>
                    </w:rPr>
                    <w:t>，</w:t>
                  </w:r>
                  <w:r>
                    <w:rPr>
                      <w:szCs w:val="21"/>
                    </w:rPr>
                    <w:t>I</w:t>
                  </w:r>
                </w:p>
              </w:tc>
              <w:tc>
                <w:tcPr>
                  <w:tcW w:w="1007" w:type="dxa"/>
                  <w:vAlign w:val="center"/>
                </w:tcPr>
                <w:p>
                  <w:pPr>
                    <w:jc w:val="center"/>
                    <w:rPr>
                      <w:szCs w:val="21"/>
                    </w:rPr>
                  </w:pPr>
                  <w:r>
                    <w:rPr>
                      <w:rFonts w:hint="eastAsia"/>
                      <w:szCs w:val="21"/>
                    </w:rPr>
                    <w:t>暂存于危废间定期交有资质单位处理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781" w:type="dxa"/>
                  <w:vAlign w:val="center"/>
                </w:tcPr>
                <w:p>
                  <w:pPr>
                    <w:jc w:val="center"/>
                    <w:rPr>
                      <w:szCs w:val="21"/>
                    </w:rPr>
                  </w:pPr>
                  <w:r>
                    <w:rPr>
                      <w:rFonts w:hint="eastAsia"/>
                      <w:szCs w:val="21"/>
                    </w:rPr>
                    <w:t>废机油</w:t>
                  </w:r>
                </w:p>
              </w:tc>
              <w:tc>
                <w:tcPr>
                  <w:tcW w:w="1029" w:type="dxa"/>
                  <w:vAlign w:val="center"/>
                </w:tcPr>
                <w:p>
                  <w:pPr>
                    <w:jc w:val="center"/>
                    <w:rPr>
                      <w:szCs w:val="21"/>
                    </w:rPr>
                  </w:pPr>
                  <w:r>
                    <w:rPr>
                      <w:rFonts w:hint="eastAsia"/>
                      <w:szCs w:val="21"/>
                    </w:rPr>
                    <w:t>HW08</w:t>
                  </w:r>
                </w:p>
                <w:p>
                  <w:pPr>
                    <w:jc w:val="center"/>
                    <w:rPr>
                      <w:szCs w:val="21"/>
                    </w:rPr>
                  </w:pPr>
                  <w:r>
                    <w:rPr>
                      <w:rFonts w:hint="eastAsia"/>
                      <w:szCs w:val="21"/>
                    </w:rPr>
                    <w:t>废矿物油</w:t>
                  </w:r>
                </w:p>
                <w:p>
                  <w:pPr>
                    <w:jc w:val="center"/>
                    <w:rPr>
                      <w:szCs w:val="21"/>
                    </w:rPr>
                  </w:pPr>
                  <w:r>
                    <w:rPr>
                      <w:rFonts w:hint="eastAsia"/>
                      <w:szCs w:val="21"/>
                    </w:rPr>
                    <w:t>与含矿物</w:t>
                  </w:r>
                </w:p>
                <w:p>
                  <w:pPr>
                    <w:jc w:val="center"/>
                    <w:rPr>
                      <w:szCs w:val="21"/>
                    </w:rPr>
                  </w:pPr>
                  <w:r>
                    <w:rPr>
                      <w:rFonts w:hint="eastAsia"/>
                      <w:szCs w:val="21"/>
                    </w:rPr>
                    <w:t>油废物</w:t>
                  </w:r>
                </w:p>
              </w:tc>
              <w:tc>
                <w:tcPr>
                  <w:tcW w:w="956" w:type="dxa"/>
                  <w:vAlign w:val="center"/>
                </w:tcPr>
                <w:p>
                  <w:pPr>
                    <w:jc w:val="center"/>
                    <w:rPr>
                      <w:szCs w:val="21"/>
                    </w:rPr>
                  </w:pPr>
                  <w:r>
                    <w:rPr>
                      <w:rFonts w:hint="eastAsia"/>
                      <w:szCs w:val="21"/>
                    </w:rPr>
                    <w:t>900-249-08</w:t>
                  </w:r>
                </w:p>
              </w:tc>
              <w:tc>
                <w:tcPr>
                  <w:tcW w:w="840" w:type="dxa"/>
                  <w:vAlign w:val="center"/>
                </w:tcPr>
                <w:p>
                  <w:pPr>
                    <w:jc w:val="center"/>
                    <w:rPr>
                      <w:szCs w:val="21"/>
                    </w:rPr>
                  </w:pPr>
                  <w:r>
                    <w:rPr>
                      <w:rFonts w:hint="eastAsia"/>
                      <w:szCs w:val="21"/>
                    </w:rPr>
                    <w:t>0.05</w:t>
                  </w:r>
                </w:p>
              </w:tc>
              <w:tc>
                <w:tcPr>
                  <w:tcW w:w="1013" w:type="dxa"/>
                  <w:vAlign w:val="center"/>
                </w:tcPr>
                <w:p>
                  <w:pPr>
                    <w:jc w:val="center"/>
                    <w:rPr>
                      <w:szCs w:val="21"/>
                    </w:rPr>
                  </w:pPr>
                  <w:r>
                    <w:rPr>
                      <w:rFonts w:hint="eastAsia"/>
                      <w:szCs w:val="21"/>
                    </w:rPr>
                    <w:t>使用过程</w:t>
                  </w:r>
                </w:p>
              </w:tc>
              <w:tc>
                <w:tcPr>
                  <w:tcW w:w="378" w:type="dxa"/>
                  <w:vAlign w:val="center"/>
                </w:tcPr>
                <w:p>
                  <w:pPr>
                    <w:jc w:val="center"/>
                    <w:rPr>
                      <w:szCs w:val="21"/>
                    </w:rPr>
                  </w:pPr>
                  <w:r>
                    <w:rPr>
                      <w:rFonts w:hint="eastAsia"/>
                      <w:szCs w:val="21"/>
                    </w:rPr>
                    <w:t>液态</w:t>
                  </w:r>
                </w:p>
              </w:tc>
              <w:tc>
                <w:tcPr>
                  <w:tcW w:w="867" w:type="dxa"/>
                  <w:vAlign w:val="center"/>
                </w:tcPr>
                <w:p>
                  <w:pPr>
                    <w:jc w:val="center"/>
                    <w:rPr>
                      <w:szCs w:val="21"/>
                    </w:rPr>
                  </w:pPr>
                  <w:r>
                    <w:rPr>
                      <w:rFonts w:hint="eastAsia"/>
                      <w:szCs w:val="21"/>
                    </w:rPr>
                    <w:t>废机油</w:t>
                  </w:r>
                </w:p>
              </w:tc>
              <w:tc>
                <w:tcPr>
                  <w:tcW w:w="732" w:type="dxa"/>
                  <w:vAlign w:val="center"/>
                </w:tcPr>
                <w:p>
                  <w:pPr>
                    <w:jc w:val="center"/>
                    <w:rPr>
                      <w:szCs w:val="21"/>
                    </w:rPr>
                  </w:pPr>
                  <w:r>
                    <w:rPr>
                      <w:rFonts w:hint="eastAsia"/>
                      <w:szCs w:val="21"/>
                    </w:rPr>
                    <w:t>废机油</w:t>
                  </w:r>
                </w:p>
              </w:tc>
              <w:tc>
                <w:tcPr>
                  <w:tcW w:w="689" w:type="dxa"/>
                  <w:vAlign w:val="center"/>
                </w:tcPr>
                <w:p>
                  <w:pPr>
                    <w:jc w:val="center"/>
                    <w:rPr>
                      <w:szCs w:val="21"/>
                    </w:rPr>
                  </w:pPr>
                  <w:r>
                    <w:rPr>
                      <w:rFonts w:hint="eastAsia"/>
                      <w:szCs w:val="21"/>
                    </w:rPr>
                    <w:t>1年</w:t>
                  </w:r>
                </w:p>
              </w:tc>
              <w:tc>
                <w:tcPr>
                  <w:tcW w:w="709" w:type="dxa"/>
                  <w:vAlign w:val="center"/>
                </w:tcPr>
                <w:p>
                  <w:pPr>
                    <w:jc w:val="center"/>
                    <w:rPr>
                      <w:szCs w:val="21"/>
                    </w:rPr>
                  </w:pPr>
                  <w:r>
                    <w:rPr>
                      <w:szCs w:val="21"/>
                    </w:rPr>
                    <w:t>T</w:t>
                  </w:r>
                  <w:r>
                    <w:rPr>
                      <w:rFonts w:hint="eastAsia"/>
                      <w:szCs w:val="21"/>
                    </w:rPr>
                    <w:t>，</w:t>
                  </w:r>
                  <w:r>
                    <w:rPr>
                      <w:szCs w:val="21"/>
                    </w:rPr>
                    <w:t>I</w:t>
                  </w:r>
                </w:p>
              </w:tc>
              <w:tc>
                <w:tcPr>
                  <w:tcW w:w="1007" w:type="dxa"/>
                  <w:vAlign w:val="center"/>
                </w:tcPr>
                <w:p>
                  <w:pPr>
                    <w:jc w:val="center"/>
                    <w:rPr>
                      <w:szCs w:val="21"/>
                    </w:rPr>
                  </w:pPr>
                  <w:r>
                    <w:rPr>
                      <w:rFonts w:hint="eastAsia"/>
                      <w:szCs w:val="21"/>
                    </w:rPr>
                    <w:t>暂存于危废间定期交有资质单位处理</w:t>
                  </w:r>
                </w:p>
              </w:tc>
            </w:tr>
          </w:tbl>
          <w:p>
            <w:pPr>
              <w:spacing w:line="500" w:lineRule="exact"/>
              <w:ind w:firstLine="480" w:firstLineChars="200"/>
              <w:rPr>
                <w:sz w:val="24"/>
              </w:rPr>
            </w:pPr>
            <w:r>
              <w:rPr>
                <w:rFonts w:hint="eastAsia"/>
                <w:sz w:val="24"/>
              </w:rPr>
              <w:t>①危险废物贮存场所（设施）环境影响分析</w:t>
            </w:r>
          </w:p>
          <w:p>
            <w:pPr>
              <w:spacing w:line="500" w:lineRule="exact"/>
              <w:ind w:firstLine="480" w:firstLineChars="200"/>
              <w:rPr>
                <w:sz w:val="24"/>
              </w:rPr>
            </w:pPr>
            <w:r>
              <w:rPr>
                <w:sz w:val="24"/>
              </w:rPr>
              <w:t>建设单位</w:t>
            </w:r>
            <w:r>
              <w:rPr>
                <w:rFonts w:hint="eastAsia"/>
                <w:sz w:val="24"/>
              </w:rPr>
              <w:t>在</w:t>
            </w:r>
            <w:r>
              <w:rPr>
                <w:sz w:val="24"/>
              </w:rPr>
              <w:t>项目</w:t>
            </w:r>
            <w:r>
              <w:rPr>
                <w:rFonts w:hint="eastAsia"/>
                <w:sz w:val="24"/>
              </w:rPr>
              <w:t>生产车间内设置</w:t>
            </w:r>
            <w:r>
              <w:rPr>
                <w:sz w:val="24"/>
              </w:rPr>
              <w:t>专门的危废暂存间，产生的危险废物均放置于危废暂存间，贮存时应按照</w:t>
            </w:r>
            <w:r>
              <w:rPr>
                <w:bCs/>
                <w:sz w:val="24"/>
              </w:rPr>
              <w:t>《危险废物贮存污染控制标准》（GB18597-2001）</w:t>
            </w:r>
            <w:r>
              <w:rPr>
                <w:rFonts w:hint="eastAsia"/>
                <w:bCs/>
                <w:sz w:val="24"/>
              </w:rPr>
              <w:t>及其</w:t>
            </w:r>
            <w:r>
              <w:rPr>
                <w:bCs/>
                <w:sz w:val="24"/>
              </w:rPr>
              <w:t>修改单</w:t>
            </w:r>
            <w:r>
              <w:rPr>
                <w:sz w:val="24"/>
              </w:rPr>
              <w:t>的要求执行</w:t>
            </w:r>
            <w:r>
              <w:rPr>
                <w:rFonts w:hint="eastAsia"/>
                <w:sz w:val="24"/>
              </w:rPr>
              <w:t>。</w:t>
            </w:r>
            <w:r>
              <w:rPr>
                <w:sz w:val="24"/>
              </w:rPr>
              <w:t>危废</w:t>
            </w:r>
            <w:r>
              <w:rPr>
                <w:rFonts w:hint="eastAsia"/>
                <w:sz w:val="24"/>
              </w:rPr>
              <w:t>暂存间具备防风、防雨、防晒措施，暂存间地面进行防渗、耐腐蚀层，地面无裂隙，</w:t>
            </w:r>
            <w:r>
              <w:rPr>
                <w:sz w:val="24"/>
              </w:rPr>
              <w:t>设置明显的危废标志牌，</w:t>
            </w:r>
            <w:r>
              <w:rPr>
                <w:rFonts w:hint="eastAsia"/>
                <w:sz w:val="24"/>
              </w:rPr>
              <w:t>要求各类危废应用专用容器收集后放置于暂存间内，贮放期间危废暂存间封闭，贮放危废容器应及时加盖或</w:t>
            </w:r>
            <w:r>
              <w:rPr>
                <w:sz w:val="24"/>
              </w:rPr>
              <w:t>封闭</w:t>
            </w:r>
            <w:r>
              <w:rPr>
                <w:rFonts w:hint="eastAsia"/>
                <w:sz w:val="24"/>
              </w:rPr>
              <w:t>，因此危废贮放期间不会对环境空气、地表水、地下水、土壤以及环境敏感保护目标可能造成的影响</w:t>
            </w:r>
            <w:r>
              <w:rPr>
                <w:sz w:val="24"/>
              </w:rPr>
              <w:t>。</w:t>
            </w:r>
            <w:r>
              <w:rPr>
                <w:rFonts w:hint="eastAsia"/>
                <w:sz w:val="24"/>
              </w:rPr>
              <w:t>项目</w:t>
            </w:r>
            <w:r>
              <w:rPr>
                <w:sz w:val="24"/>
              </w:rPr>
              <w:t>危险</w:t>
            </w:r>
            <w:r>
              <w:rPr>
                <w:rFonts w:hint="eastAsia"/>
                <w:sz w:val="24"/>
              </w:rPr>
              <w:t>废物贮存场所（设施）</w:t>
            </w:r>
            <w:r>
              <w:rPr>
                <w:sz w:val="24"/>
              </w:rPr>
              <w:t>基本情况见表</w:t>
            </w:r>
            <w:r>
              <w:rPr>
                <w:rFonts w:hint="eastAsia"/>
                <w:sz w:val="24"/>
              </w:rPr>
              <w:t>29。</w:t>
            </w:r>
          </w:p>
          <w:p>
            <w:pPr>
              <w:spacing w:line="500" w:lineRule="exact"/>
              <w:jc w:val="center"/>
              <w:rPr>
                <w:b/>
                <w:szCs w:val="21"/>
              </w:rPr>
            </w:pPr>
          </w:p>
          <w:p>
            <w:pPr>
              <w:spacing w:line="500" w:lineRule="exact"/>
              <w:jc w:val="center"/>
              <w:rPr>
                <w:b/>
                <w:szCs w:val="21"/>
              </w:rPr>
            </w:pPr>
          </w:p>
          <w:p>
            <w:pPr>
              <w:spacing w:line="500" w:lineRule="exact"/>
              <w:jc w:val="center"/>
              <w:rPr>
                <w:b/>
                <w:szCs w:val="21"/>
              </w:rPr>
            </w:pPr>
          </w:p>
          <w:p>
            <w:pPr>
              <w:spacing w:line="500" w:lineRule="exact"/>
              <w:jc w:val="center"/>
              <w:rPr>
                <w:b/>
                <w:szCs w:val="21"/>
              </w:rPr>
            </w:pPr>
          </w:p>
          <w:p>
            <w:pPr>
              <w:spacing w:line="500" w:lineRule="exact"/>
              <w:jc w:val="center"/>
              <w:rPr>
                <w:b/>
                <w:szCs w:val="21"/>
              </w:rPr>
            </w:pPr>
            <w:r>
              <w:rPr>
                <w:b/>
                <w:szCs w:val="21"/>
              </w:rPr>
              <w:t>表</w:t>
            </w:r>
            <w:r>
              <w:rPr>
                <w:rFonts w:hint="eastAsia"/>
                <w:b/>
                <w:szCs w:val="21"/>
              </w:rPr>
              <w:t>29</w:t>
            </w:r>
            <w:r>
              <w:rPr>
                <w:b/>
                <w:szCs w:val="21"/>
              </w:rPr>
              <w:t xml:space="preserve">  </w:t>
            </w:r>
            <w:r>
              <w:rPr>
                <w:rFonts w:hint="eastAsia"/>
                <w:b/>
                <w:szCs w:val="21"/>
              </w:rPr>
              <w:t>项目</w:t>
            </w:r>
            <w:r>
              <w:rPr>
                <w:b/>
                <w:szCs w:val="21"/>
              </w:rPr>
              <w:t>危险</w:t>
            </w:r>
            <w:r>
              <w:rPr>
                <w:rFonts w:hint="eastAsia"/>
                <w:b/>
                <w:szCs w:val="21"/>
              </w:rPr>
              <w:t>废物贮存场所（设施）</w:t>
            </w:r>
            <w:r>
              <w:rPr>
                <w:b/>
                <w:szCs w:val="21"/>
              </w:rPr>
              <w:t>基本情况</w:t>
            </w:r>
          </w:p>
          <w:tbl>
            <w:tblPr>
              <w:tblStyle w:val="31"/>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054"/>
              <w:gridCol w:w="1253"/>
              <w:gridCol w:w="1306"/>
              <w:gridCol w:w="775"/>
              <w:gridCol w:w="774"/>
              <w:gridCol w:w="773"/>
              <w:gridCol w:w="775"/>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Align w:val="center"/>
                </w:tcPr>
                <w:p>
                  <w:pPr>
                    <w:jc w:val="center"/>
                    <w:rPr>
                      <w:szCs w:val="21"/>
                    </w:rPr>
                  </w:pPr>
                  <w:r>
                    <w:rPr>
                      <w:rFonts w:hint="eastAsia"/>
                      <w:szCs w:val="21"/>
                    </w:rPr>
                    <w:t>贮存场所（设施）</w:t>
                  </w:r>
                  <w:r>
                    <w:rPr>
                      <w:szCs w:val="21"/>
                    </w:rPr>
                    <w:t>名称</w:t>
                  </w:r>
                </w:p>
              </w:tc>
              <w:tc>
                <w:tcPr>
                  <w:tcW w:w="1054" w:type="dxa"/>
                  <w:vAlign w:val="center"/>
                </w:tcPr>
                <w:p>
                  <w:pPr>
                    <w:jc w:val="center"/>
                    <w:rPr>
                      <w:szCs w:val="21"/>
                    </w:rPr>
                  </w:pPr>
                  <w:r>
                    <w:rPr>
                      <w:rFonts w:hint="eastAsia"/>
                      <w:szCs w:val="21"/>
                    </w:rPr>
                    <w:t>危险</w:t>
                  </w:r>
                  <w:r>
                    <w:rPr>
                      <w:szCs w:val="21"/>
                    </w:rPr>
                    <w:t>废物名称</w:t>
                  </w:r>
                </w:p>
              </w:tc>
              <w:tc>
                <w:tcPr>
                  <w:tcW w:w="1253" w:type="dxa"/>
                  <w:vAlign w:val="center"/>
                </w:tcPr>
                <w:p>
                  <w:pPr>
                    <w:jc w:val="center"/>
                    <w:rPr>
                      <w:szCs w:val="21"/>
                    </w:rPr>
                  </w:pPr>
                  <w:r>
                    <w:rPr>
                      <w:rFonts w:hint="eastAsia"/>
                      <w:szCs w:val="21"/>
                    </w:rPr>
                    <w:t>危险废物</w:t>
                  </w:r>
                  <w:r>
                    <w:rPr>
                      <w:szCs w:val="21"/>
                    </w:rPr>
                    <w:t>类别</w:t>
                  </w:r>
                </w:p>
              </w:tc>
              <w:tc>
                <w:tcPr>
                  <w:tcW w:w="1306" w:type="dxa"/>
                  <w:vAlign w:val="center"/>
                </w:tcPr>
                <w:p>
                  <w:pPr>
                    <w:jc w:val="center"/>
                    <w:rPr>
                      <w:szCs w:val="21"/>
                    </w:rPr>
                  </w:pPr>
                  <w:r>
                    <w:rPr>
                      <w:rFonts w:hint="eastAsia"/>
                      <w:szCs w:val="21"/>
                    </w:rPr>
                    <w:t>危险废物代码</w:t>
                  </w:r>
                </w:p>
              </w:tc>
              <w:tc>
                <w:tcPr>
                  <w:tcW w:w="775" w:type="dxa"/>
                  <w:vAlign w:val="center"/>
                </w:tcPr>
                <w:p>
                  <w:pPr>
                    <w:jc w:val="center"/>
                    <w:rPr>
                      <w:szCs w:val="21"/>
                    </w:rPr>
                  </w:pPr>
                  <w:r>
                    <w:rPr>
                      <w:rFonts w:hint="eastAsia"/>
                      <w:szCs w:val="21"/>
                    </w:rPr>
                    <w:t>位置</w:t>
                  </w:r>
                </w:p>
              </w:tc>
              <w:tc>
                <w:tcPr>
                  <w:tcW w:w="774" w:type="dxa"/>
                  <w:vAlign w:val="center"/>
                </w:tcPr>
                <w:p>
                  <w:pPr>
                    <w:jc w:val="center"/>
                    <w:rPr>
                      <w:szCs w:val="21"/>
                    </w:rPr>
                  </w:pPr>
                  <w:r>
                    <w:rPr>
                      <w:rFonts w:hint="eastAsia"/>
                      <w:szCs w:val="21"/>
                    </w:rPr>
                    <w:t>占地面积</w:t>
                  </w:r>
                </w:p>
              </w:tc>
              <w:tc>
                <w:tcPr>
                  <w:tcW w:w="773" w:type="dxa"/>
                  <w:vAlign w:val="center"/>
                </w:tcPr>
                <w:p>
                  <w:pPr>
                    <w:jc w:val="center"/>
                    <w:rPr>
                      <w:szCs w:val="21"/>
                    </w:rPr>
                  </w:pPr>
                  <w:r>
                    <w:rPr>
                      <w:rFonts w:hint="eastAsia"/>
                      <w:szCs w:val="21"/>
                    </w:rPr>
                    <w:t>贮存方式</w:t>
                  </w:r>
                </w:p>
              </w:tc>
              <w:tc>
                <w:tcPr>
                  <w:tcW w:w="775" w:type="dxa"/>
                  <w:vAlign w:val="center"/>
                </w:tcPr>
                <w:p>
                  <w:pPr>
                    <w:jc w:val="center"/>
                    <w:rPr>
                      <w:szCs w:val="21"/>
                    </w:rPr>
                  </w:pPr>
                  <w:r>
                    <w:rPr>
                      <w:rFonts w:hint="eastAsia"/>
                      <w:szCs w:val="21"/>
                    </w:rPr>
                    <w:t>贮存能力</w:t>
                  </w:r>
                </w:p>
              </w:tc>
              <w:tc>
                <w:tcPr>
                  <w:tcW w:w="836" w:type="dxa"/>
                  <w:vAlign w:val="center"/>
                </w:tcPr>
                <w:p>
                  <w:pPr>
                    <w:jc w:val="center"/>
                    <w:rPr>
                      <w:szCs w:val="21"/>
                    </w:rPr>
                  </w:pPr>
                  <w:r>
                    <w:rPr>
                      <w:rFonts w:hint="eastAsia"/>
                      <w:szCs w:val="21"/>
                    </w:rP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restart"/>
                  <w:vAlign w:val="center"/>
                </w:tcPr>
                <w:p>
                  <w:pPr>
                    <w:jc w:val="center"/>
                    <w:rPr>
                      <w:szCs w:val="21"/>
                    </w:rPr>
                  </w:pPr>
                  <w:r>
                    <w:rPr>
                      <w:rFonts w:hint="eastAsia"/>
                      <w:szCs w:val="21"/>
                    </w:rPr>
                    <w:t>危废暂存间</w:t>
                  </w:r>
                </w:p>
              </w:tc>
              <w:tc>
                <w:tcPr>
                  <w:tcW w:w="1054" w:type="dxa"/>
                  <w:vAlign w:val="center"/>
                </w:tcPr>
                <w:p>
                  <w:pPr>
                    <w:rPr>
                      <w:szCs w:val="21"/>
                    </w:rPr>
                  </w:pPr>
                  <w:r>
                    <w:rPr>
                      <w:rFonts w:hint="eastAsia"/>
                      <w:szCs w:val="21"/>
                    </w:rPr>
                    <w:t>废滤芯</w:t>
                  </w:r>
                </w:p>
                <w:p>
                  <w:pPr>
                    <w:rPr>
                      <w:szCs w:val="21"/>
                    </w:rPr>
                  </w:pPr>
                </w:p>
              </w:tc>
              <w:tc>
                <w:tcPr>
                  <w:tcW w:w="1253" w:type="dxa"/>
                  <w:vAlign w:val="center"/>
                </w:tcPr>
                <w:p>
                  <w:pPr>
                    <w:jc w:val="center"/>
                    <w:rPr>
                      <w:szCs w:val="21"/>
                    </w:rPr>
                  </w:pPr>
                  <w:r>
                    <w:rPr>
                      <w:rFonts w:hint="eastAsia"/>
                      <w:szCs w:val="21"/>
                    </w:rPr>
                    <w:t>HW12</w:t>
                  </w:r>
                </w:p>
                <w:p>
                  <w:pPr>
                    <w:jc w:val="center"/>
                    <w:rPr>
                      <w:szCs w:val="21"/>
                    </w:rPr>
                  </w:pPr>
                  <w:r>
                    <w:rPr>
                      <w:rFonts w:hint="eastAsia"/>
                      <w:szCs w:val="21"/>
                    </w:rPr>
                    <w:t>染料、涂</w:t>
                  </w:r>
                </w:p>
                <w:p>
                  <w:pPr>
                    <w:jc w:val="center"/>
                    <w:rPr>
                      <w:szCs w:val="21"/>
                    </w:rPr>
                  </w:pPr>
                  <w:r>
                    <w:rPr>
                      <w:rFonts w:hint="eastAsia"/>
                      <w:szCs w:val="21"/>
                    </w:rPr>
                    <w:t>料废物</w:t>
                  </w:r>
                </w:p>
              </w:tc>
              <w:tc>
                <w:tcPr>
                  <w:tcW w:w="1306" w:type="dxa"/>
                  <w:vAlign w:val="center"/>
                </w:tcPr>
                <w:p>
                  <w:pPr>
                    <w:jc w:val="center"/>
                    <w:rPr>
                      <w:szCs w:val="21"/>
                    </w:rPr>
                  </w:pPr>
                  <w:r>
                    <w:rPr>
                      <w:szCs w:val="21"/>
                    </w:rPr>
                    <w:t>900-</w:t>
                  </w:r>
                  <w:r>
                    <w:rPr>
                      <w:rFonts w:hint="eastAsia"/>
                      <w:szCs w:val="21"/>
                    </w:rPr>
                    <w:t>252</w:t>
                  </w:r>
                  <w:r>
                    <w:rPr>
                      <w:szCs w:val="21"/>
                    </w:rPr>
                    <w:t>-</w:t>
                  </w:r>
                  <w:r>
                    <w:rPr>
                      <w:rFonts w:hint="eastAsia"/>
                      <w:szCs w:val="21"/>
                    </w:rPr>
                    <w:t>12</w:t>
                  </w:r>
                </w:p>
              </w:tc>
              <w:tc>
                <w:tcPr>
                  <w:tcW w:w="775" w:type="dxa"/>
                  <w:vAlign w:val="center"/>
                </w:tcPr>
                <w:p>
                  <w:pPr>
                    <w:jc w:val="center"/>
                    <w:rPr>
                      <w:szCs w:val="21"/>
                    </w:rPr>
                  </w:pPr>
                  <w:r>
                    <w:rPr>
                      <w:rFonts w:hint="eastAsia"/>
                      <w:szCs w:val="21"/>
                    </w:rPr>
                    <w:t>厂区</w:t>
                  </w:r>
                </w:p>
              </w:tc>
              <w:tc>
                <w:tcPr>
                  <w:tcW w:w="774" w:type="dxa"/>
                  <w:vAlign w:val="center"/>
                </w:tcPr>
                <w:p>
                  <w:pPr>
                    <w:jc w:val="center"/>
                    <w:rPr>
                      <w:szCs w:val="21"/>
                    </w:rPr>
                  </w:pPr>
                  <w:r>
                    <w:rPr>
                      <w:rFonts w:hint="eastAsia"/>
                      <w:szCs w:val="21"/>
                    </w:rPr>
                    <w:t>6</w:t>
                  </w:r>
                  <w:r>
                    <w:rPr>
                      <w:szCs w:val="21"/>
                    </w:rPr>
                    <w:t>m</w:t>
                  </w:r>
                  <w:r>
                    <w:rPr>
                      <w:szCs w:val="21"/>
                      <w:vertAlign w:val="superscript"/>
                    </w:rPr>
                    <w:t>2</w:t>
                  </w:r>
                </w:p>
              </w:tc>
              <w:tc>
                <w:tcPr>
                  <w:tcW w:w="773" w:type="dxa"/>
                  <w:vAlign w:val="center"/>
                </w:tcPr>
                <w:p>
                  <w:pPr>
                    <w:jc w:val="center"/>
                    <w:rPr>
                      <w:szCs w:val="21"/>
                    </w:rPr>
                  </w:pPr>
                  <w:r>
                    <w:rPr>
                      <w:rFonts w:hint="eastAsia"/>
                      <w:szCs w:val="21"/>
                    </w:rPr>
                    <w:t>袋装</w:t>
                  </w:r>
                </w:p>
              </w:tc>
              <w:tc>
                <w:tcPr>
                  <w:tcW w:w="775" w:type="dxa"/>
                  <w:vAlign w:val="center"/>
                </w:tcPr>
                <w:p>
                  <w:pPr>
                    <w:jc w:val="center"/>
                    <w:rPr>
                      <w:szCs w:val="21"/>
                    </w:rPr>
                  </w:pPr>
                  <w:r>
                    <w:rPr>
                      <w:rFonts w:hint="eastAsia"/>
                      <w:szCs w:val="21"/>
                    </w:rPr>
                    <w:t>0.5t</w:t>
                  </w:r>
                </w:p>
              </w:tc>
              <w:tc>
                <w:tcPr>
                  <w:tcW w:w="836" w:type="dxa"/>
                  <w:vAlign w:val="center"/>
                </w:tcPr>
                <w:p>
                  <w:pPr>
                    <w:jc w:val="center"/>
                    <w:rPr>
                      <w:szCs w:val="21"/>
                    </w:rPr>
                  </w:pPr>
                  <w:r>
                    <w:rPr>
                      <w:rFonts w:hint="eastAsia"/>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pPr>
                    <w:jc w:val="center"/>
                    <w:rPr>
                      <w:szCs w:val="21"/>
                    </w:rPr>
                  </w:pPr>
                </w:p>
              </w:tc>
              <w:tc>
                <w:tcPr>
                  <w:tcW w:w="1054" w:type="dxa"/>
                  <w:vAlign w:val="center"/>
                </w:tcPr>
                <w:p>
                  <w:pPr>
                    <w:jc w:val="center"/>
                    <w:rPr>
                      <w:szCs w:val="21"/>
                    </w:rPr>
                  </w:pPr>
                  <w:r>
                    <w:rPr>
                      <w:rFonts w:hint="eastAsia"/>
                      <w:szCs w:val="21"/>
                    </w:rPr>
                    <w:t>废油漆桶</w:t>
                  </w:r>
                </w:p>
              </w:tc>
              <w:tc>
                <w:tcPr>
                  <w:tcW w:w="1253" w:type="dxa"/>
                  <w:vAlign w:val="center"/>
                </w:tcPr>
                <w:p>
                  <w:pPr>
                    <w:jc w:val="center"/>
                    <w:rPr>
                      <w:szCs w:val="21"/>
                    </w:rPr>
                  </w:pPr>
                  <w:r>
                    <w:rPr>
                      <w:rFonts w:hint="eastAsia"/>
                      <w:szCs w:val="21"/>
                    </w:rPr>
                    <w:t>HW12</w:t>
                  </w:r>
                </w:p>
                <w:p>
                  <w:pPr>
                    <w:jc w:val="center"/>
                    <w:rPr>
                      <w:szCs w:val="21"/>
                    </w:rPr>
                  </w:pPr>
                  <w:r>
                    <w:rPr>
                      <w:rFonts w:hint="eastAsia"/>
                      <w:szCs w:val="21"/>
                    </w:rPr>
                    <w:t>染料、涂</w:t>
                  </w:r>
                </w:p>
                <w:p>
                  <w:pPr>
                    <w:jc w:val="center"/>
                    <w:rPr>
                      <w:szCs w:val="21"/>
                    </w:rPr>
                  </w:pPr>
                  <w:r>
                    <w:rPr>
                      <w:rFonts w:hint="eastAsia"/>
                      <w:szCs w:val="21"/>
                    </w:rPr>
                    <w:t>料废物</w:t>
                  </w:r>
                </w:p>
              </w:tc>
              <w:tc>
                <w:tcPr>
                  <w:tcW w:w="1306" w:type="dxa"/>
                  <w:vAlign w:val="center"/>
                </w:tcPr>
                <w:p>
                  <w:pPr>
                    <w:jc w:val="center"/>
                    <w:rPr>
                      <w:szCs w:val="21"/>
                    </w:rPr>
                  </w:pPr>
                  <w:r>
                    <w:rPr>
                      <w:szCs w:val="21"/>
                    </w:rPr>
                    <w:t>900-</w:t>
                  </w:r>
                  <w:r>
                    <w:rPr>
                      <w:rFonts w:hint="eastAsia"/>
                      <w:szCs w:val="21"/>
                    </w:rPr>
                    <w:t>252</w:t>
                  </w:r>
                  <w:r>
                    <w:rPr>
                      <w:szCs w:val="21"/>
                    </w:rPr>
                    <w:t>-</w:t>
                  </w:r>
                  <w:r>
                    <w:rPr>
                      <w:rFonts w:hint="eastAsia"/>
                      <w:szCs w:val="21"/>
                    </w:rPr>
                    <w:t>12</w:t>
                  </w:r>
                </w:p>
              </w:tc>
              <w:tc>
                <w:tcPr>
                  <w:tcW w:w="775" w:type="dxa"/>
                  <w:vAlign w:val="center"/>
                </w:tcPr>
                <w:p>
                  <w:pPr>
                    <w:jc w:val="center"/>
                    <w:rPr>
                      <w:szCs w:val="21"/>
                    </w:rPr>
                  </w:pPr>
                  <w:r>
                    <w:rPr>
                      <w:rFonts w:hint="eastAsia"/>
                      <w:szCs w:val="21"/>
                    </w:rPr>
                    <w:t>厂区</w:t>
                  </w:r>
                </w:p>
              </w:tc>
              <w:tc>
                <w:tcPr>
                  <w:tcW w:w="774" w:type="dxa"/>
                  <w:vAlign w:val="center"/>
                </w:tcPr>
                <w:p>
                  <w:pPr>
                    <w:jc w:val="center"/>
                    <w:rPr>
                      <w:szCs w:val="21"/>
                    </w:rPr>
                  </w:pPr>
                  <w:r>
                    <w:rPr>
                      <w:rFonts w:hint="eastAsia"/>
                      <w:szCs w:val="21"/>
                    </w:rPr>
                    <w:t>6</w:t>
                  </w:r>
                  <w:r>
                    <w:rPr>
                      <w:szCs w:val="21"/>
                    </w:rPr>
                    <w:t>m</w:t>
                  </w:r>
                  <w:r>
                    <w:rPr>
                      <w:szCs w:val="21"/>
                      <w:vertAlign w:val="superscript"/>
                    </w:rPr>
                    <w:t>2</w:t>
                  </w:r>
                </w:p>
              </w:tc>
              <w:tc>
                <w:tcPr>
                  <w:tcW w:w="773" w:type="dxa"/>
                  <w:vAlign w:val="center"/>
                </w:tcPr>
                <w:p>
                  <w:pPr>
                    <w:jc w:val="center"/>
                    <w:rPr>
                      <w:szCs w:val="21"/>
                    </w:rPr>
                  </w:pPr>
                  <w:r>
                    <w:rPr>
                      <w:rFonts w:hint="eastAsia"/>
                      <w:szCs w:val="21"/>
                    </w:rPr>
                    <w:t>/</w:t>
                  </w:r>
                </w:p>
              </w:tc>
              <w:tc>
                <w:tcPr>
                  <w:tcW w:w="775" w:type="dxa"/>
                  <w:vAlign w:val="center"/>
                </w:tcPr>
                <w:p>
                  <w:pPr>
                    <w:jc w:val="center"/>
                    <w:rPr>
                      <w:szCs w:val="21"/>
                    </w:rPr>
                  </w:pPr>
                  <w:r>
                    <w:rPr>
                      <w:rFonts w:hint="eastAsia"/>
                      <w:szCs w:val="21"/>
                    </w:rPr>
                    <w:t>0.2t</w:t>
                  </w:r>
                </w:p>
              </w:tc>
              <w:tc>
                <w:tcPr>
                  <w:tcW w:w="836" w:type="dxa"/>
                  <w:vAlign w:val="center"/>
                </w:tcPr>
                <w:p>
                  <w:pPr>
                    <w:jc w:val="center"/>
                    <w:rPr>
                      <w:szCs w:val="21"/>
                    </w:rPr>
                  </w:pPr>
                  <w:r>
                    <w:rPr>
                      <w:rFonts w:hint="eastAsia"/>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55" w:type="dxa"/>
                  <w:vMerge w:val="continue"/>
                  <w:vAlign w:val="center"/>
                </w:tcPr>
                <w:p>
                  <w:pPr>
                    <w:jc w:val="center"/>
                    <w:rPr>
                      <w:szCs w:val="21"/>
                    </w:rPr>
                  </w:pPr>
                </w:p>
              </w:tc>
              <w:tc>
                <w:tcPr>
                  <w:tcW w:w="1054" w:type="dxa"/>
                  <w:vAlign w:val="center"/>
                </w:tcPr>
                <w:p>
                  <w:pPr>
                    <w:jc w:val="center"/>
                    <w:rPr>
                      <w:szCs w:val="21"/>
                    </w:rPr>
                  </w:pPr>
                  <w:r>
                    <w:rPr>
                      <w:rFonts w:hint="eastAsia"/>
                      <w:szCs w:val="21"/>
                    </w:rPr>
                    <w:t>废机油</w:t>
                  </w:r>
                </w:p>
              </w:tc>
              <w:tc>
                <w:tcPr>
                  <w:tcW w:w="1253" w:type="dxa"/>
                  <w:vAlign w:val="center"/>
                </w:tcPr>
                <w:p>
                  <w:pPr>
                    <w:jc w:val="center"/>
                    <w:rPr>
                      <w:szCs w:val="21"/>
                    </w:rPr>
                  </w:pPr>
                  <w:r>
                    <w:rPr>
                      <w:rFonts w:hint="eastAsia"/>
                      <w:szCs w:val="21"/>
                    </w:rPr>
                    <w:t>HW08</w:t>
                  </w:r>
                </w:p>
                <w:p>
                  <w:pPr>
                    <w:jc w:val="center"/>
                    <w:rPr>
                      <w:szCs w:val="21"/>
                    </w:rPr>
                  </w:pPr>
                  <w:r>
                    <w:rPr>
                      <w:rFonts w:hint="eastAsia"/>
                      <w:szCs w:val="21"/>
                    </w:rPr>
                    <w:t>废矿物油</w:t>
                  </w:r>
                </w:p>
                <w:p>
                  <w:pPr>
                    <w:jc w:val="center"/>
                    <w:rPr>
                      <w:szCs w:val="21"/>
                    </w:rPr>
                  </w:pPr>
                  <w:r>
                    <w:rPr>
                      <w:rFonts w:hint="eastAsia"/>
                      <w:szCs w:val="21"/>
                    </w:rPr>
                    <w:t>与含矿物</w:t>
                  </w:r>
                </w:p>
                <w:p>
                  <w:pPr>
                    <w:jc w:val="center"/>
                    <w:rPr>
                      <w:szCs w:val="21"/>
                    </w:rPr>
                  </w:pPr>
                  <w:r>
                    <w:rPr>
                      <w:rFonts w:hint="eastAsia"/>
                      <w:szCs w:val="21"/>
                    </w:rPr>
                    <w:t>油废物</w:t>
                  </w:r>
                </w:p>
              </w:tc>
              <w:tc>
                <w:tcPr>
                  <w:tcW w:w="1306" w:type="dxa"/>
                  <w:vAlign w:val="center"/>
                </w:tcPr>
                <w:p>
                  <w:pPr>
                    <w:jc w:val="center"/>
                    <w:rPr>
                      <w:szCs w:val="21"/>
                    </w:rPr>
                  </w:pPr>
                  <w:r>
                    <w:rPr>
                      <w:rFonts w:hint="eastAsia"/>
                      <w:szCs w:val="21"/>
                    </w:rPr>
                    <w:t>900-249-08</w:t>
                  </w:r>
                </w:p>
              </w:tc>
              <w:tc>
                <w:tcPr>
                  <w:tcW w:w="775" w:type="dxa"/>
                  <w:vAlign w:val="center"/>
                </w:tcPr>
                <w:p>
                  <w:pPr>
                    <w:jc w:val="center"/>
                    <w:rPr>
                      <w:szCs w:val="21"/>
                    </w:rPr>
                  </w:pPr>
                  <w:r>
                    <w:rPr>
                      <w:rFonts w:hint="eastAsia"/>
                      <w:szCs w:val="21"/>
                    </w:rPr>
                    <w:t>厂区</w:t>
                  </w:r>
                </w:p>
              </w:tc>
              <w:tc>
                <w:tcPr>
                  <w:tcW w:w="774" w:type="dxa"/>
                  <w:vAlign w:val="center"/>
                </w:tcPr>
                <w:p>
                  <w:pPr>
                    <w:jc w:val="center"/>
                    <w:rPr>
                      <w:szCs w:val="21"/>
                    </w:rPr>
                  </w:pPr>
                  <w:r>
                    <w:rPr>
                      <w:rFonts w:hint="eastAsia"/>
                      <w:szCs w:val="21"/>
                    </w:rPr>
                    <w:t>6</w:t>
                  </w:r>
                  <w:r>
                    <w:rPr>
                      <w:szCs w:val="21"/>
                    </w:rPr>
                    <w:t>m</w:t>
                  </w:r>
                  <w:r>
                    <w:rPr>
                      <w:szCs w:val="21"/>
                      <w:vertAlign w:val="superscript"/>
                    </w:rPr>
                    <w:t>2</w:t>
                  </w:r>
                </w:p>
              </w:tc>
              <w:tc>
                <w:tcPr>
                  <w:tcW w:w="773" w:type="dxa"/>
                  <w:vAlign w:val="center"/>
                </w:tcPr>
                <w:p>
                  <w:pPr>
                    <w:jc w:val="center"/>
                    <w:rPr>
                      <w:szCs w:val="21"/>
                    </w:rPr>
                  </w:pPr>
                  <w:r>
                    <w:rPr>
                      <w:rFonts w:hint="eastAsia"/>
                      <w:szCs w:val="21"/>
                    </w:rPr>
                    <w:t>桶装</w:t>
                  </w:r>
                </w:p>
              </w:tc>
              <w:tc>
                <w:tcPr>
                  <w:tcW w:w="775" w:type="dxa"/>
                  <w:vAlign w:val="center"/>
                </w:tcPr>
                <w:p>
                  <w:pPr>
                    <w:jc w:val="center"/>
                    <w:rPr>
                      <w:szCs w:val="21"/>
                    </w:rPr>
                  </w:pPr>
                  <w:r>
                    <w:rPr>
                      <w:rFonts w:hint="eastAsia"/>
                      <w:szCs w:val="21"/>
                    </w:rPr>
                    <w:t>0.1t</w:t>
                  </w:r>
                </w:p>
              </w:tc>
              <w:tc>
                <w:tcPr>
                  <w:tcW w:w="836" w:type="dxa"/>
                  <w:vAlign w:val="center"/>
                </w:tcPr>
                <w:p>
                  <w:pPr>
                    <w:jc w:val="center"/>
                    <w:rPr>
                      <w:szCs w:val="21"/>
                    </w:rPr>
                  </w:pPr>
                  <w:r>
                    <w:rPr>
                      <w:rFonts w:hint="eastAsia"/>
                      <w:szCs w:val="21"/>
                    </w:rPr>
                    <w:t>6个月</w:t>
                  </w:r>
                </w:p>
              </w:tc>
            </w:tr>
          </w:tbl>
          <w:p>
            <w:pPr>
              <w:spacing w:line="500" w:lineRule="exact"/>
              <w:ind w:firstLine="480" w:firstLineChars="200"/>
              <w:rPr>
                <w:sz w:val="24"/>
              </w:rPr>
            </w:pPr>
            <w:r>
              <w:rPr>
                <w:rFonts w:hint="eastAsia"/>
                <w:sz w:val="24"/>
              </w:rPr>
              <w:t>②运输过程的环境影响分析</w:t>
            </w:r>
          </w:p>
          <w:p>
            <w:pPr>
              <w:spacing w:line="500" w:lineRule="exact"/>
              <w:ind w:firstLine="480" w:firstLineChars="200"/>
              <w:rPr>
                <w:sz w:val="24"/>
              </w:rPr>
            </w:pPr>
            <w:r>
              <w:rPr>
                <w:rFonts w:hint="eastAsia"/>
                <w:sz w:val="24"/>
              </w:rPr>
              <w:t>各类危险废物从生产区由工人及时收集并使用专用容器贮放于危废暂存间，不会产生散落、泄漏等情况，运送沿线没有敏感目标，因此不会对环境产生影响。</w:t>
            </w:r>
          </w:p>
          <w:p>
            <w:pPr>
              <w:spacing w:line="500" w:lineRule="exact"/>
              <w:ind w:firstLine="480" w:firstLineChars="200"/>
              <w:rPr>
                <w:sz w:val="24"/>
              </w:rPr>
            </w:pPr>
            <w:r>
              <w:rPr>
                <w:rFonts w:hint="eastAsia"/>
                <w:sz w:val="24"/>
              </w:rPr>
              <w:t>危险废物厂外转运由有资质的危废处置单位负责，危险废物由专用容器收集，专车运输。运输过程按照国家有关规定制定危险废物管理计划，并向所在地县级以上地方人民政府环境保护行政主管部门申报危险废物的种类、产生量、流向、贮存、处置等有关资料，运输过程不会对环境造成影响。</w:t>
            </w:r>
          </w:p>
          <w:p>
            <w:pPr>
              <w:spacing w:line="500" w:lineRule="exact"/>
              <w:ind w:left="420" w:leftChars="200"/>
              <w:rPr>
                <w:sz w:val="24"/>
              </w:rPr>
            </w:pPr>
            <w:r>
              <w:rPr>
                <w:rFonts w:hint="eastAsia"/>
                <w:sz w:val="24"/>
              </w:rPr>
              <w:t>③危废资质单位接收能力分析</w:t>
            </w:r>
          </w:p>
          <w:p>
            <w:pPr>
              <w:spacing w:line="480" w:lineRule="exact"/>
              <w:ind w:firstLine="480" w:firstLineChars="200"/>
              <w:rPr>
                <w:sz w:val="24"/>
              </w:rPr>
            </w:pPr>
            <w:r>
              <w:rPr>
                <w:rFonts w:hint="eastAsia"/>
                <w:sz w:val="24"/>
              </w:rPr>
              <w:t>根据项目的危险废物类别及项目周边有资质的危险废物处置单位的分布情况和处置能力，本环评</w:t>
            </w:r>
            <w:r>
              <w:rPr>
                <w:rFonts w:hint="eastAsia"/>
                <w:bCs/>
                <w:sz w:val="24"/>
              </w:rPr>
              <w:t>要求企</w:t>
            </w:r>
            <w:r>
              <w:rPr>
                <w:rFonts w:hint="eastAsia"/>
                <w:sz w:val="24"/>
              </w:rPr>
              <w:t>业委托有危废资质的单位进行回收处理。</w:t>
            </w:r>
            <w:r>
              <w:rPr>
                <w:sz w:val="24"/>
              </w:rPr>
              <w:t>采取以上措施后，危险废物处理符合《危险废物贮存污染控制标准》（GB18597-2001）</w:t>
            </w:r>
            <w:r>
              <w:rPr>
                <w:rFonts w:hint="eastAsia"/>
                <w:sz w:val="24"/>
              </w:rPr>
              <w:t>及其修改单标准中</w:t>
            </w:r>
            <w:r>
              <w:rPr>
                <w:sz w:val="24"/>
              </w:rPr>
              <w:t>有关要求，对环境影响很小</w:t>
            </w:r>
            <w:r>
              <w:rPr>
                <w:rFonts w:hint="eastAsia"/>
                <w:sz w:val="24"/>
              </w:rPr>
              <w:t>。</w:t>
            </w:r>
          </w:p>
          <w:p>
            <w:pPr>
              <w:pStyle w:val="23"/>
              <w:spacing w:line="480" w:lineRule="exact"/>
              <w:ind w:left="0" w:firstLine="480" w:firstLineChars="200"/>
            </w:pPr>
            <w:r>
              <w:rPr>
                <w:bCs/>
                <w:sz w:val="24"/>
              </w:rPr>
              <w:t>综上，项目运营期固体废物通过以上措施处理后，可以得到及时、妥善的处理和处置，不会造成二次污染，对周围环境影响很小，环保措施可行</w:t>
            </w:r>
            <w:r>
              <w:rPr>
                <w:sz w:val="24"/>
              </w:rPr>
              <w:t>。</w:t>
            </w:r>
          </w:p>
          <w:p>
            <w:pPr>
              <w:spacing w:line="480" w:lineRule="exact"/>
              <w:ind w:firstLine="480" w:firstLineChars="200"/>
              <w:rPr>
                <w:b/>
                <w:sz w:val="24"/>
              </w:rPr>
            </w:pPr>
            <w:r>
              <w:rPr>
                <w:rFonts w:hint="eastAsia"/>
                <w:b/>
                <w:sz w:val="24"/>
              </w:rPr>
              <w:t>5</w:t>
            </w:r>
            <w:r>
              <w:rPr>
                <w:b/>
                <w:sz w:val="24"/>
              </w:rPr>
              <w:t>、本项目总量核算</w:t>
            </w:r>
          </w:p>
          <w:p>
            <w:pPr>
              <w:pStyle w:val="48"/>
              <w:spacing w:line="480" w:lineRule="exact"/>
              <w:rPr>
                <w:bCs/>
                <w:spacing w:val="6"/>
              </w:rPr>
            </w:pPr>
            <w:r>
              <w:rPr>
                <w:szCs w:val="24"/>
              </w:rPr>
              <w:t>根据《</w:t>
            </w:r>
            <w:r>
              <w:rPr>
                <w:rFonts w:hint="eastAsia"/>
                <w:szCs w:val="24"/>
              </w:rPr>
              <w:t>“</w:t>
            </w:r>
            <w:r>
              <w:rPr>
                <w:szCs w:val="24"/>
              </w:rPr>
              <w:t>十三五</w:t>
            </w:r>
            <w:r>
              <w:rPr>
                <w:rFonts w:hint="eastAsia"/>
                <w:szCs w:val="24"/>
              </w:rPr>
              <w:t>”</w:t>
            </w:r>
            <w:r>
              <w:rPr>
                <w:szCs w:val="24"/>
              </w:rPr>
              <w:t>生态环境保护规划》，根据达标排放原则，本环评建议</w:t>
            </w:r>
            <w:r>
              <w:rPr>
                <w:rFonts w:hint="eastAsia"/>
                <w:szCs w:val="24"/>
              </w:rPr>
              <w:t>技改</w:t>
            </w:r>
            <w:r>
              <w:rPr>
                <w:szCs w:val="24"/>
              </w:rPr>
              <w:t>项目污染物的总量控制指标为SO</w:t>
            </w:r>
            <w:r>
              <w:rPr>
                <w:szCs w:val="24"/>
                <w:vertAlign w:val="subscript"/>
              </w:rPr>
              <w:t>2</w:t>
            </w:r>
            <w:r>
              <w:rPr>
                <w:szCs w:val="24"/>
              </w:rPr>
              <w:t>：</w:t>
            </w:r>
            <w:r>
              <w:rPr>
                <w:rFonts w:hint="eastAsia"/>
                <w:szCs w:val="24"/>
              </w:rPr>
              <w:t>0</w:t>
            </w:r>
            <w:r>
              <w:rPr>
                <w:szCs w:val="24"/>
              </w:rPr>
              <w:t>t/a，NOx：</w:t>
            </w:r>
            <w:r>
              <w:rPr>
                <w:rFonts w:hint="eastAsia"/>
                <w:szCs w:val="24"/>
              </w:rPr>
              <w:t>0</w:t>
            </w:r>
            <w:r>
              <w:rPr>
                <w:szCs w:val="24"/>
              </w:rPr>
              <w:t>t/a</w:t>
            </w:r>
            <w:r>
              <w:rPr>
                <w:rFonts w:hint="eastAsia"/>
                <w:szCs w:val="24"/>
              </w:rPr>
              <w:t>，</w:t>
            </w:r>
            <w:r>
              <w:rPr>
                <w:rFonts w:hint="eastAsia"/>
                <w:szCs w:val="21"/>
              </w:rPr>
              <w:t>VOCs</w:t>
            </w:r>
            <w:r>
              <w:rPr>
                <w:szCs w:val="24"/>
              </w:rPr>
              <w:t>：</w:t>
            </w:r>
            <w:r>
              <w:rPr>
                <w:rFonts w:hint="eastAsia"/>
                <w:szCs w:val="24"/>
              </w:rPr>
              <w:t>3.840</w:t>
            </w:r>
            <w:r>
              <w:rPr>
                <w:szCs w:val="24"/>
              </w:rPr>
              <w:t>t/a</w:t>
            </w:r>
            <w:r>
              <w:rPr>
                <w:rFonts w:hint="eastAsia"/>
                <w:szCs w:val="24"/>
              </w:rPr>
              <w:t>，COD</w:t>
            </w:r>
            <w:r>
              <w:rPr>
                <w:szCs w:val="24"/>
              </w:rPr>
              <w:t>：</w:t>
            </w:r>
            <w:r>
              <w:rPr>
                <w:rFonts w:hint="eastAsia"/>
                <w:szCs w:val="24"/>
              </w:rPr>
              <w:t>0</w:t>
            </w:r>
            <w:r>
              <w:rPr>
                <w:szCs w:val="24"/>
              </w:rPr>
              <w:t>t/a</w:t>
            </w:r>
            <w:r>
              <w:rPr>
                <w:rFonts w:hint="eastAsia"/>
                <w:szCs w:val="24"/>
              </w:rPr>
              <w:t>，氨氮：0</w:t>
            </w:r>
            <w:r>
              <w:rPr>
                <w:szCs w:val="24"/>
              </w:rPr>
              <w:t>t/a。</w:t>
            </w:r>
            <w:r>
              <w:rPr>
                <w:bCs/>
                <w:spacing w:val="6"/>
              </w:rPr>
              <w:t>技改后</w:t>
            </w:r>
            <w:r>
              <w:rPr>
                <w:rFonts w:hint="eastAsia"/>
                <w:bCs/>
                <w:spacing w:val="6"/>
              </w:rPr>
              <w:t>本工程</w:t>
            </w:r>
            <w:r>
              <w:rPr>
                <w:bCs/>
                <w:spacing w:val="6"/>
              </w:rPr>
              <w:t>污染物总量指标变化情况见表</w:t>
            </w:r>
            <w:r>
              <w:rPr>
                <w:rFonts w:hint="eastAsia"/>
                <w:bCs/>
                <w:spacing w:val="6"/>
              </w:rPr>
              <w:t>30。</w:t>
            </w:r>
          </w:p>
          <w:p>
            <w:pPr>
              <w:spacing w:line="480" w:lineRule="exact"/>
              <w:ind w:firstLine="420" w:firstLineChars="200"/>
              <w:jc w:val="center"/>
              <w:rPr>
                <w:rFonts w:hAnsi="宋体"/>
                <w:b/>
                <w:szCs w:val="21"/>
                <w:lang w:val="de-DE"/>
              </w:rPr>
            </w:pPr>
          </w:p>
          <w:p>
            <w:pPr>
              <w:spacing w:line="480" w:lineRule="exact"/>
              <w:ind w:firstLine="420" w:firstLineChars="200"/>
              <w:jc w:val="center"/>
              <w:rPr>
                <w:rFonts w:hAnsi="宋体"/>
                <w:b/>
                <w:szCs w:val="21"/>
                <w:lang w:val="de-DE"/>
              </w:rPr>
            </w:pPr>
            <w:r>
              <w:rPr>
                <w:rFonts w:hAnsi="宋体"/>
                <w:b/>
                <w:szCs w:val="21"/>
                <w:lang w:val="de-DE"/>
              </w:rPr>
              <w:t>表</w:t>
            </w:r>
            <w:r>
              <w:rPr>
                <w:rFonts w:hint="eastAsia" w:hAnsi="宋体"/>
                <w:b/>
                <w:szCs w:val="21"/>
              </w:rPr>
              <w:t>30</w:t>
            </w:r>
            <w:r>
              <w:rPr>
                <w:rFonts w:hint="eastAsia"/>
                <w:b/>
                <w:szCs w:val="21"/>
                <w:lang w:val="de-DE"/>
              </w:rPr>
              <w:t xml:space="preserve">   </w:t>
            </w:r>
            <w:r>
              <w:rPr>
                <w:rFonts w:hint="eastAsia"/>
                <w:b/>
                <w:szCs w:val="21"/>
              </w:rPr>
              <w:t>技改</w:t>
            </w:r>
            <w:r>
              <w:rPr>
                <w:rFonts w:hAnsi="宋体"/>
                <w:b/>
                <w:szCs w:val="21"/>
                <w:lang w:val="de-DE"/>
              </w:rPr>
              <w:t>项目实施后污染物</w:t>
            </w:r>
            <w:r>
              <w:rPr>
                <w:rFonts w:hint="eastAsia" w:hAnsi="宋体"/>
                <w:b/>
                <w:szCs w:val="21"/>
                <w:lang w:val="de-DE"/>
              </w:rPr>
              <w:t>“三本账”</w:t>
            </w:r>
            <w:r>
              <w:rPr>
                <w:rFonts w:hAnsi="宋体"/>
                <w:b/>
                <w:szCs w:val="21"/>
                <w:lang w:val="de-DE"/>
              </w:rPr>
              <w:t>一览表</w:t>
            </w:r>
            <w:r>
              <w:rPr>
                <w:rFonts w:hint="eastAsia" w:hAnsi="宋体"/>
                <w:b/>
                <w:szCs w:val="21"/>
              </w:rPr>
              <w:t xml:space="preserve">    t/a</w:t>
            </w:r>
          </w:p>
          <w:tbl>
            <w:tblPr>
              <w:tblStyle w:val="31"/>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046"/>
              <w:gridCol w:w="1130"/>
              <w:gridCol w:w="1241"/>
              <w:gridCol w:w="1163"/>
              <w:gridCol w:w="1140"/>
              <w:gridCol w:w="1146"/>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jc w:val="center"/>
                    <w:rPr>
                      <w:szCs w:val="21"/>
                    </w:rPr>
                  </w:pPr>
                  <w:r>
                    <w:rPr>
                      <w:szCs w:val="21"/>
                    </w:rPr>
                    <w:t>项目</w:t>
                  </w:r>
                </w:p>
              </w:tc>
              <w:tc>
                <w:tcPr>
                  <w:tcW w:w="1046" w:type="dxa"/>
                  <w:vAlign w:val="center"/>
                </w:tcPr>
                <w:p>
                  <w:pPr>
                    <w:jc w:val="center"/>
                    <w:rPr>
                      <w:spacing w:val="-14"/>
                      <w:szCs w:val="21"/>
                    </w:rPr>
                  </w:pPr>
                  <w:r>
                    <w:rPr>
                      <w:spacing w:val="-14"/>
                      <w:szCs w:val="21"/>
                    </w:rPr>
                    <w:t>污染</w:t>
                  </w:r>
                </w:p>
                <w:p>
                  <w:pPr>
                    <w:jc w:val="center"/>
                    <w:rPr>
                      <w:spacing w:val="-14"/>
                      <w:szCs w:val="21"/>
                    </w:rPr>
                  </w:pPr>
                  <w:r>
                    <w:rPr>
                      <w:spacing w:val="-14"/>
                      <w:szCs w:val="21"/>
                    </w:rPr>
                    <w:t>因子</w:t>
                  </w:r>
                </w:p>
              </w:tc>
              <w:tc>
                <w:tcPr>
                  <w:tcW w:w="1130" w:type="dxa"/>
                  <w:vAlign w:val="center"/>
                </w:tcPr>
                <w:p>
                  <w:pPr>
                    <w:jc w:val="center"/>
                    <w:rPr>
                      <w:szCs w:val="21"/>
                    </w:rPr>
                  </w:pPr>
                  <w:r>
                    <w:rPr>
                      <w:rFonts w:hint="eastAsia"/>
                      <w:szCs w:val="21"/>
                    </w:rPr>
                    <w:t>技改</w:t>
                  </w:r>
                  <w:r>
                    <w:rPr>
                      <w:szCs w:val="21"/>
                    </w:rPr>
                    <w:t>前</w:t>
                  </w:r>
                </w:p>
                <w:p>
                  <w:pPr>
                    <w:jc w:val="center"/>
                    <w:rPr>
                      <w:szCs w:val="21"/>
                    </w:rPr>
                  </w:pPr>
                  <w:r>
                    <w:rPr>
                      <w:szCs w:val="21"/>
                    </w:rPr>
                    <w:t>排放量</w:t>
                  </w:r>
                </w:p>
              </w:tc>
              <w:tc>
                <w:tcPr>
                  <w:tcW w:w="1241" w:type="dxa"/>
                  <w:vAlign w:val="center"/>
                </w:tcPr>
                <w:p>
                  <w:pPr>
                    <w:jc w:val="center"/>
                    <w:rPr>
                      <w:szCs w:val="21"/>
                    </w:rPr>
                  </w:pPr>
                  <w:r>
                    <w:rPr>
                      <w:spacing w:val="-18"/>
                      <w:szCs w:val="21"/>
                    </w:rPr>
                    <w:t>“</w:t>
                  </w:r>
                  <w:r>
                    <w:rPr>
                      <w:spacing w:val="-16"/>
                      <w:szCs w:val="21"/>
                    </w:rPr>
                    <w:t>以新带老”削减量</w:t>
                  </w:r>
                </w:p>
              </w:tc>
              <w:tc>
                <w:tcPr>
                  <w:tcW w:w="1163" w:type="dxa"/>
                  <w:vAlign w:val="center"/>
                </w:tcPr>
                <w:p>
                  <w:pPr>
                    <w:jc w:val="center"/>
                    <w:rPr>
                      <w:spacing w:val="-14"/>
                      <w:szCs w:val="21"/>
                    </w:rPr>
                  </w:pPr>
                  <w:r>
                    <w:rPr>
                      <w:rFonts w:hint="eastAsia"/>
                      <w:spacing w:val="-14"/>
                      <w:szCs w:val="21"/>
                    </w:rPr>
                    <w:t>技改项目排放量</w:t>
                  </w:r>
                </w:p>
              </w:tc>
              <w:tc>
                <w:tcPr>
                  <w:tcW w:w="1140" w:type="dxa"/>
                  <w:vAlign w:val="center"/>
                </w:tcPr>
                <w:p>
                  <w:pPr>
                    <w:jc w:val="center"/>
                    <w:rPr>
                      <w:szCs w:val="21"/>
                    </w:rPr>
                  </w:pPr>
                  <w:r>
                    <w:rPr>
                      <w:rFonts w:hint="eastAsia"/>
                      <w:szCs w:val="21"/>
                    </w:rPr>
                    <w:t>技改</w:t>
                  </w:r>
                  <w:r>
                    <w:rPr>
                      <w:szCs w:val="21"/>
                    </w:rPr>
                    <w:t>后</w:t>
                  </w:r>
                </w:p>
                <w:p>
                  <w:pPr>
                    <w:jc w:val="center"/>
                    <w:rPr>
                      <w:szCs w:val="21"/>
                    </w:rPr>
                  </w:pPr>
                  <w:r>
                    <w:rPr>
                      <w:szCs w:val="21"/>
                    </w:rPr>
                    <w:t>排放量</w:t>
                  </w:r>
                </w:p>
              </w:tc>
              <w:tc>
                <w:tcPr>
                  <w:tcW w:w="1146" w:type="dxa"/>
                  <w:vAlign w:val="center"/>
                </w:tcPr>
                <w:p>
                  <w:pPr>
                    <w:jc w:val="center"/>
                    <w:rPr>
                      <w:szCs w:val="21"/>
                    </w:rPr>
                  </w:pPr>
                  <w:r>
                    <w:rPr>
                      <w:rFonts w:hint="eastAsia"/>
                      <w:szCs w:val="21"/>
                    </w:rPr>
                    <w:t>增减</w:t>
                  </w:r>
                </w:p>
                <w:p>
                  <w:pPr>
                    <w:jc w:val="center"/>
                    <w:rPr>
                      <w:szCs w:val="21"/>
                    </w:rPr>
                  </w:pPr>
                  <w:r>
                    <w:rPr>
                      <w:rFonts w:hint="eastAsia"/>
                      <w:szCs w:val="21"/>
                    </w:rPr>
                    <w:t>排放量</w:t>
                  </w:r>
                </w:p>
              </w:tc>
              <w:tc>
                <w:tcPr>
                  <w:tcW w:w="1501" w:type="dxa"/>
                  <w:vAlign w:val="center"/>
                </w:tcPr>
                <w:p>
                  <w:pPr>
                    <w:jc w:val="center"/>
                    <w:rPr>
                      <w:spacing w:val="-14"/>
                      <w:szCs w:val="21"/>
                    </w:rPr>
                  </w:pPr>
                  <w:r>
                    <w:rPr>
                      <w:rFonts w:hint="eastAsia"/>
                      <w:spacing w:val="-14"/>
                      <w:szCs w:val="21"/>
                    </w:rPr>
                    <w:t>本环评建议总量控制指标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dxa"/>
                  <w:vMerge w:val="restart"/>
                  <w:vAlign w:val="center"/>
                </w:tcPr>
                <w:p>
                  <w:pPr>
                    <w:jc w:val="center"/>
                    <w:rPr>
                      <w:szCs w:val="21"/>
                    </w:rPr>
                  </w:pPr>
                  <w:r>
                    <w:rPr>
                      <w:szCs w:val="21"/>
                    </w:rPr>
                    <w:t>废气</w:t>
                  </w:r>
                </w:p>
              </w:tc>
              <w:tc>
                <w:tcPr>
                  <w:tcW w:w="1046" w:type="dxa"/>
                  <w:vAlign w:val="center"/>
                </w:tcPr>
                <w:p>
                  <w:pPr>
                    <w:jc w:val="center"/>
                    <w:rPr>
                      <w:szCs w:val="21"/>
                    </w:rPr>
                  </w:pPr>
                  <w:r>
                    <w:rPr>
                      <w:szCs w:val="21"/>
                    </w:rPr>
                    <w:t>SO</w:t>
                  </w:r>
                  <w:r>
                    <w:rPr>
                      <w:szCs w:val="21"/>
                      <w:vertAlign w:val="subscript"/>
                    </w:rPr>
                    <w:t>2</w:t>
                  </w:r>
                </w:p>
              </w:tc>
              <w:tc>
                <w:tcPr>
                  <w:tcW w:w="1130" w:type="dxa"/>
                  <w:vAlign w:val="center"/>
                </w:tcPr>
                <w:p>
                  <w:pPr>
                    <w:jc w:val="center"/>
                    <w:rPr>
                      <w:szCs w:val="21"/>
                    </w:rPr>
                  </w:pPr>
                  <w:r>
                    <w:rPr>
                      <w:rFonts w:hint="eastAsia"/>
                      <w:szCs w:val="21"/>
                    </w:rPr>
                    <w:t>0</w:t>
                  </w:r>
                </w:p>
              </w:tc>
              <w:tc>
                <w:tcPr>
                  <w:tcW w:w="1241" w:type="dxa"/>
                  <w:vAlign w:val="center"/>
                </w:tcPr>
                <w:p>
                  <w:pPr>
                    <w:jc w:val="center"/>
                    <w:rPr>
                      <w:szCs w:val="21"/>
                    </w:rPr>
                  </w:pPr>
                  <w:r>
                    <w:rPr>
                      <w:rFonts w:hint="eastAsia"/>
                      <w:szCs w:val="21"/>
                    </w:rPr>
                    <w:t>0</w:t>
                  </w:r>
                </w:p>
              </w:tc>
              <w:tc>
                <w:tcPr>
                  <w:tcW w:w="1163" w:type="dxa"/>
                  <w:vAlign w:val="center"/>
                </w:tcPr>
                <w:p>
                  <w:pPr>
                    <w:jc w:val="center"/>
                    <w:rPr>
                      <w:szCs w:val="21"/>
                    </w:rPr>
                  </w:pPr>
                  <w:r>
                    <w:rPr>
                      <w:rFonts w:hint="eastAsia"/>
                      <w:szCs w:val="21"/>
                    </w:rPr>
                    <w:t>0</w:t>
                  </w:r>
                </w:p>
              </w:tc>
              <w:tc>
                <w:tcPr>
                  <w:tcW w:w="1140" w:type="dxa"/>
                  <w:vAlign w:val="center"/>
                </w:tcPr>
                <w:p>
                  <w:pPr>
                    <w:jc w:val="center"/>
                    <w:rPr>
                      <w:szCs w:val="21"/>
                    </w:rPr>
                  </w:pPr>
                  <w:r>
                    <w:rPr>
                      <w:rFonts w:hint="eastAsia"/>
                      <w:szCs w:val="21"/>
                    </w:rPr>
                    <w:t>0</w:t>
                  </w:r>
                </w:p>
              </w:tc>
              <w:tc>
                <w:tcPr>
                  <w:tcW w:w="1146" w:type="dxa"/>
                  <w:vAlign w:val="center"/>
                </w:tcPr>
                <w:p>
                  <w:pPr>
                    <w:jc w:val="center"/>
                    <w:rPr>
                      <w:szCs w:val="21"/>
                    </w:rPr>
                  </w:pPr>
                  <w:r>
                    <w:rPr>
                      <w:rFonts w:hint="eastAsia"/>
                      <w:szCs w:val="21"/>
                    </w:rPr>
                    <w:t>0</w:t>
                  </w:r>
                </w:p>
              </w:tc>
              <w:tc>
                <w:tcPr>
                  <w:tcW w:w="1501"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dxa"/>
                  <w:vMerge w:val="continue"/>
                  <w:vAlign w:val="center"/>
                </w:tcPr>
                <w:p>
                  <w:pPr>
                    <w:jc w:val="center"/>
                    <w:rPr>
                      <w:szCs w:val="21"/>
                    </w:rPr>
                  </w:pPr>
                </w:p>
              </w:tc>
              <w:tc>
                <w:tcPr>
                  <w:tcW w:w="1046" w:type="dxa"/>
                  <w:vAlign w:val="center"/>
                </w:tcPr>
                <w:p>
                  <w:pPr>
                    <w:jc w:val="center"/>
                    <w:rPr>
                      <w:szCs w:val="21"/>
                    </w:rPr>
                  </w:pPr>
                  <w:r>
                    <w:rPr>
                      <w:rFonts w:hint="eastAsia"/>
                      <w:szCs w:val="21"/>
                    </w:rPr>
                    <w:t>NO</w:t>
                  </w:r>
                  <w:r>
                    <w:rPr>
                      <w:rFonts w:hint="eastAsia"/>
                      <w:szCs w:val="21"/>
                      <w:vertAlign w:val="subscript"/>
                    </w:rPr>
                    <w:t>X</w:t>
                  </w:r>
                </w:p>
              </w:tc>
              <w:tc>
                <w:tcPr>
                  <w:tcW w:w="1130" w:type="dxa"/>
                  <w:vAlign w:val="center"/>
                </w:tcPr>
                <w:p>
                  <w:pPr>
                    <w:jc w:val="center"/>
                    <w:rPr>
                      <w:szCs w:val="21"/>
                    </w:rPr>
                  </w:pPr>
                  <w:r>
                    <w:rPr>
                      <w:rFonts w:hint="eastAsia"/>
                      <w:szCs w:val="21"/>
                    </w:rPr>
                    <w:t>0</w:t>
                  </w:r>
                </w:p>
              </w:tc>
              <w:tc>
                <w:tcPr>
                  <w:tcW w:w="1241" w:type="dxa"/>
                  <w:vAlign w:val="center"/>
                </w:tcPr>
                <w:p>
                  <w:pPr>
                    <w:jc w:val="center"/>
                    <w:rPr>
                      <w:szCs w:val="21"/>
                    </w:rPr>
                  </w:pPr>
                  <w:r>
                    <w:rPr>
                      <w:rFonts w:hint="eastAsia"/>
                      <w:szCs w:val="21"/>
                    </w:rPr>
                    <w:t>0</w:t>
                  </w:r>
                </w:p>
              </w:tc>
              <w:tc>
                <w:tcPr>
                  <w:tcW w:w="1163" w:type="dxa"/>
                  <w:vAlign w:val="center"/>
                </w:tcPr>
                <w:p>
                  <w:pPr>
                    <w:jc w:val="center"/>
                    <w:rPr>
                      <w:szCs w:val="21"/>
                    </w:rPr>
                  </w:pPr>
                  <w:r>
                    <w:rPr>
                      <w:rFonts w:hint="eastAsia"/>
                      <w:szCs w:val="21"/>
                    </w:rPr>
                    <w:t>0</w:t>
                  </w:r>
                </w:p>
              </w:tc>
              <w:tc>
                <w:tcPr>
                  <w:tcW w:w="1140" w:type="dxa"/>
                  <w:vAlign w:val="center"/>
                </w:tcPr>
                <w:p>
                  <w:pPr>
                    <w:jc w:val="center"/>
                    <w:rPr>
                      <w:szCs w:val="21"/>
                    </w:rPr>
                  </w:pPr>
                  <w:r>
                    <w:rPr>
                      <w:rFonts w:hint="eastAsia"/>
                      <w:szCs w:val="21"/>
                    </w:rPr>
                    <w:t>0</w:t>
                  </w:r>
                </w:p>
              </w:tc>
              <w:tc>
                <w:tcPr>
                  <w:tcW w:w="1146" w:type="dxa"/>
                  <w:vAlign w:val="center"/>
                </w:tcPr>
                <w:p>
                  <w:pPr>
                    <w:jc w:val="center"/>
                    <w:rPr>
                      <w:szCs w:val="21"/>
                    </w:rPr>
                  </w:pPr>
                  <w:r>
                    <w:rPr>
                      <w:rFonts w:hint="eastAsia"/>
                      <w:szCs w:val="21"/>
                    </w:rPr>
                    <w:t>0</w:t>
                  </w:r>
                </w:p>
              </w:tc>
              <w:tc>
                <w:tcPr>
                  <w:tcW w:w="1501"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dxa"/>
                  <w:vMerge w:val="continue"/>
                  <w:vAlign w:val="center"/>
                </w:tcPr>
                <w:p>
                  <w:pPr>
                    <w:jc w:val="center"/>
                    <w:rPr>
                      <w:szCs w:val="21"/>
                    </w:rPr>
                  </w:pPr>
                </w:p>
              </w:tc>
              <w:tc>
                <w:tcPr>
                  <w:tcW w:w="1046" w:type="dxa"/>
                  <w:vAlign w:val="center"/>
                </w:tcPr>
                <w:p>
                  <w:pPr>
                    <w:jc w:val="center"/>
                    <w:rPr>
                      <w:szCs w:val="21"/>
                    </w:rPr>
                  </w:pPr>
                  <w:r>
                    <w:rPr>
                      <w:rFonts w:hint="eastAsia"/>
                      <w:szCs w:val="21"/>
                    </w:rPr>
                    <w:t>VOCs</w:t>
                  </w:r>
                </w:p>
              </w:tc>
              <w:tc>
                <w:tcPr>
                  <w:tcW w:w="1130" w:type="dxa"/>
                  <w:vAlign w:val="center"/>
                </w:tcPr>
                <w:p>
                  <w:pPr>
                    <w:jc w:val="center"/>
                    <w:rPr>
                      <w:szCs w:val="21"/>
                    </w:rPr>
                  </w:pPr>
                  <w:r>
                    <w:rPr>
                      <w:rFonts w:hint="eastAsia"/>
                      <w:szCs w:val="21"/>
                    </w:rPr>
                    <w:t>0</w:t>
                  </w:r>
                </w:p>
              </w:tc>
              <w:tc>
                <w:tcPr>
                  <w:tcW w:w="1241" w:type="dxa"/>
                  <w:vAlign w:val="center"/>
                </w:tcPr>
                <w:p>
                  <w:pPr>
                    <w:jc w:val="center"/>
                    <w:rPr>
                      <w:szCs w:val="21"/>
                    </w:rPr>
                  </w:pPr>
                  <w:r>
                    <w:rPr>
                      <w:rFonts w:hint="eastAsia"/>
                      <w:szCs w:val="21"/>
                    </w:rPr>
                    <w:t>0</w:t>
                  </w:r>
                </w:p>
              </w:tc>
              <w:tc>
                <w:tcPr>
                  <w:tcW w:w="1163" w:type="dxa"/>
                  <w:vAlign w:val="center"/>
                </w:tcPr>
                <w:p>
                  <w:pPr>
                    <w:jc w:val="center"/>
                    <w:rPr>
                      <w:szCs w:val="21"/>
                    </w:rPr>
                  </w:pPr>
                  <w:r>
                    <w:rPr>
                      <w:rFonts w:hint="eastAsia"/>
                      <w:szCs w:val="21"/>
                    </w:rPr>
                    <w:t>3.840</w:t>
                  </w:r>
                </w:p>
              </w:tc>
              <w:tc>
                <w:tcPr>
                  <w:tcW w:w="1140" w:type="dxa"/>
                  <w:vAlign w:val="center"/>
                </w:tcPr>
                <w:p>
                  <w:pPr>
                    <w:jc w:val="center"/>
                    <w:rPr>
                      <w:szCs w:val="21"/>
                    </w:rPr>
                  </w:pPr>
                  <w:r>
                    <w:rPr>
                      <w:rFonts w:hint="eastAsia"/>
                      <w:szCs w:val="21"/>
                    </w:rPr>
                    <w:t>3.840</w:t>
                  </w:r>
                </w:p>
              </w:tc>
              <w:tc>
                <w:tcPr>
                  <w:tcW w:w="1146" w:type="dxa"/>
                  <w:vAlign w:val="center"/>
                </w:tcPr>
                <w:p>
                  <w:pPr>
                    <w:jc w:val="center"/>
                    <w:rPr>
                      <w:szCs w:val="21"/>
                    </w:rPr>
                  </w:pPr>
                  <w:r>
                    <w:rPr>
                      <w:rFonts w:hint="eastAsia"/>
                      <w:szCs w:val="21"/>
                    </w:rPr>
                    <w:t>+3.840</w:t>
                  </w:r>
                </w:p>
              </w:tc>
              <w:tc>
                <w:tcPr>
                  <w:tcW w:w="1501" w:type="dxa"/>
                  <w:vAlign w:val="center"/>
                </w:tcPr>
                <w:p>
                  <w:pPr>
                    <w:jc w:val="center"/>
                    <w:rPr>
                      <w:szCs w:val="21"/>
                    </w:rPr>
                  </w:pPr>
                  <w:r>
                    <w:rPr>
                      <w:rFonts w:hint="eastAsia"/>
                      <w:szCs w:val="21"/>
                    </w:rPr>
                    <w:t>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4" w:type="dxa"/>
                  <w:vMerge w:val="restart"/>
                  <w:vAlign w:val="center"/>
                </w:tcPr>
                <w:p>
                  <w:pPr>
                    <w:jc w:val="center"/>
                    <w:rPr>
                      <w:szCs w:val="21"/>
                    </w:rPr>
                  </w:pPr>
                  <w:r>
                    <w:rPr>
                      <w:rFonts w:hint="eastAsia"/>
                      <w:szCs w:val="21"/>
                    </w:rPr>
                    <w:t>废水</w:t>
                  </w:r>
                </w:p>
              </w:tc>
              <w:tc>
                <w:tcPr>
                  <w:tcW w:w="1046" w:type="dxa"/>
                  <w:vAlign w:val="center"/>
                </w:tcPr>
                <w:p>
                  <w:pPr>
                    <w:jc w:val="center"/>
                    <w:rPr>
                      <w:szCs w:val="21"/>
                    </w:rPr>
                  </w:pPr>
                  <w:r>
                    <w:rPr>
                      <w:rFonts w:hint="eastAsia"/>
                      <w:szCs w:val="21"/>
                    </w:rPr>
                    <w:t>COD</w:t>
                  </w:r>
                </w:p>
              </w:tc>
              <w:tc>
                <w:tcPr>
                  <w:tcW w:w="1130" w:type="dxa"/>
                  <w:vAlign w:val="center"/>
                </w:tcPr>
                <w:p>
                  <w:pPr>
                    <w:jc w:val="center"/>
                    <w:rPr>
                      <w:szCs w:val="21"/>
                    </w:rPr>
                  </w:pPr>
                  <w:r>
                    <w:rPr>
                      <w:rFonts w:hint="eastAsia"/>
                      <w:szCs w:val="21"/>
                    </w:rPr>
                    <w:t>0</w:t>
                  </w:r>
                </w:p>
              </w:tc>
              <w:tc>
                <w:tcPr>
                  <w:tcW w:w="1241" w:type="dxa"/>
                  <w:vAlign w:val="center"/>
                </w:tcPr>
                <w:p>
                  <w:pPr>
                    <w:jc w:val="center"/>
                    <w:rPr>
                      <w:szCs w:val="21"/>
                    </w:rPr>
                  </w:pPr>
                  <w:r>
                    <w:rPr>
                      <w:rFonts w:hint="eastAsia"/>
                      <w:szCs w:val="21"/>
                    </w:rPr>
                    <w:t>0</w:t>
                  </w:r>
                </w:p>
              </w:tc>
              <w:tc>
                <w:tcPr>
                  <w:tcW w:w="1163" w:type="dxa"/>
                  <w:vAlign w:val="center"/>
                </w:tcPr>
                <w:p>
                  <w:pPr>
                    <w:jc w:val="center"/>
                    <w:rPr>
                      <w:szCs w:val="21"/>
                    </w:rPr>
                  </w:pPr>
                  <w:r>
                    <w:rPr>
                      <w:rFonts w:hint="eastAsia"/>
                      <w:szCs w:val="21"/>
                    </w:rPr>
                    <w:t>0</w:t>
                  </w:r>
                </w:p>
              </w:tc>
              <w:tc>
                <w:tcPr>
                  <w:tcW w:w="1140" w:type="dxa"/>
                  <w:vAlign w:val="center"/>
                </w:tcPr>
                <w:p>
                  <w:pPr>
                    <w:jc w:val="center"/>
                    <w:rPr>
                      <w:szCs w:val="21"/>
                    </w:rPr>
                  </w:pPr>
                  <w:r>
                    <w:rPr>
                      <w:rFonts w:hint="eastAsia"/>
                      <w:szCs w:val="21"/>
                    </w:rPr>
                    <w:t>0</w:t>
                  </w:r>
                </w:p>
              </w:tc>
              <w:tc>
                <w:tcPr>
                  <w:tcW w:w="1146" w:type="dxa"/>
                  <w:vAlign w:val="center"/>
                </w:tcPr>
                <w:p>
                  <w:pPr>
                    <w:jc w:val="center"/>
                    <w:rPr>
                      <w:szCs w:val="21"/>
                    </w:rPr>
                  </w:pPr>
                  <w:r>
                    <w:rPr>
                      <w:rFonts w:hint="eastAsia"/>
                      <w:szCs w:val="21"/>
                    </w:rPr>
                    <w:t>0</w:t>
                  </w:r>
                </w:p>
              </w:tc>
              <w:tc>
                <w:tcPr>
                  <w:tcW w:w="1501"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34" w:type="dxa"/>
                  <w:vMerge w:val="continue"/>
                  <w:vAlign w:val="center"/>
                </w:tcPr>
                <w:p>
                  <w:pPr>
                    <w:jc w:val="center"/>
                    <w:rPr>
                      <w:szCs w:val="21"/>
                    </w:rPr>
                  </w:pPr>
                </w:p>
              </w:tc>
              <w:tc>
                <w:tcPr>
                  <w:tcW w:w="1046" w:type="dxa"/>
                  <w:vAlign w:val="center"/>
                </w:tcPr>
                <w:p>
                  <w:pPr>
                    <w:jc w:val="center"/>
                    <w:rPr>
                      <w:szCs w:val="21"/>
                    </w:rPr>
                  </w:pPr>
                  <w:r>
                    <w:rPr>
                      <w:rFonts w:hint="eastAsia"/>
                      <w:szCs w:val="21"/>
                    </w:rPr>
                    <w:t>氨氮</w:t>
                  </w:r>
                </w:p>
              </w:tc>
              <w:tc>
                <w:tcPr>
                  <w:tcW w:w="1130" w:type="dxa"/>
                  <w:vAlign w:val="center"/>
                </w:tcPr>
                <w:p>
                  <w:pPr>
                    <w:jc w:val="center"/>
                    <w:rPr>
                      <w:szCs w:val="21"/>
                    </w:rPr>
                  </w:pPr>
                  <w:r>
                    <w:rPr>
                      <w:rFonts w:hint="eastAsia"/>
                      <w:szCs w:val="21"/>
                    </w:rPr>
                    <w:t>0</w:t>
                  </w:r>
                </w:p>
              </w:tc>
              <w:tc>
                <w:tcPr>
                  <w:tcW w:w="1241" w:type="dxa"/>
                  <w:vAlign w:val="center"/>
                </w:tcPr>
                <w:p>
                  <w:pPr>
                    <w:jc w:val="center"/>
                    <w:rPr>
                      <w:szCs w:val="21"/>
                    </w:rPr>
                  </w:pPr>
                  <w:r>
                    <w:rPr>
                      <w:rFonts w:hint="eastAsia"/>
                      <w:szCs w:val="21"/>
                    </w:rPr>
                    <w:t>0</w:t>
                  </w:r>
                </w:p>
              </w:tc>
              <w:tc>
                <w:tcPr>
                  <w:tcW w:w="1163" w:type="dxa"/>
                  <w:vAlign w:val="center"/>
                </w:tcPr>
                <w:p>
                  <w:pPr>
                    <w:jc w:val="center"/>
                    <w:rPr>
                      <w:szCs w:val="21"/>
                    </w:rPr>
                  </w:pPr>
                  <w:r>
                    <w:rPr>
                      <w:rFonts w:hint="eastAsia"/>
                      <w:szCs w:val="21"/>
                    </w:rPr>
                    <w:t>0</w:t>
                  </w:r>
                </w:p>
              </w:tc>
              <w:tc>
                <w:tcPr>
                  <w:tcW w:w="1140" w:type="dxa"/>
                  <w:vAlign w:val="center"/>
                </w:tcPr>
                <w:p>
                  <w:pPr>
                    <w:jc w:val="center"/>
                    <w:rPr>
                      <w:szCs w:val="21"/>
                    </w:rPr>
                  </w:pPr>
                  <w:r>
                    <w:rPr>
                      <w:rFonts w:hint="eastAsia"/>
                      <w:szCs w:val="21"/>
                    </w:rPr>
                    <w:t>0</w:t>
                  </w:r>
                </w:p>
              </w:tc>
              <w:tc>
                <w:tcPr>
                  <w:tcW w:w="1146" w:type="dxa"/>
                  <w:vAlign w:val="center"/>
                </w:tcPr>
                <w:p>
                  <w:pPr>
                    <w:jc w:val="center"/>
                    <w:rPr>
                      <w:szCs w:val="21"/>
                    </w:rPr>
                  </w:pPr>
                  <w:r>
                    <w:rPr>
                      <w:rFonts w:hint="eastAsia"/>
                      <w:szCs w:val="21"/>
                    </w:rPr>
                    <w:t>0</w:t>
                  </w:r>
                </w:p>
              </w:tc>
              <w:tc>
                <w:tcPr>
                  <w:tcW w:w="1501" w:type="dxa"/>
                  <w:vAlign w:val="center"/>
                </w:tcPr>
                <w:p>
                  <w:pPr>
                    <w:jc w:val="center"/>
                    <w:rPr>
                      <w:szCs w:val="21"/>
                    </w:rPr>
                  </w:pPr>
                  <w:r>
                    <w:rPr>
                      <w:rFonts w:hint="eastAsia"/>
                      <w:szCs w:val="21"/>
                    </w:rPr>
                    <w:t>0</w:t>
                  </w:r>
                </w:p>
              </w:tc>
            </w:tr>
          </w:tbl>
          <w:p>
            <w:pPr>
              <w:spacing w:line="360" w:lineRule="auto"/>
              <w:rPr>
                <w:color w:val="0000FF"/>
                <w:sz w:val="24"/>
              </w:rPr>
            </w:pPr>
          </w:p>
        </w:tc>
      </w:tr>
    </w:tbl>
    <w:p>
      <w:pPr>
        <w:outlineLvl w:val="0"/>
        <w:rPr>
          <w:rFonts w:eastAsia="黑体"/>
          <w:sz w:val="32"/>
        </w:rPr>
      </w:pPr>
      <w:r>
        <w:rPr>
          <w:rFonts w:eastAsia="黑体"/>
          <w:b/>
          <w:bCs/>
          <w:color w:val="0000FF"/>
          <w:sz w:val="32"/>
        </w:rPr>
        <w:br w:type="page"/>
      </w:r>
      <w:r>
        <w:rPr>
          <w:rFonts w:eastAsia="黑体"/>
          <w:b/>
          <w:bCs/>
          <w:sz w:val="32"/>
        </w:rPr>
        <w:t>建设项目拟采取的防治措施及预期治理效果</w:t>
      </w:r>
    </w:p>
    <w:tbl>
      <w:tblPr>
        <w:tblStyle w:val="31"/>
        <w:tblW w:w="914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1099"/>
        <w:gridCol w:w="1333"/>
        <w:gridCol w:w="1722"/>
        <w:gridCol w:w="2481"/>
        <w:gridCol w:w="251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1099" w:type="dxa"/>
            <w:tcBorders>
              <w:top w:val="single" w:color="auto" w:sz="8" w:space="0"/>
              <w:tl2br w:val="single" w:color="auto" w:sz="6" w:space="0"/>
            </w:tcBorders>
            <w:vAlign w:val="center"/>
          </w:tcPr>
          <w:p>
            <w:pPr>
              <w:spacing w:line="360" w:lineRule="exact"/>
              <w:jc w:val="right"/>
              <w:rPr>
                <w:b/>
                <w:sz w:val="28"/>
                <w:szCs w:val="28"/>
              </w:rPr>
            </w:pPr>
            <w:r>
              <w:rPr>
                <w:b/>
                <w:sz w:val="28"/>
                <w:szCs w:val="28"/>
              </w:rPr>
              <w:t>内容</w:t>
            </w:r>
          </w:p>
          <w:p>
            <w:pPr>
              <w:spacing w:line="360" w:lineRule="exact"/>
              <w:rPr>
                <w:b/>
                <w:sz w:val="28"/>
                <w:szCs w:val="28"/>
              </w:rPr>
            </w:pPr>
            <w:r>
              <w:rPr>
                <w:b/>
                <w:sz w:val="28"/>
                <w:szCs w:val="28"/>
              </w:rPr>
              <w:t>类型</w:t>
            </w:r>
          </w:p>
        </w:tc>
        <w:tc>
          <w:tcPr>
            <w:tcW w:w="1333" w:type="dxa"/>
            <w:tcBorders>
              <w:top w:val="single" w:color="auto" w:sz="8" w:space="0"/>
            </w:tcBorders>
            <w:vAlign w:val="center"/>
          </w:tcPr>
          <w:p>
            <w:pPr>
              <w:spacing w:line="360" w:lineRule="exact"/>
              <w:jc w:val="center"/>
              <w:rPr>
                <w:b/>
                <w:sz w:val="28"/>
                <w:szCs w:val="28"/>
              </w:rPr>
            </w:pPr>
            <w:r>
              <w:rPr>
                <w:b/>
                <w:sz w:val="28"/>
                <w:szCs w:val="28"/>
              </w:rPr>
              <w:t>排放源</w:t>
            </w:r>
          </w:p>
          <w:p>
            <w:pPr>
              <w:spacing w:line="360" w:lineRule="exact"/>
              <w:jc w:val="center"/>
              <w:rPr>
                <w:b/>
                <w:sz w:val="28"/>
                <w:szCs w:val="28"/>
              </w:rPr>
            </w:pPr>
            <w:r>
              <w:rPr>
                <w:rFonts w:hint="eastAsia"/>
                <w:b/>
                <w:sz w:val="28"/>
                <w:szCs w:val="28"/>
              </w:rPr>
              <w:t>(</w:t>
            </w:r>
            <w:r>
              <w:rPr>
                <w:b/>
                <w:sz w:val="28"/>
                <w:szCs w:val="28"/>
              </w:rPr>
              <w:t>编号</w:t>
            </w:r>
            <w:r>
              <w:rPr>
                <w:rFonts w:hint="eastAsia"/>
                <w:b/>
                <w:sz w:val="28"/>
                <w:szCs w:val="28"/>
              </w:rPr>
              <w:t>)</w:t>
            </w:r>
          </w:p>
        </w:tc>
        <w:tc>
          <w:tcPr>
            <w:tcW w:w="1722" w:type="dxa"/>
            <w:tcBorders>
              <w:top w:val="single" w:color="auto" w:sz="8" w:space="0"/>
            </w:tcBorders>
            <w:vAlign w:val="center"/>
          </w:tcPr>
          <w:p>
            <w:pPr>
              <w:spacing w:line="360" w:lineRule="exact"/>
              <w:jc w:val="center"/>
              <w:rPr>
                <w:b/>
                <w:spacing w:val="-16"/>
                <w:sz w:val="28"/>
                <w:szCs w:val="28"/>
              </w:rPr>
            </w:pPr>
            <w:r>
              <w:rPr>
                <w:b/>
                <w:spacing w:val="-16"/>
                <w:sz w:val="28"/>
                <w:szCs w:val="28"/>
              </w:rPr>
              <w:t>污染物</w:t>
            </w:r>
          </w:p>
          <w:p>
            <w:pPr>
              <w:spacing w:line="360" w:lineRule="exact"/>
              <w:jc w:val="center"/>
              <w:rPr>
                <w:b/>
                <w:spacing w:val="-16"/>
                <w:sz w:val="28"/>
                <w:szCs w:val="28"/>
              </w:rPr>
            </w:pPr>
            <w:r>
              <w:rPr>
                <w:b/>
                <w:spacing w:val="-16"/>
                <w:sz w:val="28"/>
                <w:szCs w:val="28"/>
              </w:rPr>
              <w:t>名称</w:t>
            </w:r>
          </w:p>
        </w:tc>
        <w:tc>
          <w:tcPr>
            <w:tcW w:w="2481" w:type="dxa"/>
            <w:tcBorders>
              <w:top w:val="single" w:color="auto" w:sz="8" w:space="0"/>
            </w:tcBorders>
            <w:vAlign w:val="center"/>
          </w:tcPr>
          <w:p>
            <w:pPr>
              <w:spacing w:line="360" w:lineRule="exact"/>
              <w:jc w:val="center"/>
              <w:rPr>
                <w:b/>
                <w:sz w:val="28"/>
                <w:szCs w:val="28"/>
              </w:rPr>
            </w:pPr>
            <w:r>
              <w:rPr>
                <w:b/>
                <w:sz w:val="28"/>
                <w:szCs w:val="28"/>
              </w:rPr>
              <w:t>防治措施</w:t>
            </w:r>
          </w:p>
        </w:tc>
        <w:tc>
          <w:tcPr>
            <w:tcW w:w="2514" w:type="dxa"/>
            <w:tcBorders>
              <w:top w:val="single" w:color="auto" w:sz="8" w:space="0"/>
            </w:tcBorders>
            <w:vAlign w:val="center"/>
          </w:tcPr>
          <w:p>
            <w:pPr>
              <w:spacing w:line="360" w:lineRule="exact"/>
              <w:jc w:val="center"/>
              <w:rPr>
                <w:b/>
                <w:sz w:val="28"/>
                <w:szCs w:val="28"/>
              </w:rPr>
            </w:pPr>
            <w:r>
              <w:rPr>
                <w:b/>
                <w:sz w:val="28"/>
                <w:szCs w:val="28"/>
              </w:rPr>
              <w:t>预期防治效果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jc w:val="center"/>
        </w:trPr>
        <w:tc>
          <w:tcPr>
            <w:tcW w:w="1099" w:type="dxa"/>
            <w:vMerge w:val="restart"/>
            <w:tcBorders>
              <w:top w:val="single" w:color="auto" w:sz="4" w:space="0"/>
            </w:tcBorders>
            <w:vAlign w:val="center"/>
          </w:tcPr>
          <w:p>
            <w:pPr>
              <w:spacing w:line="340" w:lineRule="exact"/>
              <w:jc w:val="center"/>
              <w:rPr>
                <w:b/>
                <w:sz w:val="28"/>
                <w:szCs w:val="28"/>
              </w:rPr>
            </w:pPr>
            <w:r>
              <w:rPr>
                <w:b/>
                <w:sz w:val="28"/>
                <w:szCs w:val="28"/>
              </w:rPr>
              <w:t>大</w:t>
            </w:r>
          </w:p>
          <w:p>
            <w:pPr>
              <w:spacing w:line="340" w:lineRule="exact"/>
              <w:jc w:val="center"/>
              <w:rPr>
                <w:b/>
                <w:sz w:val="28"/>
                <w:szCs w:val="28"/>
              </w:rPr>
            </w:pPr>
            <w:r>
              <w:rPr>
                <w:b/>
                <w:sz w:val="28"/>
                <w:szCs w:val="28"/>
              </w:rPr>
              <w:t>气</w:t>
            </w:r>
          </w:p>
          <w:p>
            <w:pPr>
              <w:spacing w:line="340" w:lineRule="exact"/>
              <w:jc w:val="center"/>
              <w:rPr>
                <w:b/>
                <w:sz w:val="28"/>
                <w:szCs w:val="28"/>
              </w:rPr>
            </w:pPr>
            <w:r>
              <w:rPr>
                <w:b/>
                <w:sz w:val="28"/>
                <w:szCs w:val="28"/>
              </w:rPr>
              <w:t>污</w:t>
            </w:r>
          </w:p>
          <w:p>
            <w:pPr>
              <w:spacing w:line="340" w:lineRule="exact"/>
              <w:jc w:val="center"/>
              <w:rPr>
                <w:b/>
                <w:sz w:val="28"/>
                <w:szCs w:val="28"/>
              </w:rPr>
            </w:pPr>
            <w:r>
              <w:rPr>
                <w:b/>
                <w:sz w:val="28"/>
                <w:szCs w:val="28"/>
              </w:rPr>
              <w:t>染</w:t>
            </w:r>
          </w:p>
          <w:p>
            <w:pPr>
              <w:spacing w:line="340" w:lineRule="exact"/>
              <w:jc w:val="center"/>
              <w:rPr>
                <w:b/>
                <w:sz w:val="24"/>
                <w:szCs w:val="24"/>
              </w:rPr>
            </w:pPr>
            <w:r>
              <w:rPr>
                <w:b/>
                <w:sz w:val="28"/>
                <w:szCs w:val="28"/>
              </w:rPr>
              <w:t>物</w:t>
            </w:r>
          </w:p>
        </w:tc>
        <w:tc>
          <w:tcPr>
            <w:tcW w:w="1333" w:type="dxa"/>
            <w:vAlign w:val="center"/>
          </w:tcPr>
          <w:p>
            <w:pPr>
              <w:jc w:val="center"/>
              <w:rPr>
                <w:sz w:val="24"/>
                <w:szCs w:val="24"/>
              </w:rPr>
            </w:pPr>
            <w:r>
              <w:rPr>
                <w:rFonts w:hint="eastAsia"/>
                <w:sz w:val="24"/>
                <w:szCs w:val="24"/>
              </w:rPr>
              <w:t>切割粉尘</w:t>
            </w:r>
          </w:p>
        </w:tc>
        <w:tc>
          <w:tcPr>
            <w:tcW w:w="1722" w:type="dxa"/>
            <w:vAlign w:val="center"/>
          </w:tcPr>
          <w:p>
            <w:pPr>
              <w:jc w:val="center"/>
              <w:rPr>
                <w:rFonts w:ascii="宋体"/>
                <w:sz w:val="24"/>
                <w:szCs w:val="24"/>
              </w:rPr>
            </w:pPr>
            <w:r>
              <w:rPr>
                <w:rFonts w:hint="eastAsia" w:ascii="宋体"/>
                <w:sz w:val="24"/>
                <w:szCs w:val="24"/>
              </w:rPr>
              <w:t>颗粒物有组织</w:t>
            </w:r>
          </w:p>
        </w:tc>
        <w:tc>
          <w:tcPr>
            <w:tcW w:w="2481" w:type="dxa"/>
            <w:vAlign w:val="center"/>
          </w:tcPr>
          <w:p>
            <w:pPr>
              <w:snapToGrid w:val="0"/>
              <w:spacing w:line="360" w:lineRule="exact"/>
              <w:jc w:val="center"/>
              <w:rPr>
                <w:sz w:val="24"/>
                <w:szCs w:val="24"/>
              </w:rPr>
            </w:pPr>
            <w:r>
              <w:rPr>
                <w:rFonts w:hint="eastAsia"/>
                <w:sz w:val="24"/>
                <w:szCs w:val="24"/>
              </w:rPr>
              <w:t>集气罩+布袋除尘器+15m排气筒（P1）</w:t>
            </w:r>
          </w:p>
        </w:tc>
        <w:tc>
          <w:tcPr>
            <w:tcW w:w="2514" w:type="dxa"/>
            <w:vAlign w:val="center"/>
          </w:tcPr>
          <w:p>
            <w:pPr>
              <w:pStyle w:val="6"/>
              <w:spacing w:line="240" w:lineRule="exact"/>
              <w:ind w:firstLine="0"/>
              <w:jc w:val="center"/>
              <w:rPr>
                <w:sz w:val="24"/>
                <w:szCs w:val="24"/>
              </w:rPr>
            </w:pPr>
            <w:r>
              <w:rPr>
                <w:sz w:val="24"/>
                <w:szCs w:val="24"/>
              </w:rPr>
              <w:t>《大气污染物综合排放标准》（GB16297-1996）表2二级标准要求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jc w:val="center"/>
        </w:trPr>
        <w:tc>
          <w:tcPr>
            <w:tcW w:w="1099" w:type="dxa"/>
            <w:vMerge w:val="continue"/>
            <w:vAlign w:val="center"/>
          </w:tcPr>
          <w:p>
            <w:pPr>
              <w:spacing w:line="340" w:lineRule="exact"/>
              <w:jc w:val="center"/>
              <w:rPr>
                <w:b/>
                <w:sz w:val="28"/>
                <w:szCs w:val="28"/>
              </w:rPr>
            </w:pPr>
          </w:p>
        </w:tc>
        <w:tc>
          <w:tcPr>
            <w:tcW w:w="1333" w:type="dxa"/>
            <w:vAlign w:val="center"/>
          </w:tcPr>
          <w:p>
            <w:pPr>
              <w:jc w:val="center"/>
              <w:rPr>
                <w:sz w:val="24"/>
                <w:szCs w:val="24"/>
              </w:rPr>
            </w:pPr>
            <w:r>
              <w:rPr>
                <w:rFonts w:hint="eastAsia"/>
                <w:sz w:val="24"/>
                <w:szCs w:val="24"/>
              </w:rPr>
              <w:t>焊接烟尘</w:t>
            </w:r>
          </w:p>
        </w:tc>
        <w:tc>
          <w:tcPr>
            <w:tcW w:w="1722" w:type="dxa"/>
            <w:vAlign w:val="center"/>
          </w:tcPr>
          <w:p>
            <w:pPr>
              <w:jc w:val="center"/>
              <w:rPr>
                <w:rFonts w:ascii="宋体"/>
                <w:sz w:val="24"/>
                <w:szCs w:val="24"/>
              </w:rPr>
            </w:pPr>
            <w:r>
              <w:rPr>
                <w:rFonts w:hint="eastAsia" w:ascii="宋体"/>
                <w:sz w:val="24"/>
                <w:szCs w:val="24"/>
              </w:rPr>
              <w:t>颗粒物无组织</w:t>
            </w:r>
          </w:p>
        </w:tc>
        <w:tc>
          <w:tcPr>
            <w:tcW w:w="2481" w:type="dxa"/>
            <w:vAlign w:val="center"/>
          </w:tcPr>
          <w:p>
            <w:pPr>
              <w:snapToGrid w:val="0"/>
              <w:spacing w:line="360" w:lineRule="exact"/>
              <w:jc w:val="center"/>
              <w:rPr>
                <w:sz w:val="24"/>
                <w:szCs w:val="24"/>
              </w:rPr>
            </w:pPr>
            <w:r>
              <w:rPr>
                <w:rFonts w:hint="eastAsia"/>
                <w:sz w:val="24"/>
                <w:szCs w:val="24"/>
              </w:rPr>
              <w:t>焊烟净化处理后无组织排放</w:t>
            </w:r>
          </w:p>
        </w:tc>
        <w:tc>
          <w:tcPr>
            <w:tcW w:w="2514" w:type="dxa"/>
            <w:vAlign w:val="center"/>
          </w:tcPr>
          <w:p>
            <w:pPr>
              <w:pStyle w:val="6"/>
              <w:spacing w:line="240" w:lineRule="exact"/>
              <w:ind w:firstLine="0"/>
              <w:jc w:val="center"/>
              <w:rPr>
                <w:snapToGrid w:val="0"/>
                <w:kern w:val="0"/>
                <w:sz w:val="24"/>
                <w:szCs w:val="24"/>
              </w:rPr>
            </w:pPr>
            <w:r>
              <w:rPr>
                <w:rFonts w:hint="eastAsia"/>
                <w:snapToGrid w:val="0"/>
                <w:kern w:val="0"/>
                <w:sz w:val="24"/>
                <w:szCs w:val="24"/>
              </w:rPr>
              <w:t>《大气污染物综合排放标准》（GB16297-1996）表2中无组织排放标准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jc w:val="center"/>
        </w:trPr>
        <w:tc>
          <w:tcPr>
            <w:tcW w:w="1099" w:type="dxa"/>
            <w:vMerge w:val="continue"/>
            <w:vAlign w:val="center"/>
          </w:tcPr>
          <w:p>
            <w:pPr>
              <w:spacing w:line="340" w:lineRule="exact"/>
              <w:jc w:val="center"/>
              <w:rPr>
                <w:b/>
                <w:sz w:val="24"/>
                <w:szCs w:val="24"/>
              </w:rPr>
            </w:pPr>
          </w:p>
        </w:tc>
        <w:tc>
          <w:tcPr>
            <w:tcW w:w="1333" w:type="dxa"/>
            <w:vMerge w:val="restart"/>
            <w:vAlign w:val="center"/>
          </w:tcPr>
          <w:p>
            <w:pPr>
              <w:jc w:val="center"/>
              <w:rPr>
                <w:rFonts w:ascii="宋体"/>
                <w:sz w:val="24"/>
                <w:szCs w:val="24"/>
              </w:rPr>
            </w:pPr>
            <w:r>
              <w:rPr>
                <w:rFonts w:hint="eastAsia" w:ascii="宋体"/>
                <w:sz w:val="24"/>
                <w:szCs w:val="24"/>
              </w:rPr>
              <w:t>喷晾漆废气</w:t>
            </w:r>
          </w:p>
        </w:tc>
        <w:tc>
          <w:tcPr>
            <w:tcW w:w="1722" w:type="dxa"/>
            <w:tcBorders>
              <w:top w:val="single" w:color="auto" w:sz="4" w:space="0"/>
            </w:tcBorders>
            <w:vAlign w:val="center"/>
          </w:tcPr>
          <w:p>
            <w:pPr>
              <w:spacing w:line="340" w:lineRule="exact"/>
              <w:jc w:val="center"/>
              <w:rPr>
                <w:bCs/>
                <w:spacing w:val="-4"/>
                <w:sz w:val="24"/>
                <w:szCs w:val="24"/>
              </w:rPr>
            </w:pPr>
            <w:r>
              <w:rPr>
                <w:sz w:val="24"/>
              </w:rPr>
              <w:t>颗粒物</w:t>
            </w:r>
          </w:p>
        </w:tc>
        <w:tc>
          <w:tcPr>
            <w:tcW w:w="2481" w:type="dxa"/>
            <w:vMerge w:val="restart"/>
            <w:vAlign w:val="center"/>
          </w:tcPr>
          <w:p>
            <w:pPr>
              <w:snapToGrid w:val="0"/>
              <w:spacing w:line="380" w:lineRule="exact"/>
              <w:jc w:val="center"/>
              <w:rPr>
                <w:sz w:val="24"/>
                <w:szCs w:val="24"/>
              </w:rPr>
            </w:pPr>
            <w:r>
              <w:rPr>
                <w:rFonts w:hint="eastAsia"/>
                <w:sz w:val="24"/>
                <w:szCs w:val="24"/>
              </w:rPr>
              <w:t>负压收集+干式过滤器+等离子光氧一体机+15m排气筒（P3）</w:t>
            </w:r>
          </w:p>
        </w:tc>
        <w:tc>
          <w:tcPr>
            <w:tcW w:w="2514" w:type="dxa"/>
            <w:vAlign w:val="center"/>
          </w:tcPr>
          <w:p>
            <w:pPr>
              <w:jc w:val="center"/>
              <w:rPr>
                <w:sz w:val="24"/>
                <w:szCs w:val="24"/>
              </w:rPr>
            </w:pPr>
            <w:r>
              <w:rPr>
                <w:sz w:val="24"/>
                <w:szCs w:val="24"/>
              </w:rPr>
              <w:t>《大气污染物综合排放标准》（GB16297-1996）</w:t>
            </w:r>
            <w:r>
              <w:rPr>
                <w:sz w:val="24"/>
              </w:rPr>
              <w:t>表2二级</w:t>
            </w:r>
            <w:r>
              <w:rPr>
                <w:rFonts w:hint="eastAsia"/>
                <w:sz w:val="24"/>
              </w:rPr>
              <w:t>染料尘</w:t>
            </w:r>
            <w:r>
              <w:rPr>
                <w:sz w:val="24"/>
              </w:rPr>
              <w:t>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jc w:val="center"/>
        </w:trPr>
        <w:tc>
          <w:tcPr>
            <w:tcW w:w="1099" w:type="dxa"/>
            <w:vMerge w:val="continue"/>
            <w:vAlign w:val="center"/>
          </w:tcPr>
          <w:p>
            <w:pPr>
              <w:spacing w:line="340" w:lineRule="exact"/>
              <w:jc w:val="center"/>
              <w:rPr>
                <w:b/>
                <w:sz w:val="24"/>
                <w:szCs w:val="24"/>
              </w:rPr>
            </w:pPr>
          </w:p>
        </w:tc>
        <w:tc>
          <w:tcPr>
            <w:tcW w:w="1333" w:type="dxa"/>
            <w:vMerge w:val="continue"/>
            <w:vAlign w:val="center"/>
          </w:tcPr>
          <w:p>
            <w:pPr>
              <w:jc w:val="center"/>
              <w:rPr>
                <w:rFonts w:ascii="宋体"/>
                <w:sz w:val="24"/>
                <w:szCs w:val="24"/>
              </w:rPr>
            </w:pPr>
          </w:p>
        </w:tc>
        <w:tc>
          <w:tcPr>
            <w:tcW w:w="1722" w:type="dxa"/>
            <w:tcBorders>
              <w:top w:val="single" w:color="auto" w:sz="4" w:space="0"/>
            </w:tcBorders>
            <w:vAlign w:val="center"/>
          </w:tcPr>
          <w:p>
            <w:pPr>
              <w:spacing w:line="340" w:lineRule="exact"/>
              <w:jc w:val="center"/>
              <w:rPr>
                <w:bCs/>
                <w:spacing w:val="-4"/>
                <w:sz w:val="24"/>
                <w:szCs w:val="24"/>
                <w:lang w:val="en-GB"/>
              </w:rPr>
            </w:pPr>
            <w:r>
              <w:rPr>
                <w:sz w:val="24"/>
              </w:rPr>
              <w:t>非甲烷总烃</w:t>
            </w:r>
          </w:p>
        </w:tc>
        <w:tc>
          <w:tcPr>
            <w:tcW w:w="2481" w:type="dxa"/>
            <w:vMerge w:val="continue"/>
            <w:vAlign w:val="center"/>
          </w:tcPr>
          <w:p>
            <w:pPr>
              <w:snapToGrid w:val="0"/>
              <w:spacing w:line="380" w:lineRule="exact"/>
              <w:jc w:val="center"/>
              <w:rPr>
                <w:sz w:val="24"/>
                <w:szCs w:val="24"/>
              </w:rPr>
            </w:pPr>
          </w:p>
        </w:tc>
        <w:tc>
          <w:tcPr>
            <w:tcW w:w="2514" w:type="dxa"/>
            <w:vMerge w:val="restart"/>
            <w:vAlign w:val="center"/>
          </w:tcPr>
          <w:p>
            <w:pPr>
              <w:jc w:val="center"/>
              <w:rPr>
                <w:sz w:val="24"/>
                <w:szCs w:val="24"/>
              </w:rPr>
            </w:pPr>
            <w:r>
              <w:rPr>
                <w:sz w:val="24"/>
                <w:szCs w:val="24"/>
              </w:rPr>
              <w:t>满足《工业企业挥发性有机物排放控制标准》（DB13/2322-2016）表1表面涂装业最高允许排放浓度要求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jc w:val="center"/>
        </w:trPr>
        <w:tc>
          <w:tcPr>
            <w:tcW w:w="1099" w:type="dxa"/>
            <w:vMerge w:val="continue"/>
            <w:vAlign w:val="center"/>
          </w:tcPr>
          <w:p>
            <w:pPr>
              <w:spacing w:line="340" w:lineRule="exact"/>
              <w:jc w:val="center"/>
              <w:rPr>
                <w:b/>
                <w:sz w:val="24"/>
                <w:szCs w:val="24"/>
              </w:rPr>
            </w:pPr>
          </w:p>
        </w:tc>
        <w:tc>
          <w:tcPr>
            <w:tcW w:w="1333" w:type="dxa"/>
            <w:vMerge w:val="continue"/>
            <w:vAlign w:val="center"/>
          </w:tcPr>
          <w:p>
            <w:pPr>
              <w:jc w:val="center"/>
              <w:rPr>
                <w:rFonts w:ascii="宋体" w:hAnsi="华文中宋"/>
                <w:sz w:val="24"/>
                <w:szCs w:val="24"/>
              </w:rPr>
            </w:pPr>
          </w:p>
        </w:tc>
        <w:tc>
          <w:tcPr>
            <w:tcW w:w="1722" w:type="dxa"/>
            <w:tcBorders>
              <w:top w:val="single" w:color="auto" w:sz="4" w:space="0"/>
            </w:tcBorders>
            <w:vAlign w:val="center"/>
          </w:tcPr>
          <w:p>
            <w:pPr>
              <w:spacing w:line="340" w:lineRule="exact"/>
              <w:jc w:val="center"/>
              <w:rPr>
                <w:bCs/>
                <w:spacing w:val="-4"/>
                <w:sz w:val="24"/>
                <w:szCs w:val="24"/>
              </w:rPr>
            </w:pPr>
            <w:r>
              <w:rPr>
                <w:sz w:val="24"/>
              </w:rPr>
              <w:t>二甲苯</w:t>
            </w:r>
          </w:p>
        </w:tc>
        <w:tc>
          <w:tcPr>
            <w:tcW w:w="2481" w:type="dxa"/>
            <w:vMerge w:val="continue"/>
            <w:vAlign w:val="center"/>
          </w:tcPr>
          <w:p>
            <w:pPr>
              <w:snapToGrid w:val="0"/>
              <w:spacing w:line="380" w:lineRule="exact"/>
              <w:jc w:val="center"/>
              <w:rPr>
                <w:sz w:val="24"/>
                <w:szCs w:val="24"/>
              </w:rPr>
            </w:pPr>
          </w:p>
        </w:tc>
        <w:tc>
          <w:tcPr>
            <w:tcW w:w="2514" w:type="dxa"/>
            <w:vMerge w:val="continue"/>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jc w:val="center"/>
        </w:trPr>
        <w:tc>
          <w:tcPr>
            <w:tcW w:w="1099" w:type="dxa"/>
            <w:vMerge w:val="continue"/>
            <w:vAlign w:val="center"/>
          </w:tcPr>
          <w:p>
            <w:pPr>
              <w:spacing w:line="340" w:lineRule="exact"/>
              <w:jc w:val="center"/>
              <w:rPr>
                <w:b/>
                <w:sz w:val="24"/>
                <w:szCs w:val="24"/>
              </w:rPr>
            </w:pPr>
          </w:p>
        </w:tc>
        <w:tc>
          <w:tcPr>
            <w:tcW w:w="1333" w:type="dxa"/>
            <w:vAlign w:val="center"/>
          </w:tcPr>
          <w:p>
            <w:pPr>
              <w:jc w:val="center"/>
              <w:rPr>
                <w:rFonts w:ascii="宋体"/>
                <w:sz w:val="24"/>
                <w:szCs w:val="24"/>
              </w:rPr>
            </w:pPr>
            <w:r>
              <w:rPr>
                <w:rFonts w:hint="eastAsia" w:ascii="宋体" w:hAnsi="华文中宋"/>
                <w:sz w:val="24"/>
                <w:szCs w:val="24"/>
              </w:rPr>
              <w:t>回火炉废气</w:t>
            </w:r>
          </w:p>
        </w:tc>
        <w:tc>
          <w:tcPr>
            <w:tcW w:w="1722" w:type="dxa"/>
            <w:tcBorders>
              <w:top w:val="single" w:color="auto" w:sz="4" w:space="0"/>
            </w:tcBorders>
            <w:vAlign w:val="center"/>
          </w:tcPr>
          <w:p>
            <w:pPr>
              <w:jc w:val="center"/>
              <w:rPr>
                <w:bCs/>
                <w:spacing w:val="-4"/>
                <w:sz w:val="24"/>
                <w:szCs w:val="24"/>
              </w:rPr>
            </w:pPr>
            <w:r>
              <w:rPr>
                <w:rFonts w:hint="eastAsia"/>
                <w:bCs/>
                <w:spacing w:val="-4"/>
                <w:sz w:val="24"/>
                <w:szCs w:val="24"/>
              </w:rPr>
              <w:t>非甲烷总烃（有组织）</w:t>
            </w:r>
          </w:p>
        </w:tc>
        <w:tc>
          <w:tcPr>
            <w:tcW w:w="2481" w:type="dxa"/>
            <w:vAlign w:val="center"/>
          </w:tcPr>
          <w:p>
            <w:pPr>
              <w:snapToGrid w:val="0"/>
              <w:spacing w:line="380" w:lineRule="exact"/>
              <w:jc w:val="center"/>
              <w:rPr>
                <w:rFonts w:ascii="宋体"/>
                <w:sz w:val="24"/>
                <w:szCs w:val="24"/>
              </w:rPr>
            </w:pPr>
            <w:r>
              <w:rPr>
                <w:rFonts w:hint="eastAsia"/>
                <w:sz w:val="24"/>
                <w:szCs w:val="24"/>
              </w:rPr>
              <w:t>集气罩+等离子光氧一体机+15m排气筒（P2）</w:t>
            </w:r>
          </w:p>
        </w:tc>
        <w:tc>
          <w:tcPr>
            <w:tcW w:w="2514" w:type="dxa"/>
            <w:vAlign w:val="center"/>
          </w:tcPr>
          <w:p>
            <w:pPr>
              <w:jc w:val="center"/>
              <w:rPr>
                <w:sz w:val="24"/>
                <w:szCs w:val="24"/>
              </w:rPr>
            </w:pPr>
            <w:r>
              <w:rPr>
                <w:rFonts w:hint="eastAsia"/>
                <w:sz w:val="24"/>
                <w:szCs w:val="24"/>
              </w:rPr>
              <w:t>《工业企业挥发性有机物排放控制标准》（DB13/2322-2016）表1其他行业标准限值要求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jc w:val="center"/>
        </w:trPr>
        <w:tc>
          <w:tcPr>
            <w:tcW w:w="1099" w:type="dxa"/>
            <w:vMerge w:val="continue"/>
            <w:vAlign w:val="center"/>
          </w:tcPr>
          <w:p>
            <w:pPr>
              <w:spacing w:line="340" w:lineRule="exact"/>
              <w:jc w:val="center"/>
              <w:rPr>
                <w:b/>
                <w:sz w:val="24"/>
                <w:szCs w:val="24"/>
              </w:rPr>
            </w:pPr>
          </w:p>
        </w:tc>
        <w:tc>
          <w:tcPr>
            <w:tcW w:w="1333" w:type="dxa"/>
            <w:vMerge w:val="restart"/>
            <w:vAlign w:val="center"/>
          </w:tcPr>
          <w:p>
            <w:pPr>
              <w:jc w:val="center"/>
              <w:rPr>
                <w:rFonts w:ascii="宋体"/>
                <w:sz w:val="24"/>
                <w:szCs w:val="24"/>
              </w:rPr>
            </w:pPr>
            <w:r>
              <w:rPr>
                <w:rFonts w:hint="eastAsia" w:ascii="宋体"/>
                <w:sz w:val="24"/>
                <w:szCs w:val="24"/>
              </w:rPr>
              <w:t>无组织废气</w:t>
            </w:r>
          </w:p>
        </w:tc>
        <w:tc>
          <w:tcPr>
            <w:tcW w:w="1722" w:type="dxa"/>
            <w:tcBorders>
              <w:top w:val="single" w:color="auto" w:sz="4" w:space="0"/>
            </w:tcBorders>
            <w:vAlign w:val="center"/>
          </w:tcPr>
          <w:p>
            <w:pPr>
              <w:spacing w:line="340" w:lineRule="exact"/>
              <w:jc w:val="center"/>
              <w:rPr>
                <w:bCs/>
                <w:spacing w:val="-4"/>
                <w:sz w:val="24"/>
                <w:szCs w:val="24"/>
                <w:lang w:val="en-GB"/>
              </w:rPr>
            </w:pPr>
            <w:r>
              <w:rPr>
                <w:sz w:val="24"/>
              </w:rPr>
              <w:t>颗粒物</w:t>
            </w:r>
          </w:p>
        </w:tc>
        <w:tc>
          <w:tcPr>
            <w:tcW w:w="2481" w:type="dxa"/>
            <w:vMerge w:val="restart"/>
            <w:vAlign w:val="center"/>
          </w:tcPr>
          <w:p>
            <w:pPr>
              <w:snapToGrid w:val="0"/>
              <w:spacing w:line="380" w:lineRule="exact"/>
              <w:jc w:val="center"/>
              <w:rPr>
                <w:sz w:val="24"/>
                <w:szCs w:val="24"/>
              </w:rPr>
            </w:pPr>
            <w:r>
              <w:rPr>
                <w:rFonts w:hint="eastAsia"/>
                <w:sz w:val="24"/>
                <w:szCs w:val="24"/>
              </w:rPr>
              <w:t>车间无组织排放</w:t>
            </w:r>
          </w:p>
        </w:tc>
        <w:tc>
          <w:tcPr>
            <w:tcW w:w="2514" w:type="dxa"/>
            <w:vAlign w:val="center"/>
          </w:tcPr>
          <w:p>
            <w:pPr>
              <w:pStyle w:val="6"/>
              <w:spacing w:line="240" w:lineRule="exact"/>
              <w:ind w:firstLine="0"/>
              <w:jc w:val="center"/>
              <w:rPr>
                <w:sz w:val="24"/>
                <w:szCs w:val="24"/>
              </w:rPr>
            </w:pPr>
            <w:r>
              <w:rPr>
                <w:rFonts w:hint="eastAsia"/>
                <w:snapToGrid w:val="0"/>
                <w:kern w:val="0"/>
                <w:sz w:val="24"/>
                <w:szCs w:val="24"/>
              </w:rPr>
              <w:t>《大气污染物综合排放标准》（GB16297-1996）表2中无组织排放标准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jc w:val="center"/>
        </w:trPr>
        <w:tc>
          <w:tcPr>
            <w:tcW w:w="1099" w:type="dxa"/>
            <w:vMerge w:val="continue"/>
            <w:vAlign w:val="center"/>
          </w:tcPr>
          <w:p>
            <w:pPr>
              <w:spacing w:line="340" w:lineRule="exact"/>
              <w:jc w:val="center"/>
              <w:rPr>
                <w:b/>
                <w:sz w:val="24"/>
                <w:szCs w:val="24"/>
              </w:rPr>
            </w:pPr>
          </w:p>
        </w:tc>
        <w:tc>
          <w:tcPr>
            <w:tcW w:w="1333" w:type="dxa"/>
            <w:vMerge w:val="continue"/>
            <w:vAlign w:val="center"/>
          </w:tcPr>
          <w:p>
            <w:pPr>
              <w:jc w:val="center"/>
              <w:rPr>
                <w:rFonts w:ascii="宋体"/>
                <w:sz w:val="24"/>
                <w:szCs w:val="24"/>
              </w:rPr>
            </w:pPr>
          </w:p>
        </w:tc>
        <w:tc>
          <w:tcPr>
            <w:tcW w:w="1722" w:type="dxa"/>
            <w:tcBorders>
              <w:top w:val="single" w:color="auto" w:sz="4" w:space="0"/>
            </w:tcBorders>
            <w:vAlign w:val="center"/>
          </w:tcPr>
          <w:p>
            <w:pPr>
              <w:spacing w:line="340" w:lineRule="exact"/>
              <w:jc w:val="center"/>
              <w:rPr>
                <w:bCs/>
                <w:spacing w:val="-4"/>
                <w:sz w:val="24"/>
                <w:szCs w:val="24"/>
                <w:lang w:val="en-GB"/>
              </w:rPr>
            </w:pPr>
            <w:r>
              <w:rPr>
                <w:sz w:val="24"/>
              </w:rPr>
              <w:t>非甲烷总烃</w:t>
            </w:r>
          </w:p>
        </w:tc>
        <w:tc>
          <w:tcPr>
            <w:tcW w:w="2481" w:type="dxa"/>
            <w:vMerge w:val="continue"/>
            <w:vAlign w:val="center"/>
          </w:tcPr>
          <w:p>
            <w:pPr>
              <w:snapToGrid w:val="0"/>
              <w:spacing w:line="380" w:lineRule="exact"/>
              <w:jc w:val="center"/>
              <w:rPr>
                <w:sz w:val="24"/>
                <w:szCs w:val="24"/>
              </w:rPr>
            </w:pPr>
          </w:p>
        </w:tc>
        <w:tc>
          <w:tcPr>
            <w:tcW w:w="2514" w:type="dxa"/>
            <w:vMerge w:val="restart"/>
            <w:vAlign w:val="center"/>
          </w:tcPr>
          <w:p>
            <w:pPr>
              <w:jc w:val="center"/>
              <w:rPr>
                <w:sz w:val="24"/>
                <w:szCs w:val="24"/>
              </w:rPr>
            </w:pPr>
            <w:r>
              <w:rPr>
                <w:sz w:val="24"/>
                <w:szCs w:val="24"/>
              </w:rPr>
              <w:t>满足《工业企业挥发性有机物排放控制标准》（DB13/2322-2016）表2其他企业边界大气污染物浓度限值要求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jc w:val="center"/>
        </w:trPr>
        <w:tc>
          <w:tcPr>
            <w:tcW w:w="1099" w:type="dxa"/>
            <w:vMerge w:val="continue"/>
            <w:vAlign w:val="center"/>
          </w:tcPr>
          <w:p>
            <w:pPr>
              <w:spacing w:line="340" w:lineRule="exact"/>
              <w:jc w:val="center"/>
              <w:rPr>
                <w:b/>
                <w:sz w:val="24"/>
                <w:szCs w:val="24"/>
              </w:rPr>
            </w:pPr>
          </w:p>
        </w:tc>
        <w:tc>
          <w:tcPr>
            <w:tcW w:w="1333" w:type="dxa"/>
            <w:vMerge w:val="continue"/>
            <w:vAlign w:val="center"/>
          </w:tcPr>
          <w:p>
            <w:pPr>
              <w:jc w:val="center"/>
              <w:rPr>
                <w:rFonts w:ascii="宋体"/>
                <w:sz w:val="24"/>
                <w:szCs w:val="24"/>
              </w:rPr>
            </w:pPr>
          </w:p>
        </w:tc>
        <w:tc>
          <w:tcPr>
            <w:tcW w:w="1722" w:type="dxa"/>
            <w:tcBorders>
              <w:top w:val="single" w:color="auto" w:sz="4" w:space="0"/>
            </w:tcBorders>
            <w:vAlign w:val="center"/>
          </w:tcPr>
          <w:p>
            <w:pPr>
              <w:spacing w:line="340" w:lineRule="exact"/>
              <w:jc w:val="center"/>
              <w:rPr>
                <w:bCs/>
                <w:spacing w:val="-4"/>
                <w:sz w:val="24"/>
                <w:szCs w:val="24"/>
                <w:lang w:val="en-GB"/>
              </w:rPr>
            </w:pPr>
            <w:r>
              <w:rPr>
                <w:sz w:val="24"/>
              </w:rPr>
              <w:t>二甲苯</w:t>
            </w:r>
          </w:p>
        </w:tc>
        <w:tc>
          <w:tcPr>
            <w:tcW w:w="2481" w:type="dxa"/>
            <w:vMerge w:val="continue"/>
            <w:vAlign w:val="center"/>
          </w:tcPr>
          <w:p>
            <w:pPr>
              <w:snapToGrid w:val="0"/>
              <w:spacing w:line="380" w:lineRule="exact"/>
              <w:jc w:val="center"/>
              <w:rPr>
                <w:sz w:val="24"/>
                <w:szCs w:val="24"/>
              </w:rPr>
            </w:pPr>
          </w:p>
        </w:tc>
        <w:tc>
          <w:tcPr>
            <w:tcW w:w="2514" w:type="dxa"/>
            <w:vMerge w:val="continue"/>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jc w:val="center"/>
        </w:trPr>
        <w:tc>
          <w:tcPr>
            <w:tcW w:w="1099" w:type="dxa"/>
            <w:vAlign w:val="center"/>
          </w:tcPr>
          <w:p>
            <w:pPr>
              <w:tabs>
                <w:tab w:val="left" w:pos="630"/>
              </w:tabs>
              <w:spacing w:line="340" w:lineRule="exact"/>
              <w:jc w:val="center"/>
              <w:rPr>
                <w:b/>
                <w:sz w:val="28"/>
                <w:szCs w:val="28"/>
              </w:rPr>
            </w:pPr>
            <w:r>
              <w:rPr>
                <w:b/>
                <w:sz w:val="28"/>
                <w:szCs w:val="28"/>
              </w:rPr>
              <w:t>水</w:t>
            </w:r>
          </w:p>
          <w:p>
            <w:pPr>
              <w:tabs>
                <w:tab w:val="left" w:pos="630"/>
              </w:tabs>
              <w:spacing w:line="340" w:lineRule="exact"/>
              <w:jc w:val="center"/>
              <w:rPr>
                <w:b/>
                <w:sz w:val="28"/>
                <w:szCs w:val="28"/>
              </w:rPr>
            </w:pPr>
            <w:r>
              <w:rPr>
                <w:b/>
                <w:sz w:val="28"/>
                <w:szCs w:val="28"/>
              </w:rPr>
              <w:t>污</w:t>
            </w:r>
          </w:p>
          <w:p>
            <w:pPr>
              <w:tabs>
                <w:tab w:val="left" w:pos="630"/>
              </w:tabs>
              <w:spacing w:line="340" w:lineRule="exact"/>
              <w:jc w:val="center"/>
              <w:rPr>
                <w:b/>
                <w:sz w:val="28"/>
                <w:szCs w:val="28"/>
              </w:rPr>
            </w:pPr>
            <w:r>
              <w:rPr>
                <w:b/>
                <w:sz w:val="28"/>
                <w:szCs w:val="28"/>
              </w:rPr>
              <w:t>染</w:t>
            </w:r>
          </w:p>
          <w:p>
            <w:pPr>
              <w:tabs>
                <w:tab w:val="left" w:pos="630"/>
              </w:tabs>
              <w:spacing w:line="340" w:lineRule="exact"/>
              <w:jc w:val="center"/>
              <w:rPr>
                <w:b/>
                <w:sz w:val="28"/>
                <w:szCs w:val="28"/>
              </w:rPr>
            </w:pPr>
            <w:r>
              <w:rPr>
                <w:b/>
                <w:sz w:val="28"/>
                <w:szCs w:val="28"/>
              </w:rPr>
              <w:t>物</w:t>
            </w:r>
          </w:p>
        </w:tc>
        <w:tc>
          <w:tcPr>
            <w:tcW w:w="1333" w:type="dxa"/>
            <w:vAlign w:val="center"/>
          </w:tcPr>
          <w:p>
            <w:pPr>
              <w:spacing w:line="280" w:lineRule="exact"/>
              <w:jc w:val="center"/>
              <w:rPr>
                <w:sz w:val="24"/>
              </w:rPr>
            </w:pPr>
            <w:r>
              <w:rPr>
                <w:rFonts w:hint="eastAsia"/>
                <w:sz w:val="24"/>
              </w:rPr>
              <w:t>--</w:t>
            </w:r>
          </w:p>
        </w:tc>
        <w:tc>
          <w:tcPr>
            <w:tcW w:w="1722" w:type="dxa"/>
            <w:vAlign w:val="center"/>
          </w:tcPr>
          <w:p>
            <w:pPr>
              <w:jc w:val="center"/>
              <w:rPr>
                <w:sz w:val="24"/>
                <w:szCs w:val="24"/>
              </w:rPr>
            </w:pPr>
            <w:r>
              <w:rPr>
                <w:rFonts w:hint="eastAsia"/>
                <w:sz w:val="24"/>
                <w:szCs w:val="24"/>
              </w:rPr>
              <w:t>--</w:t>
            </w:r>
          </w:p>
        </w:tc>
        <w:tc>
          <w:tcPr>
            <w:tcW w:w="2481" w:type="dxa"/>
            <w:vAlign w:val="center"/>
          </w:tcPr>
          <w:p>
            <w:pPr>
              <w:jc w:val="center"/>
              <w:rPr>
                <w:sz w:val="24"/>
                <w:szCs w:val="24"/>
              </w:rPr>
            </w:pPr>
            <w:r>
              <w:rPr>
                <w:rFonts w:hint="eastAsia"/>
                <w:sz w:val="24"/>
                <w:szCs w:val="24"/>
              </w:rPr>
              <w:t>--</w:t>
            </w:r>
          </w:p>
        </w:tc>
        <w:tc>
          <w:tcPr>
            <w:tcW w:w="2514" w:type="dxa"/>
            <w:vAlign w:val="center"/>
          </w:tcPr>
          <w:p>
            <w:pPr>
              <w:pStyle w:val="48"/>
              <w:rPr>
                <w:szCs w:val="24"/>
              </w:rPr>
            </w:pPr>
            <w:r>
              <w:rPr>
                <w:rFonts w:hint="eastAsia"/>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jc w:val="center"/>
        </w:trPr>
        <w:tc>
          <w:tcPr>
            <w:tcW w:w="1099" w:type="dxa"/>
            <w:vMerge w:val="restart"/>
            <w:tcBorders>
              <w:top w:val="single" w:color="auto" w:sz="4" w:space="0"/>
            </w:tcBorders>
            <w:vAlign w:val="center"/>
          </w:tcPr>
          <w:p>
            <w:pPr>
              <w:tabs>
                <w:tab w:val="left" w:pos="630"/>
              </w:tabs>
              <w:spacing w:line="340" w:lineRule="exact"/>
              <w:jc w:val="center"/>
              <w:rPr>
                <w:b/>
                <w:sz w:val="28"/>
                <w:szCs w:val="28"/>
              </w:rPr>
            </w:pPr>
            <w:commentRangeStart w:id="6"/>
            <w:r>
              <w:rPr>
                <w:b/>
                <w:sz w:val="28"/>
                <w:szCs w:val="28"/>
              </w:rPr>
              <w:t>固</w:t>
            </w:r>
          </w:p>
          <w:p>
            <w:pPr>
              <w:tabs>
                <w:tab w:val="left" w:pos="630"/>
              </w:tabs>
              <w:spacing w:line="340" w:lineRule="exact"/>
              <w:jc w:val="center"/>
              <w:rPr>
                <w:b/>
                <w:sz w:val="28"/>
                <w:szCs w:val="28"/>
              </w:rPr>
            </w:pPr>
            <w:r>
              <w:rPr>
                <w:b/>
                <w:sz w:val="28"/>
                <w:szCs w:val="28"/>
              </w:rPr>
              <w:t>体</w:t>
            </w:r>
          </w:p>
          <w:p>
            <w:pPr>
              <w:tabs>
                <w:tab w:val="left" w:pos="630"/>
              </w:tabs>
              <w:spacing w:line="340" w:lineRule="exact"/>
              <w:jc w:val="center"/>
              <w:rPr>
                <w:b/>
                <w:sz w:val="28"/>
                <w:szCs w:val="28"/>
              </w:rPr>
            </w:pPr>
            <w:r>
              <w:rPr>
                <w:b/>
                <w:sz w:val="28"/>
                <w:szCs w:val="28"/>
              </w:rPr>
              <w:t>废</w:t>
            </w:r>
          </w:p>
          <w:p>
            <w:pPr>
              <w:tabs>
                <w:tab w:val="left" w:pos="630"/>
              </w:tabs>
              <w:spacing w:line="340" w:lineRule="exact"/>
              <w:jc w:val="center"/>
              <w:rPr>
                <w:b/>
                <w:sz w:val="28"/>
                <w:szCs w:val="28"/>
              </w:rPr>
            </w:pPr>
            <w:r>
              <w:rPr>
                <w:b/>
                <w:sz w:val="28"/>
                <w:szCs w:val="28"/>
              </w:rPr>
              <w:t>物</w:t>
            </w:r>
            <w:commentRangeEnd w:id="6"/>
            <w:r>
              <w:rPr>
                <w:rStyle w:val="45"/>
              </w:rPr>
              <w:commentReference w:id="6"/>
            </w:r>
          </w:p>
        </w:tc>
        <w:tc>
          <w:tcPr>
            <w:tcW w:w="1333" w:type="dxa"/>
            <w:vMerge w:val="restart"/>
            <w:tcBorders>
              <w:top w:val="single" w:color="auto" w:sz="4" w:space="0"/>
            </w:tcBorders>
            <w:vAlign w:val="center"/>
          </w:tcPr>
          <w:p>
            <w:pPr>
              <w:spacing w:line="340" w:lineRule="exact"/>
              <w:jc w:val="center"/>
              <w:rPr>
                <w:sz w:val="24"/>
                <w:szCs w:val="24"/>
              </w:rPr>
            </w:pPr>
            <w:r>
              <w:rPr>
                <w:rFonts w:hint="eastAsia"/>
                <w:sz w:val="24"/>
                <w:szCs w:val="24"/>
              </w:rPr>
              <w:t>生产过程</w:t>
            </w:r>
          </w:p>
        </w:tc>
        <w:tc>
          <w:tcPr>
            <w:tcW w:w="1722" w:type="dxa"/>
            <w:tcBorders>
              <w:top w:val="single" w:color="auto" w:sz="4" w:space="0"/>
            </w:tcBorders>
            <w:vAlign w:val="center"/>
          </w:tcPr>
          <w:p>
            <w:pPr>
              <w:spacing w:line="340" w:lineRule="exact"/>
              <w:jc w:val="center"/>
              <w:rPr>
                <w:sz w:val="24"/>
                <w:szCs w:val="24"/>
              </w:rPr>
            </w:pPr>
            <w:r>
              <w:rPr>
                <w:rFonts w:hint="eastAsia"/>
                <w:sz w:val="24"/>
              </w:rPr>
              <w:t>废滤芯</w:t>
            </w:r>
          </w:p>
        </w:tc>
        <w:tc>
          <w:tcPr>
            <w:tcW w:w="2481" w:type="dxa"/>
            <w:vMerge w:val="restart"/>
            <w:tcBorders>
              <w:top w:val="single" w:color="auto" w:sz="6" w:space="0"/>
              <w:right w:val="single" w:color="auto" w:sz="6" w:space="0"/>
            </w:tcBorders>
            <w:vAlign w:val="center"/>
          </w:tcPr>
          <w:p>
            <w:pPr>
              <w:spacing w:line="380" w:lineRule="exact"/>
              <w:ind w:right="97"/>
              <w:jc w:val="center"/>
              <w:rPr>
                <w:sz w:val="24"/>
                <w:szCs w:val="24"/>
              </w:rPr>
            </w:pPr>
            <w:r>
              <w:rPr>
                <w:rFonts w:hint="eastAsia"/>
                <w:sz w:val="24"/>
              </w:rPr>
              <w:t>集中收集后，暂存于危废间，定期交由有资质单位处理</w:t>
            </w:r>
          </w:p>
        </w:tc>
        <w:tc>
          <w:tcPr>
            <w:tcW w:w="2514" w:type="dxa"/>
            <w:vMerge w:val="restart"/>
            <w:tcBorders>
              <w:top w:val="single" w:color="auto" w:sz="6" w:space="0"/>
              <w:left w:val="single" w:color="auto" w:sz="6" w:space="0"/>
              <w:right w:val="single" w:color="auto" w:sz="6" w:space="0"/>
            </w:tcBorders>
            <w:vAlign w:val="center"/>
          </w:tcPr>
          <w:p>
            <w:pPr>
              <w:jc w:val="center"/>
              <w:rPr>
                <w:sz w:val="24"/>
                <w:szCs w:val="24"/>
              </w:rPr>
            </w:pPr>
            <w:r>
              <w:rPr>
                <w:rFonts w:hint="eastAsia"/>
                <w:sz w:val="24"/>
                <w:szCs w:val="24"/>
              </w:rPr>
              <w:t>合理处置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jc w:val="center"/>
        </w:trPr>
        <w:tc>
          <w:tcPr>
            <w:tcW w:w="1099" w:type="dxa"/>
            <w:vMerge w:val="continue"/>
            <w:vAlign w:val="center"/>
          </w:tcPr>
          <w:p>
            <w:pPr>
              <w:tabs>
                <w:tab w:val="left" w:pos="630"/>
              </w:tabs>
              <w:spacing w:line="340" w:lineRule="exact"/>
              <w:jc w:val="center"/>
              <w:rPr>
                <w:b/>
                <w:sz w:val="28"/>
                <w:szCs w:val="28"/>
              </w:rPr>
            </w:pPr>
          </w:p>
        </w:tc>
        <w:tc>
          <w:tcPr>
            <w:tcW w:w="1333" w:type="dxa"/>
            <w:vMerge w:val="continue"/>
            <w:vAlign w:val="center"/>
          </w:tcPr>
          <w:p>
            <w:pPr>
              <w:spacing w:line="340" w:lineRule="exact"/>
              <w:jc w:val="center"/>
              <w:rPr>
                <w:sz w:val="24"/>
                <w:szCs w:val="24"/>
              </w:rPr>
            </w:pPr>
          </w:p>
        </w:tc>
        <w:tc>
          <w:tcPr>
            <w:tcW w:w="1722" w:type="dxa"/>
            <w:tcBorders>
              <w:top w:val="single" w:color="auto" w:sz="4" w:space="0"/>
            </w:tcBorders>
            <w:vAlign w:val="center"/>
          </w:tcPr>
          <w:p>
            <w:pPr>
              <w:spacing w:line="340" w:lineRule="exact"/>
              <w:jc w:val="center"/>
              <w:rPr>
                <w:sz w:val="24"/>
                <w:szCs w:val="24"/>
              </w:rPr>
            </w:pPr>
            <w:r>
              <w:rPr>
                <w:rFonts w:hint="eastAsia"/>
                <w:sz w:val="24"/>
              </w:rPr>
              <w:t>废油漆桶</w:t>
            </w:r>
          </w:p>
        </w:tc>
        <w:tc>
          <w:tcPr>
            <w:tcW w:w="2481" w:type="dxa"/>
            <w:vMerge w:val="continue"/>
            <w:tcBorders>
              <w:right w:val="single" w:color="auto" w:sz="6" w:space="0"/>
            </w:tcBorders>
            <w:vAlign w:val="center"/>
          </w:tcPr>
          <w:p>
            <w:pPr>
              <w:spacing w:line="380" w:lineRule="exact"/>
              <w:ind w:right="97"/>
              <w:jc w:val="center"/>
              <w:rPr>
                <w:sz w:val="24"/>
                <w:szCs w:val="24"/>
              </w:rPr>
            </w:pPr>
          </w:p>
        </w:tc>
        <w:tc>
          <w:tcPr>
            <w:tcW w:w="2514" w:type="dxa"/>
            <w:vMerge w:val="continue"/>
            <w:tcBorders>
              <w:left w:val="single" w:color="auto" w:sz="6" w:space="0"/>
              <w:right w:val="single" w:color="auto" w:sz="6" w:space="0"/>
            </w:tcBorders>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jc w:val="center"/>
        </w:trPr>
        <w:tc>
          <w:tcPr>
            <w:tcW w:w="1099" w:type="dxa"/>
            <w:vMerge w:val="continue"/>
            <w:vAlign w:val="center"/>
          </w:tcPr>
          <w:p>
            <w:pPr>
              <w:tabs>
                <w:tab w:val="left" w:pos="630"/>
              </w:tabs>
              <w:spacing w:line="340" w:lineRule="exact"/>
              <w:jc w:val="center"/>
              <w:rPr>
                <w:b/>
                <w:sz w:val="28"/>
                <w:szCs w:val="28"/>
              </w:rPr>
            </w:pPr>
          </w:p>
        </w:tc>
        <w:tc>
          <w:tcPr>
            <w:tcW w:w="1333" w:type="dxa"/>
            <w:vMerge w:val="continue"/>
            <w:vAlign w:val="center"/>
          </w:tcPr>
          <w:p>
            <w:pPr>
              <w:spacing w:line="340" w:lineRule="exact"/>
              <w:jc w:val="center"/>
              <w:rPr>
                <w:sz w:val="24"/>
                <w:szCs w:val="24"/>
              </w:rPr>
            </w:pPr>
          </w:p>
        </w:tc>
        <w:tc>
          <w:tcPr>
            <w:tcW w:w="1722" w:type="dxa"/>
            <w:tcBorders>
              <w:top w:val="single" w:color="auto" w:sz="4" w:space="0"/>
            </w:tcBorders>
            <w:vAlign w:val="center"/>
          </w:tcPr>
          <w:p>
            <w:pPr>
              <w:spacing w:line="340" w:lineRule="exact"/>
              <w:jc w:val="center"/>
              <w:rPr>
                <w:sz w:val="24"/>
                <w:szCs w:val="24"/>
              </w:rPr>
            </w:pPr>
            <w:r>
              <w:rPr>
                <w:rFonts w:hint="eastAsia"/>
                <w:sz w:val="24"/>
                <w:szCs w:val="24"/>
              </w:rPr>
              <w:t>废机油</w:t>
            </w:r>
          </w:p>
        </w:tc>
        <w:tc>
          <w:tcPr>
            <w:tcW w:w="2481" w:type="dxa"/>
            <w:vMerge w:val="continue"/>
            <w:tcBorders>
              <w:right w:val="single" w:color="auto" w:sz="6" w:space="0"/>
            </w:tcBorders>
            <w:vAlign w:val="center"/>
          </w:tcPr>
          <w:p>
            <w:pPr>
              <w:spacing w:line="380" w:lineRule="exact"/>
              <w:ind w:right="97"/>
              <w:jc w:val="center"/>
              <w:rPr>
                <w:sz w:val="24"/>
                <w:szCs w:val="24"/>
              </w:rPr>
            </w:pPr>
          </w:p>
        </w:tc>
        <w:tc>
          <w:tcPr>
            <w:tcW w:w="2514" w:type="dxa"/>
            <w:vMerge w:val="continue"/>
            <w:tcBorders>
              <w:left w:val="single" w:color="auto" w:sz="6" w:space="0"/>
              <w:right w:val="single" w:color="auto" w:sz="6" w:space="0"/>
            </w:tcBorders>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jc w:val="center"/>
        </w:trPr>
        <w:tc>
          <w:tcPr>
            <w:tcW w:w="1099" w:type="dxa"/>
            <w:vMerge w:val="continue"/>
            <w:vAlign w:val="center"/>
          </w:tcPr>
          <w:p>
            <w:pPr>
              <w:tabs>
                <w:tab w:val="left" w:pos="630"/>
              </w:tabs>
              <w:spacing w:line="340" w:lineRule="exact"/>
              <w:jc w:val="center"/>
              <w:rPr>
                <w:b/>
                <w:sz w:val="28"/>
                <w:szCs w:val="28"/>
              </w:rPr>
            </w:pPr>
          </w:p>
        </w:tc>
        <w:tc>
          <w:tcPr>
            <w:tcW w:w="1333" w:type="dxa"/>
            <w:vMerge w:val="continue"/>
            <w:vAlign w:val="center"/>
          </w:tcPr>
          <w:p>
            <w:pPr>
              <w:spacing w:line="340" w:lineRule="exact"/>
              <w:jc w:val="center"/>
              <w:rPr>
                <w:sz w:val="24"/>
                <w:szCs w:val="24"/>
              </w:rPr>
            </w:pPr>
          </w:p>
        </w:tc>
        <w:tc>
          <w:tcPr>
            <w:tcW w:w="1722" w:type="dxa"/>
            <w:tcBorders>
              <w:top w:val="single" w:color="auto" w:sz="4" w:space="0"/>
            </w:tcBorders>
            <w:vAlign w:val="center"/>
          </w:tcPr>
          <w:p>
            <w:pPr>
              <w:spacing w:line="340" w:lineRule="exact"/>
              <w:jc w:val="center"/>
              <w:rPr>
                <w:rFonts w:hint="eastAsia" w:eastAsia="宋体"/>
                <w:color w:val="FF0000"/>
                <w:sz w:val="24"/>
                <w:szCs w:val="24"/>
                <w:lang w:eastAsia="zh-CN"/>
              </w:rPr>
            </w:pPr>
            <w:r>
              <w:rPr>
                <w:rFonts w:hint="eastAsia"/>
                <w:color w:val="FF0000"/>
                <w:sz w:val="24"/>
                <w:szCs w:val="24"/>
                <w:lang w:eastAsia="zh-CN"/>
              </w:rPr>
              <w:t>废机油桶</w:t>
            </w:r>
          </w:p>
        </w:tc>
        <w:tc>
          <w:tcPr>
            <w:tcW w:w="2481" w:type="dxa"/>
            <w:tcBorders>
              <w:right w:val="single" w:color="auto" w:sz="6" w:space="0"/>
            </w:tcBorders>
            <w:vAlign w:val="center"/>
          </w:tcPr>
          <w:p>
            <w:pPr>
              <w:spacing w:line="380" w:lineRule="exact"/>
              <w:ind w:right="97"/>
              <w:jc w:val="center"/>
              <w:rPr>
                <w:rFonts w:hint="eastAsia" w:eastAsia="宋体"/>
                <w:color w:val="FF0000"/>
                <w:sz w:val="24"/>
                <w:szCs w:val="24"/>
                <w:lang w:eastAsia="zh-CN"/>
              </w:rPr>
            </w:pPr>
            <w:r>
              <w:rPr>
                <w:rFonts w:hint="eastAsia"/>
                <w:color w:val="FF0000"/>
                <w:sz w:val="24"/>
                <w:szCs w:val="24"/>
                <w:lang w:eastAsia="zh-CN"/>
              </w:rPr>
              <w:t>集中收集后，由原有厂家回收</w:t>
            </w:r>
          </w:p>
        </w:tc>
        <w:tc>
          <w:tcPr>
            <w:tcW w:w="2514" w:type="dxa"/>
            <w:vMerge w:val="continue"/>
            <w:tcBorders>
              <w:left w:val="single" w:color="auto" w:sz="6" w:space="0"/>
              <w:right w:val="single" w:color="auto" w:sz="6" w:space="0"/>
            </w:tcBorders>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jc w:val="center"/>
        </w:trPr>
        <w:tc>
          <w:tcPr>
            <w:tcW w:w="1099" w:type="dxa"/>
            <w:vAlign w:val="center"/>
          </w:tcPr>
          <w:p>
            <w:pPr>
              <w:spacing w:line="420" w:lineRule="exact"/>
              <w:jc w:val="center"/>
              <w:rPr>
                <w:b/>
                <w:sz w:val="28"/>
                <w:szCs w:val="28"/>
              </w:rPr>
            </w:pPr>
            <w:r>
              <w:rPr>
                <w:b/>
                <w:sz w:val="28"/>
                <w:szCs w:val="28"/>
              </w:rPr>
              <w:t>噪</w:t>
            </w:r>
          </w:p>
          <w:p>
            <w:pPr>
              <w:spacing w:line="420" w:lineRule="exact"/>
              <w:jc w:val="center"/>
              <w:rPr>
                <w:b/>
                <w:sz w:val="28"/>
                <w:szCs w:val="28"/>
              </w:rPr>
            </w:pPr>
            <w:r>
              <w:rPr>
                <w:b/>
                <w:sz w:val="28"/>
                <w:szCs w:val="28"/>
              </w:rPr>
              <w:t>声</w:t>
            </w:r>
          </w:p>
        </w:tc>
        <w:tc>
          <w:tcPr>
            <w:tcW w:w="8050" w:type="dxa"/>
            <w:gridSpan w:val="4"/>
            <w:vAlign w:val="center"/>
          </w:tcPr>
          <w:p>
            <w:pPr>
              <w:pStyle w:val="24"/>
              <w:spacing w:line="360" w:lineRule="auto"/>
              <w:ind w:firstLine="480" w:firstLineChars="200"/>
              <w:rPr>
                <w:sz w:val="24"/>
                <w:szCs w:val="24"/>
              </w:rPr>
            </w:pPr>
            <w:r>
              <w:rPr>
                <w:rFonts w:hint="eastAsia"/>
                <w:bCs/>
                <w:sz w:val="24"/>
                <w:szCs w:val="24"/>
              </w:rPr>
              <w:t>技改</w:t>
            </w:r>
            <w:r>
              <w:rPr>
                <w:bCs/>
                <w:sz w:val="24"/>
                <w:szCs w:val="24"/>
              </w:rPr>
              <w:t>项目产生噪声的设备主要有</w:t>
            </w:r>
            <w:r>
              <w:rPr>
                <w:rFonts w:hint="eastAsia"/>
                <w:bCs/>
                <w:sz w:val="24"/>
                <w:szCs w:val="24"/>
              </w:rPr>
              <w:t>二保焊机、数控车床、钻床、铣床</w:t>
            </w:r>
            <w:r>
              <w:rPr>
                <w:bCs/>
                <w:sz w:val="24"/>
                <w:szCs w:val="24"/>
              </w:rPr>
              <w:t>等</w:t>
            </w:r>
            <w:r>
              <w:rPr>
                <w:rFonts w:hint="eastAsia"/>
                <w:bCs/>
                <w:sz w:val="24"/>
                <w:szCs w:val="24"/>
              </w:rPr>
              <w:t>，</w:t>
            </w:r>
            <w:r>
              <w:rPr>
                <w:bCs/>
                <w:sz w:val="24"/>
                <w:szCs w:val="24"/>
              </w:rPr>
              <w:t>噪声级在</w:t>
            </w:r>
            <w:r>
              <w:rPr>
                <w:rFonts w:hint="eastAsia"/>
                <w:bCs/>
                <w:sz w:val="24"/>
                <w:szCs w:val="24"/>
              </w:rPr>
              <w:t>70~95</w:t>
            </w:r>
            <w:r>
              <w:rPr>
                <w:bCs/>
                <w:sz w:val="24"/>
                <w:szCs w:val="24"/>
              </w:rPr>
              <w:t>dB</w:t>
            </w:r>
            <w:r>
              <w:rPr>
                <w:rFonts w:hint="eastAsia"/>
                <w:bCs/>
                <w:sz w:val="24"/>
                <w:szCs w:val="24"/>
              </w:rPr>
              <w:t>（</w:t>
            </w:r>
            <w:r>
              <w:rPr>
                <w:bCs/>
                <w:sz w:val="24"/>
                <w:szCs w:val="24"/>
              </w:rPr>
              <w:t>A</w:t>
            </w:r>
            <w:r>
              <w:rPr>
                <w:rFonts w:hint="eastAsia"/>
                <w:bCs/>
                <w:sz w:val="24"/>
                <w:szCs w:val="24"/>
              </w:rPr>
              <w:t>）</w:t>
            </w:r>
            <w:r>
              <w:rPr>
                <w:bCs/>
                <w:sz w:val="24"/>
                <w:szCs w:val="24"/>
              </w:rPr>
              <w:t>之间</w:t>
            </w:r>
            <w:r>
              <w:rPr>
                <w:rFonts w:hint="eastAsia"/>
                <w:bCs/>
                <w:sz w:val="24"/>
                <w:szCs w:val="24"/>
              </w:rPr>
              <w:t>，采用低噪设备，并对产噪设备进行基础减振，合理布局，设置在车间内部，密闭生产，根据同类生产厂家的运行实践，本工程采取的减振等措施均是成熟可靠的，严格管理，勤于维护，采取合理布局、低噪设备、基础减振等措施，通过采取上述措施后，再经距离衰减，南</w:t>
            </w:r>
            <w:r>
              <w:rPr>
                <w:bCs/>
                <w:sz w:val="24"/>
                <w:szCs w:val="24"/>
              </w:rPr>
              <w:t>厂界噪声均满足《工业企业厂界环境噪声排放标准》</w:t>
            </w:r>
            <w:r>
              <w:rPr>
                <w:rFonts w:hint="eastAsia"/>
                <w:bCs/>
                <w:sz w:val="24"/>
                <w:szCs w:val="24"/>
              </w:rPr>
              <w:t>（</w:t>
            </w:r>
            <w:r>
              <w:rPr>
                <w:bCs/>
                <w:sz w:val="24"/>
                <w:szCs w:val="24"/>
              </w:rPr>
              <w:t>GB12348</w:t>
            </w:r>
            <w:r>
              <w:rPr>
                <w:rFonts w:hint="eastAsia"/>
                <w:bCs/>
                <w:sz w:val="24"/>
                <w:szCs w:val="24"/>
              </w:rPr>
              <w:t>-</w:t>
            </w:r>
            <w:r>
              <w:rPr>
                <w:bCs/>
                <w:sz w:val="24"/>
                <w:szCs w:val="24"/>
              </w:rPr>
              <w:t>2008</w:t>
            </w:r>
            <w:r>
              <w:rPr>
                <w:rFonts w:hint="eastAsia"/>
                <w:bCs/>
                <w:sz w:val="24"/>
                <w:szCs w:val="24"/>
              </w:rPr>
              <w:t>）</w:t>
            </w:r>
            <w:r>
              <w:rPr>
                <w:bCs/>
                <w:sz w:val="24"/>
                <w:szCs w:val="24"/>
              </w:rPr>
              <w:t>中</w:t>
            </w:r>
            <w:r>
              <w:rPr>
                <w:rFonts w:hint="eastAsia"/>
                <w:bCs/>
                <w:sz w:val="24"/>
                <w:szCs w:val="24"/>
              </w:rPr>
              <w:t>4</w:t>
            </w:r>
            <w:r>
              <w:rPr>
                <w:bCs/>
                <w:sz w:val="24"/>
                <w:szCs w:val="24"/>
              </w:rPr>
              <w:t>类标准</w:t>
            </w:r>
            <w:r>
              <w:rPr>
                <w:rFonts w:hint="eastAsia"/>
                <w:bCs/>
                <w:sz w:val="24"/>
                <w:szCs w:val="24"/>
              </w:rPr>
              <w:t>，其余三</w:t>
            </w:r>
            <w:r>
              <w:rPr>
                <w:bCs/>
                <w:sz w:val="24"/>
                <w:szCs w:val="24"/>
              </w:rPr>
              <w:t>厂界噪声均满足《工业企业厂界环境噪声排放标准》</w:t>
            </w:r>
            <w:r>
              <w:rPr>
                <w:rFonts w:hint="eastAsia"/>
                <w:bCs/>
                <w:sz w:val="24"/>
                <w:szCs w:val="24"/>
              </w:rPr>
              <w:t>（</w:t>
            </w:r>
            <w:r>
              <w:rPr>
                <w:bCs/>
                <w:sz w:val="24"/>
                <w:szCs w:val="24"/>
              </w:rPr>
              <w:t>GB12348</w:t>
            </w:r>
            <w:r>
              <w:rPr>
                <w:rFonts w:hint="eastAsia"/>
                <w:bCs/>
                <w:sz w:val="24"/>
                <w:szCs w:val="24"/>
              </w:rPr>
              <w:t>-</w:t>
            </w:r>
            <w:r>
              <w:rPr>
                <w:bCs/>
                <w:sz w:val="24"/>
                <w:szCs w:val="24"/>
              </w:rPr>
              <w:t>2008</w:t>
            </w:r>
            <w:r>
              <w:rPr>
                <w:rFonts w:hint="eastAsia"/>
                <w:bCs/>
                <w:sz w:val="24"/>
                <w:szCs w:val="24"/>
              </w:rPr>
              <w:t>）</w:t>
            </w:r>
            <w:r>
              <w:rPr>
                <w:bCs/>
                <w:sz w:val="24"/>
                <w:szCs w:val="24"/>
              </w:rPr>
              <w:t>中</w:t>
            </w:r>
            <w:r>
              <w:rPr>
                <w:rFonts w:hint="eastAsia"/>
                <w:bCs/>
                <w:sz w:val="24"/>
                <w:szCs w:val="24"/>
              </w:rPr>
              <w:t>3</w:t>
            </w:r>
            <w:r>
              <w:rPr>
                <w:bCs/>
                <w:sz w:val="24"/>
                <w:szCs w:val="24"/>
              </w:rPr>
              <w:t>类标准。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1099" w:type="dxa"/>
            <w:vAlign w:val="center"/>
          </w:tcPr>
          <w:p>
            <w:pPr>
              <w:spacing w:line="420" w:lineRule="exact"/>
              <w:jc w:val="center"/>
              <w:rPr>
                <w:b/>
                <w:sz w:val="28"/>
                <w:szCs w:val="28"/>
              </w:rPr>
            </w:pPr>
            <w:r>
              <w:rPr>
                <w:b/>
                <w:sz w:val="28"/>
                <w:szCs w:val="28"/>
              </w:rPr>
              <w:t>其</w:t>
            </w:r>
          </w:p>
          <w:p>
            <w:pPr>
              <w:spacing w:line="420" w:lineRule="exact"/>
              <w:jc w:val="center"/>
              <w:rPr>
                <w:b/>
                <w:sz w:val="24"/>
                <w:szCs w:val="24"/>
              </w:rPr>
            </w:pPr>
            <w:r>
              <w:rPr>
                <w:b/>
                <w:sz w:val="28"/>
                <w:szCs w:val="28"/>
              </w:rPr>
              <w:t>他</w:t>
            </w:r>
          </w:p>
        </w:tc>
        <w:tc>
          <w:tcPr>
            <w:tcW w:w="8050" w:type="dxa"/>
            <w:gridSpan w:val="4"/>
            <w:vAlign w:val="center"/>
          </w:tcPr>
          <w:p>
            <w:pPr>
              <w:spacing w:line="420" w:lineRule="exact"/>
              <w:ind w:left="113" w:leftChars="54" w:right="113" w:firstLine="480" w:firstLineChars="200"/>
              <w:rPr>
                <w:sz w:val="24"/>
                <w:szCs w:val="24"/>
              </w:rPr>
            </w:pPr>
            <w:r>
              <w:rPr>
                <w:sz w:val="24"/>
                <w:szCs w:val="24"/>
              </w:rPr>
              <w:t>一般防渗区域：</w:t>
            </w:r>
            <w:r>
              <w:rPr>
                <w:rFonts w:hint="eastAsia"/>
                <w:sz w:val="24"/>
                <w:szCs w:val="24"/>
              </w:rPr>
              <w:t>原料储存库</w:t>
            </w:r>
            <w:r>
              <w:rPr>
                <w:sz w:val="24"/>
                <w:szCs w:val="24"/>
              </w:rPr>
              <w:t>用水泥硬化（防渗水池底部用8～10cm的水泥浇底），采取防渗措施后，防渗系数应达到10</w:t>
            </w:r>
            <w:r>
              <w:rPr>
                <w:sz w:val="24"/>
                <w:szCs w:val="24"/>
                <w:vertAlign w:val="superscript"/>
              </w:rPr>
              <w:t>-7</w:t>
            </w:r>
            <w:r>
              <w:rPr>
                <w:sz w:val="24"/>
                <w:szCs w:val="24"/>
              </w:rPr>
              <w:t>cm/s，使总体防渗层达到极微透水～弱透水级。</w:t>
            </w:r>
          </w:p>
          <w:p>
            <w:pPr>
              <w:spacing w:line="420" w:lineRule="exact"/>
              <w:ind w:left="113" w:leftChars="54" w:right="113" w:firstLine="480" w:firstLineChars="200"/>
              <w:rPr>
                <w:sz w:val="24"/>
                <w:szCs w:val="24"/>
              </w:rPr>
            </w:pPr>
            <w:r>
              <w:rPr>
                <w:sz w:val="24"/>
                <w:szCs w:val="24"/>
              </w:rPr>
              <w:t>重点防渗区域：危险间地面进行防腐、防渗处理，地基之上采用采用水泥混凝土地面+环氧树脂漆做防渗处理，门口设置不低于10cm防溢流围堰</w:t>
            </w:r>
            <w:r>
              <w:rPr>
                <w:rFonts w:hint="eastAsia"/>
                <w:sz w:val="24"/>
                <w:szCs w:val="24"/>
              </w:rPr>
              <w:t>；污水处理站槽底、污水管道及其附近区域等容易引起污染物泄漏以及引起跑、冒、滴、漏的区域</w:t>
            </w:r>
            <w:r>
              <w:rPr>
                <w:sz w:val="24"/>
                <w:szCs w:val="24"/>
              </w:rPr>
              <w:t>进行防腐、防渗处理，整体渗透系数低于10</w:t>
            </w:r>
            <w:r>
              <w:rPr>
                <w:sz w:val="24"/>
                <w:szCs w:val="24"/>
                <w:vertAlign w:val="superscript"/>
              </w:rPr>
              <w:t>-10</w:t>
            </w:r>
            <w:r>
              <w:rPr>
                <w:sz w:val="24"/>
                <w:szCs w:val="24"/>
              </w:rPr>
              <w:t>cm/s</w:t>
            </w:r>
            <w:r>
              <w:rPr>
                <w:rFonts w:hint="eastAsia"/>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9149" w:type="dxa"/>
            <w:gridSpan w:val="5"/>
            <w:tcBorders>
              <w:bottom w:val="single" w:color="auto" w:sz="8" w:space="0"/>
            </w:tcBorders>
            <w:vAlign w:val="center"/>
          </w:tcPr>
          <w:p>
            <w:pPr>
              <w:spacing w:beforeLines="50" w:line="420" w:lineRule="exact"/>
              <w:ind w:firstLine="137" w:firstLineChars="49"/>
              <w:rPr>
                <w:b/>
                <w:sz w:val="28"/>
                <w:szCs w:val="28"/>
              </w:rPr>
            </w:pPr>
            <w:r>
              <w:rPr>
                <w:b/>
                <w:sz w:val="28"/>
                <w:szCs w:val="28"/>
              </w:rPr>
              <w:t>生态保护措施及预期效果：</w:t>
            </w:r>
          </w:p>
          <w:p>
            <w:pPr>
              <w:pStyle w:val="15"/>
              <w:widowControl/>
              <w:spacing w:line="360" w:lineRule="auto"/>
              <w:ind w:firstLine="480"/>
              <w:rPr>
                <w:sz w:val="24"/>
                <w:szCs w:val="24"/>
              </w:rPr>
            </w:pPr>
            <w:r>
              <w:rPr>
                <w:rFonts w:hint="eastAsia"/>
                <w:sz w:val="24"/>
                <w:szCs w:val="24"/>
              </w:rPr>
              <w:t>无</w:t>
            </w:r>
          </w:p>
          <w:p>
            <w:pPr>
              <w:pStyle w:val="15"/>
              <w:widowControl/>
              <w:spacing w:line="360" w:lineRule="auto"/>
              <w:ind w:firstLine="480"/>
              <w:rPr>
                <w:color w:val="0000FF"/>
                <w:sz w:val="24"/>
                <w:szCs w:val="24"/>
              </w:rPr>
            </w:pPr>
          </w:p>
          <w:p>
            <w:pPr>
              <w:pStyle w:val="15"/>
              <w:widowControl/>
              <w:spacing w:line="360" w:lineRule="auto"/>
              <w:ind w:firstLine="480"/>
              <w:rPr>
                <w:color w:val="0000FF"/>
                <w:sz w:val="24"/>
                <w:szCs w:val="24"/>
              </w:rPr>
            </w:pPr>
          </w:p>
          <w:p>
            <w:pPr>
              <w:pStyle w:val="15"/>
              <w:widowControl/>
              <w:spacing w:line="360" w:lineRule="auto"/>
              <w:ind w:firstLine="480"/>
              <w:rPr>
                <w:color w:val="0000FF"/>
                <w:sz w:val="24"/>
                <w:szCs w:val="24"/>
              </w:rPr>
            </w:pPr>
          </w:p>
          <w:p>
            <w:pPr>
              <w:pStyle w:val="15"/>
              <w:widowControl/>
              <w:spacing w:line="360" w:lineRule="auto"/>
              <w:ind w:firstLine="480"/>
              <w:rPr>
                <w:color w:val="0000FF"/>
                <w:sz w:val="24"/>
                <w:szCs w:val="24"/>
              </w:rPr>
            </w:pPr>
          </w:p>
          <w:p>
            <w:pPr>
              <w:pStyle w:val="15"/>
              <w:widowControl/>
              <w:spacing w:line="360" w:lineRule="auto"/>
              <w:ind w:firstLine="480"/>
              <w:rPr>
                <w:color w:val="0000FF"/>
                <w:sz w:val="24"/>
                <w:szCs w:val="24"/>
              </w:rPr>
            </w:pPr>
          </w:p>
          <w:p>
            <w:pPr>
              <w:pStyle w:val="15"/>
              <w:widowControl/>
              <w:spacing w:line="360" w:lineRule="auto"/>
              <w:ind w:firstLine="480"/>
              <w:rPr>
                <w:color w:val="0000FF"/>
                <w:sz w:val="24"/>
                <w:szCs w:val="24"/>
              </w:rPr>
            </w:pPr>
          </w:p>
          <w:p>
            <w:pPr>
              <w:pStyle w:val="15"/>
              <w:widowControl/>
              <w:spacing w:line="360" w:lineRule="auto"/>
              <w:ind w:firstLine="480"/>
              <w:rPr>
                <w:color w:val="0000FF"/>
                <w:sz w:val="24"/>
                <w:szCs w:val="24"/>
              </w:rPr>
            </w:pPr>
          </w:p>
          <w:p>
            <w:pPr>
              <w:pStyle w:val="15"/>
              <w:widowControl/>
              <w:spacing w:line="360" w:lineRule="auto"/>
              <w:ind w:firstLine="480"/>
              <w:rPr>
                <w:color w:val="0000FF"/>
                <w:sz w:val="24"/>
                <w:szCs w:val="24"/>
              </w:rPr>
            </w:pPr>
          </w:p>
          <w:p>
            <w:pPr>
              <w:pStyle w:val="79"/>
              <w:spacing w:line="480" w:lineRule="exact"/>
              <w:ind w:firstLine="480" w:firstLineChars="200"/>
              <w:rPr>
                <w:color w:val="0000FF"/>
                <w:szCs w:val="24"/>
              </w:rPr>
            </w:pPr>
          </w:p>
          <w:p>
            <w:pPr>
              <w:pStyle w:val="79"/>
              <w:spacing w:line="480" w:lineRule="exact"/>
              <w:ind w:firstLine="480" w:firstLineChars="200"/>
              <w:rPr>
                <w:color w:val="0000FF"/>
                <w:szCs w:val="24"/>
              </w:rPr>
            </w:pPr>
          </w:p>
          <w:p>
            <w:pPr>
              <w:pStyle w:val="79"/>
              <w:spacing w:line="480" w:lineRule="exact"/>
              <w:ind w:firstLine="480" w:firstLineChars="200"/>
              <w:rPr>
                <w:color w:val="0000FF"/>
                <w:szCs w:val="24"/>
              </w:rPr>
            </w:pPr>
          </w:p>
          <w:p>
            <w:pPr>
              <w:pStyle w:val="79"/>
              <w:spacing w:line="480" w:lineRule="exact"/>
              <w:ind w:firstLine="480" w:firstLineChars="200"/>
              <w:rPr>
                <w:color w:val="0000FF"/>
                <w:szCs w:val="24"/>
              </w:rPr>
            </w:pPr>
          </w:p>
          <w:p>
            <w:pPr>
              <w:pStyle w:val="79"/>
              <w:spacing w:line="480" w:lineRule="exact"/>
              <w:ind w:firstLine="480" w:firstLineChars="200"/>
              <w:rPr>
                <w:color w:val="0000FF"/>
                <w:szCs w:val="24"/>
              </w:rPr>
            </w:pPr>
          </w:p>
          <w:p>
            <w:pPr>
              <w:pStyle w:val="79"/>
              <w:spacing w:line="480" w:lineRule="exact"/>
              <w:ind w:firstLine="480" w:firstLineChars="200"/>
              <w:rPr>
                <w:color w:val="0000FF"/>
                <w:szCs w:val="24"/>
              </w:rPr>
            </w:pPr>
          </w:p>
          <w:p>
            <w:pPr>
              <w:pStyle w:val="79"/>
              <w:spacing w:line="480" w:lineRule="exact"/>
              <w:ind w:firstLine="480" w:firstLineChars="200"/>
              <w:rPr>
                <w:color w:val="0000FF"/>
                <w:szCs w:val="24"/>
              </w:rPr>
            </w:pPr>
          </w:p>
          <w:p>
            <w:pPr>
              <w:pStyle w:val="79"/>
              <w:spacing w:line="480" w:lineRule="exact"/>
              <w:rPr>
                <w:color w:val="0000FF"/>
                <w:szCs w:val="24"/>
              </w:rPr>
            </w:pPr>
          </w:p>
        </w:tc>
      </w:tr>
    </w:tbl>
    <w:p>
      <w:pPr>
        <w:outlineLvl w:val="0"/>
        <w:rPr>
          <w:rFonts w:ascii="宋体" w:hAnsi="宋体"/>
          <w:b/>
          <w:color w:val="0000FF"/>
          <w:sz w:val="30"/>
        </w:rPr>
      </w:pPr>
      <w:r>
        <w:rPr>
          <w:rFonts w:eastAsia="黑体"/>
          <w:b/>
          <w:bCs/>
          <w:color w:val="0000FF"/>
          <w:sz w:val="32"/>
        </w:rPr>
        <w:br w:type="page"/>
      </w:r>
      <w:r>
        <w:rPr>
          <w:rFonts w:ascii="宋体" w:hAnsi="宋体"/>
          <w:b/>
          <w:sz w:val="30"/>
        </w:rPr>
        <w:t>环境管理</w:t>
      </w:r>
    </w:p>
    <w:tbl>
      <w:tblPr>
        <w:tblStyle w:val="31"/>
        <w:tblW w:w="91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3" w:hRule="atLeast"/>
          <w:jc w:val="center"/>
        </w:trPr>
        <w:tc>
          <w:tcPr>
            <w:tcW w:w="9179" w:type="dxa"/>
            <w:tcBorders>
              <w:top w:val="single" w:color="auto" w:sz="4" w:space="0"/>
              <w:left w:val="single" w:color="auto" w:sz="4" w:space="0"/>
              <w:bottom w:val="single" w:color="auto" w:sz="4" w:space="0"/>
              <w:right w:val="single" w:color="auto" w:sz="4" w:space="0"/>
            </w:tcBorders>
            <w:vAlign w:val="center"/>
          </w:tcPr>
          <w:p>
            <w:pPr>
              <w:spacing w:line="480" w:lineRule="exact"/>
              <w:rPr>
                <w:b/>
                <w:sz w:val="28"/>
              </w:rPr>
            </w:pPr>
            <w:r>
              <w:rPr>
                <w:b/>
                <w:sz w:val="28"/>
              </w:rPr>
              <w:t>1.环境管理</w:t>
            </w:r>
          </w:p>
          <w:p>
            <w:pPr>
              <w:adjustRightInd w:val="0"/>
              <w:snapToGrid w:val="0"/>
              <w:spacing w:line="480" w:lineRule="exact"/>
              <w:ind w:firstLine="480" w:firstLineChars="200"/>
              <w:jc w:val="left"/>
              <w:rPr>
                <w:sz w:val="24"/>
              </w:rPr>
            </w:pPr>
            <w:r>
              <w:rPr>
                <w:sz w:val="24"/>
              </w:rPr>
              <w:t>环境管理是以环境科学理论为基础，运用经济、法律、技术、行政、教育等手段对经济、社会发展过程中施加给环境的污染和破坏影响进行调节控制，实现经济、社会和环境效益的和谐统一。</w:t>
            </w:r>
          </w:p>
          <w:p>
            <w:pPr>
              <w:adjustRightInd w:val="0"/>
              <w:snapToGrid w:val="0"/>
              <w:spacing w:line="480" w:lineRule="exact"/>
              <w:ind w:firstLine="480" w:firstLineChars="200"/>
              <w:jc w:val="left"/>
              <w:rPr>
                <w:sz w:val="24"/>
              </w:rPr>
            </w:pPr>
            <w:r>
              <w:rPr>
                <w:sz w:val="24"/>
              </w:rPr>
              <w:t>本项目运营环境管理的主要任务是确保各项环保设施的正常运转，同时通过日常环境监测获得运行参数，为运营管理和环境决策提供科学依据。</w:t>
            </w:r>
          </w:p>
          <w:p>
            <w:pPr>
              <w:adjustRightInd w:val="0"/>
              <w:snapToGrid w:val="0"/>
              <w:spacing w:line="480" w:lineRule="exact"/>
              <w:ind w:firstLine="480" w:firstLineChars="200"/>
              <w:jc w:val="left"/>
              <w:rPr>
                <w:sz w:val="24"/>
              </w:rPr>
            </w:pPr>
            <w:r>
              <w:rPr>
                <w:sz w:val="24"/>
              </w:rPr>
              <w:t>（1）管理机构设置</w:t>
            </w:r>
          </w:p>
          <w:p>
            <w:pPr>
              <w:adjustRightInd w:val="0"/>
              <w:snapToGrid w:val="0"/>
              <w:spacing w:line="480" w:lineRule="exact"/>
              <w:ind w:firstLine="480" w:firstLineChars="200"/>
              <w:jc w:val="left"/>
              <w:rPr>
                <w:sz w:val="24"/>
              </w:rPr>
            </w:pPr>
            <w:r>
              <w:rPr>
                <w:sz w:val="24"/>
              </w:rPr>
              <w:t>环境管理工作应实行法人负责制，本项目应设置环保管理机构和管理人员，企业需配置1名专职或兼职管理人员。</w:t>
            </w:r>
          </w:p>
          <w:p>
            <w:pPr>
              <w:adjustRightInd w:val="0"/>
              <w:snapToGrid w:val="0"/>
              <w:spacing w:line="480" w:lineRule="exact"/>
              <w:ind w:firstLine="480" w:firstLineChars="200"/>
              <w:jc w:val="left"/>
              <w:rPr>
                <w:sz w:val="24"/>
              </w:rPr>
            </w:pPr>
            <w:r>
              <w:rPr>
                <w:sz w:val="24"/>
              </w:rPr>
              <w:t>（2）环境管理机构的基本职责</w:t>
            </w:r>
          </w:p>
          <w:p>
            <w:pPr>
              <w:adjustRightInd w:val="0"/>
              <w:snapToGrid w:val="0"/>
              <w:spacing w:line="480" w:lineRule="exact"/>
              <w:ind w:firstLine="480" w:firstLineChars="200"/>
              <w:jc w:val="left"/>
              <w:rPr>
                <w:sz w:val="24"/>
              </w:rPr>
            </w:pPr>
            <w:r>
              <w:rPr>
                <w:rFonts w:hint="eastAsia" w:cs="宋体"/>
                <w:sz w:val="24"/>
              </w:rPr>
              <w:t>①</w:t>
            </w:r>
            <w:r>
              <w:rPr>
                <w:sz w:val="24"/>
              </w:rPr>
              <w:t>贯彻执行《中华人民共和国环境保护法》及其相关法律、法规，按国家的环保政策、环境标准及环境监测要求，制定环境管理规章制度，并监督执行。</w:t>
            </w:r>
          </w:p>
          <w:p>
            <w:pPr>
              <w:adjustRightInd w:val="0"/>
              <w:snapToGrid w:val="0"/>
              <w:spacing w:line="480" w:lineRule="exact"/>
              <w:ind w:firstLine="480" w:firstLineChars="200"/>
              <w:jc w:val="left"/>
              <w:rPr>
                <w:sz w:val="24"/>
              </w:rPr>
            </w:pPr>
            <w:r>
              <w:rPr>
                <w:rFonts w:hint="eastAsia" w:cs="宋体"/>
                <w:sz w:val="24"/>
              </w:rPr>
              <w:t>②</w:t>
            </w:r>
            <w:r>
              <w:rPr>
                <w:sz w:val="24"/>
              </w:rPr>
              <w:t>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adjustRightInd w:val="0"/>
              <w:snapToGrid w:val="0"/>
              <w:spacing w:line="480" w:lineRule="exact"/>
              <w:ind w:firstLine="480" w:firstLineChars="200"/>
              <w:jc w:val="left"/>
              <w:rPr>
                <w:sz w:val="24"/>
              </w:rPr>
            </w:pPr>
            <w:r>
              <w:rPr>
                <w:rFonts w:hint="eastAsia" w:cs="宋体"/>
                <w:sz w:val="24"/>
              </w:rPr>
              <w:t>③</w:t>
            </w:r>
            <w:r>
              <w:rPr>
                <w:sz w:val="24"/>
              </w:rPr>
              <w:t>组织并抓好本项目污染治理和综合利用工作，定期对环保设施进行检查，负责环保设备的维修保养，保证其正常运行。</w:t>
            </w:r>
          </w:p>
          <w:p>
            <w:pPr>
              <w:adjustRightInd w:val="0"/>
              <w:snapToGrid w:val="0"/>
              <w:spacing w:line="480" w:lineRule="exact"/>
              <w:ind w:firstLine="480" w:firstLineChars="200"/>
              <w:jc w:val="left"/>
              <w:rPr>
                <w:sz w:val="24"/>
              </w:rPr>
            </w:pPr>
            <w:r>
              <w:rPr>
                <w:rFonts w:hint="eastAsia" w:cs="宋体"/>
                <w:sz w:val="24"/>
              </w:rPr>
              <w:t>④</w:t>
            </w:r>
            <w:r>
              <w:rPr>
                <w:sz w:val="24"/>
              </w:rPr>
              <w:t>搞好厂区内绿化工作。</w:t>
            </w:r>
          </w:p>
          <w:p>
            <w:pPr>
              <w:spacing w:line="480" w:lineRule="exact"/>
              <w:rPr>
                <w:b/>
                <w:sz w:val="28"/>
              </w:rPr>
            </w:pPr>
            <w:r>
              <w:rPr>
                <w:b/>
                <w:sz w:val="28"/>
              </w:rPr>
              <w:t>2.污染物排放清单及信息公开</w:t>
            </w:r>
          </w:p>
          <w:p>
            <w:pPr>
              <w:adjustRightInd w:val="0"/>
              <w:snapToGrid w:val="0"/>
              <w:spacing w:line="440" w:lineRule="exact"/>
              <w:ind w:firstLine="480" w:firstLineChars="200"/>
              <w:jc w:val="left"/>
              <w:rPr>
                <w:sz w:val="24"/>
              </w:rPr>
            </w:pPr>
            <w:r>
              <w:rPr>
                <w:sz w:val="24"/>
              </w:rPr>
              <w:t>（1）污染物排放清单</w:t>
            </w:r>
          </w:p>
          <w:p>
            <w:pPr>
              <w:adjustRightInd w:val="0"/>
              <w:snapToGrid w:val="0"/>
              <w:spacing w:line="440" w:lineRule="exact"/>
              <w:ind w:firstLine="480" w:firstLineChars="200"/>
              <w:jc w:val="left"/>
              <w:rPr>
                <w:sz w:val="24"/>
              </w:rPr>
            </w:pPr>
            <w:r>
              <w:rPr>
                <w:sz w:val="24"/>
              </w:rPr>
              <w:t>本项目污染物排放清单详见表</w:t>
            </w:r>
            <w:r>
              <w:rPr>
                <w:rFonts w:hint="eastAsia"/>
                <w:sz w:val="24"/>
              </w:rPr>
              <w:t>31</w:t>
            </w:r>
            <w:r>
              <w:rPr>
                <w:sz w:val="24"/>
              </w:rPr>
              <w:t>。</w:t>
            </w:r>
          </w:p>
          <w:p>
            <w:pPr>
              <w:adjustRightInd w:val="0"/>
              <w:snapToGrid w:val="0"/>
              <w:spacing w:line="440" w:lineRule="exact"/>
              <w:jc w:val="center"/>
              <w:rPr>
                <w:b/>
                <w:color w:val="0000FF"/>
                <w:sz w:val="22"/>
              </w:rPr>
            </w:pPr>
          </w:p>
          <w:p>
            <w:pPr>
              <w:adjustRightInd w:val="0"/>
              <w:snapToGrid w:val="0"/>
              <w:spacing w:line="440" w:lineRule="exact"/>
              <w:jc w:val="center"/>
              <w:rPr>
                <w:b/>
                <w:color w:val="0000FF"/>
                <w:sz w:val="22"/>
              </w:rPr>
            </w:pPr>
          </w:p>
          <w:p>
            <w:pPr>
              <w:adjustRightInd w:val="0"/>
              <w:snapToGrid w:val="0"/>
              <w:spacing w:line="440" w:lineRule="exact"/>
              <w:jc w:val="center"/>
              <w:rPr>
                <w:b/>
                <w:color w:val="0000FF"/>
                <w:sz w:val="22"/>
              </w:rPr>
            </w:pPr>
          </w:p>
          <w:p>
            <w:pPr>
              <w:adjustRightInd w:val="0"/>
              <w:snapToGrid w:val="0"/>
              <w:spacing w:line="440" w:lineRule="exact"/>
              <w:jc w:val="center"/>
              <w:rPr>
                <w:b/>
                <w:color w:val="0000FF"/>
                <w:sz w:val="22"/>
              </w:rPr>
            </w:pPr>
          </w:p>
          <w:p>
            <w:pPr>
              <w:adjustRightInd w:val="0"/>
              <w:snapToGrid w:val="0"/>
              <w:spacing w:line="440" w:lineRule="exact"/>
              <w:jc w:val="center"/>
              <w:rPr>
                <w:b/>
                <w:color w:val="0000FF"/>
                <w:sz w:val="22"/>
              </w:rPr>
            </w:pPr>
          </w:p>
          <w:p>
            <w:pPr>
              <w:adjustRightInd w:val="0"/>
              <w:snapToGrid w:val="0"/>
              <w:spacing w:line="440" w:lineRule="exact"/>
              <w:jc w:val="center"/>
              <w:rPr>
                <w:b/>
                <w:color w:val="0000FF"/>
                <w:sz w:val="22"/>
              </w:rPr>
            </w:pPr>
          </w:p>
          <w:p>
            <w:pPr>
              <w:adjustRightInd w:val="0"/>
              <w:snapToGrid w:val="0"/>
              <w:spacing w:line="440" w:lineRule="exact"/>
              <w:jc w:val="center"/>
              <w:rPr>
                <w:b/>
                <w:color w:val="0000FF"/>
                <w:sz w:val="22"/>
              </w:rPr>
            </w:pPr>
          </w:p>
          <w:p>
            <w:pPr>
              <w:adjustRightInd w:val="0"/>
              <w:snapToGrid w:val="0"/>
              <w:spacing w:line="440" w:lineRule="exact"/>
              <w:jc w:val="center"/>
              <w:rPr>
                <w:b/>
                <w:sz w:val="22"/>
              </w:rPr>
            </w:pPr>
            <w:r>
              <w:rPr>
                <w:b/>
                <w:sz w:val="22"/>
              </w:rPr>
              <w:t>表</w:t>
            </w:r>
            <w:r>
              <w:rPr>
                <w:rFonts w:hint="eastAsia"/>
                <w:b/>
                <w:sz w:val="22"/>
              </w:rPr>
              <w:t xml:space="preserve">31   </w:t>
            </w:r>
            <w:r>
              <w:rPr>
                <w:b/>
                <w:sz w:val="22"/>
              </w:rPr>
              <w:t xml:space="preserve"> 污染物排放清单一览表</w:t>
            </w:r>
          </w:p>
          <w:tbl>
            <w:tblPr>
              <w:tblStyle w:val="31"/>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1"/>
              <w:gridCol w:w="903"/>
              <w:gridCol w:w="1649"/>
              <w:gridCol w:w="1795"/>
              <w:gridCol w:w="2017"/>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61" w:type="dxa"/>
                  <w:tcMar>
                    <w:left w:w="0" w:type="dxa"/>
                    <w:right w:w="0" w:type="dxa"/>
                  </w:tcMar>
                  <w:vAlign w:val="center"/>
                </w:tcPr>
                <w:p>
                  <w:pPr>
                    <w:snapToGrid w:val="0"/>
                    <w:jc w:val="center"/>
                    <w:rPr>
                      <w:b/>
                      <w:szCs w:val="21"/>
                    </w:rPr>
                  </w:pPr>
                  <w:r>
                    <w:rPr>
                      <w:b/>
                      <w:szCs w:val="21"/>
                    </w:rPr>
                    <w:t>类别</w:t>
                  </w:r>
                </w:p>
              </w:tc>
              <w:tc>
                <w:tcPr>
                  <w:tcW w:w="903" w:type="dxa"/>
                  <w:vAlign w:val="center"/>
                </w:tcPr>
                <w:p>
                  <w:pPr>
                    <w:snapToGrid w:val="0"/>
                    <w:jc w:val="center"/>
                    <w:rPr>
                      <w:b/>
                      <w:szCs w:val="21"/>
                    </w:rPr>
                  </w:pPr>
                  <w:r>
                    <w:rPr>
                      <w:b/>
                      <w:szCs w:val="21"/>
                    </w:rPr>
                    <w:t>污染源</w:t>
                  </w:r>
                </w:p>
              </w:tc>
              <w:tc>
                <w:tcPr>
                  <w:tcW w:w="1649" w:type="dxa"/>
                  <w:tcMar>
                    <w:left w:w="0" w:type="dxa"/>
                    <w:right w:w="0" w:type="dxa"/>
                  </w:tcMar>
                  <w:vAlign w:val="center"/>
                </w:tcPr>
                <w:p>
                  <w:pPr>
                    <w:tabs>
                      <w:tab w:val="left" w:pos="195"/>
                    </w:tabs>
                    <w:snapToGrid w:val="0"/>
                    <w:jc w:val="center"/>
                    <w:rPr>
                      <w:b/>
                      <w:szCs w:val="21"/>
                    </w:rPr>
                  </w:pPr>
                  <w:r>
                    <w:rPr>
                      <w:b/>
                      <w:szCs w:val="21"/>
                    </w:rPr>
                    <w:t>污染物名称</w:t>
                  </w:r>
                </w:p>
              </w:tc>
              <w:tc>
                <w:tcPr>
                  <w:tcW w:w="1795" w:type="dxa"/>
                  <w:vAlign w:val="center"/>
                </w:tcPr>
                <w:p>
                  <w:pPr>
                    <w:tabs>
                      <w:tab w:val="left" w:pos="195"/>
                    </w:tabs>
                    <w:snapToGrid w:val="0"/>
                    <w:jc w:val="center"/>
                    <w:rPr>
                      <w:b/>
                      <w:szCs w:val="21"/>
                    </w:rPr>
                  </w:pPr>
                  <w:r>
                    <w:rPr>
                      <w:b/>
                      <w:szCs w:val="21"/>
                    </w:rPr>
                    <w:t>产生浓度及</w:t>
                  </w:r>
                </w:p>
                <w:p>
                  <w:pPr>
                    <w:tabs>
                      <w:tab w:val="left" w:pos="195"/>
                    </w:tabs>
                    <w:snapToGrid w:val="0"/>
                    <w:jc w:val="center"/>
                    <w:rPr>
                      <w:b/>
                      <w:szCs w:val="21"/>
                    </w:rPr>
                  </w:pPr>
                  <w:r>
                    <w:rPr>
                      <w:b/>
                      <w:szCs w:val="21"/>
                    </w:rPr>
                    <w:t>产生量</w:t>
                  </w:r>
                </w:p>
              </w:tc>
              <w:tc>
                <w:tcPr>
                  <w:tcW w:w="2017" w:type="dxa"/>
                  <w:vAlign w:val="center"/>
                </w:tcPr>
                <w:p>
                  <w:pPr>
                    <w:tabs>
                      <w:tab w:val="left" w:pos="195"/>
                    </w:tabs>
                    <w:snapToGrid w:val="0"/>
                    <w:jc w:val="center"/>
                    <w:rPr>
                      <w:b/>
                      <w:szCs w:val="21"/>
                    </w:rPr>
                  </w:pPr>
                  <w:r>
                    <w:rPr>
                      <w:b/>
                      <w:szCs w:val="21"/>
                    </w:rPr>
                    <w:t>治理措施</w:t>
                  </w:r>
                </w:p>
              </w:tc>
              <w:tc>
                <w:tcPr>
                  <w:tcW w:w="2032" w:type="dxa"/>
                  <w:vAlign w:val="center"/>
                </w:tcPr>
                <w:p>
                  <w:pPr>
                    <w:tabs>
                      <w:tab w:val="left" w:pos="195"/>
                    </w:tabs>
                    <w:snapToGrid w:val="0"/>
                    <w:jc w:val="center"/>
                    <w:rPr>
                      <w:b/>
                      <w:szCs w:val="21"/>
                    </w:rPr>
                  </w:pPr>
                  <w:r>
                    <w:rPr>
                      <w:b/>
                      <w:szCs w:val="21"/>
                    </w:rPr>
                    <w:t>排放浓度及</w:t>
                  </w:r>
                </w:p>
                <w:p>
                  <w:pPr>
                    <w:tabs>
                      <w:tab w:val="left" w:pos="195"/>
                    </w:tabs>
                    <w:snapToGrid w:val="0"/>
                    <w:jc w:val="center"/>
                    <w:rPr>
                      <w:b/>
                      <w:szCs w:val="21"/>
                    </w:rPr>
                  </w:pPr>
                  <w:r>
                    <w:rPr>
                      <w:b/>
                      <w:szCs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61" w:type="dxa"/>
                  <w:tcMar>
                    <w:left w:w="0" w:type="dxa"/>
                    <w:right w:w="0" w:type="dxa"/>
                  </w:tcMar>
                  <w:vAlign w:val="center"/>
                </w:tcPr>
                <w:p>
                  <w:pPr>
                    <w:snapToGrid w:val="0"/>
                    <w:jc w:val="center"/>
                    <w:rPr>
                      <w:b/>
                      <w:szCs w:val="21"/>
                    </w:rPr>
                  </w:pPr>
                  <w:r>
                    <w:rPr>
                      <w:b/>
                      <w:szCs w:val="21"/>
                    </w:rPr>
                    <w:t>废水</w:t>
                  </w:r>
                </w:p>
              </w:tc>
              <w:tc>
                <w:tcPr>
                  <w:tcW w:w="903" w:type="dxa"/>
                  <w:vAlign w:val="center"/>
                </w:tcPr>
                <w:p>
                  <w:pPr>
                    <w:snapToGrid w:val="0"/>
                    <w:jc w:val="center"/>
                    <w:rPr>
                      <w:szCs w:val="21"/>
                    </w:rPr>
                  </w:pPr>
                  <w:r>
                    <w:rPr>
                      <w:szCs w:val="21"/>
                    </w:rPr>
                    <w:t>--</w:t>
                  </w:r>
                </w:p>
              </w:tc>
              <w:tc>
                <w:tcPr>
                  <w:tcW w:w="1649" w:type="dxa"/>
                  <w:tcBorders>
                    <w:top w:val="single" w:color="auto" w:sz="6" w:space="0"/>
                  </w:tcBorders>
                  <w:tcMar>
                    <w:left w:w="0" w:type="dxa"/>
                    <w:right w:w="0" w:type="dxa"/>
                  </w:tcMar>
                  <w:vAlign w:val="center"/>
                </w:tcPr>
                <w:p>
                  <w:pPr>
                    <w:jc w:val="center"/>
                    <w:rPr>
                      <w:szCs w:val="21"/>
                    </w:rPr>
                  </w:pPr>
                  <w:r>
                    <w:rPr>
                      <w:szCs w:val="21"/>
                    </w:rPr>
                    <w:t>--</w:t>
                  </w:r>
                </w:p>
              </w:tc>
              <w:tc>
                <w:tcPr>
                  <w:tcW w:w="1795" w:type="dxa"/>
                  <w:tcBorders>
                    <w:top w:val="single" w:color="auto" w:sz="6" w:space="0"/>
                  </w:tcBorders>
                  <w:vAlign w:val="center"/>
                </w:tcPr>
                <w:p>
                  <w:pPr>
                    <w:jc w:val="center"/>
                    <w:rPr>
                      <w:szCs w:val="21"/>
                    </w:rPr>
                  </w:pPr>
                  <w:r>
                    <w:rPr>
                      <w:szCs w:val="21"/>
                    </w:rPr>
                    <w:t>--</w:t>
                  </w:r>
                </w:p>
              </w:tc>
              <w:tc>
                <w:tcPr>
                  <w:tcW w:w="2017" w:type="dxa"/>
                  <w:vAlign w:val="center"/>
                </w:tcPr>
                <w:p>
                  <w:pPr>
                    <w:jc w:val="center"/>
                    <w:rPr>
                      <w:szCs w:val="21"/>
                    </w:rPr>
                  </w:pPr>
                  <w:r>
                    <w:rPr>
                      <w:szCs w:val="21"/>
                    </w:rPr>
                    <w:t>--</w:t>
                  </w:r>
                </w:p>
              </w:tc>
              <w:tc>
                <w:tcPr>
                  <w:tcW w:w="2032" w:type="dxa"/>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61" w:type="dxa"/>
                  <w:vMerge w:val="restart"/>
                  <w:tcMar>
                    <w:left w:w="0" w:type="dxa"/>
                    <w:right w:w="0" w:type="dxa"/>
                  </w:tcMar>
                  <w:vAlign w:val="center"/>
                </w:tcPr>
                <w:p>
                  <w:pPr>
                    <w:snapToGrid w:val="0"/>
                    <w:jc w:val="center"/>
                    <w:rPr>
                      <w:b/>
                      <w:szCs w:val="21"/>
                    </w:rPr>
                  </w:pPr>
                  <w:r>
                    <w:rPr>
                      <w:rFonts w:hint="eastAsia"/>
                      <w:b/>
                      <w:szCs w:val="21"/>
                    </w:rPr>
                    <w:t>废气</w:t>
                  </w:r>
                </w:p>
              </w:tc>
              <w:tc>
                <w:tcPr>
                  <w:tcW w:w="903" w:type="dxa"/>
                  <w:vMerge w:val="restart"/>
                  <w:tcBorders>
                    <w:top w:val="single" w:color="auto" w:sz="6" w:space="0"/>
                  </w:tcBorders>
                  <w:vAlign w:val="center"/>
                </w:tcPr>
                <w:p>
                  <w:pPr>
                    <w:jc w:val="center"/>
                    <w:rPr>
                      <w:szCs w:val="21"/>
                    </w:rPr>
                  </w:pPr>
                  <w:r>
                    <w:rPr>
                      <w:szCs w:val="21"/>
                    </w:rPr>
                    <w:t>切割粉尘</w:t>
                  </w:r>
                </w:p>
              </w:tc>
              <w:tc>
                <w:tcPr>
                  <w:tcW w:w="1649" w:type="dxa"/>
                  <w:tcBorders>
                    <w:top w:val="single" w:color="auto" w:sz="6" w:space="0"/>
                  </w:tcBorders>
                  <w:tcMar>
                    <w:left w:w="0" w:type="dxa"/>
                    <w:right w:w="0" w:type="dxa"/>
                  </w:tcMar>
                  <w:vAlign w:val="center"/>
                </w:tcPr>
                <w:p>
                  <w:pPr>
                    <w:spacing w:line="340" w:lineRule="exact"/>
                    <w:jc w:val="center"/>
                    <w:rPr>
                      <w:szCs w:val="21"/>
                    </w:rPr>
                  </w:pPr>
                  <w:r>
                    <w:rPr>
                      <w:szCs w:val="21"/>
                    </w:rPr>
                    <w:t>颗粒物</w:t>
                  </w:r>
                  <w:r>
                    <w:rPr>
                      <w:bCs/>
                      <w:spacing w:val="-4"/>
                      <w:szCs w:val="21"/>
                      <w:lang w:val="en-GB"/>
                    </w:rPr>
                    <w:t>（</w:t>
                  </w:r>
                  <w:r>
                    <w:rPr>
                      <w:bCs/>
                      <w:spacing w:val="-4"/>
                      <w:szCs w:val="21"/>
                    </w:rPr>
                    <w:t>有组织</w:t>
                  </w:r>
                  <w:r>
                    <w:rPr>
                      <w:bCs/>
                      <w:spacing w:val="-4"/>
                      <w:szCs w:val="21"/>
                      <w:lang w:val="en-GB"/>
                    </w:rPr>
                    <w:t>）</w:t>
                  </w:r>
                </w:p>
              </w:tc>
              <w:tc>
                <w:tcPr>
                  <w:tcW w:w="1795" w:type="dxa"/>
                  <w:tcBorders>
                    <w:top w:val="single" w:color="auto" w:sz="6" w:space="0"/>
                  </w:tcBorders>
                  <w:vAlign w:val="center"/>
                </w:tcPr>
                <w:p>
                  <w:pPr>
                    <w:spacing w:line="340" w:lineRule="exact"/>
                    <w:jc w:val="center"/>
                    <w:rPr>
                      <w:szCs w:val="21"/>
                    </w:rPr>
                  </w:pPr>
                  <w:r>
                    <w:rPr>
                      <w:szCs w:val="21"/>
                    </w:rPr>
                    <w:t>4.75mg/m</w:t>
                  </w:r>
                  <w:r>
                    <w:rPr>
                      <w:szCs w:val="21"/>
                      <w:vertAlign w:val="superscript"/>
                    </w:rPr>
                    <w:t>3</w:t>
                  </w:r>
                  <w:r>
                    <w:rPr>
                      <w:szCs w:val="21"/>
                    </w:rPr>
                    <w:t>，0.16</w:t>
                  </w:r>
                  <w:r>
                    <w:rPr>
                      <w:bCs/>
                      <w:spacing w:val="-4"/>
                      <w:szCs w:val="21"/>
                    </w:rPr>
                    <w:t>t/a</w:t>
                  </w:r>
                </w:p>
              </w:tc>
              <w:tc>
                <w:tcPr>
                  <w:tcW w:w="2017" w:type="dxa"/>
                  <w:vMerge w:val="restart"/>
                  <w:vAlign w:val="center"/>
                </w:tcPr>
                <w:p>
                  <w:pPr>
                    <w:adjustRightInd w:val="0"/>
                    <w:snapToGrid w:val="0"/>
                    <w:jc w:val="center"/>
                    <w:rPr>
                      <w:szCs w:val="21"/>
                    </w:rPr>
                  </w:pPr>
                  <w:r>
                    <w:rPr>
                      <w:szCs w:val="21"/>
                    </w:rPr>
                    <w:t>集气罩+布袋除尘器+15m排气筒</w:t>
                  </w:r>
                  <w:r>
                    <w:rPr>
                      <w:rFonts w:hint="eastAsia"/>
                      <w:szCs w:val="21"/>
                    </w:rPr>
                    <w:t>（P1）</w:t>
                  </w:r>
                </w:p>
              </w:tc>
              <w:tc>
                <w:tcPr>
                  <w:tcW w:w="2032" w:type="dxa"/>
                  <w:vAlign w:val="center"/>
                </w:tcPr>
                <w:p>
                  <w:pPr>
                    <w:spacing w:line="340" w:lineRule="exact"/>
                    <w:jc w:val="center"/>
                    <w:rPr>
                      <w:szCs w:val="21"/>
                    </w:rPr>
                  </w:pPr>
                  <w:r>
                    <w:rPr>
                      <w:szCs w:val="21"/>
                    </w:rPr>
                    <w:t>0.048mg/m</w:t>
                  </w:r>
                  <w:r>
                    <w:rPr>
                      <w:szCs w:val="21"/>
                      <w:vertAlign w:val="superscript"/>
                    </w:rPr>
                    <w:t>3</w:t>
                  </w:r>
                  <w:r>
                    <w:rPr>
                      <w:szCs w:val="21"/>
                    </w:rPr>
                    <w:t>，0.002</w:t>
                  </w:r>
                  <w:r>
                    <w:rPr>
                      <w:bCs/>
                      <w:spacing w:val="-4"/>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61" w:type="dxa"/>
                  <w:vMerge w:val="continue"/>
                  <w:tcMar>
                    <w:left w:w="0" w:type="dxa"/>
                    <w:right w:w="0" w:type="dxa"/>
                  </w:tcMar>
                  <w:vAlign w:val="center"/>
                </w:tcPr>
                <w:p>
                  <w:pPr>
                    <w:snapToGrid w:val="0"/>
                    <w:jc w:val="center"/>
                    <w:rPr>
                      <w:b/>
                      <w:szCs w:val="21"/>
                    </w:rPr>
                  </w:pPr>
                </w:p>
              </w:tc>
              <w:tc>
                <w:tcPr>
                  <w:tcW w:w="903" w:type="dxa"/>
                  <w:vMerge w:val="continue"/>
                  <w:vAlign w:val="center"/>
                </w:tcPr>
                <w:p>
                  <w:pPr>
                    <w:snapToGrid w:val="0"/>
                    <w:jc w:val="center"/>
                    <w:rPr>
                      <w:b/>
                      <w:szCs w:val="21"/>
                    </w:rPr>
                  </w:pPr>
                </w:p>
              </w:tc>
              <w:tc>
                <w:tcPr>
                  <w:tcW w:w="1649" w:type="dxa"/>
                  <w:tcMar>
                    <w:left w:w="0" w:type="dxa"/>
                    <w:right w:w="0" w:type="dxa"/>
                  </w:tcMar>
                  <w:vAlign w:val="center"/>
                </w:tcPr>
                <w:p>
                  <w:pPr>
                    <w:spacing w:line="340" w:lineRule="exact"/>
                    <w:jc w:val="center"/>
                    <w:rPr>
                      <w:b/>
                      <w:szCs w:val="21"/>
                    </w:rPr>
                  </w:pPr>
                  <w:r>
                    <w:rPr>
                      <w:szCs w:val="21"/>
                    </w:rPr>
                    <w:t>颗粒物</w:t>
                  </w:r>
                  <w:r>
                    <w:rPr>
                      <w:bCs/>
                      <w:spacing w:val="-4"/>
                      <w:szCs w:val="21"/>
                      <w:lang w:val="en-GB"/>
                    </w:rPr>
                    <w:t>（</w:t>
                  </w:r>
                  <w:r>
                    <w:rPr>
                      <w:bCs/>
                      <w:spacing w:val="-4"/>
                      <w:szCs w:val="21"/>
                    </w:rPr>
                    <w:t>无组织</w:t>
                  </w:r>
                  <w:r>
                    <w:rPr>
                      <w:bCs/>
                      <w:spacing w:val="-4"/>
                      <w:szCs w:val="21"/>
                      <w:lang w:val="en-GB"/>
                    </w:rPr>
                    <w:t>）</w:t>
                  </w:r>
                </w:p>
              </w:tc>
              <w:tc>
                <w:tcPr>
                  <w:tcW w:w="1795" w:type="dxa"/>
                  <w:vAlign w:val="center"/>
                </w:tcPr>
                <w:p>
                  <w:pPr>
                    <w:spacing w:line="340" w:lineRule="exact"/>
                    <w:jc w:val="center"/>
                    <w:rPr>
                      <w:b/>
                      <w:szCs w:val="21"/>
                    </w:rPr>
                  </w:pPr>
                  <w:r>
                    <w:rPr>
                      <w:szCs w:val="21"/>
                    </w:rPr>
                    <w:t>0.008t/a</w:t>
                  </w:r>
                </w:p>
              </w:tc>
              <w:tc>
                <w:tcPr>
                  <w:tcW w:w="2017" w:type="dxa"/>
                  <w:vMerge w:val="continue"/>
                  <w:vAlign w:val="center"/>
                </w:tcPr>
                <w:p>
                  <w:pPr>
                    <w:tabs>
                      <w:tab w:val="left" w:pos="195"/>
                    </w:tabs>
                    <w:snapToGrid w:val="0"/>
                    <w:jc w:val="center"/>
                    <w:rPr>
                      <w:b/>
                      <w:szCs w:val="21"/>
                    </w:rPr>
                  </w:pPr>
                </w:p>
              </w:tc>
              <w:tc>
                <w:tcPr>
                  <w:tcW w:w="2032" w:type="dxa"/>
                  <w:vAlign w:val="center"/>
                </w:tcPr>
                <w:p>
                  <w:pPr>
                    <w:spacing w:line="340" w:lineRule="exact"/>
                    <w:jc w:val="center"/>
                    <w:rPr>
                      <w:b/>
                      <w:szCs w:val="21"/>
                    </w:rPr>
                  </w:pPr>
                  <w:r>
                    <w:rPr>
                      <w:szCs w:val="21"/>
                    </w:rPr>
                    <w:t>0.008t/a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61" w:type="dxa"/>
                  <w:vMerge w:val="continue"/>
                  <w:tcMar>
                    <w:left w:w="0" w:type="dxa"/>
                    <w:right w:w="0" w:type="dxa"/>
                  </w:tcMar>
                  <w:vAlign w:val="center"/>
                </w:tcPr>
                <w:p>
                  <w:pPr>
                    <w:snapToGrid w:val="0"/>
                    <w:jc w:val="center"/>
                    <w:rPr>
                      <w:b/>
                      <w:szCs w:val="21"/>
                    </w:rPr>
                  </w:pPr>
                </w:p>
              </w:tc>
              <w:tc>
                <w:tcPr>
                  <w:tcW w:w="903" w:type="dxa"/>
                  <w:vAlign w:val="center"/>
                </w:tcPr>
                <w:p>
                  <w:pPr>
                    <w:spacing w:line="340" w:lineRule="exact"/>
                    <w:jc w:val="center"/>
                    <w:rPr>
                      <w:b/>
                      <w:szCs w:val="21"/>
                    </w:rPr>
                  </w:pPr>
                  <w:r>
                    <w:rPr>
                      <w:szCs w:val="21"/>
                    </w:rPr>
                    <w:t>焊接烟尘</w:t>
                  </w:r>
                </w:p>
              </w:tc>
              <w:tc>
                <w:tcPr>
                  <w:tcW w:w="1649" w:type="dxa"/>
                  <w:tcMar>
                    <w:left w:w="0" w:type="dxa"/>
                    <w:right w:w="0" w:type="dxa"/>
                  </w:tcMar>
                  <w:vAlign w:val="center"/>
                </w:tcPr>
                <w:p>
                  <w:pPr>
                    <w:spacing w:line="340" w:lineRule="exact"/>
                    <w:jc w:val="center"/>
                    <w:rPr>
                      <w:szCs w:val="21"/>
                    </w:rPr>
                  </w:pPr>
                  <w:r>
                    <w:rPr>
                      <w:szCs w:val="21"/>
                    </w:rPr>
                    <w:t>颗粒物</w:t>
                  </w:r>
                  <w:r>
                    <w:rPr>
                      <w:bCs/>
                      <w:spacing w:val="-4"/>
                      <w:szCs w:val="21"/>
                      <w:lang w:val="en-GB"/>
                    </w:rPr>
                    <w:t>（</w:t>
                  </w:r>
                  <w:r>
                    <w:rPr>
                      <w:bCs/>
                      <w:spacing w:val="-4"/>
                      <w:szCs w:val="21"/>
                    </w:rPr>
                    <w:t>无组织</w:t>
                  </w:r>
                  <w:r>
                    <w:rPr>
                      <w:bCs/>
                      <w:spacing w:val="-4"/>
                      <w:szCs w:val="21"/>
                      <w:lang w:val="en-GB"/>
                    </w:rPr>
                    <w:t>）</w:t>
                  </w:r>
                </w:p>
              </w:tc>
              <w:tc>
                <w:tcPr>
                  <w:tcW w:w="1795" w:type="dxa"/>
                  <w:vAlign w:val="center"/>
                </w:tcPr>
                <w:p>
                  <w:pPr>
                    <w:spacing w:line="340" w:lineRule="exact"/>
                    <w:jc w:val="center"/>
                    <w:rPr>
                      <w:szCs w:val="21"/>
                    </w:rPr>
                  </w:pPr>
                  <w:r>
                    <w:rPr>
                      <w:szCs w:val="21"/>
                    </w:rPr>
                    <w:t>0.001t/a</w:t>
                  </w:r>
                </w:p>
              </w:tc>
              <w:tc>
                <w:tcPr>
                  <w:tcW w:w="2017" w:type="dxa"/>
                  <w:vAlign w:val="center"/>
                </w:tcPr>
                <w:p>
                  <w:pPr>
                    <w:tabs>
                      <w:tab w:val="left" w:pos="195"/>
                    </w:tabs>
                    <w:snapToGrid w:val="0"/>
                    <w:jc w:val="center"/>
                    <w:rPr>
                      <w:b/>
                      <w:szCs w:val="21"/>
                    </w:rPr>
                  </w:pPr>
                  <w:r>
                    <w:rPr>
                      <w:szCs w:val="21"/>
                    </w:rPr>
                    <w:t>经焊烟净化器处理后无组织排放</w:t>
                  </w:r>
                </w:p>
              </w:tc>
              <w:tc>
                <w:tcPr>
                  <w:tcW w:w="2032" w:type="dxa"/>
                  <w:vAlign w:val="center"/>
                </w:tcPr>
                <w:p>
                  <w:pPr>
                    <w:spacing w:line="340" w:lineRule="exact"/>
                    <w:jc w:val="center"/>
                    <w:rPr>
                      <w:szCs w:val="21"/>
                    </w:rPr>
                  </w:pPr>
                  <w:r>
                    <w:rPr>
                      <w:szCs w:val="21"/>
                    </w:rPr>
                    <w:t>0.001t/a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61" w:type="dxa"/>
                  <w:vMerge w:val="continue"/>
                  <w:tcMar>
                    <w:left w:w="0" w:type="dxa"/>
                    <w:right w:w="0" w:type="dxa"/>
                  </w:tcMar>
                  <w:vAlign w:val="center"/>
                </w:tcPr>
                <w:p>
                  <w:pPr>
                    <w:snapToGrid w:val="0"/>
                    <w:jc w:val="center"/>
                    <w:rPr>
                      <w:b/>
                      <w:szCs w:val="21"/>
                    </w:rPr>
                  </w:pPr>
                </w:p>
              </w:tc>
              <w:tc>
                <w:tcPr>
                  <w:tcW w:w="903" w:type="dxa"/>
                  <w:vMerge w:val="restart"/>
                  <w:vAlign w:val="center"/>
                </w:tcPr>
                <w:p>
                  <w:pPr>
                    <w:spacing w:line="340" w:lineRule="exact"/>
                    <w:jc w:val="center"/>
                    <w:rPr>
                      <w:szCs w:val="21"/>
                    </w:rPr>
                  </w:pPr>
                  <w:r>
                    <w:rPr>
                      <w:szCs w:val="21"/>
                    </w:rPr>
                    <w:t>回火炉废气</w:t>
                  </w:r>
                </w:p>
              </w:tc>
              <w:tc>
                <w:tcPr>
                  <w:tcW w:w="1649" w:type="dxa"/>
                  <w:tcMar>
                    <w:left w:w="0" w:type="dxa"/>
                    <w:right w:w="0" w:type="dxa"/>
                  </w:tcMar>
                  <w:vAlign w:val="center"/>
                </w:tcPr>
                <w:p>
                  <w:pPr>
                    <w:spacing w:line="340" w:lineRule="exact"/>
                    <w:jc w:val="center"/>
                    <w:rPr>
                      <w:szCs w:val="21"/>
                    </w:rPr>
                  </w:pPr>
                  <w:r>
                    <w:rPr>
                      <w:szCs w:val="21"/>
                    </w:rPr>
                    <w:t>非甲烷总烃（有组织）</w:t>
                  </w:r>
                </w:p>
              </w:tc>
              <w:tc>
                <w:tcPr>
                  <w:tcW w:w="1795" w:type="dxa"/>
                  <w:vAlign w:val="center"/>
                </w:tcPr>
                <w:p>
                  <w:pPr>
                    <w:spacing w:line="340" w:lineRule="exact"/>
                    <w:jc w:val="center"/>
                    <w:rPr>
                      <w:szCs w:val="21"/>
                    </w:rPr>
                  </w:pPr>
                  <w:r>
                    <w:rPr>
                      <w:szCs w:val="21"/>
                    </w:rPr>
                    <w:t>10.2mg/m</w:t>
                  </w:r>
                  <w:r>
                    <w:rPr>
                      <w:szCs w:val="21"/>
                      <w:vertAlign w:val="superscript"/>
                    </w:rPr>
                    <w:t>3</w:t>
                  </w:r>
                  <w:r>
                    <w:rPr>
                      <w:szCs w:val="21"/>
                    </w:rPr>
                    <w:t>，</w:t>
                  </w:r>
                  <w:r>
                    <w:rPr>
                      <w:bCs/>
                      <w:spacing w:val="-4"/>
                      <w:szCs w:val="21"/>
                    </w:rPr>
                    <w:t>0.031t/a</w:t>
                  </w:r>
                </w:p>
              </w:tc>
              <w:tc>
                <w:tcPr>
                  <w:tcW w:w="2017" w:type="dxa"/>
                  <w:vAlign w:val="center"/>
                </w:tcPr>
                <w:p>
                  <w:pPr>
                    <w:tabs>
                      <w:tab w:val="left" w:pos="195"/>
                    </w:tabs>
                    <w:snapToGrid w:val="0"/>
                    <w:jc w:val="center"/>
                    <w:rPr>
                      <w:szCs w:val="21"/>
                    </w:rPr>
                  </w:pPr>
                  <w:r>
                    <w:rPr>
                      <w:szCs w:val="21"/>
                    </w:rPr>
                    <w:t>集气罩+等离子光氧一体机+15m排气筒</w:t>
                  </w:r>
                  <w:r>
                    <w:rPr>
                      <w:rFonts w:hint="eastAsia"/>
                      <w:szCs w:val="21"/>
                    </w:rPr>
                    <w:t>（P2）</w:t>
                  </w:r>
                </w:p>
              </w:tc>
              <w:tc>
                <w:tcPr>
                  <w:tcW w:w="2032" w:type="dxa"/>
                  <w:vAlign w:val="center"/>
                </w:tcPr>
                <w:p>
                  <w:pPr>
                    <w:spacing w:line="340" w:lineRule="exact"/>
                    <w:jc w:val="center"/>
                    <w:rPr>
                      <w:szCs w:val="21"/>
                    </w:rPr>
                  </w:pPr>
                  <w:r>
                    <w:rPr>
                      <w:szCs w:val="21"/>
                    </w:rPr>
                    <w:t>1.02mg/m</w:t>
                  </w:r>
                  <w:r>
                    <w:rPr>
                      <w:szCs w:val="21"/>
                      <w:vertAlign w:val="superscript"/>
                    </w:rPr>
                    <w:t>3</w:t>
                  </w:r>
                  <w:r>
                    <w:rPr>
                      <w:szCs w:val="21"/>
                    </w:rPr>
                    <w:t>，</w:t>
                  </w:r>
                  <w:r>
                    <w:rPr>
                      <w:bCs/>
                      <w:spacing w:val="-4"/>
                      <w:szCs w:val="21"/>
                    </w:rPr>
                    <w:t>0.003t/a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61" w:type="dxa"/>
                  <w:vMerge w:val="continue"/>
                  <w:tcMar>
                    <w:left w:w="0" w:type="dxa"/>
                    <w:right w:w="0" w:type="dxa"/>
                  </w:tcMar>
                  <w:vAlign w:val="center"/>
                </w:tcPr>
                <w:p>
                  <w:pPr>
                    <w:snapToGrid w:val="0"/>
                    <w:jc w:val="center"/>
                    <w:rPr>
                      <w:b/>
                      <w:szCs w:val="21"/>
                    </w:rPr>
                  </w:pPr>
                </w:p>
              </w:tc>
              <w:tc>
                <w:tcPr>
                  <w:tcW w:w="903" w:type="dxa"/>
                  <w:vMerge w:val="continue"/>
                  <w:vAlign w:val="center"/>
                </w:tcPr>
                <w:p>
                  <w:pPr>
                    <w:spacing w:line="340" w:lineRule="exact"/>
                    <w:jc w:val="center"/>
                    <w:rPr>
                      <w:szCs w:val="21"/>
                    </w:rPr>
                  </w:pPr>
                </w:p>
              </w:tc>
              <w:tc>
                <w:tcPr>
                  <w:tcW w:w="1649" w:type="dxa"/>
                  <w:tcMar>
                    <w:left w:w="0" w:type="dxa"/>
                    <w:right w:w="0" w:type="dxa"/>
                  </w:tcMar>
                  <w:vAlign w:val="center"/>
                </w:tcPr>
                <w:p>
                  <w:pPr>
                    <w:spacing w:line="340" w:lineRule="exact"/>
                    <w:jc w:val="center"/>
                    <w:rPr>
                      <w:szCs w:val="21"/>
                    </w:rPr>
                  </w:pPr>
                  <w:r>
                    <w:rPr>
                      <w:szCs w:val="21"/>
                    </w:rPr>
                    <w:t>非甲烷总烃（无组织）</w:t>
                  </w:r>
                </w:p>
              </w:tc>
              <w:tc>
                <w:tcPr>
                  <w:tcW w:w="1795" w:type="dxa"/>
                  <w:vAlign w:val="center"/>
                </w:tcPr>
                <w:p>
                  <w:pPr>
                    <w:spacing w:line="340" w:lineRule="exact"/>
                    <w:jc w:val="center"/>
                    <w:rPr>
                      <w:szCs w:val="21"/>
                    </w:rPr>
                  </w:pPr>
                  <w:r>
                    <w:rPr>
                      <w:szCs w:val="21"/>
                    </w:rPr>
                    <w:t>0.003t/a</w:t>
                  </w:r>
                </w:p>
              </w:tc>
              <w:tc>
                <w:tcPr>
                  <w:tcW w:w="2017" w:type="dxa"/>
                  <w:vAlign w:val="center"/>
                </w:tcPr>
                <w:p>
                  <w:pPr>
                    <w:tabs>
                      <w:tab w:val="left" w:pos="195"/>
                    </w:tabs>
                    <w:snapToGrid w:val="0"/>
                    <w:jc w:val="center"/>
                    <w:rPr>
                      <w:szCs w:val="21"/>
                    </w:rPr>
                  </w:pPr>
                  <w:r>
                    <w:rPr>
                      <w:szCs w:val="21"/>
                    </w:rPr>
                    <w:t>无组织排放</w:t>
                  </w:r>
                </w:p>
              </w:tc>
              <w:tc>
                <w:tcPr>
                  <w:tcW w:w="2032" w:type="dxa"/>
                  <w:vAlign w:val="center"/>
                </w:tcPr>
                <w:p>
                  <w:pPr>
                    <w:spacing w:line="340" w:lineRule="exact"/>
                    <w:jc w:val="center"/>
                    <w:rPr>
                      <w:szCs w:val="21"/>
                    </w:rPr>
                  </w:pPr>
                  <w:r>
                    <w:rPr>
                      <w:szCs w:val="21"/>
                    </w:rPr>
                    <w:t>0.003t/a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61" w:type="dxa"/>
                  <w:vMerge w:val="continue"/>
                  <w:tcMar>
                    <w:left w:w="0" w:type="dxa"/>
                    <w:right w:w="0" w:type="dxa"/>
                  </w:tcMar>
                  <w:vAlign w:val="center"/>
                </w:tcPr>
                <w:p>
                  <w:pPr>
                    <w:snapToGrid w:val="0"/>
                    <w:jc w:val="center"/>
                    <w:rPr>
                      <w:b/>
                      <w:szCs w:val="21"/>
                    </w:rPr>
                  </w:pPr>
                </w:p>
              </w:tc>
              <w:tc>
                <w:tcPr>
                  <w:tcW w:w="903" w:type="dxa"/>
                  <w:vMerge w:val="restart"/>
                  <w:tcBorders>
                    <w:top w:val="single" w:color="auto" w:sz="6" w:space="0"/>
                  </w:tcBorders>
                  <w:vAlign w:val="center"/>
                </w:tcPr>
                <w:p>
                  <w:pPr>
                    <w:spacing w:line="340" w:lineRule="exact"/>
                    <w:jc w:val="center"/>
                    <w:rPr>
                      <w:szCs w:val="21"/>
                    </w:rPr>
                  </w:pPr>
                  <w:r>
                    <w:rPr>
                      <w:szCs w:val="21"/>
                    </w:rPr>
                    <w:t>喷晾漆废气</w:t>
                  </w:r>
                </w:p>
              </w:tc>
              <w:tc>
                <w:tcPr>
                  <w:tcW w:w="1649" w:type="dxa"/>
                  <w:tcBorders>
                    <w:top w:val="single" w:color="auto" w:sz="6" w:space="0"/>
                  </w:tcBorders>
                  <w:tcMar>
                    <w:left w:w="0" w:type="dxa"/>
                    <w:right w:w="0" w:type="dxa"/>
                  </w:tcMar>
                  <w:vAlign w:val="center"/>
                </w:tcPr>
                <w:p>
                  <w:pPr>
                    <w:spacing w:line="340" w:lineRule="exact"/>
                    <w:jc w:val="center"/>
                    <w:rPr>
                      <w:szCs w:val="21"/>
                    </w:rPr>
                  </w:pPr>
                  <w:r>
                    <w:rPr>
                      <w:szCs w:val="21"/>
                    </w:rPr>
                    <w:t>颗粒物</w:t>
                  </w:r>
                </w:p>
              </w:tc>
              <w:tc>
                <w:tcPr>
                  <w:tcW w:w="1795" w:type="dxa"/>
                  <w:tcBorders>
                    <w:top w:val="single" w:color="auto" w:sz="6" w:space="0"/>
                    <w:bottom w:val="single" w:color="auto" w:sz="4" w:space="0"/>
                  </w:tcBorders>
                  <w:vAlign w:val="center"/>
                </w:tcPr>
                <w:p>
                  <w:pPr>
                    <w:spacing w:line="340" w:lineRule="exact"/>
                    <w:jc w:val="center"/>
                    <w:rPr>
                      <w:szCs w:val="21"/>
                    </w:rPr>
                  </w:pPr>
                  <w:r>
                    <w:rPr>
                      <w:kern w:val="44"/>
                      <w:szCs w:val="21"/>
                    </w:rPr>
                    <w:t>27.11mg/m</w:t>
                  </w:r>
                  <w:r>
                    <w:rPr>
                      <w:kern w:val="44"/>
                      <w:szCs w:val="21"/>
                      <w:vertAlign w:val="superscript"/>
                    </w:rPr>
                    <w:t>3</w:t>
                  </w:r>
                  <w:r>
                    <w:rPr>
                      <w:kern w:val="44"/>
                      <w:szCs w:val="21"/>
                    </w:rPr>
                    <w:t>，1.63t/a</w:t>
                  </w:r>
                </w:p>
              </w:tc>
              <w:tc>
                <w:tcPr>
                  <w:tcW w:w="2017" w:type="dxa"/>
                  <w:vMerge w:val="restart"/>
                  <w:vAlign w:val="center"/>
                </w:tcPr>
                <w:p>
                  <w:pPr>
                    <w:snapToGrid w:val="0"/>
                    <w:jc w:val="center"/>
                    <w:rPr>
                      <w:spacing w:val="-10"/>
                      <w:szCs w:val="21"/>
                    </w:rPr>
                  </w:pPr>
                  <w:r>
                    <w:rPr>
                      <w:szCs w:val="21"/>
                    </w:rPr>
                    <w:t>负压收集+干式过滤器+等离子光氧一体机+15m排气筒</w:t>
                  </w:r>
                  <w:r>
                    <w:rPr>
                      <w:rFonts w:hint="eastAsia"/>
                      <w:szCs w:val="21"/>
                    </w:rPr>
                    <w:t>（P3）</w:t>
                  </w:r>
                </w:p>
              </w:tc>
              <w:tc>
                <w:tcPr>
                  <w:tcW w:w="2032" w:type="dxa"/>
                  <w:vAlign w:val="center"/>
                </w:tcPr>
                <w:p>
                  <w:pPr>
                    <w:spacing w:line="340" w:lineRule="exact"/>
                    <w:jc w:val="center"/>
                    <w:rPr>
                      <w:szCs w:val="21"/>
                    </w:rPr>
                  </w:pPr>
                  <w:r>
                    <w:rPr>
                      <w:kern w:val="44"/>
                      <w:szCs w:val="21"/>
                    </w:rPr>
                    <w:t>4.07mg/m</w:t>
                  </w:r>
                  <w:r>
                    <w:rPr>
                      <w:kern w:val="44"/>
                      <w:szCs w:val="21"/>
                      <w:vertAlign w:val="superscript"/>
                    </w:rPr>
                    <w:t>3</w:t>
                  </w:r>
                  <w:r>
                    <w:rPr>
                      <w:kern w:val="44"/>
                      <w:szCs w:val="21"/>
                    </w:rPr>
                    <w:t>，0.24t/a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61" w:type="dxa"/>
                  <w:vMerge w:val="continue"/>
                  <w:tcMar>
                    <w:left w:w="0" w:type="dxa"/>
                    <w:right w:w="0" w:type="dxa"/>
                  </w:tcMar>
                  <w:vAlign w:val="center"/>
                </w:tcPr>
                <w:p>
                  <w:pPr>
                    <w:snapToGrid w:val="0"/>
                    <w:jc w:val="center"/>
                    <w:rPr>
                      <w:b/>
                      <w:szCs w:val="21"/>
                    </w:rPr>
                  </w:pPr>
                </w:p>
              </w:tc>
              <w:tc>
                <w:tcPr>
                  <w:tcW w:w="903" w:type="dxa"/>
                  <w:vMerge w:val="continue"/>
                  <w:vAlign w:val="center"/>
                </w:tcPr>
                <w:p>
                  <w:pPr>
                    <w:spacing w:line="340" w:lineRule="exact"/>
                    <w:jc w:val="center"/>
                    <w:rPr>
                      <w:szCs w:val="21"/>
                    </w:rPr>
                  </w:pPr>
                </w:p>
              </w:tc>
              <w:tc>
                <w:tcPr>
                  <w:tcW w:w="1649" w:type="dxa"/>
                  <w:tcBorders>
                    <w:top w:val="single" w:color="auto" w:sz="6" w:space="0"/>
                  </w:tcBorders>
                  <w:tcMar>
                    <w:left w:w="0" w:type="dxa"/>
                    <w:right w:w="0" w:type="dxa"/>
                  </w:tcMar>
                  <w:vAlign w:val="center"/>
                </w:tcPr>
                <w:p>
                  <w:pPr>
                    <w:spacing w:line="340" w:lineRule="exact"/>
                    <w:jc w:val="center"/>
                    <w:rPr>
                      <w:szCs w:val="21"/>
                    </w:rPr>
                  </w:pPr>
                  <w:r>
                    <w:rPr>
                      <w:szCs w:val="21"/>
                    </w:rPr>
                    <w:t>非甲烷总烃</w:t>
                  </w:r>
                </w:p>
              </w:tc>
              <w:tc>
                <w:tcPr>
                  <w:tcW w:w="1795" w:type="dxa"/>
                  <w:tcBorders>
                    <w:top w:val="single" w:color="auto" w:sz="6" w:space="0"/>
                    <w:bottom w:val="single" w:color="auto" w:sz="4" w:space="0"/>
                  </w:tcBorders>
                  <w:vAlign w:val="center"/>
                </w:tcPr>
                <w:p>
                  <w:pPr>
                    <w:spacing w:line="340" w:lineRule="exact"/>
                    <w:jc w:val="center"/>
                    <w:rPr>
                      <w:szCs w:val="21"/>
                    </w:rPr>
                  </w:pPr>
                  <w:r>
                    <w:rPr>
                      <w:kern w:val="44"/>
                      <w:szCs w:val="21"/>
                    </w:rPr>
                    <w:t>1.76mg/m</w:t>
                  </w:r>
                  <w:r>
                    <w:rPr>
                      <w:kern w:val="44"/>
                      <w:szCs w:val="21"/>
                      <w:vertAlign w:val="superscript"/>
                    </w:rPr>
                    <w:t>3</w:t>
                  </w:r>
                  <w:r>
                    <w:rPr>
                      <w:kern w:val="44"/>
                      <w:szCs w:val="21"/>
                    </w:rPr>
                    <w:t>，0.10t/a</w:t>
                  </w:r>
                </w:p>
              </w:tc>
              <w:tc>
                <w:tcPr>
                  <w:tcW w:w="2017" w:type="dxa"/>
                  <w:vMerge w:val="continue"/>
                  <w:vAlign w:val="center"/>
                </w:tcPr>
                <w:p>
                  <w:pPr>
                    <w:adjustRightInd w:val="0"/>
                    <w:jc w:val="center"/>
                    <w:rPr>
                      <w:spacing w:val="-10"/>
                      <w:szCs w:val="21"/>
                    </w:rPr>
                  </w:pPr>
                </w:p>
              </w:tc>
              <w:tc>
                <w:tcPr>
                  <w:tcW w:w="2032" w:type="dxa"/>
                  <w:vAlign w:val="center"/>
                </w:tcPr>
                <w:p>
                  <w:pPr>
                    <w:spacing w:line="340" w:lineRule="exact"/>
                    <w:jc w:val="center"/>
                    <w:rPr>
                      <w:szCs w:val="21"/>
                    </w:rPr>
                  </w:pPr>
                  <w:r>
                    <w:rPr>
                      <w:kern w:val="44"/>
                      <w:szCs w:val="21"/>
                    </w:rPr>
                    <w:t>0.16mg/m</w:t>
                  </w:r>
                  <w:r>
                    <w:rPr>
                      <w:kern w:val="44"/>
                      <w:szCs w:val="21"/>
                      <w:vertAlign w:val="superscript"/>
                    </w:rPr>
                    <w:t>3</w:t>
                  </w:r>
                  <w:r>
                    <w:rPr>
                      <w:kern w:val="44"/>
                      <w:szCs w:val="21"/>
                    </w:rPr>
                    <w:t>，0.01t/a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61" w:type="dxa"/>
                  <w:vMerge w:val="continue"/>
                  <w:tcMar>
                    <w:left w:w="0" w:type="dxa"/>
                    <w:right w:w="0" w:type="dxa"/>
                  </w:tcMar>
                  <w:vAlign w:val="center"/>
                </w:tcPr>
                <w:p>
                  <w:pPr>
                    <w:snapToGrid w:val="0"/>
                    <w:jc w:val="center"/>
                    <w:rPr>
                      <w:b/>
                      <w:szCs w:val="21"/>
                    </w:rPr>
                  </w:pPr>
                </w:p>
              </w:tc>
              <w:tc>
                <w:tcPr>
                  <w:tcW w:w="903" w:type="dxa"/>
                  <w:vMerge w:val="continue"/>
                  <w:vAlign w:val="center"/>
                </w:tcPr>
                <w:p>
                  <w:pPr>
                    <w:spacing w:line="340" w:lineRule="exact"/>
                    <w:jc w:val="center"/>
                    <w:rPr>
                      <w:szCs w:val="21"/>
                    </w:rPr>
                  </w:pPr>
                </w:p>
              </w:tc>
              <w:tc>
                <w:tcPr>
                  <w:tcW w:w="1649" w:type="dxa"/>
                  <w:tcBorders>
                    <w:top w:val="single" w:color="auto" w:sz="6" w:space="0"/>
                  </w:tcBorders>
                  <w:tcMar>
                    <w:left w:w="0" w:type="dxa"/>
                    <w:right w:w="0" w:type="dxa"/>
                  </w:tcMar>
                  <w:vAlign w:val="center"/>
                </w:tcPr>
                <w:p>
                  <w:pPr>
                    <w:spacing w:line="340" w:lineRule="exact"/>
                    <w:jc w:val="center"/>
                    <w:rPr>
                      <w:szCs w:val="21"/>
                    </w:rPr>
                  </w:pPr>
                  <w:r>
                    <w:rPr>
                      <w:szCs w:val="21"/>
                    </w:rPr>
                    <w:t>二甲苯</w:t>
                  </w:r>
                </w:p>
              </w:tc>
              <w:tc>
                <w:tcPr>
                  <w:tcW w:w="1795" w:type="dxa"/>
                  <w:tcBorders>
                    <w:top w:val="single" w:color="auto" w:sz="6" w:space="0"/>
                    <w:bottom w:val="single" w:color="auto" w:sz="4" w:space="0"/>
                  </w:tcBorders>
                  <w:vAlign w:val="center"/>
                </w:tcPr>
                <w:p>
                  <w:pPr>
                    <w:spacing w:line="340" w:lineRule="exact"/>
                    <w:jc w:val="center"/>
                    <w:rPr>
                      <w:szCs w:val="21"/>
                    </w:rPr>
                  </w:pPr>
                  <w:r>
                    <w:rPr>
                      <w:kern w:val="44"/>
                      <w:szCs w:val="21"/>
                    </w:rPr>
                    <w:t>2.24mg/m</w:t>
                  </w:r>
                  <w:r>
                    <w:rPr>
                      <w:kern w:val="44"/>
                      <w:szCs w:val="21"/>
                      <w:vertAlign w:val="superscript"/>
                    </w:rPr>
                    <w:t>3</w:t>
                  </w:r>
                  <w:r>
                    <w:rPr>
                      <w:kern w:val="44"/>
                      <w:szCs w:val="21"/>
                    </w:rPr>
                    <w:t>，0.13t/a</w:t>
                  </w:r>
                </w:p>
              </w:tc>
              <w:tc>
                <w:tcPr>
                  <w:tcW w:w="2017" w:type="dxa"/>
                  <w:vMerge w:val="continue"/>
                  <w:vAlign w:val="center"/>
                </w:tcPr>
                <w:p>
                  <w:pPr>
                    <w:adjustRightInd w:val="0"/>
                    <w:jc w:val="center"/>
                    <w:rPr>
                      <w:spacing w:val="-10"/>
                      <w:szCs w:val="21"/>
                    </w:rPr>
                  </w:pPr>
                </w:p>
              </w:tc>
              <w:tc>
                <w:tcPr>
                  <w:tcW w:w="2032" w:type="dxa"/>
                  <w:vAlign w:val="center"/>
                </w:tcPr>
                <w:p>
                  <w:pPr>
                    <w:spacing w:line="340" w:lineRule="exact"/>
                    <w:jc w:val="center"/>
                    <w:rPr>
                      <w:szCs w:val="21"/>
                    </w:rPr>
                  </w:pPr>
                  <w:r>
                    <w:rPr>
                      <w:kern w:val="44"/>
                      <w:szCs w:val="21"/>
                    </w:rPr>
                    <w:t>0.22mg/m</w:t>
                  </w:r>
                  <w:r>
                    <w:rPr>
                      <w:kern w:val="44"/>
                      <w:szCs w:val="21"/>
                      <w:vertAlign w:val="superscript"/>
                    </w:rPr>
                    <w:t>3</w:t>
                  </w:r>
                  <w:r>
                    <w:rPr>
                      <w:kern w:val="44"/>
                      <w:szCs w:val="21"/>
                    </w:rPr>
                    <w:t>，0.01t/a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61" w:type="dxa"/>
                  <w:vMerge w:val="continue"/>
                  <w:tcMar>
                    <w:left w:w="0" w:type="dxa"/>
                    <w:right w:w="0" w:type="dxa"/>
                  </w:tcMar>
                  <w:vAlign w:val="center"/>
                </w:tcPr>
                <w:p>
                  <w:pPr>
                    <w:snapToGrid w:val="0"/>
                    <w:jc w:val="center"/>
                    <w:rPr>
                      <w:b/>
                      <w:szCs w:val="21"/>
                    </w:rPr>
                  </w:pPr>
                </w:p>
              </w:tc>
              <w:tc>
                <w:tcPr>
                  <w:tcW w:w="903" w:type="dxa"/>
                  <w:vMerge w:val="restart"/>
                  <w:vAlign w:val="center"/>
                </w:tcPr>
                <w:p>
                  <w:pPr>
                    <w:jc w:val="center"/>
                    <w:rPr>
                      <w:szCs w:val="21"/>
                    </w:rPr>
                  </w:pPr>
                  <w:r>
                    <w:rPr>
                      <w:szCs w:val="21"/>
                    </w:rPr>
                    <w:t>喷漆车间逸散废气</w:t>
                  </w:r>
                </w:p>
              </w:tc>
              <w:tc>
                <w:tcPr>
                  <w:tcW w:w="1649" w:type="dxa"/>
                  <w:tcBorders>
                    <w:top w:val="single" w:color="auto" w:sz="6" w:space="0"/>
                  </w:tcBorders>
                  <w:tcMar>
                    <w:left w:w="0" w:type="dxa"/>
                    <w:right w:w="0" w:type="dxa"/>
                  </w:tcMar>
                  <w:vAlign w:val="center"/>
                </w:tcPr>
                <w:p>
                  <w:pPr>
                    <w:jc w:val="center"/>
                    <w:rPr>
                      <w:szCs w:val="21"/>
                    </w:rPr>
                  </w:pPr>
                  <w:r>
                    <w:rPr>
                      <w:szCs w:val="21"/>
                    </w:rPr>
                    <w:t>颗粒物</w:t>
                  </w:r>
                </w:p>
              </w:tc>
              <w:tc>
                <w:tcPr>
                  <w:tcW w:w="1795" w:type="dxa"/>
                  <w:tcBorders>
                    <w:top w:val="single" w:color="auto" w:sz="6" w:space="0"/>
                  </w:tcBorders>
                  <w:vAlign w:val="center"/>
                </w:tcPr>
                <w:p>
                  <w:pPr>
                    <w:jc w:val="center"/>
                    <w:rPr>
                      <w:szCs w:val="21"/>
                    </w:rPr>
                  </w:pPr>
                  <w:r>
                    <w:rPr>
                      <w:szCs w:val="21"/>
                    </w:rPr>
                    <w:t>0.003t/a</w:t>
                  </w:r>
                </w:p>
              </w:tc>
              <w:tc>
                <w:tcPr>
                  <w:tcW w:w="2017" w:type="dxa"/>
                  <w:vMerge w:val="restart"/>
                  <w:vAlign w:val="center"/>
                </w:tcPr>
                <w:p>
                  <w:pPr>
                    <w:jc w:val="center"/>
                    <w:rPr>
                      <w:spacing w:val="-10"/>
                      <w:szCs w:val="21"/>
                    </w:rPr>
                  </w:pPr>
                  <w:r>
                    <w:rPr>
                      <w:szCs w:val="21"/>
                    </w:rPr>
                    <w:t>无组织排放</w:t>
                  </w:r>
                </w:p>
              </w:tc>
              <w:tc>
                <w:tcPr>
                  <w:tcW w:w="2032" w:type="dxa"/>
                  <w:vAlign w:val="center"/>
                </w:tcPr>
                <w:p>
                  <w:pPr>
                    <w:jc w:val="center"/>
                    <w:rPr>
                      <w:szCs w:val="21"/>
                    </w:rPr>
                  </w:pPr>
                  <w:r>
                    <w:rPr>
                      <w:szCs w:val="21"/>
                    </w:rPr>
                    <w:t>0.003t/a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61" w:type="dxa"/>
                  <w:vMerge w:val="continue"/>
                  <w:tcMar>
                    <w:left w:w="0" w:type="dxa"/>
                    <w:right w:w="0" w:type="dxa"/>
                  </w:tcMar>
                  <w:vAlign w:val="center"/>
                </w:tcPr>
                <w:p>
                  <w:pPr>
                    <w:snapToGrid w:val="0"/>
                    <w:jc w:val="center"/>
                    <w:rPr>
                      <w:b/>
                      <w:szCs w:val="21"/>
                    </w:rPr>
                  </w:pPr>
                </w:p>
              </w:tc>
              <w:tc>
                <w:tcPr>
                  <w:tcW w:w="903" w:type="dxa"/>
                  <w:vMerge w:val="continue"/>
                  <w:vAlign w:val="center"/>
                </w:tcPr>
                <w:p>
                  <w:pPr>
                    <w:jc w:val="center"/>
                    <w:rPr>
                      <w:szCs w:val="21"/>
                    </w:rPr>
                  </w:pPr>
                </w:p>
              </w:tc>
              <w:tc>
                <w:tcPr>
                  <w:tcW w:w="1649" w:type="dxa"/>
                  <w:tcBorders>
                    <w:top w:val="single" w:color="auto" w:sz="6" w:space="0"/>
                  </w:tcBorders>
                  <w:tcMar>
                    <w:left w:w="0" w:type="dxa"/>
                    <w:right w:w="0" w:type="dxa"/>
                  </w:tcMar>
                  <w:vAlign w:val="center"/>
                </w:tcPr>
                <w:p>
                  <w:pPr>
                    <w:jc w:val="center"/>
                    <w:rPr>
                      <w:szCs w:val="21"/>
                    </w:rPr>
                  </w:pPr>
                  <w:r>
                    <w:rPr>
                      <w:szCs w:val="21"/>
                    </w:rPr>
                    <w:t>非甲烷总烃</w:t>
                  </w:r>
                </w:p>
              </w:tc>
              <w:tc>
                <w:tcPr>
                  <w:tcW w:w="1795" w:type="dxa"/>
                  <w:tcBorders>
                    <w:top w:val="single" w:color="auto" w:sz="6" w:space="0"/>
                    <w:bottom w:val="single" w:color="auto" w:sz="4" w:space="0"/>
                  </w:tcBorders>
                  <w:vAlign w:val="center"/>
                </w:tcPr>
                <w:p>
                  <w:pPr>
                    <w:jc w:val="center"/>
                    <w:rPr>
                      <w:szCs w:val="21"/>
                    </w:rPr>
                  </w:pPr>
                  <w:r>
                    <w:rPr>
                      <w:szCs w:val="21"/>
                    </w:rPr>
                    <w:t>0.001t/a</w:t>
                  </w:r>
                </w:p>
              </w:tc>
              <w:tc>
                <w:tcPr>
                  <w:tcW w:w="2017" w:type="dxa"/>
                  <w:vMerge w:val="continue"/>
                  <w:vAlign w:val="center"/>
                </w:tcPr>
                <w:p>
                  <w:pPr>
                    <w:adjustRightInd w:val="0"/>
                    <w:jc w:val="center"/>
                    <w:rPr>
                      <w:spacing w:val="-10"/>
                      <w:szCs w:val="21"/>
                    </w:rPr>
                  </w:pPr>
                </w:p>
              </w:tc>
              <w:tc>
                <w:tcPr>
                  <w:tcW w:w="2032" w:type="dxa"/>
                  <w:vAlign w:val="center"/>
                </w:tcPr>
                <w:p>
                  <w:pPr>
                    <w:jc w:val="center"/>
                    <w:rPr>
                      <w:szCs w:val="21"/>
                    </w:rPr>
                  </w:pPr>
                  <w:r>
                    <w:rPr>
                      <w:szCs w:val="21"/>
                    </w:rPr>
                    <w:t>0.001t/a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61" w:type="dxa"/>
                  <w:vMerge w:val="continue"/>
                  <w:tcMar>
                    <w:left w:w="0" w:type="dxa"/>
                    <w:right w:w="0" w:type="dxa"/>
                  </w:tcMar>
                  <w:vAlign w:val="center"/>
                </w:tcPr>
                <w:p>
                  <w:pPr>
                    <w:snapToGrid w:val="0"/>
                    <w:jc w:val="center"/>
                    <w:rPr>
                      <w:b/>
                      <w:szCs w:val="21"/>
                    </w:rPr>
                  </w:pPr>
                </w:p>
              </w:tc>
              <w:tc>
                <w:tcPr>
                  <w:tcW w:w="903" w:type="dxa"/>
                  <w:vMerge w:val="continue"/>
                  <w:vAlign w:val="center"/>
                </w:tcPr>
                <w:p>
                  <w:pPr>
                    <w:jc w:val="center"/>
                    <w:rPr>
                      <w:szCs w:val="21"/>
                    </w:rPr>
                  </w:pPr>
                </w:p>
              </w:tc>
              <w:tc>
                <w:tcPr>
                  <w:tcW w:w="1649" w:type="dxa"/>
                  <w:tcBorders>
                    <w:top w:val="single" w:color="auto" w:sz="6" w:space="0"/>
                  </w:tcBorders>
                  <w:tcMar>
                    <w:left w:w="0" w:type="dxa"/>
                    <w:right w:w="0" w:type="dxa"/>
                  </w:tcMar>
                  <w:vAlign w:val="center"/>
                </w:tcPr>
                <w:p>
                  <w:pPr>
                    <w:jc w:val="center"/>
                    <w:rPr>
                      <w:szCs w:val="21"/>
                    </w:rPr>
                  </w:pPr>
                  <w:r>
                    <w:rPr>
                      <w:szCs w:val="21"/>
                    </w:rPr>
                    <w:t>二甲苯</w:t>
                  </w:r>
                </w:p>
              </w:tc>
              <w:tc>
                <w:tcPr>
                  <w:tcW w:w="1795" w:type="dxa"/>
                  <w:tcBorders>
                    <w:top w:val="single" w:color="auto" w:sz="6" w:space="0"/>
                    <w:bottom w:val="single" w:color="auto" w:sz="4" w:space="0"/>
                  </w:tcBorders>
                  <w:vAlign w:val="center"/>
                </w:tcPr>
                <w:p>
                  <w:pPr>
                    <w:jc w:val="center"/>
                    <w:rPr>
                      <w:szCs w:val="21"/>
                    </w:rPr>
                  </w:pPr>
                  <w:r>
                    <w:rPr>
                      <w:szCs w:val="21"/>
                    </w:rPr>
                    <w:t>0.001t/a</w:t>
                  </w:r>
                </w:p>
              </w:tc>
              <w:tc>
                <w:tcPr>
                  <w:tcW w:w="2017" w:type="dxa"/>
                  <w:vMerge w:val="continue"/>
                  <w:vAlign w:val="center"/>
                </w:tcPr>
                <w:p>
                  <w:pPr>
                    <w:adjustRightInd w:val="0"/>
                    <w:jc w:val="center"/>
                    <w:rPr>
                      <w:spacing w:val="-10"/>
                      <w:szCs w:val="21"/>
                    </w:rPr>
                  </w:pPr>
                </w:p>
              </w:tc>
              <w:tc>
                <w:tcPr>
                  <w:tcW w:w="2032" w:type="dxa"/>
                  <w:vAlign w:val="center"/>
                </w:tcPr>
                <w:p>
                  <w:pPr>
                    <w:jc w:val="center"/>
                    <w:rPr>
                      <w:szCs w:val="21"/>
                    </w:rPr>
                  </w:pPr>
                  <w:r>
                    <w:rPr>
                      <w:szCs w:val="21"/>
                    </w:rPr>
                    <w:t>0.001t/a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61" w:type="dxa"/>
                  <w:vMerge w:val="restart"/>
                  <w:tcMar>
                    <w:left w:w="0" w:type="dxa"/>
                    <w:right w:w="0" w:type="dxa"/>
                  </w:tcMar>
                  <w:vAlign w:val="center"/>
                </w:tcPr>
                <w:p>
                  <w:pPr>
                    <w:snapToGrid w:val="0"/>
                    <w:jc w:val="center"/>
                    <w:rPr>
                      <w:b/>
                      <w:szCs w:val="21"/>
                    </w:rPr>
                  </w:pPr>
                  <w:r>
                    <w:rPr>
                      <w:rFonts w:hint="eastAsia"/>
                      <w:b/>
                      <w:szCs w:val="21"/>
                    </w:rPr>
                    <w:t>固废</w:t>
                  </w:r>
                </w:p>
              </w:tc>
              <w:tc>
                <w:tcPr>
                  <w:tcW w:w="903" w:type="dxa"/>
                  <w:vMerge w:val="restart"/>
                  <w:vAlign w:val="center"/>
                </w:tcPr>
                <w:p>
                  <w:pPr>
                    <w:snapToGrid w:val="0"/>
                    <w:jc w:val="center"/>
                    <w:rPr>
                      <w:szCs w:val="21"/>
                    </w:rPr>
                  </w:pPr>
                  <w:r>
                    <w:rPr>
                      <w:rFonts w:hint="eastAsia"/>
                      <w:szCs w:val="21"/>
                    </w:rPr>
                    <w:t>生产过程</w:t>
                  </w:r>
                </w:p>
              </w:tc>
              <w:tc>
                <w:tcPr>
                  <w:tcW w:w="1649" w:type="dxa"/>
                  <w:tcBorders>
                    <w:top w:val="single" w:color="auto" w:sz="6" w:space="0"/>
                  </w:tcBorders>
                  <w:vAlign w:val="center"/>
                </w:tcPr>
                <w:p>
                  <w:pPr>
                    <w:spacing w:line="340" w:lineRule="exact"/>
                    <w:jc w:val="center"/>
                    <w:rPr>
                      <w:szCs w:val="21"/>
                    </w:rPr>
                  </w:pPr>
                  <w:r>
                    <w:rPr>
                      <w:rFonts w:hint="eastAsia"/>
                      <w:szCs w:val="21"/>
                    </w:rPr>
                    <w:t>废滤芯</w:t>
                  </w:r>
                </w:p>
              </w:tc>
              <w:tc>
                <w:tcPr>
                  <w:tcW w:w="1795" w:type="dxa"/>
                  <w:tcBorders>
                    <w:top w:val="single" w:color="auto" w:sz="6" w:space="0"/>
                  </w:tcBorders>
                  <w:vAlign w:val="center"/>
                </w:tcPr>
                <w:p>
                  <w:pPr>
                    <w:spacing w:line="340" w:lineRule="exact"/>
                    <w:jc w:val="center"/>
                    <w:rPr>
                      <w:szCs w:val="21"/>
                    </w:rPr>
                  </w:pPr>
                  <w:r>
                    <w:rPr>
                      <w:rFonts w:hint="eastAsia"/>
                      <w:szCs w:val="21"/>
                    </w:rPr>
                    <w:t>0.15t/a</w:t>
                  </w:r>
                </w:p>
              </w:tc>
              <w:tc>
                <w:tcPr>
                  <w:tcW w:w="2017" w:type="dxa"/>
                  <w:vMerge w:val="restart"/>
                  <w:tcBorders>
                    <w:top w:val="single" w:color="auto" w:sz="6" w:space="0"/>
                  </w:tcBorders>
                  <w:vAlign w:val="center"/>
                </w:tcPr>
                <w:p>
                  <w:pPr>
                    <w:jc w:val="center"/>
                    <w:rPr>
                      <w:szCs w:val="21"/>
                    </w:rPr>
                  </w:pPr>
                  <w:r>
                    <w:rPr>
                      <w:rFonts w:hint="eastAsia"/>
                      <w:szCs w:val="21"/>
                    </w:rPr>
                    <w:t>集中收集后，暂存于危废间，定期交由有资质单位处理</w:t>
                  </w:r>
                </w:p>
              </w:tc>
              <w:tc>
                <w:tcPr>
                  <w:tcW w:w="2032" w:type="dxa"/>
                  <w:vMerge w:val="restart"/>
                  <w:vAlign w:val="center"/>
                </w:tcPr>
                <w:p>
                  <w:pPr>
                    <w:tabs>
                      <w:tab w:val="left" w:pos="195"/>
                    </w:tabs>
                    <w:snapToGrid w:val="0"/>
                    <w:jc w:val="center"/>
                    <w:rPr>
                      <w:szCs w:val="21"/>
                    </w:rPr>
                  </w:pPr>
                  <w:r>
                    <w:rPr>
                      <w:szCs w:val="21"/>
                    </w:rPr>
                    <w:t>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61" w:type="dxa"/>
                  <w:vMerge w:val="continue"/>
                  <w:tcMar>
                    <w:left w:w="0" w:type="dxa"/>
                    <w:right w:w="0" w:type="dxa"/>
                  </w:tcMar>
                  <w:vAlign w:val="center"/>
                </w:tcPr>
                <w:p>
                  <w:pPr>
                    <w:snapToGrid w:val="0"/>
                    <w:jc w:val="center"/>
                    <w:rPr>
                      <w:b/>
                      <w:szCs w:val="21"/>
                    </w:rPr>
                  </w:pPr>
                </w:p>
              </w:tc>
              <w:tc>
                <w:tcPr>
                  <w:tcW w:w="903" w:type="dxa"/>
                  <w:vMerge w:val="continue"/>
                  <w:vAlign w:val="center"/>
                </w:tcPr>
                <w:p>
                  <w:pPr>
                    <w:snapToGrid w:val="0"/>
                    <w:jc w:val="center"/>
                    <w:rPr>
                      <w:szCs w:val="21"/>
                    </w:rPr>
                  </w:pPr>
                </w:p>
              </w:tc>
              <w:tc>
                <w:tcPr>
                  <w:tcW w:w="1649" w:type="dxa"/>
                  <w:tcBorders>
                    <w:top w:val="single" w:color="auto" w:sz="6" w:space="0"/>
                  </w:tcBorders>
                  <w:vAlign w:val="center"/>
                </w:tcPr>
                <w:p>
                  <w:pPr>
                    <w:spacing w:line="340" w:lineRule="exact"/>
                    <w:jc w:val="center"/>
                    <w:rPr>
                      <w:szCs w:val="21"/>
                    </w:rPr>
                  </w:pPr>
                  <w:r>
                    <w:rPr>
                      <w:rFonts w:hint="eastAsia"/>
                      <w:szCs w:val="21"/>
                    </w:rPr>
                    <w:t>废油漆桶</w:t>
                  </w:r>
                </w:p>
              </w:tc>
              <w:tc>
                <w:tcPr>
                  <w:tcW w:w="1795" w:type="dxa"/>
                  <w:vAlign w:val="center"/>
                </w:tcPr>
                <w:p>
                  <w:pPr>
                    <w:spacing w:line="340" w:lineRule="exact"/>
                    <w:jc w:val="center"/>
                    <w:rPr>
                      <w:szCs w:val="21"/>
                    </w:rPr>
                  </w:pPr>
                  <w:r>
                    <w:rPr>
                      <w:rFonts w:hint="eastAsia"/>
                      <w:szCs w:val="21"/>
                    </w:rPr>
                    <w:t>0.26t/a</w:t>
                  </w:r>
                </w:p>
              </w:tc>
              <w:tc>
                <w:tcPr>
                  <w:tcW w:w="2017" w:type="dxa"/>
                  <w:vMerge w:val="continue"/>
                  <w:vAlign w:val="center"/>
                </w:tcPr>
                <w:p>
                  <w:pPr>
                    <w:jc w:val="center"/>
                    <w:rPr>
                      <w:szCs w:val="21"/>
                    </w:rPr>
                  </w:pPr>
                </w:p>
              </w:tc>
              <w:tc>
                <w:tcPr>
                  <w:tcW w:w="2032" w:type="dxa"/>
                  <w:vMerge w:val="continue"/>
                  <w:vAlign w:val="center"/>
                </w:tcPr>
                <w:p>
                  <w:pPr>
                    <w:tabs>
                      <w:tab w:val="left" w:pos="195"/>
                    </w:tabs>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jc w:val="center"/>
              </w:trPr>
              <w:tc>
                <w:tcPr>
                  <w:tcW w:w="561" w:type="dxa"/>
                  <w:vMerge w:val="continue"/>
                  <w:tcMar>
                    <w:left w:w="0" w:type="dxa"/>
                    <w:right w:w="0" w:type="dxa"/>
                  </w:tcMar>
                  <w:vAlign w:val="center"/>
                </w:tcPr>
                <w:p>
                  <w:pPr>
                    <w:snapToGrid w:val="0"/>
                    <w:jc w:val="center"/>
                    <w:rPr>
                      <w:b/>
                      <w:szCs w:val="21"/>
                    </w:rPr>
                  </w:pPr>
                </w:p>
              </w:tc>
              <w:tc>
                <w:tcPr>
                  <w:tcW w:w="903" w:type="dxa"/>
                  <w:vMerge w:val="continue"/>
                  <w:vAlign w:val="center"/>
                </w:tcPr>
                <w:p>
                  <w:pPr>
                    <w:snapToGrid w:val="0"/>
                    <w:jc w:val="center"/>
                    <w:rPr>
                      <w:szCs w:val="21"/>
                    </w:rPr>
                  </w:pPr>
                </w:p>
              </w:tc>
              <w:tc>
                <w:tcPr>
                  <w:tcW w:w="1649" w:type="dxa"/>
                  <w:tcBorders>
                    <w:top w:val="single" w:color="auto" w:sz="6" w:space="0"/>
                  </w:tcBorders>
                  <w:vAlign w:val="center"/>
                </w:tcPr>
                <w:p>
                  <w:pPr>
                    <w:spacing w:line="340" w:lineRule="exact"/>
                    <w:jc w:val="center"/>
                    <w:rPr>
                      <w:szCs w:val="21"/>
                    </w:rPr>
                  </w:pPr>
                  <w:r>
                    <w:rPr>
                      <w:rFonts w:hint="eastAsia"/>
                      <w:szCs w:val="21"/>
                    </w:rPr>
                    <w:t>废机油</w:t>
                  </w:r>
                </w:p>
              </w:tc>
              <w:tc>
                <w:tcPr>
                  <w:tcW w:w="1795" w:type="dxa"/>
                  <w:vAlign w:val="center"/>
                </w:tcPr>
                <w:p>
                  <w:pPr>
                    <w:spacing w:line="340" w:lineRule="exact"/>
                    <w:jc w:val="center"/>
                    <w:rPr>
                      <w:szCs w:val="21"/>
                    </w:rPr>
                  </w:pPr>
                  <w:r>
                    <w:rPr>
                      <w:rFonts w:hint="eastAsia"/>
                      <w:szCs w:val="21"/>
                    </w:rPr>
                    <w:t>0.05t/a</w:t>
                  </w:r>
                </w:p>
              </w:tc>
              <w:tc>
                <w:tcPr>
                  <w:tcW w:w="2017" w:type="dxa"/>
                  <w:vMerge w:val="continue"/>
                  <w:vAlign w:val="center"/>
                </w:tcPr>
                <w:p>
                  <w:pPr>
                    <w:jc w:val="center"/>
                    <w:rPr>
                      <w:szCs w:val="21"/>
                    </w:rPr>
                  </w:pPr>
                </w:p>
              </w:tc>
              <w:tc>
                <w:tcPr>
                  <w:tcW w:w="2032" w:type="dxa"/>
                  <w:vMerge w:val="continue"/>
                  <w:vAlign w:val="center"/>
                </w:tcPr>
                <w:p>
                  <w:pPr>
                    <w:tabs>
                      <w:tab w:val="left" w:pos="195"/>
                    </w:tabs>
                    <w:snapToGrid w:val="0"/>
                    <w:jc w:val="center"/>
                    <w:rPr>
                      <w:szCs w:val="21"/>
                    </w:rPr>
                  </w:pPr>
                </w:p>
              </w:tc>
            </w:tr>
          </w:tbl>
          <w:p>
            <w:pPr>
              <w:adjustRightInd w:val="0"/>
              <w:snapToGrid w:val="0"/>
              <w:spacing w:line="480" w:lineRule="exact"/>
              <w:ind w:firstLine="480" w:firstLineChars="200"/>
              <w:jc w:val="left"/>
              <w:rPr>
                <w:sz w:val="24"/>
              </w:rPr>
            </w:pPr>
            <w:r>
              <w:rPr>
                <w:sz w:val="24"/>
              </w:rPr>
              <w:t>（2）信息公开</w:t>
            </w:r>
          </w:p>
          <w:p>
            <w:pPr>
              <w:adjustRightInd w:val="0"/>
              <w:snapToGrid w:val="0"/>
              <w:spacing w:line="440" w:lineRule="exact"/>
              <w:ind w:firstLine="480" w:firstLineChars="200"/>
              <w:jc w:val="left"/>
              <w:rPr>
                <w:sz w:val="24"/>
              </w:rPr>
            </w:pPr>
            <w:r>
              <w:rPr>
                <w:sz w:val="24"/>
              </w:rPr>
              <w:t>依据《中华人民共和国政府信息公开条例》、《企业事业单位环境信息公开办法》、《环境信息公开办法(试行)》的相关要求，企业应当及时、准确地公开企业环境信息，本项目环境信息公开的内容见表</w:t>
            </w:r>
            <w:r>
              <w:rPr>
                <w:rFonts w:hint="eastAsia"/>
                <w:sz w:val="24"/>
              </w:rPr>
              <w:t>32。</w:t>
            </w:r>
          </w:p>
          <w:p>
            <w:pPr>
              <w:adjustRightInd w:val="0"/>
              <w:snapToGrid w:val="0"/>
              <w:spacing w:line="480" w:lineRule="exact"/>
              <w:jc w:val="center"/>
              <w:rPr>
                <w:b/>
                <w:szCs w:val="21"/>
              </w:rPr>
            </w:pPr>
            <w:r>
              <w:rPr>
                <w:b/>
                <w:szCs w:val="21"/>
              </w:rPr>
              <w:t>表</w:t>
            </w:r>
            <w:r>
              <w:rPr>
                <w:rFonts w:hint="eastAsia"/>
                <w:b/>
                <w:szCs w:val="21"/>
              </w:rPr>
              <w:t xml:space="preserve">32  </w:t>
            </w:r>
            <w:r>
              <w:rPr>
                <w:b/>
                <w:szCs w:val="21"/>
              </w:rPr>
              <w:t xml:space="preserve">  环境信息公开一览表</w:t>
            </w:r>
          </w:p>
          <w:tbl>
            <w:tblPr>
              <w:tblStyle w:val="31"/>
              <w:tblW w:w="8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adjustRightInd w:val="0"/>
                    <w:snapToGrid w:val="0"/>
                    <w:spacing w:line="300" w:lineRule="exact"/>
                    <w:jc w:val="center"/>
                    <w:rPr>
                      <w:szCs w:val="21"/>
                    </w:rPr>
                  </w:pPr>
                  <w:r>
                    <w:rPr>
                      <w:szCs w:val="21"/>
                    </w:rPr>
                    <w:t>序号</w:t>
                  </w:r>
                </w:p>
              </w:tc>
              <w:tc>
                <w:tcPr>
                  <w:tcW w:w="8102" w:type="dxa"/>
                </w:tcPr>
                <w:p>
                  <w:pPr>
                    <w:adjustRightInd w:val="0"/>
                    <w:snapToGrid w:val="0"/>
                    <w:spacing w:line="300" w:lineRule="exact"/>
                    <w:jc w:val="center"/>
                    <w:rPr>
                      <w:szCs w:val="21"/>
                    </w:rPr>
                  </w:pPr>
                  <w:r>
                    <w:rPr>
                      <w:szCs w:val="21"/>
                    </w:rPr>
                    <w:t>信息公开内容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jc w:val="center"/>
                    <w:rPr>
                      <w:kern w:val="0"/>
                      <w:szCs w:val="21"/>
                    </w:rPr>
                  </w:pPr>
                  <w:r>
                    <w:rPr>
                      <w:szCs w:val="21"/>
                    </w:rPr>
                    <w:t>1</w:t>
                  </w:r>
                </w:p>
              </w:tc>
              <w:tc>
                <w:tcPr>
                  <w:tcW w:w="8102" w:type="dxa"/>
                </w:tcPr>
                <w:p>
                  <w:pPr>
                    <w:adjustRightInd w:val="0"/>
                    <w:snapToGrid w:val="0"/>
                    <w:spacing w:line="300" w:lineRule="exact"/>
                    <w:jc w:val="center"/>
                    <w:rPr>
                      <w:szCs w:val="21"/>
                    </w:rPr>
                  </w:pPr>
                  <w:r>
                    <w:rPr>
                      <w:szCs w:val="21"/>
                    </w:rPr>
                    <w:t>企业环境保护方针、年度环境保护目标及成效。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szCs w:val="21"/>
                    </w:rPr>
                  </w:pPr>
                  <w:r>
                    <w:rPr>
                      <w:szCs w:val="21"/>
                    </w:rPr>
                    <w:t>2</w:t>
                  </w:r>
                </w:p>
              </w:tc>
              <w:tc>
                <w:tcPr>
                  <w:tcW w:w="8102" w:type="dxa"/>
                </w:tcPr>
                <w:p>
                  <w:pPr>
                    <w:adjustRightInd w:val="0"/>
                    <w:snapToGrid w:val="0"/>
                    <w:spacing w:line="300" w:lineRule="exact"/>
                    <w:jc w:val="center"/>
                    <w:rPr>
                      <w:szCs w:val="21"/>
                    </w:rPr>
                  </w:pPr>
                  <w:r>
                    <w:rPr>
                      <w:kern w:val="0"/>
                      <w:szCs w:val="21"/>
                    </w:rPr>
                    <w:t>企业年度资源消耗总量。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Align w:val="center"/>
                </w:tcPr>
                <w:p>
                  <w:pPr>
                    <w:jc w:val="center"/>
                    <w:rPr>
                      <w:szCs w:val="21"/>
                    </w:rPr>
                  </w:pPr>
                  <w:r>
                    <w:rPr>
                      <w:szCs w:val="21"/>
                    </w:rPr>
                    <w:t>3</w:t>
                  </w:r>
                </w:p>
              </w:tc>
              <w:tc>
                <w:tcPr>
                  <w:tcW w:w="8102" w:type="dxa"/>
                </w:tcPr>
                <w:p>
                  <w:pPr>
                    <w:adjustRightInd w:val="0"/>
                    <w:snapToGrid w:val="0"/>
                    <w:spacing w:line="300" w:lineRule="exact"/>
                    <w:jc w:val="center"/>
                    <w:rPr>
                      <w:kern w:val="0"/>
                      <w:szCs w:val="21"/>
                    </w:rPr>
                  </w:pPr>
                  <w:r>
                    <w:rPr>
                      <w:kern w:val="0"/>
                      <w:szCs w:val="21"/>
                    </w:rPr>
                    <w:t>企业排放污染物种类、数量、浓度和去向。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szCs w:val="21"/>
                    </w:rPr>
                  </w:pPr>
                  <w:r>
                    <w:rPr>
                      <w:szCs w:val="21"/>
                    </w:rPr>
                    <w:t>4</w:t>
                  </w:r>
                </w:p>
              </w:tc>
              <w:tc>
                <w:tcPr>
                  <w:tcW w:w="8102" w:type="dxa"/>
                </w:tcPr>
                <w:p>
                  <w:pPr>
                    <w:adjustRightInd w:val="0"/>
                    <w:snapToGrid w:val="0"/>
                    <w:spacing w:line="300" w:lineRule="exact"/>
                    <w:jc w:val="center"/>
                    <w:rPr>
                      <w:kern w:val="0"/>
                      <w:szCs w:val="21"/>
                    </w:rPr>
                  </w:pPr>
                  <w:r>
                    <w:rPr>
                      <w:kern w:val="0"/>
                      <w:szCs w:val="21"/>
                    </w:rPr>
                    <w:t>企业环保投资和环境技术开发情况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szCs w:val="21"/>
                    </w:rPr>
                  </w:pPr>
                  <w:r>
                    <w:rPr>
                      <w:szCs w:val="21"/>
                    </w:rPr>
                    <w:t>5</w:t>
                  </w:r>
                </w:p>
              </w:tc>
              <w:tc>
                <w:tcPr>
                  <w:tcW w:w="8102" w:type="dxa"/>
                </w:tcPr>
                <w:p>
                  <w:pPr>
                    <w:adjustRightInd w:val="0"/>
                    <w:snapToGrid w:val="0"/>
                    <w:spacing w:line="300" w:lineRule="exact"/>
                    <w:jc w:val="center"/>
                    <w:rPr>
                      <w:kern w:val="0"/>
                      <w:szCs w:val="21"/>
                    </w:rPr>
                  </w:pPr>
                  <w:r>
                    <w:rPr>
                      <w:kern w:val="0"/>
                      <w:szCs w:val="21"/>
                    </w:rPr>
                    <w:t>企业环保设施的建设和运行情况。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szCs w:val="21"/>
                    </w:rPr>
                  </w:pPr>
                  <w:r>
                    <w:rPr>
                      <w:szCs w:val="21"/>
                    </w:rPr>
                    <w:t>6</w:t>
                  </w:r>
                </w:p>
              </w:tc>
              <w:tc>
                <w:tcPr>
                  <w:tcW w:w="8102" w:type="dxa"/>
                </w:tcPr>
                <w:p>
                  <w:pPr>
                    <w:adjustRightInd w:val="0"/>
                    <w:snapToGrid w:val="0"/>
                    <w:spacing w:line="300" w:lineRule="exact"/>
                    <w:jc w:val="center"/>
                    <w:rPr>
                      <w:kern w:val="0"/>
                      <w:szCs w:val="21"/>
                    </w:rPr>
                  </w:pPr>
                  <w:r>
                    <w:rPr>
                      <w:kern w:val="0"/>
                      <w:szCs w:val="21"/>
                    </w:rPr>
                    <w:t>企业在生产过程中产生的废物的处理、处置情况，废弃产品的回收、综合利用情况。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Align w:val="center"/>
                </w:tcPr>
                <w:p>
                  <w:pPr>
                    <w:jc w:val="center"/>
                    <w:rPr>
                      <w:szCs w:val="21"/>
                    </w:rPr>
                  </w:pPr>
                  <w:r>
                    <w:rPr>
                      <w:szCs w:val="21"/>
                    </w:rPr>
                    <w:t>7</w:t>
                  </w:r>
                </w:p>
              </w:tc>
              <w:tc>
                <w:tcPr>
                  <w:tcW w:w="8102" w:type="dxa"/>
                </w:tcPr>
                <w:p>
                  <w:pPr>
                    <w:adjustRightInd w:val="0"/>
                    <w:snapToGrid w:val="0"/>
                    <w:spacing w:line="300" w:lineRule="exact"/>
                    <w:jc w:val="center"/>
                    <w:rPr>
                      <w:kern w:val="0"/>
                      <w:szCs w:val="21"/>
                    </w:rPr>
                  </w:pPr>
                  <w:r>
                    <w:rPr>
                      <w:kern w:val="0"/>
                      <w:szCs w:val="21"/>
                    </w:rPr>
                    <w:t>与环保部门签订的改善环境行为的自愿协议；企业履行社会责任的情况。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szCs w:val="21"/>
                    </w:rPr>
                  </w:pPr>
                  <w:r>
                    <w:rPr>
                      <w:szCs w:val="21"/>
                    </w:rPr>
                    <w:t>8</w:t>
                  </w:r>
                </w:p>
              </w:tc>
              <w:tc>
                <w:tcPr>
                  <w:tcW w:w="8102" w:type="dxa"/>
                </w:tcPr>
                <w:p>
                  <w:pPr>
                    <w:adjustRightInd w:val="0"/>
                    <w:snapToGrid w:val="0"/>
                    <w:spacing w:line="300" w:lineRule="exact"/>
                    <w:jc w:val="center"/>
                    <w:rPr>
                      <w:kern w:val="0"/>
                      <w:szCs w:val="21"/>
                    </w:rPr>
                  </w:pPr>
                  <w:r>
                    <w:rPr>
                      <w:kern w:val="0"/>
                      <w:szCs w:val="21"/>
                    </w:rPr>
                    <w:t>企业自愿公开的其他环境信息。</w:t>
                  </w:r>
                </w:p>
              </w:tc>
            </w:tr>
          </w:tbl>
          <w:p>
            <w:pPr>
              <w:adjustRightInd w:val="0"/>
              <w:snapToGrid w:val="0"/>
              <w:spacing w:line="480" w:lineRule="exact"/>
              <w:jc w:val="center"/>
              <w:rPr>
                <w:b/>
                <w:sz w:val="22"/>
              </w:rPr>
            </w:pPr>
          </w:p>
          <w:p>
            <w:pPr>
              <w:adjustRightInd w:val="0"/>
              <w:snapToGrid w:val="0"/>
              <w:spacing w:line="480" w:lineRule="exact"/>
              <w:jc w:val="center"/>
              <w:rPr>
                <w:b/>
                <w:color w:val="0000FF"/>
                <w:sz w:val="22"/>
              </w:rPr>
            </w:pPr>
          </w:p>
          <w:p>
            <w:pPr>
              <w:spacing w:line="480" w:lineRule="exact"/>
              <w:rPr>
                <w:b/>
                <w:color w:val="0000FF"/>
                <w:sz w:val="28"/>
              </w:rPr>
            </w:pPr>
          </w:p>
        </w:tc>
      </w:tr>
    </w:tbl>
    <w:p>
      <w:pPr>
        <w:outlineLvl w:val="0"/>
        <w:rPr>
          <w:rFonts w:eastAsia="黑体"/>
          <w:b/>
          <w:bCs/>
          <w:color w:val="0000FF"/>
          <w:sz w:val="32"/>
        </w:rPr>
      </w:pPr>
      <w:r>
        <w:rPr>
          <w:rFonts w:eastAsia="黑体"/>
          <w:b/>
          <w:bCs/>
          <w:color w:val="0000FF"/>
          <w:sz w:val="32"/>
        </w:rPr>
        <w:br w:type="page"/>
      </w:r>
      <w:r>
        <w:rPr>
          <w:rFonts w:eastAsia="黑体"/>
          <w:b/>
          <w:bCs/>
          <w:sz w:val="32"/>
        </w:rPr>
        <w:t>结论与建议</w:t>
      </w:r>
    </w:p>
    <w:tbl>
      <w:tblPr>
        <w:tblStyle w:val="31"/>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124" w:type="dxa"/>
            <w:gridSpan w:val="2"/>
          </w:tcPr>
          <w:p>
            <w:pPr>
              <w:snapToGrid w:val="0"/>
              <w:spacing w:line="500" w:lineRule="exact"/>
              <w:ind w:right="52"/>
              <w:rPr>
                <w:b/>
                <w:bCs/>
                <w:sz w:val="28"/>
                <w:szCs w:val="28"/>
              </w:rPr>
            </w:pPr>
            <w:r>
              <w:rPr>
                <w:b/>
                <w:bCs/>
                <w:sz w:val="28"/>
                <w:szCs w:val="28"/>
              </w:rPr>
              <w:t>一、结论</w:t>
            </w:r>
          </w:p>
          <w:p>
            <w:pPr>
              <w:spacing w:line="480" w:lineRule="exact"/>
              <w:ind w:firstLine="480" w:firstLineChars="200"/>
              <w:rPr>
                <w:kern w:val="0"/>
                <w:sz w:val="24"/>
              </w:rPr>
            </w:pPr>
            <w:r>
              <w:rPr>
                <w:rFonts w:hint="eastAsia"/>
                <w:b/>
                <w:bCs/>
                <w:kern w:val="0"/>
                <w:sz w:val="24"/>
              </w:rPr>
              <w:t>1、项目概况</w:t>
            </w:r>
          </w:p>
          <w:p>
            <w:pPr>
              <w:spacing w:line="480" w:lineRule="exact"/>
              <w:ind w:firstLine="480" w:firstLineChars="200"/>
              <w:rPr>
                <w:sz w:val="24"/>
              </w:rPr>
            </w:pPr>
            <w:r>
              <w:rPr>
                <w:rFonts w:hint="eastAsia"/>
                <w:sz w:val="24"/>
              </w:rPr>
              <w:t xml:space="preserve">项目名称：CFG螺旋钻机扩建技术改造项目；                                                                                                                                                                                                                                                                                                                                                                                                                                                                                                                                                                                                                                                                                                                                                                                                                                                                                                                                                                                                                                                                                                                                                                                                                                                                                                                                                                                                                                                                                                                                                                                                                                                                                                                                                                                                                                                                                                                                                                                                                                                                                                                                                                                                                                                                                                                                                                                                                                                                                                                                                                                                                                                                                                                                                                                                                                                                                                                                                                                                                                                                                                                                                                                                                                                                                                                                                                                                                                                                                                                                                                                                                                                                                                                                                                                                                                                                                                                                                                                                                                                                                                                                                                                           </w:t>
            </w:r>
            <w:r>
              <w:rPr>
                <w:rFonts w:hint="eastAsia"/>
                <w:sz w:val="24"/>
              </w:rPr>
              <w:t xml:space="preserve">                                                                                                                                                                                                                                                                                                                                                                                                                                                                                                                                                                                                                                                                                                                                                                                                                                                                                                                                                                                                                                                                                                                                                                                                                                                                                                                                                                                                                                                                                                                                                                                                                                                                                                                                                                                                                                                                                                                                                                                                                                                                                                                                                                                                                                                                                                                                                                                                                                                                                                                                                                                                                                                                                                                                                                                                                                                                                                                                                                                                                                                                                                                                                                                                                                                                                                                                                                                                                                                                                                                                                                                                                                                                                                                                                                                                                                                                                                                                                                                                                                                                                                                                                                                                                </w:t>
            </w:r>
            <w:r>
              <w:rPr>
                <w:rFonts w:hint="eastAsia"/>
                <w:sz w:val="24"/>
              </w:rPr>
              <w:t xml:space="preserve">                                                                                                                                                                                                                                                                                                                                                                                                                                                                                                                                                                                                                                                                                                                                                                                                                                                                                                                                                                                                                                                                                                                                                                                                                                                                                                                                                                                                                                                                                                                                                                                                                                                                                                                                                                                                                                                                                                                                                                                                                                                                                                                                                                                                                                                                                                                                                                                                                                                                                                                                                                                                                                                                                                                                                                                                                                                                                                                                                                                                                                                                                                                                                                                                                                                                                                                                                                                                                                                                                                                                                                                                                                                                                                                                                                                                                                                                                                                                                                                                                                                                                                                                                                                                                </w:t>
            </w:r>
            <w:r>
              <w:rPr>
                <w:rFonts w:hint="eastAsia"/>
                <w:sz w:val="24"/>
              </w:rPr>
              <w:t xml:space="preserve">                                                                                                                                                                                                                                                                                                                                                                                                                                                                                                                                                                                                                                                                                                                                                                                                                                                                                                                                                                                                                                                                                                                                                                                                                                                                                                                                                                                                                                                                                                                                                                                                                                                                                                                                                                                                                                                                                                                                                                                                                                                                                                                                                                                                                                                                                                                                                                                                                                 </w:t>
            </w:r>
          </w:p>
          <w:p>
            <w:pPr>
              <w:spacing w:line="480" w:lineRule="exact"/>
              <w:ind w:firstLine="480" w:firstLineChars="200"/>
              <w:rPr>
                <w:sz w:val="24"/>
              </w:rPr>
            </w:pPr>
            <w:r>
              <w:rPr>
                <w:rFonts w:hint="eastAsia"/>
                <w:sz w:val="24"/>
              </w:rPr>
              <w:t>建设单位：新河县雄飞桩工机械厂；</w:t>
            </w:r>
          </w:p>
          <w:p>
            <w:pPr>
              <w:spacing w:line="480" w:lineRule="exact"/>
              <w:ind w:firstLine="480" w:firstLineChars="200"/>
              <w:rPr>
                <w:sz w:val="24"/>
              </w:rPr>
            </w:pPr>
            <w:r>
              <w:rPr>
                <w:rFonts w:hint="eastAsia"/>
                <w:sz w:val="24"/>
              </w:rPr>
              <w:t>项目性质：技改；</w:t>
            </w:r>
          </w:p>
          <w:p>
            <w:pPr>
              <w:spacing w:line="480" w:lineRule="exact"/>
              <w:ind w:firstLine="480" w:firstLineChars="200"/>
              <w:rPr>
                <w:sz w:val="24"/>
              </w:rPr>
            </w:pPr>
            <w:r>
              <w:rPr>
                <w:rFonts w:hint="eastAsia"/>
                <w:sz w:val="24"/>
              </w:rPr>
              <w:t>总 投 资：技改项目总投资160万元，其中环保投资25万元，占总投资比例为15.6%。</w:t>
            </w:r>
          </w:p>
          <w:p>
            <w:pPr>
              <w:spacing w:line="480" w:lineRule="exact"/>
              <w:ind w:firstLine="480" w:firstLineChars="200"/>
              <w:rPr>
                <w:sz w:val="24"/>
                <w:szCs w:val="24"/>
              </w:rPr>
            </w:pPr>
            <w:r>
              <w:rPr>
                <w:sz w:val="24"/>
              </w:rPr>
              <w:t>建设地点：</w:t>
            </w:r>
            <w:r>
              <w:rPr>
                <w:rFonts w:hint="eastAsia"/>
                <w:sz w:val="24"/>
              </w:rPr>
              <w:t>项目位于</w:t>
            </w:r>
            <w:r>
              <w:rPr>
                <w:rFonts w:hint="eastAsia"/>
                <w:sz w:val="24"/>
                <w:szCs w:val="24"/>
              </w:rPr>
              <w:t>新河县工业区时代路西段路北</w:t>
            </w:r>
            <w:r>
              <w:rPr>
                <w:rFonts w:hint="eastAsia"/>
                <w:sz w:val="24"/>
              </w:rPr>
              <w:t>，厂址中心坐标为北</w:t>
            </w:r>
            <w:r>
              <w:rPr>
                <w:sz w:val="24"/>
              </w:rPr>
              <w:t>纬37°3</w:t>
            </w:r>
            <w:r>
              <w:rPr>
                <w:rFonts w:hint="eastAsia"/>
                <w:sz w:val="24"/>
              </w:rPr>
              <w:t>1</w:t>
            </w:r>
            <w:r>
              <w:rPr>
                <w:sz w:val="24"/>
              </w:rPr>
              <w:t>′</w:t>
            </w:r>
            <w:r>
              <w:rPr>
                <w:rFonts w:hint="eastAsia"/>
                <w:sz w:val="24"/>
              </w:rPr>
              <w:t>2.27</w:t>
            </w:r>
            <w:r>
              <w:rPr>
                <w:sz w:val="24"/>
              </w:rPr>
              <w:t>″，东经115°1</w:t>
            </w:r>
            <w:r>
              <w:rPr>
                <w:rFonts w:hint="eastAsia"/>
                <w:sz w:val="24"/>
              </w:rPr>
              <w:t>2</w:t>
            </w:r>
            <w:r>
              <w:rPr>
                <w:sz w:val="24"/>
              </w:rPr>
              <w:t>′</w:t>
            </w:r>
            <w:r>
              <w:rPr>
                <w:rFonts w:hint="eastAsia"/>
                <w:sz w:val="24"/>
              </w:rPr>
              <w:t>35.12</w:t>
            </w:r>
            <w:r>
              <w:rPr>
                <w:sz w:val="24"/>
              </w:rPr>
              <w:t>″</w:t>
            </w:r>
            <w:r>
              <w:rPr>
                <w:rFonts w:hint="eastAsia"/>
                <w:sz w:val="24"/>
              </w:rPr>
              <w:t>。</w:t>
            </w:r>
            <w:r>
              <w:rPr>
                <w:sz w:val="24"/>
                <w:szCs w:val="24"/>
              </w:rPr>
              <w:t>本次技改项目在</w:t>
            </w:r>
            <w:r>
              <w:rPr>
                <w:rFonts w:hint="eastAsia"/>
                <w:sz w:val="24"/>
                <w:szCs w:val="24"/>
              </w:rPr>
              <w:t>新河县雄飞桩工机械厂现有厂区内扩建生产车间进行</w:t>
            </w:r>
            <w:r>
              <w:rPr>
                <w:sz w:val="24"/>
                <w:szCs w:val="24"/>
              </w:rPr>
              <w:t>；</w:t>
            </w:r>
          </w:p>
          <w:p>
            <w:pPr>
              <w:spacing w:line="480" w:lineRule="exact"/>
              <w:ind w:firstLine="480" w:firstLineChars="200"/>
              <w:rPr>
                <w:sz w:val="24"/>
                <w:szCs w:val="24"/>
              </w:rPr>
            </w:pPr>
            <w:r>
              <w:rPr>
                <w:rFonts w:hint="eastAsia"/>
                <w:sz w:val="24"/>
              </w:rPr>
              <w:t>技改建设内容：</w:t>
            </w:r>
            <w:r>
              <w:rPr>
                <w:rFonts w:hint="eastAsia"/>
                <w:sz w:val="24"/>
                <w:szCs w:val="24"/>
              </w:rPr>
              <w:t>在现有厂区内扩建生产车间等1638平米，其中：生产车间1434平米，固定式喷漆房、晾干房168平米，原料储存库36平米，淘汰原有设备7台套，新购设备89台套，新上喷涂生产线1条及配套设备。</w:t>
            </w:r>
          </w:p>
          <w:p>
            <w:pPr>
              <w:spacing w:line="480" w:lineRule="exact"/>
              <w:ind w:firstLine="480" w:firstLineChars="200"/>
              <w:rPr>
                <w:b/>
                <w:bCs/>
                <w:kern w:val="0"/>
                <w:sz w:val="24"/>
              </w:rPr>
            </w:pPr>
            <w:r>
              <w:rPr>
                <w:rFonts w:hint="eastAsia"/>
                <w:b/>
                <w:bCs/>
                <w:kern w:val="0"/>
                <w:sz w:val="24"/>
              </w:rPr>
              <w:t>2、</w:t>
            </w:r>
            <w:r>
              <w:rPr>
                <w:b/>
                <w:bCs/>
                <w:sz w:val="24"/>
                <w:szCs w:val="24"/>
              </w:rPr>
              <w:t>项目产业政策及选址符合性分析</w:t>
            </w:r>
          </w:p>
          <w:p>
            <w:pPr>
              <w:spacing w:line="480" w:lineRule="exact"/>
              <w:ind w:firstLine="480" w:firstLineChars="200"/>
              <w:rPr>
                <w:sz w:val="24"/>
                <w:szCs w:val="24"/>
              </w:rPr>
            </w:pPr>
            <w:r>
              <w:rPr>
                <w:rFonts w:hint="eastAsia"/>
                <w:sz w:val="24"/>
              </w:rPr>
              <w:t>本项目为CFG螺旋钻机扩建技术改造项目，</w:t>
            </w:r>
            <w:r>
              <w:rPr>
                <w:rFonts w:hint="eastAsia"/>
                <w:sz w:val="24"/>
                <w:lang w:val="en-GB"/>
              </w:rPr>
              <w:t>根据《产业结构调整指导目录（2011年）（修正）》（中华人民共和国国家发展和改革委员会令第21号）和</w:t>
            </w:r>
            <w:r>
              <w:rPr>
                <w:sz w:val="24"/>
              </w:rPr>
              <w:t>《河北省新增限制和淘汰类产业目录(2015年版)》</w:t>
            </w:r>
            <w:r>
              <w:rPr>
                <w:rFonts w:hint="eastAsia"/>
                <w:sz w:val="24"/>
                <w:lang w:val="en-GB"/>
              </w:rPr>
              <w:t>，本项目不属于鼓励类、限制类和淘汰类项目，属于允许类建设项目；且不在河北省人民政府文件冀政[2009]89号文《关于河北省区域禁（限）批建设项目的实施意见（试行）》中禁（限）批建设项目之列</w:t>
            </w:r>
            <w:r>
              <w:rPr>
                <w:sz w:val="24"/>
              </w:rPr>
              <w:t>，</w:t>
            </w:r>
            <w:r>
              <w:rPr>
                <w:rFonts w:hint="eastAsia"/>
                <w:sz w:val="24"/>
              </w:rPr>
              <w:t>新河县工业和信息化局为本项目出具了“关于</w:t>
            </w:r>
            <w:r>
              <w:rPr>
                <w:rFonts w:hint="eastAsia"/>
                <w:sz w:val="24"/>
                <w:szCs w:val="24"/>
              </w:rPr>
              <w:t>新河县雄飞桩工机械厂</w:t>
            </w:r>
            <w:r>
              <w:rPr>
                <w:rFonts w:hint="eastAsia"/>
                <w:sz w:val="24"/>
              </w:rPr>
              <w:t>CFG螺旋钻机扩建技术改造项目”的备案通知书，备案编号：新工信备字[2017]8号，本项目</w:t>
            </w:r>
            <w:r>
              <w:rPr>
                <w:sz w:val="24"/>
              </w:rPr>
              <w:t>符合国家及地方产业政策。</w:t>
            </w:r>
          </w:p>
          <w:p>
            <w:pPr>
              <w:spacing w:line="480" w:lineRule="exact"/>
              <w:ind w:firstLine="480" w:firstLineChars="200"/>
              <w:rPr>
                <w:b/>
                <w:bCs/>
                <w:kern w:val="0"/>
                <w:sz w:val="24"/>
              </w:rPr>
            </w:pPr>
            <w:r>
              <w:rPr>
                <w:rFonts w:hint="eastAsia"/>
                <w:b/>
                <w:bCs/>
                <w:kern w:val="0"/>
                <w:sz w:val="24"/>
              </w:rPr>
              <w:t>3、污染防治措施可行性及</w:t>
            </w:r>
            <w:r>
              <w:rPr>
                <w:b/>
                <w:bCs/>
                <w:kern w:val="0"/>
                <w:sz w:val="24"/>
              </w:rPr>
              <w:t>环境影响分析结论</w:t>
            </w:r>
          </w:p>
          <w:p>
            <w:pPr>
              <w:spacing w:line="480" w:lineRule="exact"/>
              <w:ind w:firstLine="480" w:firstLineChars="200"/>
              <w:rPr>
                <w:bCs/>
                <w:sz w:val="24"/>
                <w:szCs w:val="24"/>
              </w:rPr>
            </w:pPr>
            <w:r>
              <w:rPr>
                <w:rFonts w:hint="eastAsia"/>
                <w:bCs/>
                <w:sz w:val="24"/>
                <w:szCs w:val="24"/>
              </w:rPr>
              <w:t>（1）废气环境影响分析</w:t>
            </w:r>
          </w:p>
          <w:p>
            <w:pPr>
              <w:spacing w:line="480" w:lineRule="exact"/>
              <w:ind w:firstLine="480" w:firstLineChars="200"/>
              <w:rPr>
                <w:sz w:val="24"/>
                <w:szCs w:val="24"/>
              </w:rPr>
            </w:pPr>
            <w:r>
              <w:rPr>
                <w:rFonts w:hint="eastAsia"/>
                <w:sz w:val="24"/>
                <w:szCs w:val="24"/>
              </w:rPr>
              <w:t>①切割粉尘</w:t>
            </w:r>
          </w:p>
          <w:p>
            <w:pPr>
              <w:spacing w:line="480" w:lineRule="exact"/>
              <w:ind w:firstLine="480" w:firstLineChars="200"/>
              <w:rPr>
                <w:sz w:val="24"/>
                <w:szCs w:val="24"/>
              </w:rPr>
            </w:pPr>
            <w:r>
              <w:rPr>
                <w:rFonts w:hint="eastAsia"/>
                <w:sz w:val="24"/>
                <w:szCs w:val="24"/>
              </w:rPr>
              <w:t>对钢材进行切割时会产生少量粉尘，在等离子切割机下方安装吸尘管道，粉尘经负压收集，布袋除尘器处理后，由1根15m排气筒（P1）外排。类比同类企业环境监测数据，粉尘排放量为0.1kg/h，年有效工作时间按1600h，年排放粉尘0.16t/a。负压收集效率是95%，布袋除尘器处理效率为99%，风机风量20000m</w:t>
            </w:r>
            <w:r>
              <w:rPr>
                <w:rFonts w:hint="eastAsia"/>
                <w:sz w:val="24"/>
                <w:szCs w:val="24"/>
                <w:vertAlign w:val="superscript"/>
              </w:rPr>
              <w:t>3</w:t>
            </w:r>
            <w:r>
              <w:rPr>
                <w:rFonts w:hint="eastAsia"/>
                <w:sz w:val="24"/>
                <w:szCs w:val="24"/>
              </w:rPr>
              <w:t>/h，则粉尘有组织产生量为0.152t/a，产生浓度为4.75mg/m</w:t>
            </w:r>
            <w:r>
              <w:rPr>
                <w:rFonts w:hint="eastAsia"/>
                <w:sz w:val="24"/>
                <w:szCs w:val="24"/>
                <w:vertAlign w:val="superscript"/>
              </w:rPr>
              <w:t>3</w:t>
            </w:r>
            <w:r>
              <w:rPr>
                <w:rFonts w:hint="eastAsia"/>
                <w:sz w:val="24"/>
                <w:szCs w:val="24"/>
              </w:rPr>
              <w:t>，经布袋除尘器处理后，粉尘的排放量为0.002t/a，排放速率为0.001kg/h，排放浓度为0.048mg/m</w:t>
            </w:r>
            <w:r>
              <w:rPr>
                <w:rFonts w:hint="eastAsia"/>
                <w:sz w:val="24"/>
                <w:szCs w:val="24"/>
                <w:vertAlign w:val="superscript"/>
              </w:rPr>
              <w:t>3</w:t>
            </w:r>
            <w:r>
              <w:rPr>
                <w:rFonts w:hint="eastAsia"/>
                <w:sz w:val="24"/>
                <w:szCs w:val="24"/>
              </w:rPr>
              <w:t>。未被吸尘管道收集的粉尘无组织排放，无组织排放量为0.008t/a，无组织排放速率为0.005kg/h。经布袋除尘器后颗粒物排放浓度及速率均满足《大气污染物综合排放标准》（GB16297-1996）表2二级标准，颗粒物≤120mg/m</w:t>
            </w:r>
            <w:r>
              <w:rPr>
                <w:rFonts w:hint="eastAsia"/>
                <w:sz w:val="24"/>
                <w:szCs w:val="24"/>
                <w:vertAlign w:val="superscript"/>
              </w:rPr>
              <w:t>3</w:t>
            </w:r>
            <w:r>
              <w:rPr>
                <w:rFonts w:hint="eastAsia"/>
                <w:sz w:val="24"/>
                <w:szCs w:val="24"/>
              </w:rPr>
              <w:t>；排气筒15m；排放速率≤3.5kg/h。</w:t>
            </w:r>
          </w:p>
          <w:p>
            <w:pPr>
              <w:spacing w:line="480" w:lineRule="exact"/>
              <w:ind w:firstLine="480" w:firstLineChars="200"/>
              <w:rPr>
                <w:sz w:val="24"/>
                <w:szCs w:val="24"/>
              </w:rPr>
            </w:pPr>
            <w:r>
              <w:rPr>
                <w:rFonts w:hint="eastAsia"/>
                <w:sz w:val="24"/>
                <w:szCs w:val="24"/>
              </w:rPr>
              <w:t>②焊接烟尘</w:t>
            </w:r>
          </w:p>
          <w:p>
            <w:pPr>
              <w:spacing w:line="480" w:lineRule="exact"/>
              <w:ind w:firstLine="480" w:firstLineChars="200"/>
              <w:rPr>
                <w:sz w:val="24"/>
                <w:szCs w:val="24"/>
              </w:rPr>
            </w:pPr>
            <w:r>
              <w:rPr>
                <w:rFonts w:hint="eastAsia"/>
                <w:sz w:val="24"/>
                <w:szCs w:val="24"/>
              </w:rPr>
              <w:t>本项目</w:t>
            </w:r>
            <w:r>
              <w:rPr>
                <w:sz w:val="24"/>
                <w:szCs w:val="24"/>
              </w:rPr>
              <w:t>金属焊接过程中有一定量的</w:t>
            </w:r>
            <w:r>
              <w:rPr>
                <w:rFonts w:hint="eastAsia"/>
                <w:sz w:val="24"/>
                <w:szCs w:val="24"/>
              </w:rPr>
              <w:t>焊接烟尘</w:t>
            </w:r>
            <w:r>
              <w:rPr>
                <w:sz w:val="24"/>
                <w:szCs w:val="24"/>
              </w:rPr>
              <w:t>产生，</w:t>
            </w:r>
            <w:r>
              <w:rPr>
                <w:rFonts w:hint="eastAsia"/>
                <w:sz w:val="24"/>
                <w:szCs w:val="24"/>
              </w:rPr>
              <w:t>技改项目产生的焊接烟尘量为0.05t/a。本项目新增二保焊机4台（2用2备），自动龙门焊4台（2用2备），油缸焊接机1台，油嘴焊接1台，移动式焊烟净化器4台（2台单头，2台双头）。</w:t>
            </w:r>
          </w:p>
          <w:p>
            <w:pPr>
              <w:pStyle w:val="48"/>
              <w:spacing w:line="480" w:lineRule="exact"/>
              <w:rPr>
                <w:szCs w:val="24"/>
              </w:rPr>
            </w:pPr>
            <w:r>
              <w:rPr>
                <w:rFonts w:hint="eastAsia"/>
                <w:szCs w:val="24"/>
              </w:rPr>
              <w:t>在焊接工位设移动式焊烟净化器（2台单头，2台双头），利用净化器自带的收集各焊接工位产生的焊接烟尘，捕集率大于98%，收集到的焊烟通过管道送入净化系统净化处理后，通过车间上部的通风扇排放。烟尘净化器捕集的烟尘，经净化处理后（处理效率大于98%），排至厂房上部，通过车间上部的通风扇无组织排放（不考虑车间内沉降），</w:t>
            </w:r>
            <w:r>
              <w:rPr>
                <w:szCs w:val="24"/>
              </w:rPr>
              <w:t>按年</w:t>
            </w:r>
            <w:r>
              <w:rPr>
                <w:rFonts w:hint="eastAsia"/>
                <w:szCs w:val="24"/>
              </w:rPr>
              <w:t>作业</w:t>
            </w:r>
            <w:r>
              <w:rPr>
                <w:szCs w:val="24"/>
              </w:rPr>
              <w:t>时间（</w:t>
            </w:r>
            <w:r>
              <w:rPr>
                <w:rFonts w:hint="eastAsia"/>
                <w:szCs w:val="24"/>
              </w:rPr>
              <w:t>1000</w:t>
            </w:r>
            <w:r>
              <w:rPr>
                <w:szCs w:val="24"/>
              </w:rPr>
              <w:t>h）计算，烟尘无组织排放量</w:t>
            </w:r>
            <w:r>
              <w:rPr>
                <w:rFonts w:hint="eastAsia"/>
                <w:szCs w:val="24"/>
              </w:rPr>
              <w:t>0.001t/a，排放速率为0.001kg/h</w:t>
            </w:r>
            <w:r>
              <w:rPr>
                <w:szCs w:val="24"/>
              </w:rPr>
              <w:t>。</w:t>
            </w:r>
            <w:r>
              <w:rPr>
                <w:rFonts w:hint="eastAsia"/>
                <w:szCs w:val="24"/>
              </w:rPr>
              <w:t>通过预测，</w:t>
            </w:r>
            <w:r>
              <w:rPr>
                <w:szCs w:val="24"/>
              </w:rPr>
              <w:t>颗粒物</w:t>
            </w:r>
            <w:r>
              <w:rPr>
                <w:kern w:val="24"/>
                <w:szCs w:val="24"/>
              </w:rPr>
              <w:t>最</w:t>
            </w:r>
            <w:r>
              <w:rPr>
                <w:szCs w:val="24"/>
              </w:rPr>
              <w:t>大落地浓度</w:t>
            </w:r>
            <w:r>
              <w:rPr>
                <w:rFonts w:hint="eastAsia"/>
                <w:szCs w:val="24"/>
              </w:rPr>
              <w:t>满足《</w:t>
            </w:r>
            <w:r>
              <w:rPr>
                <w:rFonts w:hint="eastAsia"/>
                <w:snapToGrid w:val="0"/>
                <w:kern w:val="0"/>
                <w:szCs w:val="24"/>
              </w:rPr>
              <w:t>大气污染物综合排放标准》（GB16297-1996）表2中无组织排放标准，颗粒物</w:t>
            </w:r>
            <w:r>
              <w:rPr>
                <w:rFonts w:hint="eastAsia"/>
                <w:szCs w:val="24"/>
              </w:rPr>
              <w:t>≤1.0mg/m</w:t>
            </w:r>
            <w:r>
              <w:rPr>
                <w:rFonts w:hint="eastAsia"/>
                <w:szCs w:val="24"/>
                <w:vertAlign w:val="superscript"/>
              </w:rPr>
              <w:t>3</w:t>
            </w:r>
            <w:r>
              <w:rPr>
                <w:rFonts w:hint="eastAsia"/>
                <w:szCs w:val="24"/>
              </w:rPr>
              <w:t>。</w:t>
            </w:r>
          </w:p>
          <w:p>
            <w:pPr>
              <w:pStyle w:val="48"/>
              <w:spacing w:line="480" w:lineRule="exact"/>
              <w:rPr>
                <w:szCs w:val="24"/>
              </w:rPr>
            </w:pPr>
            <w:r>
              <w:rPr>
                <w:rFonts w:hint="eastAsia"/>
                <w:szCs w:val="24"/>
              </w:rPr>
              <w:t>③回火炉废气</w:t>
            </w:r>
          </w:p>
          <w:p>
            <w:pPr>
              <w:spacing w:line="480" w:lineRule="exact"/>
              <w:ind w:firstLine="480" w:firstLineChars="200"/>
              <w:rPr>
                <w:sz w:val="24"/>
                <w:szCs w:val="24"/>
              </w:rPr>
            </w:pPr>
            <w:r>
              <w:rPr>
                <w:rFonts w:hint="eastAsia"/>
                <w:sz w:val="24"/>
                <w:szCs w:val="24"/>
              </w:rPr>
              <w:t>技改项目新增回火工序，增加</w:t>
            </w:r>
            <w:r>
              <w:rPr>
                <w:rFonts w:hint="eastAsia"/>
                <w:bCs/>
                <w:sz w:val="24"/>
              </w:rPr>
              <w:t>工件的延性或韧性。在回火过程工件所带的机油会有部分挥发（以非甲烷总烃计）。本项目机油年用量为0.85t/a，工件携带量占5%，加热时的挥发量为携带量的80%，则非甲烷总烃的产生量为0.034t/a。在工业电阻炉和工业台式炉的出口上方各安装1个集气罩，经集气罩收集后的非甲烷总烃，由1台等离子光氧一体机处理后，由1根</w:t>
            </w:r>
            <w:r>
              <w:rPr>
                <w:rFonts w:hint="eastAsia"/>
                <w:sz w:val="24"/>
                <w:szCs w:val="24"/>
              </w:rPr>
              <w:t>15m排气筒（P2）外排。集气罩收集效率为90%，等离子光氧一体机的处理效率为90%，风机风量为5000m</w:t>
            </w:r>
            <w:r>
              <w:rPr>
                <w:rFonts w:hint="eastAsia"/>
                <w:sz w:val="24"/>
                <w:szCs w:val="24"/>
                <w:vertAlign w:val="superscript"/>
              </w:rPr>
              <w:t>3</w:t>
            </w:r>
            <w:r>
              <w:rPr>
                <w:rFonts w:hint="eastAsia"/>
                <w:sz w:val="24"/>
                <w:szCs w:val="24"/>
              </w:rPr>
              <w:t>/h，年工作时间600h，非甲烷总烃有组织产生量为0.031t/a，产生浓度为10.2mg/m</w:t>
            </w:r>
            <w:r>
              <w:rPr>
                <w:rFonts w:hint="eastAsia"/>
                <w:sz w:val="24"/>
                <w:szCs w:val="24"/>
                <w:vertAlign w:val="superscript"/>
              </w:rPr>
              <w:t>3</w:t>
            </w:r>
            <w:r>
              <w:rPr>
                <w:rFonts w:hint="eastAsia"/>
                <w:sz w:val="24"/>
                <w:szCs w:val="24"/>
              </w:rPr>
              <w:t>，经等离子光氧一体机处理后，非甲烷总烃的排放量为0.003t/a，排放速率为0.005kg/h，排放浓度为1.02mg/m</w:t>
            </w:r>
            <w:r>
              <w:rPr>
                <w:rFonts w:hint="eastAsia"/>
                <w:sz w:val="24"/>
                <w:szCs w:val="24"/>
                <w:vertAlign w:val="superscript"/>
              </w:rPr>
              <w:t>3</w:t>
            </w:r>
            <w:r>
              <w:rPr>
                <w:rFonts w:hint="eastAsia"/>
                <w:sz w:val="24"/>
                <w:szCs w:val="24"/>
              </w:rPr>
              <w:t>。未经集气罩收集的粉尘无组织排放，无组织排放量为0.003t/a，无组织排放速率为0.006kg/h。</w:t>
            </w:r>
          </w:p>
          <w:p>
            <w:pPr>
              <w:pStyle w:val="48"/>
              <w:spacing w:line="480" w:lineRule="exact"/>
              <w:rPr>
                <w:szCs w:val="24"/>
              </w:rPr>
            </w:pPr>
            <w:r>
              <w:rPr>
                <w:rFonts w:hint="eastAsia"/>
                <w:szCs w:val="24"/>
              </w:rPr>
              <w:t>经等离子光氧一体机处理后非甲烷总烃排放浓度满足</w:t>
            </w:r>
            <w:r>
              <w:t>《工业企业挥发性有机物排放控制标准》（DB13/2322-2016）表1</w:t>
            </w:r>
            <w:r>
              <w:rPr>
                <w:rFonts w:hint="eastAsia"/>
              </w:rPr>
              <w:t>其它行业标准要求</w:t>
            </w:r>
            <w:r>
              <w:rPr>
                <w:rFonts w:hint="eastAsia"/>
                <w:szCs w:val="24"/>
              </w:rPr>
              <w:t>；</w:t>
            </w:r>
          </w:p>
          <w:p>
            <w:pPr>
              <w:pStyle w:val="48"/>
              <w:spacing w:line="480" w:lineRule="exact"/>
              <w:rPr>
                <w:szCs w:val="24"/>
              </w:rPr>
            </w:pPr>
            <w:r>
              <w:rPr>
                <w:rFonts w:hint="eastAsia"/>
                <w:szCs w:val="24"/>
              </w:rPr>
              <w:t>④喷晾漆废气</w:t>
            </w:r>
          </w:p>
          <w:p>
            <w:pPr>
              <w:pStyle w:val="48"/>
              <w:spacing w:line="480" w:lineRule="exact"/>
              <w:rPr>
                <w:szCs w:val="24"/>
              </w:rPr>
            </w:pPr>
            <w:r>
              <w:rPr>
                <w:szCs w:val="24"/>
              </w:rPr>
              <w:t>本项目喷漆及晾干</w:t>
            </w:r>
            <w:r>
              <w:rPr>
                <w:rFonts w:hint="eastAsia"/>
                <w:szCs w:val="24"/>
              </w:rPr>
              <w:t>均</w:t>
            </w:r>
            <w:r>
              <w:rPr>
                <w:szCs w:val="24"/>
              </w:rPr>
              <w:t>在</w:t>
            </w:r>
            <w:r>
              <w:rPr>
                <w:rFonts w:hint="eastAsia"/>
                <w:szCs w:val="24"/>
              </w:rPr>
              <w:t>单独的</w:t>
            </w:r>
            <w:r>
              <w:rPr>
                <w:szCs w:val="24"/>
              </w:rPr>
              <w:t>一体式密闭</w:t>
            </w:r>
            <w:r>
              <w:rPr>
                <w:rFonts w:hint="eastAsia"/>
                <w:szCs w:val="24"/>
              </w:rPr>
              <w:t>房间</w:t>
            </w:r>
            <w:r>
              <w:rPr>
                <w:szCs w:val="24"/>
              </w:rPr>
              <w:t>中进行，喷漆</w:t>
            </w:r>
            <w:r>
              <w:rPr>
                <w:rFonts w:hint="eastAsia"/>
                <w:szCs w:val="24"/>
              </w:rPr>
              <w:t>废气为</w:t>
            </w:r>
            <w:r>
              <w:rPr>
                <w:szCs w:val="24"/>
              </w:rPr>
              <w:t>密闭负压收集。喷漆房丙烯酸磁漆（配比后）用量为</w:t>
            </w:r>
            <w:r>
              <w:rPr>
                <w:rFonts w:hint="eastAsia"/>
                <w:szCs w:val="24"/>
              </w:rPr>
              <w:t>3.25</w:t>
            </w:r>
            <w:r>
              <w:rPr>
                <w:szCs w:val="24"/>
              </w:rPr>
              <w:t>t，</w:t>
            </w:r>
            <w:r>
              <w:t>喷漆过程散发到废气中非甲烷总烃</w:t>
            </w:r>
            <w:r>
              <w:rPr>
                <w:rFonts w:hint="eastAsia"/>
              </w:rPr>
              <w:t>量为0.07t/a</w:t>
            </w:r>
            <w:r>
              <w:t>，二甲苯</w:t>
            </w:r>
            <w:r>
              <w:rPr>
                <w:rFonts w:hint="eastAsia"/>
              </w:rPr>
              <w:t>量0.09t/a</w:t>
            </w:r>
            <w:r>
              <w:t>，颗粒物</w:t>
            </w:r>
            <w:r>
              <w:rPr>
                <w:rFonts w:hint="eastAsia"/>
              </w:rPr>
              <w:t>量1.63t/a</w:t>
            </w:r>
            <w:r>
              <w:t>。晾干过程中附着于被喷涂组件中的VOCs在常温下60%挥发，附着的固分全部留于组件表面，因此晾干过程中散发到废气中的非甲烷总烃</w:t>
            </w:r>
            <w:r>
              <w:rPr>
                <w:rFonts w:hint="eastAsia"/>
              </w:rPr>
              <w:t>量</w:t>
            </w:r>
            <w:r>
              <w:t>为</w:t>
            </w:r>
            <w:r>
              <w:rPr>
                <w:rFonts w:hint="eastAsia"/>
              </w:rPr>
              <w:t>0.03t/a</w:t>
            </w:r>
            <w:r>
              <w:t>，二甲苯</w:t>
            </w:r>
            <w:r>
              <w:rPr>
                <w:rFonts w:hint="eastAsia"/>
              </w:rPr>
              <w:t>量</w:t>
            </w:r>
            <w:r>
              <w:t>为</w:t>
            </w:r>
            <w:r>
              <w:rPr>
                <w:rFonts w:hint="eastAsia"/>
              </w:rPr>
              <w:t>0.04t/a</w:t>
            </w:r>
            <w:r>
              <w:t>。喷</w:t>
            </w:r>
            <w:r>
              <w:rPr>
                <w:rFonts w:hint="eastAsia"/>
              </w:rPr>
              <w:t>、</w:t>
            </w:r>
            <w:r>
              <w:t>晾漆废气由引风机引入</w:t>
            </w:r>
            <w:r>
              <w:rPr>
                <w:rFonts w:hint="eastAsia"/>
              </w:rPr>
              <w:t>干式过滤器</w:t>
            </w:r>
            <w:r>
              <w:t>，经</w:t>
            </w:r>
            <w:r>
              <w:rPr>
                <w:rFonts w:hint="eastAsia"/>
              </w:rPr>
              <w:t>等离子光氧一体机</w:t>
            </w:r>
            <w:r>
              <w:t>处理后，由15m高排气筒P</w:t>
            </w:r>
            <w:r>
              <w:rPr>
                <w:rFonts w:hint="eastAsia"/>
              </w:rPr>
              <w:t>3</w:t>
            </w:r>
            <w:r>
              <w:t>外排。喷漆年工作时间为</w:t>
            </w:r>
            <w:r>
              <w:rPr>
                <w:rFonts w:hint="eastAsia"/>
              </w:rPr>
              <w:t>1000</w:t>
            </w:r>
            <w:r>
              <w:t>h，</w:t>
            </w:r>
            <w:r>
              <w:rPr>
                <w:rFonts w:hint="eastAsia"/>
              </w:rPr>
              <w:t>晾干年工作时间为1000h，干式过滤器</w:t>
            </w:r>
            <w:r>
              <w:t>颗粒物去除效率为</w:t>
            </w:r>
            <w:r>
              <w:rPr>
                <w:rFonts w:hint="eastAsia"/>
              </w:rPr>
              <w:t>85</w:t>
            </w:r>
            <w:r>
              <w:t>%，</w:t>
            </w:r>
            <w:r>
              <w:rPr>
                <w:rFonts w:hint="eastAsia"/>
              </w:rPr>
              <w:t>等离子光氧一体机有机废气</w:t>
            </w:r>
            <w:r>
              <w:t>的</w:t>
            </w:r>
            <w:r>
              <w:rPr>
                <w:szCs w:val="24"/>
              </w:rPr>
              <w:t>去除率≥90%（本次以90%计）。则经</w:t>
            </w:r>
            <w:r>
              <w:t>P</w:t>
            </w:r>
            <w:r>
              <w:rPr>
                <w:rFonts w:hint="eastAsia"/>
              </w:rPr>
              <w:t>3</w:t>
            </w:r>
            <w:r>
              <w:t>排气筒排放的</w:t>
            </w:r>
            <w:r>
              <w:rPr>
                <w:szCs w:val="24"/>
              </w:rPr>
              <w:t>废气中颗粒物产生量为</w:t>
            </w:r>
            <w:r>
              <w:rPr>
                <w:rFonts w:hint="eastAsia"/>
                <w:szCs w:val="24"/>
              </w:rPr>
              <w:t>1.63</w:t>
            </w:r>
            <w:r>
              <w:rPr>
                <w:szCs w:val="24"/>
              </w:rPr>
              <w:t>t/a，产生浓度为</w:t>
            </w:r>
            <w:r>
              <w:rPr>
                <w:rFonts w:hint="eastAsia"/>
                <w:szCs w:val="24"/>
              </w:rPr>
              <w:t>27.11</w:t>
            </w:r>
            <w:r>
              <w:rPr>
                <w:szCs w:val="24"/>
              </w:rPr>
              <w:t>mg/</w:t>
            </w:r>
            <w:r>
              <w:t>m</w:t>
            </w:r>
            <w:r>
              <w:rPr>
                <w:vertAlign w:val="superscript"/>
              </w:rPr>
              <w:t>3</w:t>
            </w:r>
            <w:r>
              <w:rPr>
                <w:rFonts w:hint="eastAsia"/>
              </w:rPr>
              <w:t>；</w:t>
            </w:r>
            <w:r>
              <w:t>非甲烷总烃</w:t>
            </w:r>
            <w:r>
              <w:rPr>
                <w:szCs w:val="24"/>
              </w:rPr>
              <w:t>产生量为</w:t>
            </w:r>
            <w:r>
              <w:rPr>
                <w:rFonts w:hint="eastAsia"/>
                <w:szCs w:val="24"/>
              </w:rPr>
              <w:t>0.10</w:t>
            </w:r>
            <w:r>
              <w:rPr>
                <w:szCs w:val="24"/>
              </w:rPr>
              <w:t>t/a，产生浓度为</w:t>
            </w:r>
            <w:r>
              <w:rPr>
                <w:rFonts w:hint="eastAsia"/>
                <w:szCs w:val="24"/>
              </w:rPr>
              <w:t>1.76</w:t>
            </w:r>
            <w:r>
              <w:rPr>
                <w:szCs w:val="24"/>
              </w:rPr>
              <w:t>mg/</w:t>
            </w:r>
            <w:r>
              <w:t>m</w:t>
            </w:r>
            <w:r>
              <w:rPr>
                <w:vertAlign w:val="superscript"/>
              </w:rPr>
              <w:t>3</w:t>
            </w:r>
            <w:r>
              <w:rPr>
                <w:rFonts w:hint="eastAsia"/>
              </w:rPr>
              <w:t>；</w:t>
            </w:r>
            <w:r>
              <w:t>二甲苯</w:t>
            </w:r>
            <w:r>
              <w:rPr>
                <w:szCs w:val="24"/>
              </w:rPr>
              <w:t>产生量为</w:t>
            </w:r>
            <w:r>
              <w:rPr>
                <w:rFonts w:hint="eastAsia"/>
                <w:szCs w:val="24"/>
              </w:rPr>
              <w:t>0.13</w:t>
            </w:r>
            <w:r>
              <w:rPr>
                <w:szCs w:val="24"/>
              </w:rPr>
              <w:t>t/a，产生浓度为</w:t>
            </w:r>
            <w:r>
              <w:rPr>
                <w:rFonts w:hint="eastAsia"/>
                <w:szCs w:val="24"/>
              </w:rPr>
              <w:t>2.24</w:t>
            </w:r>
            <w:r>
              <w:rPr>
                <w:szCs w:val="24"/>
              </w:rPr>
              <w:t>mg/</w:t>
            </w:r>
            <w:r>
              <w:t>m</w:t>
            </w:r>
            <w:r>
              <w:rPr>
                <w:vertAlign w:val="superscript"/>
              </w:rPr>
              <w:t>3</w:t>
            </w:r>
            <w:r>
              <w:t>，处理后废气</w:t>
            </w:r>
            <w:r>
              <w:rPr>
                <w:szCs w:val="24"/>
              </w:rPr>
              <w:t>颗粒物排放量为</w:t>
            </w:r>
            <w:r>
              <w:rPr>
                <w:rFonts w:hint="eastAsia"/>
                <w:szCs w:val="24"/>
              </w:rPr>
              <w:t>0.24</w:t>
            </w:r>
            <w:r>
              <w:rPr>
                <w:szCs w:val="24"/>
              </w:rPr>
              <w:t>t/a，排放浓度为</w:t>
            </w:r>
            <w:r>
              <w:rPr>
                <w:rFonts w:hint="eastAsia"/>
                <w:szCs w:val="24"/>
              </w:rPr>
              <w:t>4.07</w:t>
            </w:r>
            <w:r>
              <w:rPr>
                <w:szCs w:val="24"/>
              </w:rPr>
              <w:t>mg/</w:t>
            </w:r>
            <w:r>
              <w:t>m</w:t>
            </w:r>
            <w:r>
              <w:rPr>
                <w:vertAlign w:val="superscript"/>
              </w:rPr>
              <w:t>3</w:t>
            </w:r>
            <w:r>
              <w:t>，排放速率为</w:t>
            </w:r>
            <w:r>
              <w:rPr>
                <w:rFonts w:hint="eastAsia"/>
              </w:rPr>
              <w:t>0.121</w:t>
            </w:r>
            <w:r>
              <w:t>kg/h，非甲烷总烃</w:t>
            </w:r>
            <w:r>
              <w:rPr>
                <w:szCs w:val="24"/>
              </w:rPr>
              <w:t>排放量为</w:t>
            </w:r>
            <w:r>
              <w:rPr>
                <w:rFonts w:hint="eastAsia"/>
                <w:szCs w:val="24"/>
              </w:rPr>
              <w:t>0.01</w:t>
            </w:r>
            <w:r>
              <w:rPr>
                <w:szCs w:val="24"/>
              </w:rPr>
              <w:t>t/a，</w:t>
            </w:r>
            <w:r>
              <w:t>排放</w:t>
            </w:r>
            <w:r>
              <w:rPr>
                <w:szCs w:val="24"/>
              </w:rPr>
              <w:t>浓度为</w:t>
            </w:r>
            <w:r>
              <w:rPr>
                <w:rFonts w:hint="eastAsia"/>
                <w:szCs w:val="24"/>
              </w:rPr>
              <w:t>0.16</w:t>
            </w:r>
            <w:r>
              <w:rPr>
                <w:szCs w:val="24"/>
              </w:rPr>
              <w:t>mg/</w:t>
            </w:r>
            <w:r>
              <w:t>m</w:t>
            </w:r>
            <w:r>
              <w:rPr>
                <w:vertAlign w:val="superscript"/>
              </w:rPr>
              <w:t>3</w:t>
            </w:r>
            <w:r>
              <w:t>，排放速率为</w:t>
            </w:r>
            <w:r>
              <w:rPr>
                <w:rFonts w:hint="eastAsia"/>
              </w:rPr>
              <w:t>0.005</w:t>
            </w:r>
            <w:r>
              <w:t>kg/h，</w:t>
            </w:r>
            <w:r>
              <w:rPr>
                <w:szCs w:val="24"/>
              </w:rPr>
              <w:t>二甲苯排放量为</w:t>
            </w:r>
            <w:r>
              <w:rPr>
                <w:rFonts w:hint="eastAsia"/>
                <w:szCs w:val="24"/>
              </w:rPr>
              <w:t>0.01</w:t>
            </w:r>
            <w:r>
              <w:rPr>
                <w:szCs w:val="24"/>
              </w:rPr>
              <w:t>t/a，排放浓度为</w:t>
            </w:r>
            <w:r>
              <w:rPr>
                <w:rFonts w:hint="eastAsia"/>
                <w:szCs w:val="24"/>
              </w:rPr>
              <w:t>0.22</w:t>
            </w:r>
            <w:r>
              <w:rPr>
                <w:szCs w:val="24"/>
              </w:rPr>
              <w:t>mg/</w:t>
            </w:r>
            <w:r>
              <w:t>m</w:t>
            </w:r>
            <w:r>
              <w:rPr>
                <w:vertAlign w:val="superscript"/>
              </w:rPr>
              <w:t>3</w:t>
            </w:r>
            <w:r>
              <w:t>，排放速率为</w:t>
            </w:r>
            <w:r>
              <w:rPr>
                <w:rFonts w:hint="eastAsia"/>
              </w:rPr>
              <w:t>0.007</w:t>
            </w:r>
            <w:r>
              <w:t>kg/h；</w:t>
            </w:r>
            <w:r>
              <w:rPr>
                <w:rFonts w:hint="eastAsia"/>
              </w:rPr>
              <w:t>颗粒物排放满足</w:t>
            </w:r>
            <w:r>
              <w:rPr>
                <w:szCs w:val="24"/>
              </w:rPr>
              <w:t>《大气污染物综合排放标准》（GB16297-1996）表2二级排放要求</w:t>
            </w:r>
            <w:r>
              <w:rPr>
                <w:rFonts w:hint="eastAsia"/>
                <w:szCs w:val="24"/>
              </w:rPr>
              <w:t>；非甲烷总烃、二甲苯</w:t>
            </w:r>
            <w:r>
              <w:rPr>
                <w:szCs w:val="24"/>
              </w:rPr>
              <w:t>满足《工业企业挥发性有机物排放控制标准》（DB13/2322-2016）表1表面涂装业最高允许排放浓度要求</w:t>
            </w:r>
            <w:r>
              <w:rPr>
                <w:rFonts w:hint="eastAsia"/>
                <w:szCs w:val="24"/>
              </w:rPr>
              <w:t>。</w:t>
            </w:r>
          </w:p>
          <w:p>
            <w:pPr>
              <w:spacing w:line="480" w:lineRule="exact"/>
              <w:ind w:firstLine="480" w:firstLineChars="200"/>
              <w:rPr>
                <w:sz w:val="24"/>
              </w:rPr>
            </w:pPr>
            <w:r>
              <w:rPr>
                <w:sz w:val="24"/>
              </w:rPr>
              <w:t>喷漆房虽密闭，仍有极少量废气以无组织形式逸散，项目喷漆及晾干房无组织废气中非甲烷总烃排放量为0.001t/a，二甲苯排放量为0.001t/a，颗粒物排放量0.003t/a</w:t>
            </w:r>
            <w:r>
              <w:rPr>
                <w:rFonts w:hint="eastAsia"/>
                <w:sz w:val="24"/>
              </w:rPr>
              <w:t>，</w:t>
            </w:r>
          </w:p>
          <w:p>
            <w:pPr>
              <w:pStyle w:val="48"/>
              <w:spacing w:line="480" w:lineRule="exact"/>
              <w:ind w:firstLine="0" w:firstLineChars="0"/>
              <w:rPr>
                <w:bCs/>
                <w:spacing w:val="-4"/>
              </w:rPr>
            </w:pPr>
            <w:r>
              <w:rPr>
                <w:rFonts w:hint="eastAsia"/>
              </w:rPr>
              <w:t>排放速率分别为0.002</w:t>
            </w:r>
            <w:r>
              <w:t>kg/h</w:t>
            </w:r>
            <w:r>
              <w:rPr>
                <w:rFonts w:hint="eastAsia"/>
              </w:rPr>
              <w:t>、0.0008</w:t>
            </w:r>
            <w:r>
              <w:t>kg/h</w:t>
            </w:r>
            <w:r>
              <w:rPr>
                <w:rFonts w:hint="eastAsia"/>
              </w:rPr>
              <w:t>、0.0008</w:t>
            </w:r>
            <w:r>
              <w:t>kg/h</w:t>
            </w:r>
            <w:r>
              <w:rPr>
                <w:rFonts w:hint="eastAsia"/>
                <w:szCs w:val="24"/>
              </w:rPr>
              <w:t>；</w:t>
            </w:r>
          </w:p>
          <w:p>
            <w:pPr>
              <w:pStyle w:val="48"/>
              <w:spacing w:line="480" w:lineRule="exact"/>
              <w:rPr>
                <w:szCs w:val="24"/>
              </w:rPr>
            </w:pPr>
            <w:r>
              <w:rPr>
                <w:szCs w:val="24"/>
              </w:rPr>
              <w:t>根据估算模式计算结果，车间点源</w:t>
            </w:r>
            <w:r>
              <w:rPr>
                <w:rFonts w:hint="eastAsia"/>
                <w:szCs w:val="24"/>
              </w:rPr>
              <w:t>切割粉尘中</w:t>
            </w:r>
            <w:r>
              <w:rPr>
                <w:szCs w:val="24"/>
              </w:rPr>
              <w:t>颗粒物</w:t>
            </w:r>
            <w:r>
              <w:rPr>
                <w:kern w:val="24"/>
                <w:szCs w:val="24"/>
              </w:rPr>
              <w:t>最</w:t>
            </w:r>
            <w:r>
              <w:rPr>
                <w:szCs w:val="24"/>
              </w:rPr>
              <w:t>大落地浓度为</w:t>
            </w:r>
            <w:r>
              <w:rPr>
                <w:rFonts w:hint="eastAsia"/>
                <w:szCs w:val="24"/>
              </w:rPr>
              <w:t>0.00001935</w:t>
            </w:r>
            <w:r>
              <w:rPr>
                <w:kern w:val="24"/>
                <w:szCs w:val="24"/>
              </w:rPr>
              <w:t>mg/m</w:t>
            </w:r>
            <w:r>
              <w:rPr>
                <w:kern w:val="24"/>
                <w:szCs w:val="24"/>
                <w:vertAlign w:val="superscript"/>
              </w:rPr>
              <w:t>3</w:t>
            </w:r>
            <w:r>
              <w:rPr>
                <w:kern w:val="24"/>
                <w:szCs w:val="24"/>
              </w:rPr>
              <w:t>，占标率为</w:t>
            </w:r>
            <w:r>
              <w:rPr>
                <w:kern w:val="0"/>
                <w:szCs w:val="24"/>
              </w:rPr>
              <w:t>0%</w:t>
            </w:r>
            <w:r>
              <w:rPr>
                <w:kern w:val="24"/>
                <w:szCs w:val="24"/>
              </w:rPr>
              <w:t>，</w:t>
            </w:r>
            <w:r>
              <w:rPr>
                <w:szCs w:val="24"/>
              </w:rPr>
              <w:t>最大落地浓度出现距离均为下风向</w:t>
            </w:r>
            <w:r>
              <w:rPr>
                <w:rFonts w:hint="eastAsia"/>
                <w:szCs w:val="24"/>
              </w:rPr>
              <w:t>317</w:t>
            </w:r>
            <w:r>
              <w:rPr>
                <w:szCs w:val="24"/>
              </w:rPr>
              <w:t>m。点源</w:t>
            </w:r>
            <w:r>
              <w:rPr>
                <w:rFonts w:hint="eastAsia"/>
                <w:szCs w:val="24"/>
              </w:rPr>
              <w:t>回火炉废气中非甲烷总烃</w:t>
            </w:r>
            <w:r>
              <w:rPr>
                <w:kern w:val="24"/>
                <w:szCs w:val="24"/>
              </w:rPr>
              <w:t>最</w:t>
            </w:r>
            <w:r>
              <w:rPr>
                <w:szCs w:val="24"/>
              </w:rPr>
              <w:t>大落地浓度为</w:t>
            </w:r>
            <w:r>
              <w:rPr>
                <w:rFonts w:hint="eastAsia"/>
                <w:szCs w:val="24"/>
              </w:rPr>
              <w:t>0.002075</w:t>
            </w:r>
            <w:r>
              <w:rPr>
                <w:kern w:val="24"/>
                <w:szCs w:val="24"/>
              </w:rPr>
              <w:t>mg/m</w:t>
            </w:r>
            <w:r>
              <w:rPr>
                <w:kern w:val="24"/>
                <w:szCs w:val="24"/>
                <w:vertAlign w:val="superscript"/>
              </w:rPr>
              <w:t>3</w:t>
            </w:r>
            <w:r>
              <w:rPr>
                <w:kern w:val="24"/>
                <w:szCs w:val="24"/>
              </w:rPr>
              <w:t>，占标率为</w:t>
            </w:r>
            <w:r>
              <w:rPr>
                <w:kern w:val="0"/>
                <w:szCs w:val="24"/>
              </w:rPr>
              <w:t>0.</w:t>
            </w:r>
            <w:r>
              <w:rPr>
                <w:rFonts w:hint="eastAsia"/>
                <w:kern w:val="0"/>
                <w:szCs w:val="24"/>
              </w:rPr>
              <w:t>01</w:t>
            </w:r>
            <w:r>
              <w:rPr>
                <w:kern w:val="0"/>
                <w:szCs w:val="24"/>
              </w:rPr>
              <w:t>%</w:t>
            </w:r>
            <w:r>
              <w:rPr>
                <w:kern w:val="24"/>
                <w:szCs w:val="24"/>
              </w:rPr>
              <w:t>，</w:t>
            </w:r>
            <w:r>
              <w:rPr>
                <w:szCs w:val="24"/>
              </w:rPr>
              <w:t>最大落地浓度出现距离均为下风向</w:t>
            </w:r>
            <w:r>
              <w:rPr>
                <w:rFonts w:hint="eastAsia"/>
                <w:szCs w:val="24"/>
              </w:rPr>
              <w:t>305</w:t>
            </w:r>
            <w:r>
              <w:rPr>
                <w:szCs w:val="24"/>
              </w:rPr>
              <w:t>m。车间点源</w:t>
            </w:r>
            <w:r>
              <w:rPr>
                <w:rFonts w:hint="eastAsia"/>
                <w:szCs w:val="24"/>
              </w:rPr>
              <w:t>喷晾漆废气中颗粒物</w:t>
            </w:r>
            <w:r>
              <w:rPr>
                <w:kern w:val="24"/>
                <w:szCs w:val="24"/>
              </w:rPr>
              <w:t>最</w:t>
            </w:r>
            <w:r>
              <w:rPr>
                <w:szCs w:val="24"/>
              </w:rPr>
              <w:t>大落地浓度为</w:t>
            </w:r>
            <w:r>
              <w:rPr>
                <w:rFonts w:hint="eastAsia"/>
                <w:szCs w:val="24"/>
              </w:rPr>
              <w:t>0.002225</w:t>
            </w:r>
            <w:r>
              <w:rPr>
                <w:kern w:val="24"/>
                <w:szCs w:val="24"/>
              </w:rPr>
              <w:t>mg/m</w:t>
            </w:r>
            <w:r>
              <w:rPr>
                <w:kern w:val="24"/>
                <w:szCs w:val="24"/>
                <w:vertAlign w:val="superscript"/>
              </w:rPr>
              <w:t>3</w:t>
            </w:r>
            <w:r>
              <w:rPr>
                <w:kern w:val="24"/>
                <w:szCs w:val="24"/>
              </w:rPr>
              <w:t>，占标率为</w:t>
            </w:r>
            <w:r>
              <w:rPr>
                <w:rFonts w:hint="eastAsia"/>
                <w:kern w:val="0"/>
                <w:szCs w:val="24"/>
              </w:rPr>
              <w:t>0.49</w:t>
            </w:r>
            <w:r>
              <w:rPr>
                <w:kern w:val="0"/>
                <w:szCs w:val="24"/>
              </w:rPr>
              <w:t>%</w:t>
            </w:r>
            <w:r>
              <w:rPr>
                <w:kern w:val="24"/>
                <w:szCs w:val="24"/>
              </w:rPr>
              <w:t>，</w:t>
            </w:r>
            <w:r>
              <w:rPr>
                <w:rFonts w:hint="eastAsia"/>
                <w:kern w:val="24"/>
                <w:szCs w:val="24"/>
              </w:rPr>
              <w:t>非甲烷总烃</w:t>
            </w:r>
            <w:r>
              <w:rPr>
                <w:kern w:val="24"/>
                <w:szCs w:val="24"/>
              </w:rPr>
              <w:t>最</w:t>
            </w:r>
            <w:r>
              <w:rPr>
                <w:szCs w:val="24"/>
              </w:rPr>
              <w:t>大落地浓度为</w:t>
            </w:r>
            <w:r>
              <w:rPr>
                <w:rFonts w:hint="eastAsia"/>
                <w:szCs w:val="24"/>
              </w:rPr>
              <w:t>0.00009196</w:t>
            </w:r>
            <w:r>
              <w:rPr>
                <w:kern w:val="24"/>
                <w:szCs w:val="24"/>
              </w:rPr>
              <w:t>mg/m</w:t>
            </w:r>
            <w:r>
              <w:rPr>
                <w:kern w:val="24"/>
                <w:szCs w:val="24"/>
                <w:vertAlign w:val="superscript"/>
              </w:rPr>
              <w:t>3</w:t>
            </w:r>
            <w:r>
              <w:rPr>
                <w:kern w:val="24"/>
                <w:szCs w:val="24"/>
              </w:rPr>
              <w:t>，占标率为</w:t>
            </w:r>
            <w:r>
              <w:rPr>
                <w:rFonts w:hint="eastAsia"/>
                <w:kern w:val="0"/>
                <w:szCs w:val="24"/>
              </w:rPr>
              <w:t>0</w:t>
            </w:r>
            <w:r>
              <w:rPr>
                <w:kern w:val="0"/>
                <w:szCs w:val="24"/>
              </w:rPr>
              <w:t>%</w:t>
            </w:r>
            <w:r>
              <w:rPr>
                <w:kern w:val="24"/>
                <w:szCs w:val="24"/>
              </w:rPr>
              <w:t>，</w:t>
            </w:r>
            <w:r>
              <w:rPr>
                <w:rFonts w:hint="eastAsia"/>
                <w:kern w:val="24"/>
                <w:szCs w:val="24"/>
              </w:rPr>
              <w:t>二甲苯</w:t>
            </w:r>
            <w:r>
              <w:rPr>
                <w:kern w:val="24"/>
                <w:szCs w:val="24"/>
              </w:rPr>
              <w:t>最</w:t>
            </w:r>
            <w:r>
              <w:rPr>
                <w:szCs w:val="24"/>
              </w:rPr>
              <w:t>大落地浓度为</w:t>
            </w:r>
            <w:r>
              <w:rPr>
                <w:rFonts w:hint="eastAsia"/>
                <w:szCs w:val="24"/>
              </w:rPr>
              <w:t>0.0001287</w:t>
            </w:r>
            <w:r>
              <w:rPr>
                <w:kern w:val="24"/>
                <w:szCs w:val="24"/>
              </w:rPr>
              <w:t>mg/m</w:t>
            </w:r>
            <w:r>
              <w:rPr>
                <w:kern w:val="24"/>
                <w:szCs w:val="24"/>
                <w:vertAlign w:val="superscript"/>
              </w:rPr>
              <w:t>3</w:t>
            </w:r>
            <w:r>
              <w:rPr>
                <w:kern w:val="24"/>
                <w:szCs w:val="24"/>
              </w:rPr>
              <w:t>，占标率为</w:t>
            </w:r>
            <w:r>
              <w:rPr>
                <w:rFonts w:hint="eastAsia"/>
                <w:kern w:val="0"/>
                <w:szCs w:val="24"/>
              </w:rPr>
              <w:t>0.06</w:t>
            </w:r>
            <w:r>
              <w:rPr>
                <w:kern w:val="0"/>
                <w:szCs w:val="24"/>
              </w:rPr>
              <w:t>%</w:t>
            </w:r>
            <w:r>
              <w:rPr>
                <w:kern w:val="24"/>
                <w:szCs w:val="24"/>
              </w:rPr>
              <w:t>，</w:t>
            </w:r>
            <w:r>
              <w:rPr>
                <w:szCs w:val="24"/>
              </w:rPr>
              <w:t>最大落地浓度出现距离均为下风向</w:t>
            </w:r>
            <w:r>
              <w:rPr>
                <w:rFonts w:hint="eastAsia"/>
                <w:szCs w:val="24"/>
              </w:rPr>
              <w:t>325</w:t>
            </w:r>
            <w:r>
              <w:rPr>
                <w:szCs w:val="24"/>
              </w:rPr>
              <w:t>m。</w:t>
            </w:r>
            <w:r>
              <w:rPr>
                <w:rFonts w:hint="eastAsia"/>
                <w:szCs w:val="24"/>
              </w:rPr>
              <w:t>总装车间面源非甲烷总烃</w:t>
            </w:r>
            <w:r>
              <w:rPr>
                <w:kern w:val="24"/>
                <w:szCs w:val="24"/>
              </w:rPr>
              <w:t>最</w:t>
            </w:r>
            <w:r>
              <w:rPr>
                <w:szCs w:val="24"/>
              </w:rPr>
              <w:t>大落地浓度为</w:t>
            </w:r>
            <w:r>
              <w:rPr>
                <w:rFonts w:hint="eastAsia"/>
                <w:szCs w:val="24"/>
              </w:rPr>
              <w:t>0.002006</w:t>
            </w:r>
            <w:r>
              <w:rPr>
                <w:kern w:val="24"/>
                <w:szCs w:val="24"/>
              </w:rPr>
              <w:t>mg/m</w:t>
            </w:r>
            <w:r>
              <w:rPr>
                <w:kern w:val="24"/>
                <w:szCs w:val="24"/>
                <w:vertAlign w:val="superscript"/>
              </w:rPr>
              <w:t>3</w:t>
            </w:r>
            <w:r>
              <w:rPr>
                <w:kern w:val="24"/>
                <w:szCs w:val="24"/>
              </w:rPr>
              <w:t>，占标率为</w:t>
            </w:r>
            <w:r>
              <w:rPr>
                <w:rFonts w:hint="eastAsia"/>
                <w:kern w:val="0"/>
                <w:szCs w:val="24"/>
              </w:rPr>
              <w:t>0.1</w:t>
            </w:r>
            <w:r>
              <w:rPr>
                <w:kern w:val="0"/>
                <w:szCs w:val="24"/>
              </w:rPr>
              <w:t>%</w:t>
            </w:r>
            <w:r>
              <w:rPr>
                <w:kern w:val="24"/>
                <w:szCs w:val="24"/>
              </w:rPr>
              <w:t>，</w:t>
            </w:r>
            <w:r>
              <w:rPr>
                <w:szCs w:val="24"/>
              </w:rPr>
              <w:t>最大落地浓度出现距离均为下风向</w:t>
            </w:r>
            <w:r>
              <w:rPr>
                <w:rFonts w:hint="eastAsia"/>
                <w:szCs w:val="24"/>
              </w:rPr>
              <w:t>173</w:t>
            </w:r>
            <w:r>
              <w:rPr>
                <w:szCs w:val="24"/>
              </w:rPr>
              <w:t>m。车间</w:t>
            </w:r>
            <w:r>
              <w:rPr>
                <w:rFonts w:hint="eastAsia"/>
                <w:szCs w:val="24"/>
              </w:rPr>
              <w:t>面源焊接烟尘颗粒物</w:t>
            </w:r>
            <w:r>
              <w:rPr>
                <w:kern w:val="24"/>
                <w:szCs w:val="24"/>
              </w:rPr>
              <w:t>最</w:t>
            </w:r>
            <w:r>
              <w:rPr>
                <w:szCs w:val="24"/>
              </w:rPr>
              <w:t>大落地浓度为</w:t>
            </w:r>
            <w:r>
              <w:rPr>
                <w:rFonts w:hint="eastAsia"/>
                <w:szCs w:val="24"/>
              </w:rPr>
              <w:t>0.000</w:t>
            </w:r>
            <w:r>
              <w:rPr>
                <w:rFonts w:hint="eastAsia"/>
                <w:szCs w:val="24"/>
                <w:lang w:val="en-US" w:eastAsia="zh-CN"/>
              </w:rPr>
              <w:t>771</w:t>
            </w:r>
            <w:r>
              <w:rPr>
                <w:kern w:val="24"/>
                <w:szCs w:val="24"/>
              </w:rPr>
              <w:t>mg/m</w:t>
            </w:r>
            <w:r>
              <w:rPr>
                <w:kern w:val="24"/>
                <w:szCs w:val="24"/>
                <w:vertAlign w:val="superscript"/>
              </w:rPr>
              <w:t>3</w:t>
            </w:r>
            <w:r>
              <w:rPr>
                <w:kern w:val="24"/>
                <w:szCs w:val="24"/>
              </w:rPr>
              <w:t>，占标率为</w:t>
            </w:r>
            <w:r>
              <w:rPr>
                <w:rFonts w:hint="eastAsia"/>
                <w:kern w:val="0"/>
                <w:szCs w:val="24"/>
              </w:rPr>
              <w:t>0.</w:t>
            </w:r>
            <w:r>
              <w:rPr>
                <w:rFonts w:hint="eastAsia"/>
                <w:kern w:val="0"/>
                <w:szCs w:val="24"/>
                <w:lang w:val="en-US" w:eastAsia="zh-CN"/>
              </w:rPr>
              <w:t>17</w:t>
            </w:r>
            <w:r>
              <w:rPr>
                <w:kern w:val="0"/>
                <w:szCs w:val="24"/>
              </w:rPr>
              <w:t>%</w:t>
            </w:r>
            <w:r>
              <w:rPr>
                <w:kern w:val="24"/>
                <w:szCs w:val="24"/>
              </w:rPr>
              <w:t>，</w:t>
            </w:r>
            <w:r>
              <w:rPr>
                <w:szCs w:val="24"/>
              </w:rPr>
              <w:t>最大落地浓度出现距离均为下风向</w:t>
            </w:r>
            <w:r>
              <w:rPr>
                <w:rFonts w:hint="eastAsia"/>
                <w:szCs w:val="24"/>
              </w:rPr>
              <w:t>309</w:t>
            </w:r>
            <w:r>
              <w:rPr>
                <w:szCs w:val="24"/>
              </w:rPr>
              <w:t>m</w:t>
            </w:r>
            <w:r>
              <w:rPr>
                <w:rFonts w:hint="eastAsia"/>
                <w:szCs w:val="24"/>
              </w:rPr>
              <w:t>。</w:t>
            </w:r>
            <w:r>
              <w:rPr>
                <w:szCs w:val="24"/>
              </w:rPr>
              <w:t>车间</w:t>
            </w:r>
            <w:r>
              <w:rPr>
                <w:rFonts w:hint="eastAsia"/>
                <w:szCs w:val="24"/>
              </w:rPr>
              <w:t>面源喷晾漆与切割废气中</w:t>
            </w:r>
            <w:r>
              <w:rPr>
                <w:szCs w:val="24"/>
              </w:rPr>
              <w:t>颗粒物</w:t>
            </w:r>
            <w:r>
              <w:rPr>
                <w:kern w:val="24"/>
                <w:szCs w:val="24"/>
              </w:rPr>
              <w:t>最</w:t>
            </w:r>
            <w:r>
              <w:rPr>
                <w:szCs w:val="24"/>
              </w:rPr>
              <w:t>大落地浓度为</w:t>
            </w:r>
            <w:r>
              <w:rPr>
                <w:rFonts w:hint="eastAsia"/>
                <w:szCs w:val="24"/>
              </w:rPr>
              <w:t>0.003813</w:t>
            </w:r>
            <w:r>
              <w:rPr>
                <w:kern w:val="24"/>
                <w:szCs w:val="24"/>
              </w:rPr>
              <w:t>mg/m</w:t>
            </w:r>
            <w:r>
              <w:rPr>
                <w:kern w:val="24"/>
                <w:szCs w:val="24"/>
                <w:vertAlign w:val="superscript"/>
              </w:rPr>
              <w:t>3</w:t>
            </w:r>
            <w:r>
              <w:rPr>
                <w:kern w:val="24"/>
                <w:szCs w:val="24"/>
              </w:rPr>
              <w:t>，占标率为</w:t>
            </w:r>
            <w:r>
              <w:rPr>
                <w:kern w:val="0"/>
                <w:szCs w:val="24"/>
              </w:rPr>
              <w:t>0.</w:t>
            </w:r>
            <w:r>
              <w:rPr>
                <w:rFonts w:hint="eastAsia"/>
                <w:kern w:val="0"/>
                <w:szCs w:val="24"/>
              </w:rPr>
              <w:t>85</w:t>
            </w:r>
            <w:r>
              <w:rPr>
                <w:kern w:val="0"/>
                <w:szCs w:val="24"/>
              </w:rPr>
              <w:t>%</w:t>
            </w:r>
            <w:r>
              <w:rPr>
                <w:kern w:val="24"/>
                <w:szCs w:val="24"/>
              </w:rPr>
              <w:t>，</w:t>
            </w:r>
            <w:r>
              <w:rPr>
                <w:rFonts w:hint="eastAsia"/>
                <w:kern w:val="24"/>
                <w:szCs w:val="24"/>
              </w:rPr>
              <w:t>非甲烷总烃</w:t>
            </w:r>
            <w:r>
              <w:rPr>
                <w:kern w:val="24"/>
                <w:szCs w:val="24"/>
              </w:rPr>
              <w:t>最</w:t>
            </w:r>
            <w:r>
              <w:rPr>
                <w:szCs w:val="24"/>
              </w:rPr>
              <w:t>大落地浓度为</w:t>
            </w:r>
            <w:r>
              <w:rPr>
                <w:rFonts w:hint="eastAsia"/>
                <w:szCs w:val="24"/>
              </w:rPr>
              <w:t>0.0004358</w:t>
            </w:r>
            <w:r>
              <w:rPr>
                <w:kern w:val="24"/>
                <w:szCs w:val="24"/>
              </w:rPr>
              <w:t>mg/m</w:t>
            </w:r>
            <w:r>
              <w:rPr>
                <w:kern w:val="24"/>
                <w:szCs w:val="24"/>
                <w:vertAlign w:val="superscript"/>
              </w:rPr>
              <w:t>3</w:t>
            </w:r>
            <w:r>
              <w:rPr>
                <w:kern w:val="24"/>
                <w:szCs w:val="24"/>
              </w:rPr>
              <w:t>，占标率为</w:t>
            </w:r>
            <w:r>
              <w:rPr>
                <w:rFonts w:hint="eastAsia"/>
                <w:kern w:val="0"/>
                <w:szCs w:val="24"/>
              </w:rPr>
              <w:t>0.02</w:t>
            </w:r>
            <w:r>
              <w:rPr>
                <w:szCs w:val="24"/>
              </w:rPr>
              <w:t>，</w:t>
            </w:r>
            <w:r>
              <w:rPr>
                <w:rFonts w:hint="eastAsia"/>
                <w:szCs w:val="24"/>
              </w:rPr>
              <w:t>二甲苯</w:t>
            </w:r>
            <w:r>
              <w:rPr>
                <w:kern w:val="24"/>
                <w:szCs w:val="24"/>
              </w:rPr>
              <w:t>最</w:t>
            </w:r>
            <w:r>
              <w:rPr>
                <w:szCs w:val="24"/>
              </w:rPr>
              <w:t>大落地浓度为</w:t>
            </w:r>
            <w:r>
              <w:rPr>
                <w:rFonts w:hint="eastAsia"/>
                <w:szCs w:val="24"/>
              </w:rPr>
              <w:t>0.0004358</w:t>
            </w:r>
            <w:r>
              <w:rPr>
                <w:kern w:val="24"/>
                <w:szCs w:val="24"/>
              </w:rPr>
              <w:t>mg/m</w:t>
            </w:r>
            <w:r>
              <w:rPr>
                <w:kern w:val="24"/>
                <w:szCs w:val="24"/>
                <w:vertAlign w:val="superscript"/>
              </w:rPr>
              <w:t>3</w:t>
            </w:r>
            <w:r>
              <w:rPr>
                <w:kern w:val="24"/>
                <w:szCs w:val="24"/>
              </w:rPr>
              <w:t>，占标率为</w:t>
            </w:r>
            <w:r>
              <w:rPr>
                <w:rFonts w:hint="eastAsia"/>
                <w:kern w:val="0"/>
                <w:szCs w:val="24"/>
              </w:rPr>
              <w:t>0.22</w:t>
            </w:r>
            <w:r>
              <w:rPr>
                <w:kern w:val="24"/>
                <w:szCs w:val="24"/>
              </w:rPr>
              <w:t>%，</w:t>
            </w:r>
            <w:r>
              <w:rPr>
                <w:szCs w:val="24"/>
              </w:rPr>
              <w:t>最大落地浓度出现距离均为下风向</w:t>
            </w:r>
            <w:r>
              <w:rPr>
                <w:rFonts w:hint="eastAsia"/>
                <w:szCs w:val="24"/>
              </w:rPr>
              <w:t>173</w:t>
            </w:r>
            <w:r>
              <w:rPr>
                <w:szCs w:val="24"/>
              </w:rPr>
              <w:t>m。非甲烷总烃可满足河北省地方标准《环境空气质量 非甲烷总烃限值》（DB13/1577-2012）中表1二级标准要求，颗粒物可满足</w:t>
            </w:r>
            <w:r>
              <w:t>《环境空气质量标准》(</w:t>
            </w:r>
            <w:r>
              <w:rPr>
                <w:spacing w:val="-4"/>
              </w:rPr>
              <w:t>GB3095-2012</w:t>
            </w:r>
            <w:r>
              <w:t>)中二级标准要求</w:t>
            </w:r>
            <w:r>
              <w:rPr>
                <w:szCs w:val="24"/>
              </w:rPr>
              <w:t>，</w:t>
            </w:r>
            <w:r>
              <w:rPr>
                <w:rFonts w:hint="eastAsia"/>
                <w:szCs w:val="24"/>
              </w:rPr>
              <w:t>二甲苯</w:t>
            </w:r>
            <w:r>
              <w:t>可满足《工业企业卫生设计标准》（TJ36-79）中居住区大气中有害物质的最高允许浓度要求</w:t>
            </w:r>
            <w:r>
              <w:rPr>
                <w:szCs w:val="24"/>
              </w:rPr>
              <w:t>。由以上分析可知，本项目排放的污染物对环境的影响不大，当地环境空气质量可继续维持现状水平。</w:t>
            </w:r>
          </w:p>
          <w:p>
            <w:pPr>
              <w:pStyle w:val="62"/>
              <w:adjustRightInd w:val="0"/>
              <w:spacing w:line="460" w:lineRule="exact"/>
              <w:ind w:firstLine="480"/>
            </w:pPr>
            <w:r>
              <w:t>计算结果无超标点，因此不需设置大气环境防护距离。</w:t>
            </w:r>
            <w:r>
              <w:rPr>
                <w:rFonts w:hint="eastAsia"/>
              </w:rPr>
              <w:t>根据《制定地方大气污染物排放标准的技术方法》（GB/T 13201-91）的规定，</w:t>
            </w:r>
            <w:r>
              <w:rPr>
                <w:bCs/>
              </w:rPr>
              <w:t>卫生防护距离在100m以内时，级差为50m；超过100m，但小于或等于1000m时级差为100m，计算的L值在两级之间时，取偏宽的一级。有两种污染因子时，需提一级</w:t>
            </w:r>
            <w:r>
              <w:rPr>
                <w:rFonts w:hint="eastAsia"/>
              </w:rPr>
              <w:t>。根据此规定，本项目卫生防护距离定为100米。</w:t>
            </w:r>
            <w:r>
              <w:t>距项目最近的敏感点为</w:t>
            </w:r>
            <w:r>
              <w:rPr>
                <w:rFonts w:hint="eastAsia"/>
              </w:rPr>
              <w:t>西</w:t>
            </w:r>
            <w:r>
              <w:t>侧</w:t>
            </w:r>
            <w:r>
              <w:rPr>
                <w:rFonts w:hint="eastAsia"/>
              </w:rPr>
              <w:t>250</w:t>
            </w:r>
            <w:r>
              <w:t>m</w:t>
            </w:r>
            <w:r>
              <w:rPr>
                <w:rFonts w:hint="eastAsia"/>
              </w:rPr>
              <w:t>的付神首村，能够满足卫生防护距离的要求。</w:t>
            </w:r>
          </w:p>
          <w:p>
            <w:pPr>
              <w:keepNext/>
              <w:keepLines/>
              <w:spacing w:line="480" w:lineRule="exact"/>
              <w:ind w:firstLine="480" w:firstLineChars="200"/>
              <w:rPr>
                <w:sz w:val="24"/>
              </w:rPr>
            </w:pPr>
            <w:r>
              <w:rPr>
                <w:sz w:val="24"/>
              </w:rPr>
              <w:t>综上，项目废气对周围环境影响</w:t>
            </w:r>
            <w:r>
              <w:rPr>
                <w:rFonts w:hint="eastAsia"/>
                <w:sz w:val="24"/>
              </w:rPr>
              <w:t>较小</w:t>
            </w:r>
            <w:r>
              <w:rPr>
                <w:sz w:val="24"/>
              </w:rPr>
              <w:t>。</w:t>
            </w:r>
          </w:p>
          <w:p>
            <w:pPr>
              <w:spacing w:line="480" w:lineRule="exact"/>
              <w:ind w:firstLine="480" w:firstLineChars="200"/>
              <w:rPr>
                <w:sz w:val="24"/>
                <w:szCs w:val="24"/>
              </w:rPr>
            </w:pPr>
            <w:r>
              <w:rPr>
                <w:rFonts w:hint="eastAsia"/>
                <w:sz w:val="24"/>
                <w:szCs w:val="24"/>
              </w:rPr>
              <w:t>（2）废水环境影响分析</w:t>
            </w:r>
          </w:p>
          <w:p>
            <w:pPr>
              <w:snapToGrid w:val="0"/>
              <w:spacing w:line="480" w:lineRule="exact"/>
              <w:ind w:firstLine="480" w:firstLineChars="200"/>
              <w:rPr>
                <w:sz w:val="24"/>
                <w:szCs w:val="24"/>
              </w:rPr>
            </w:pPr>
            <w:r>
              <w:rPr>
                <w:rFonts w:hint="eastAsia"/>
                <w:sz w:val="24"/>
                <w:szCs w:val="24"/>
              </w:rPr>
              <w:t>本次技改项目不涉及水。</w:t>
            </w:r>
          </w:p>
          <w:p>
            <w:pPr>
              <w:snapToGrid w:val="0"/>
              <w:spacing w:line="480" w:lineRule="exact"/>
              <w:ind w:firstLine="480" w:firstLineChars="200"/>
              <w:rPr>
                <w:sz w:val="24"/>
                <w:szCs w:val="24"/>
              </w:rPr>
            </w:pPr>
            <w:r>
              <w:rPr>
                <w:rFonts w:hint="eastAsia"/>
                <w:sz w:val="24"/>
                <w:szCs w:val="24"/>
              </w:rPr>
              <w:t>（3）声环境影响分析</w:t>
            </w:r>
          </w:p>
          <w:p>
            <w:pPr>
              <w:spacing w:line="480" w:lineRule="exact"/>
              <w:ind w:firstLine="480" w:firstLineChars="200"/>
              <w:rPr>
                <w:bCs/>
                <w:sz w:val="24"/>
                <w:szCs w:val="24"/>
              </w:rPr>
            </w:pPr>
            <w:r>
              <w:rPr>
                <w:rFonts w:hint="eastAsia"/>
                <w:bCs/>
                <w:sz w:val="24"/>
                <w:szCs w:val="24"/>
              </w:rPr>
              <w:t>技改</w:t>
            </w:r>
            <w:r>
              <w:rPr>
                <w:bCs/>
                <w:sz w:val="24"/>
                <w:szCs w:val="24"/>
              </w:rPr>
              <w:t>项目产生噪声的设备主要有</w:t>
            </w:r>
            <w:r>
              <w:rPr>
                <w:rFonts w:hint="eastAsia"/>
                <w:bCs/>
                <w:sz w:val="24"/>
                <w:szCs w:val="24"/>
              </w:rPr>
              <w:t>二保焊机、数控车床、钻床、铣床</w:t>
            </w:r>
            <w:r>
              <w:rPr>
                <w:bCs/>
                <w:sz w:val="24"/>
                <w:szCs w:val="24"/>
              </w:rPr>
              <w:t>等</w:t>
            </w:r>
            <w:r>
              <w:rPr>
                <w:rFonts w:hint="eastAsia"/>
                <w:bCs/>
                <w:sz w:val="24"/>
                <w:szCs w:val="24"/>
              </w:rPr>
              <w:t>，</w:t>
            </w:r>
            <w:r>
              <w:rPr>
                <w:bCs/>
                <w:sz w:val="24"/>
                <w:szCs w:val="24"/>
              </w:rPr>
              <w:t>噪声级在</w:t>
            </w:r>
            <w:r>
              <w:rPr>
                <w:rFonts w:hint="eastAsia"/>
                <w:bCs/>
                <w:sz w:val="24"/>
                <w:szCs w:val="24"/>
              </w:rPr>
              <w:t>70~95</w:t>
            </w:r>
            <w:r>
              <w:rPr>
                <w:bCs/>
                <w:sz w:val="24"/>
                <w:szCs w:val="24"/>
              </w:rPr>
              <w:t>dB</w:t>
            </w:r>
            <w:r>
              <w:rPr>
                <w:rFonts w:hint="eastAsia"/>
                <w:bCs/>
                <w:sz w:val="24"/>
                <w:szCs w:val="24"/>
              </w:rPr>
              <w:t>（</w:t>
            </w:r>
            <w:r>
              <w:rPr>
                <w:bCs/>
                <w:sz w:val="24"/>
                <w:szCs w:val="24"/>
              </w:rPr>
              <w:t>A</w:t>
            </w:r>
            <w:r>
              <w:rPr>
                <w:rFonts w:hint="eastAsia"/>
                <w:bCs/>
                <w:sz w:val="24"/>
                <w:szCs w:val="24"/>
              </w:rPr>
              <w:t>）</w:t>
            </w:r>
            <w:r>
              <w:rPr>
                <w:bCs/>
                <w:sz w:val="24"/>
                <w:szCs w:val="24"/>
              </w:rPr>
              <w:t>之间</w:t>
            </w:r>
            <w:r>
              <w:rPr>
                <w:rFonts w:hint="eastAsia"/>
                <w:bCs/>
                <w:sz w:val="24"/>
                <w:szCs w:val="24"/>
              </w:rPr>
              <w:t>，</w:t>
            </w:r>
            <w:r>
              <w:rPr>
                <w:bCs/>
                <w:sz w:val="24"/>
                <w:szCs w:val="24"/>
              </w:rPr>
              <w:t>采用低噪设备，并对产噪设备进行基础减振，合理布局，设置在车间内部，密闭生产，根据同类生产厂家的运行实践，本工程采取的减</w:t>
            </w:r>
            <w:r>
              <w:rPr>
                <w:rFonts w:hint="eastAsia"/>
                <w:bCs/>
                <w:sz w:val="24"/>
                <w:szCs w:val="24"/>
              </w:rPr>
              <w:t>振</w:t>
            </w:r>
            <w:r>
              <w:rPr>
                <w:bCs/>
                <w:sz w:val="24"/>
                <w:szCs w:val="24"/>
              </w:rPr>
              <w:t>等措施均是成熟可靠的，严格管理，勤于维护，采取合理布局、低噪设备、基础减</w:t>
            </w:r>
            <w:r>
              <w:rPr>
                <w:rFonts w:hint="eastAsia"/>
                <w:bCs/>
                <w:sz w:val="24"/>
                <w:szCs w:val="24"/>
              </w:rPr>
              <w:t>振</w:t>
            </w:r>
            <w:r>
              <w:rPr>
                <w:bCs/>
                <w:sz w:val="24"/>
                <w:szCs w:val="24"/>
              </w:rPr>
              <w:t>等措施后，可降噪20～35dB（A）</w:t>
            </w:r>
            <w:r>
              <w:rPr>
                <w:rFonts w:hint="eastAsia"/>
                <w:bCs/>
                <w:sz w:val="24"/>
                <w:szCs w:val="24"/>
              </w:rPr>
              <w:t>。通过采取上述措施后，南</w:t>
            </w:r>
            <w:r>
              <w:rPr>
                <w:bCs/>
                <w:sz w:val="24"/>
                <w:szCs w:val="24"/>
              </w:rPr>
              <w:t>厂界噪声均满足《工业企业厂界环境噪声排放标准》</w:t>
            </w:r>
            <w:r>
              <w:rPr>
                <w:rFonts w:hint="eastAsia"/>
                <w:bCs/>
                <w:sz w:val="24"/>
                <w:szCs w:val="24"/>
              </w:rPr>
              <w:t>（</w:t>
            </w:r>
            <w:r>
              <w:rPr>
                <w:bCs/>
                <w:sz w:val="24"/>
                <w:szCs w:val="24"/>
              </w:rPr>
              <w:t>GB12348</w:t>
            </w:r>
            <w:r>
              <w:rPr>
                <w:rFonts w:hint="eastAsia"/>
                <w:bCs/>
                <w:sz w:val="24"/>
                <w:szCs w:val="24"/>
              </w:rPr>
              <w:t>-</w:t>
            </w:r>
            <w:r>
              <w:rPr>
                <w:bCs/>
                <w:sz w:val="24"/>
                <w:szCs w:val="24"/>
              </w:rPr>
              <w:t>2008</w:t>
            </w:r>
            <w:r>
              <w:rPr>
                <w:rFonts w:hint="eastAsia"/>
                <w:bCs/>
                <w:sz w:val="24"/>
                <w:szCs w:val="24"/>
              </w:rPr>
              <w:t>）</w:t>
            </w:r>
            <w:r>
              <w:rPr>
                <w:bCs/>
                <w:sz w:val="24"/>
                <w:szCs w:val="24"/>
              </w:rPr>
              <w:t>中</w:t>
            </w:r>
            <w:r>
              <w:rPr>
                <w:rFonts w:hint="eastAsia"/>
                <w:bCs/>
                <w:sz w:val="24"/>
                <w:szCs w:val="24"/>
              </w:rPr>
              <w:t>4</w:t>
            </w:r>
            <w:r>
              <w:rPr>
                <w:bCs/>
                <w:sz w:val="24"/>
                <w:szCs w:val="24"/>
              </w:rPr>
              <w:t>类标准</w:t>
            </w:r>
            <w:r>
              <w:rPr>
                <w:rFonts w:hint="eastAsia"/>
                <w:bCs/>
                <w:sz w:val="24"/>
                <w:szCs w:val="24"/>
              </w:rPr>
              <w:t>，其余三</w:t>
            </w:r>
            <w:r>
              <w:rPr>
                <w:bCs/>
                <w:sz w:val="24"/>
                <w:szCs w:val="24"/>
              </w:rPr>
              <w:t>厂界噪声均满足《工业企业厂界环境噪声排放标准》</w:t>
            </w:r>
            <w:r>
              <w:rPr>
                <w:rFonts w:hint="eastAsia"/>
                <w:bCs/>
                <w:sz w:val="24"/>
                <w:szCs w:val="24"/>
              </w:rPr>
              <w:t>（</w:t>
            </w:r>
            <w:r>
              <w:rPr>
                <w:bCs/>
                <w:sz w:val="24"/>
                <w:szCs w:val="24"/>
              </w:rPr>
              <w:t>GB12348</w:t>
            </w:r>
            <w:r>
              <w:rPr>
                <w:rFonts w:hint="eastAsia"/>
                <w:bCs/>
                <w:sz w:val="24"/>
                <w:szCs w:val="24"/>
              </w:rPr>
              <w:t>-</w:t>
            </w:r>
            <w:r>
              <w:rPr>
                <w:bCs/>
                <w:sz w:val="24"/>
                <w:szCs w:val="24"/>
              </w:rPr>
              <w:t>2008</w:t>
            </w:r>
            <w:r>
              <w:rPr>
                <w:rFonts w:hint="eastAsia"/>
                <w:bCs/>
                <w:sz w:val="24"/>
                <w:szCs w:val="24"/>
              </w:rPr>
              <w:t>）</w:t>
            </w:r>
            <w:r>
              <w:rPr>
                <w:bCs/>
                <w:sz w:val="24"/>
                <w:szCs w:val="24"/>
              </w:rPr>
              <w:t>中</w:t>
            </w:r>
            <w:r>
              <w:rPr>
                <w:rFonts w:hint="eastAsia"/>
                <w:bCs/>
                <w:sz w:val="24"/>
                <w:szCs w:val="24"/>
              </w:rPr>
              <w:t>3</w:t>
            </w:r>
            <w:r>
              <w:rPr>
                <w:bCs/>
                <w:sz w:val="24"/>
                <w:szCs w:val="24"/>
              </w:rPr>
              <w:t>类标准。</w:t>
            </w:r>
          </w:p>
          <w:p>
            <w:pPr>
              <w:snapToGrid w:val="0"/>
              <w:spacing w:line="480" w:lineRule="exact"/>
              <w:ind w:firstLine="480" w:firstLineChars="200"/>
              <w:rPr>
                <w:sz w:val="24"/>
                <w:szCs w:val="24"/>
              </w:rPr>
            </w:pPr>
            <w:r>
              <w:rPr>
                <w:rFonts w:hint="eastAsia"/>
                <w:sz w:val="24"/>
                <w:szCs w:val="24"/>
              </w:rPr>
              <w:t>（4）固体废物影响分析</w:t>
            </w:r>
          </w:p>
          <w:p>
            <w:pPr>
              <w:spacing w:line="480" w:lineRule="exact"/>
              <w:ind w:firstLine="480" w:firstLineChars="200"/>
              <w:rPr>
                <w:sz w:val="24"/>
                <w:szCs w:val="24"/>
              </w:rPr>
            </w:pPr>
            <w:r>
              <w:rPr>
                <w:rFonts w:hint="eastAsia"/>
                <w:sz w:val="24"/>
                <w:szCs w:val="24"/>
              </w:rPr>
              <w:t>技改项目产生的固废主要为废滤芯、废油漆桶、废机油。</w:t>
            </w:r>
          </w:p>
          <w:p>
            <w:pPr>
              <w:spacing w:line="460" w:lineRule="exact"/>
              <w:ind w:left="420" w:leftChars="200"/>
              <w:rPr>
                <w:sz w:val="24"/>
                <w:szCs w:val="24"/>
              </w:rPr>
            </w:pPr>
            <w:r>
              <w:rPr>
                <w:rFonts w:hint="eastAsia"/>
                <w:sz w:val="24"/>
                <w:szCs w:val="24"/>
              </w:rPr>
              <w:t>①废滤芯</w:t>
            </w:r>
          </w:p>
          <w:p>
            <w:pPr>
              <w:spacing w:line="460" w:lineRule="exact"/>
              <w:ind w:firstLine="480" w:firstLineChars="200"/>
              <w:rPr>
                <w:sz w:val="24"/>
                <w:szCs w:val="24"/>
              </w:rPr>
            </w:pPr>
            <w:r>
              <w:rPr>
                <w:rFonts w:hint="eastAsia"/>
                <w:sz w:val="24"/>
                <w:szCs w:val="24"/>
              </w:rPr>
              <w:t>喷漆过程需要干式过滤器对漆雾进行过滤处理，滤芯需要定期更换，滤芯每次更换量为50kg，每四个月更换一次，则废滤芯的产生量为0.15t/a，根据《国家危险废物名录（2016年）》中相关规定，废滤芯属危险废物HW12类。委托有资质单位处理。</w:t>
            </w:r>
          </w:p>
          <w:p>
            <w:pPr>
              <w:spacing w:line="460" w:lineRule="exact"/>
              <w:ind w:firstLine="480" w:firstLineChars="200"/>
              <w:rPr>
                <w:sz w:val="24"/>
                <w:szCs w:val="24"/>
              </w:rPr>
            </w:pPr>
            <w:r>
              <w:rPr>
                <w:rFonts w:hint="eastAsia"/>
                <w:sz w:val="24"/>
                <w:szCs w:val="24"/>
              </w:rPr>
              <w:t>②废油漆桶</w:t>
            </w:r>
          </w:p>
          <w:p>
            <w:pPr>
              <w:spacing w:line="460" w:lineRule="exact"/>
              <w:ind w:firstLine="480" w:firstLineChars="200"/>
              <w:rPr>
                <w:sz w:val="24"/>
                <w:szCs w:val="24"/>
              </w:rPr>
            </w:pPr>
            <w:r>
              <w:rPr>
                <w:snapToGrid w:val="0"/>
                <w:kern w:val="0"/>
                <w:sz w:val="24"/>
                <w:szCs w:val="24"/>
              </w:rPr>
              <w:t>废油漆桶</w:t>
            </w:r>
            <w:r>
              <w:rPr>
                <w:sz w:val="24"/>
              </w:rPr>
              <w:t>以每个桶重量为0.2kg，年使用油漆</w:t>
            </w:r>
            <w:r>
              <w:rPr>
                <w:rFonts w:hint="eastAsia"/>
                <w:sz w:val="24"/>
              </w:rPr>
              <w:t>13</w:t>
            </w:r>
            <w:r>
              <w:rPr>
                <w:sz w:val="24"/>
              </w:rPr>
              <w:t>0桶，废油漆桶的产生量为</w:t>
            </w:r>
            <w:r>
              <w:rPr>
                <w:rFonts w:hint="eastAsia"/>
                <w:sz w:val="24"/>
              </w:rPr>
              <w:t>0.26</w:t>
            </w:r>
            <w:r>
              <w:rPr>
                <w:sz w:val="24"/>
              </w:rPr>
              <w:t>t/a</w:t>
            </w:r>
            <w:r>
              <w:rPr>
                <w:snapToGrid w:val="0"/>
                <w:kern w:val="0"/>
                <w:sz w:val="24"/>
                <w:szCs w:val="24"/>
              </w:rPr>
              <w:t>，</w:t>
            </w:r>
            <w:r>
              <w:rPr>
                <w:rFonts w:hint="eastAsia"/>
                <w:sz w:val="24"/>
                <w:szCs w:val="24"/>
              </w:rPr>
              <w:t>根据《国家危险废物名录（2016年）》中相关规定，废油漆桶</w:t>
            </w:r>
          </w:p>
          <w:p>
            <w:pPr>
              <w:pStyle w:val="48"/>
              <w:spacing w:line="480" w:lineRule="exact"/>
            </w:pPr>
            <w:r>
              <w:rPr>
                <w:rFonts w:hint="eastAsia"/>
                <w:szCs w:val="24"/>
              </w:rPr>
              <w:t>属危险废物HW12类。</w:t>
            </w:r>
            <w:r>
              <w:rPr>
                <w:snapToGrid w:val="0"/>
                <w:kern w:val="0"/>
                <w:szCs w:val="24"/>
              </w:rPr>
              <w:t>集中收集后，交有资质单位处理</w:t>
            </w:r>
            <w:r>
              <w:rPr>
                <w:rFonts w:hint="eastAsia"/>
                <w:szCs w:val="24"/>
              </w:rPr>
              <w:t>。</w:t>
            </w:r>
          </w:p>
          <w:p>
            <w:pPr>
              <w:spacing w:line="460" w:lineRule="exact"/>
              <w:ind w:firstLine="480" w:firstLineChars="200"/>
              <w:rPr>
                <w:rFonts w:hint="eastAsia" w:eastAsia="宋体"/>
                <w:sz w:val="24"/>
                <w:szCs w:val="24"/>
                <w:lang w:eastAsia="zh-CN"/>
              </w:rPr>
            </w:pPr>
            <w:r>
              <w:rPr>
                <w:rFonts w:hint="eastAsia"/>
                <w:sz w:val="24"/>
                <w:szCs w:val="24"/>
              </w:rPr>
              <w:t>③废机油</w:t>
            </w:r>
            <w:r>
              <w:rPr>
                <w:rFonts w:hint="eastAsia"/>
                <w:sz w:val="24"/>
                <w:szCs w:val="24"/>
                <w:lang w:eastAsia="zh-CN"/>
              </w:rPr>
              <w:t>及废机油桶</w:t>
            </w:r>
          </w:p>
          <w:p>
            <w:pPr>
              <w:spacing w:line="480" w:lineRule="exact"/>
              <w:ind w:firstLine="480" w:firstLineChars="200"/>
              <w:rPr>
                <w:sz w:val="24"/>
                <w:szCs w:val="24"/>
              </w:rPr>
            </w:pPr>
            <w:r>
              <w:rPr>
                <w:rFonts w:hint="eastAsia"/>
                <w:sz w:val="24"/>
                <w:szCs w:val="24"/>
              </w:rPr>
              <w:t>废机油的产生量为0.05t/a，根据《国家危险废物名录（2016年）》中相关规定，废机油属危险废物HW08类，委托有资质单位处理。</w:t>
            </w:r>
            <w:r>
              <w:rPr>
                <w:rFonts w:hint="eastAsia"/>
                <w:color w:val="FF0000"/>
                <w:sz w:val="24"/>
                <w:szCs w:val="24"/>
                <w:lang w:eastAsia="zh-CN"/>
              </w:rPr>
              <w:t>废机油桶属于一般固废，产生量为</w:t>
            </w:r>
            <w:r>
              <w:rPr>
                <w:rFonts w:hint="eastAsia"/>
                <w:color w:val="FF0000"/>
                <w:sz w:val="24"/>
                <w:szCs w:val="24"/>
                <w:lang w:val="en-US" w:eastAsia="zh-CN"/>
              </w:rPr>
              <w:t>0.2t/a，集中收集后，由原厂家回收</w:t>
            </w:r>
            <w:r>
              <w:rPr>
                <w:rFonts w:hint="eastAsia"/>
                <w:sz w:val="24"/>
                <w:szCs w:val="24"/>
              </w:rPr>
              <w:t>。</w:t>
            </w:r>
          </w:p>
          <w:p>
            <w:pPr>
              <w:spacing w:line="480" w:lineRule="exact"/>
              <w:ind w:firstLine="480" w:firstLineChars="200"/>
              <w:rPr>
                <w:sz w:val="24"/>
              </w:rPr>
            </w:pPr>
            <w:r>
              <w:rPr>
                <w:rFonts w:hint="eastAsia"/>
                <w:sz w:val="24"/>
              </w:rPr>
              <w:t>综上，项目固废均得到妥善安置处理，对周围环境影响较小。</w:t>
            </w:r>
          </w:p>
          <w:p>
            <w:pPr>
              <w:spacing w:line="480" w:lineRule="exact"/>
              <w:ind w:firstLine="480" w:firstLineChars="200"/>
              <w:rPr>
                <w:b/>
                <w:bCs/>
                <w:kern w:val="0"/>
                <w:sz w:val="24"/>
              </w:rPr>
            </w:pPr>
            <w:r>
              <w:rPr>
                <w:rFonts w:hint="eastAsia"/>
                <w:b/>
                <w:bCs/>
                <w:kern w:val="0"/>
                <w:sz w:val="24"/>
              </w:rPr>
              <w:t>4</w:t>
            </w:r>
            <w:r>
              <w:rPr>
                <w:b/>
                <w:bCs/>
                <w:kern w:val="0"/>
                <w:sz w:val="24"/>
              </w:rPr>
              <w:t>、总量控制结论</w:t>
            </w:r>
          </w:p>
          <w:p>
            <w:pPr>
              <w:pStyle w:val="48"/>
              <w:spacing w:line="480" w:lineRule="exact"/>
              <w:rPr>
                <w:bCs/>
                <w:spacing w:val="6"/>
              </w:rPr>
            </w:pPr>
            <w:r>
              <w:rPr>
                <w:szCs w:val="24"/>
              </w:rPr>
              <w:t>根据《</w:t>
            </w:r>
            <w:r>
              <w:rPr>
                <w:rFonts w:hint="eastAsia"/>
                <w:szCs w:val="24"/>
              </w:rPr>
              <w:t>“</w:t>
            </w:r>
            <w:r>
              <w:rPr>
                <w:szCs w:val="24"/>
              </w:rPr>
              <w:t>十三五</w:t>
            </w:r>
            <w:r>
              <w:rPr>
                <w:rFonts w:hint="eastAsia"/>
                <w:szCs w:val="24"/>
              </w:rPr>
              <w:t>”</w:t>
            </w:r>
            <w:r>
              <w:rPr>
                <w:szCs w:val="24"/>
              </w:rPr>
              <w:t>生态环境保护规划》，根据达标排放原则，本环评建议</w:t>
            </w:r>
            <w:r>
              <w:rPr>
                <w:rFonts w:hint="eastAsia"/>
                <w:szCs w:val="24"/>
              </w:rPr>
              <w:t>技改</w:t>
            </w:r>
            <w:r>
              <w:rPr>
                <w:szCs w:val="24"/>
              </w:rPr>
              <w:t>项目污染物的总量控制指标为SO</w:t>
            </w:r>
            <w:r>
              <w:rPr>
                <w:szCs w:val="24"/>
                <w:vertAlign w:val="subscript"/>
              </w:rPr>
              <w:t>2</w:t>
            </w:r>
            <w:r>
              <w:rPr>
                <w:szCs w:val="24"/>
              </w:rPr>
              <w:t>：</w:t>
            </w:r>
            <w:r>
              <w:rPr>
                <w:rFonts w:hint="eastAsia"/>
                <w:szCs w:val="24"/>
              </w:rPr>
              <w:t>0</w:t>
            </w:r>
            <w:r>
              <w:rPr>
                <w:szCs w:val="24"/>
              </w:rPr>
              <w:t>t/a，NOx：</w:t>
            </w:r>
            <w:r>
              <w:rPr>
                <w:rFonts w:hint="eastAsia"/>
                <w:szCs w:val="24"/>
              </w:rPr>
              <w:t>0</w:t>
            </w:r>
            <w:r>
              <w:rPr>
                <w:szCs w:val="24"/>
              </w:rPr>
              <w:t>t/a</w:t>
            </w:r>
            <w:r>
              <w:rPr>
                <w:rFonts w:hint="eastAsia"/>
                <w:szCs w:val="24"/>
              </w:rPr>
              <w:t>，</w:t>
            </w:r>
            <w:r>
              <w:rPr>
                <w:rFonts w:hint="eastAsia"/>
                <w:szCs w:val="21"/>
              </w:rPr>
              <w:t>VOCs</w:t>
            </w:r>
            <w:r>
              <w:rPr>
                <w:szCs w:val="24"/>
              </w:rPr>
              <w:t>：</w:t>
            </w:r>
            <w:r>
              <w:rPr>
                <w:rFonts w:hint="eastAsia"/>
                <w:szCs w:val="24"/>
              </w:rPr>
              <w:t>3.840</w:t>
            </w:r>
            <w:r>
              <w:rPr>
                <w:szCs w:val="24"/>
              </w:rPr>
              <w:t>t/a</w:t>
            </w:r>
            <w:r>
              <w:rPr>
                <w:rFonts w:hint="eastAsia"/>
                <w:szCs w:val="24"/>
              </w:rPr>
              <w:t>，COD</w:t>
            </w:r>
            <w:r>
              <w:rPr>
                <w:szCs w:val="24"/>
              </w:rPr>
              <w:t>：</w:t>
            </w:r>
            <w:r>
              <w:rPr>
                <w:rFonts w:hint="eastAsia"/>
                <w:szCs w:val="24"/>
              </w:rPr>
              <w:t>0</w:t>
            </w:r>
            <w:r>
              <w:rPr>
                <w:szCs w:val="24"/>
              </w:rPr>
              <w:t>t/a</w:t>
            </w:r>
            <w:r>
              <w:rPr>
                <w:rFonts w:hint="eastAsia"/>
                <w:szCs w:val="24"/>
              </w:rPr>
              <w:t>，氨氮：0</w:t>
            </w:r>
            <w:r>
              <w:rPr>
                <w:szCs w:val="24"/>
              </w:rPr>
              <w:t>t/a。</w:t>
            </w:r>
            <w:r>
              <w:rPr>
                <w:bCs/>
                <w:spacing w:val="6"/>
              </w:rPr>
              <w:t>技改后</w:t>
            </w:r>
            <w:r>
              <w:rPr>
                <w:rFonts w:hint="eastAsia"/>
                <w:bCs/>
                <w:spacing w:val="6"/>
              </w:rPr>
              <w:t>本工程</w:t>
            </w:r>
            <w:r>
              <w:rPr>
                <w:bCs/>
                <w:spacing w:val="6"/>
              </w:rPr>
              <w:t>污染物总量指标变化情况见表</w:t>
            </w:r>
            <w:r>
              <w:rPr>
                <w:rFonts w:hint="eastAsia"/>
                <w:bCs/>
                <w:spacing w:val="6"/>
              </w:rPr>
              <w:t>33。</w:t>
            </w:r>
          </w:p>
          <w:p>
            <w:pPr>
              <w:spacing w:line="480" w:lineRule="exact"/>
              <w:ind w:firstLine="420" w:firstLineChars="200"/>
              <w:jc w:val="center"/>
              <w:rPr>
                <w:rFonts w:hAnsi="宋体"/>
                <w:b/>
                <w:szCs w:val="21"/>
                <w:lang w:val="de-DE"/>
              </w:rPr>
            </w:pPr>
            <w:r>
              <w:rPr>
                <w:rFonts w:hAnsi="宋体"/>
                <w:b/>
                <w:szCs w:val="21"/>
                <w:lang w:val="de-DE"/>
              </w:rPr>
              <w:t>表</w:t>
            </w:r>
            <w:r>
              <w:rPr>
                <w:rFonts w:hint="eastAsia" w:hAnsi="宋体"/>
                <w:b/>
                <w:szCs w:val="21"/>
              </w:rPr>
              <w:t>33</w:t>
            </w:r>
            <w:r>
              <w:rPr>
                <w:rFonts w:hint="eastAsia"/>
                <w:b/>
                <w:szCs w:val="21"/>
                <w:lang w:val="de-DE"/>
              </w:rPr>
              <w:t xml:space="preserve">   </w:t>
            </w:r>
            <w:r>
              <w:rPr>
                <w:rFonts w:hint="eastAsia"/>
                <w:b/>
                <w:szCs w:val="21"/>
              </w:rPr>
              <w:t>技改</w:t>
            </w:r>
            <w:r>
              <w:rPr>
                <w:rFonts w:hAnsi="宋体"/>
                <w:b/>
                <w:szCs w:val="21"/>
                <w:lang w:val="de-DE"/>
              </w:rPr>
              <w:t>项目实施后污染物</w:t>
            </w:r>
            <w:r>
              <w:rPr>
                <w:rFonts w:hint="eastAsia" w:hAnsi="宋体"/>
                <w:b/>
                <w:szCs w:val="21"/>
                <w:lang w:val="de-DE"/>
              </w:rPr>
              <w:t>“三本账”</w:t>
            </w:r>
            <w:r>
              <w:rPr>
                <w:rFonts w:hAnsi="宋体"/>
                <w:b/>
                <w:szCs w:val="21"/>
                <w:lang w:val="de-DE"/>
              </w:rPr>
              <w:t>一览表</w:t>
            </w:r>
            <w:r>
              <w:rPr>
                <w:rFonts w:hint="eastAsia" w:hAnsi="宋体"/>
                <w:b/>
                <w:szCs w:val="21"/>
              </w:rPr>
              <w:t xml:space="preserve">    t/a</w:t>
            </w:r>
          </w:p>
          <w:tbl>
            <w:tblPr>
              <w:tblStyle w:val="31"/>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034"/>
              <w:gridCol w:w="1117"/>
              <w:gridCol w:w="1227"/>
              <w:gridCol w:w="1149"/>
              <w:gridCol w:w="1127"/>
              <w:gridCol w:w="1133"/>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pPr>
                    <w:jc w:val="center"/>
                    <w:rPr>
                      <w:szCs w:val="21"/>
                    </w:rPr>
                  </w:pPr>
                  <w:r>
                    <w:rPr>
                      <w:szCs w:val="21"/>
                    </w:rPr>
                    <w:t>项目</w:t>
                  </w:r>
                </w:p>
              </w:tc>
              <w:tc>
                <w:tcPr>
                  <w:tcW w:w="1034" w:type="dxa"/>
                  <w:vAlign w:val="center"/>
                </w:tcPr>
                <w:p>
                  <w:pPr>
                    <w:jc w:val="center"/>
                    <w:rPr>
                      <w:spacing w:val="-14"/>
                      <w:szCs w:val="21"/>
                    </w:rPr>
                  </w:pPr>
                  <w:r>
                    <w:rPr>
                      <w:spacing w:val="-14"/>
                      <w:szCs w:val="21"/>
                    </w:rPr>
                    <w:t>污染</w:t>
                  </w:r>
                </w:p>
                <w:p>
                  <w:pPr>
                    <w:jc w:val="center"/>
                    <w:rPr>
                      <w:spacing w:val="-14"/>
                      <w:szCs w:val="21"/>
                    </w:rPr>
                  </w:pPr>
                  <w:r>
                    <w:rPr>
                      <w:spacing w:val="-14"/>
                      <w:szCs w:val="21"/>
                    </w:rPr>
                    <w:t>因子</w:t>
                  </w:r>
                </w:p>
              </w:tc>
              <w:tc>
                <w:tcPr>
                  <w:tcW w:w="1117" w:type="dxa"/>
                  <w:vAlign w:val="center"/>
                </w:tcPr>
                <w:p>
                  <w:pPr>
                    <w:jc w:val="center"/>
                    <w:rPr>
                      <w:szCs w:val="21"/>
                    </w:rPr>
                  </w:pPr>
                  <w:r>
                    <w:rPr>
                      <w:rFonts w:hint="eastAsia"/>
                      <w:szCs w:val="21"/>
                    </w:rPr>
                    <w:t>技改</w:t>
                  </w:r>
                  <w:r>
                    <w:rPr>
                      <w:szCs w:val="21"/>
                    </w:rPr>
                    <w:t>前</w:t>
                  </w:r>
                </w:p>
                <w:p>
                  <w:pPr>
                    <w:jc w:val="center"/>
                    <w:rPr>
                      <w:szCs w:val="21"/>
                    </w:rPr>
                  </w:pPr>
                  <w:r>
                    <w:rPr>
                      <w:szCs w:val="21"/>
                    </w:rPr>
                    <w:t>排放量</w:t>
                  </w:r>
                </w:p>
              </w:tc>
              <w:tc>
                <w:tcPr>
                  <w:tcW w:w="1227" w:type="dxa"/>
                  <w:vAlign w:val="center"/>
                </w:tcPr>
                <w:p>
                  <w:pPr>
                    <w:jc w:val="center"/>
                    <w:rPr>
                      <w:szCs w:val="21"/>
                    </w:rPr>
                  </w:pPr>
                  <w:r>
                    <w:rPr>
                      <w:spacing w:val="-18"/>
                      <w:szCs w:val="21"/>
                    </w:rPr>
                    <w:t>“</w:t>
                  </w:r>
                  <w:r>
                    <w:rPr>
                      <w:spacing w:val="-16"/>
                      <w:szCs w:val="21"/>
                    </w:rPr>
                    <w:t>以新带老”削减量</w:t>
                  </w:r>
                </w:p>
              </w:tc>
              <w:tc>
                <w:tcPr>
                  <w:tcW w:w="1149" w:type="dxa"/>
                  <w:vAlign w:val="center"/>
                </w:tcPr>
                <w:p>
                  <w:pPr>
                    <w:jc w:val="center"/>
                    <w:rPr>
                      <w:spacing w:val="-14"/>
                      <w:szCs w:val="21"/>
                    </w:rPr>
                  </w:pPr>
                  <w:r>
                    <w:rPr>
                      <w:rFonts w:hint="eastAsia"/>
                      <w:spacing w:val="-14"/>
                      <w:szCs w:val="21"/>
                    </w:rPr>
                    <w:t>技改项目排放量</w:t>
                  </w:r>
                </w:p>
              </w:tc>
              <w:tc>
                <w:tcPr>
                  <w:tcW w:w="1127" w:type="dxa"/>
                  <w:vAlign w:val="center"/>
                </w:tcPr>
                <w:p>
                  <w:pPr>
                    <w:jc w:val="center"/>
                    <w:rPr>
                      <w:szCs w:val="21"/>
                    </w:rPr>
                  </w:pPr>
                  <w:r>
                    <w:rPr>
                      <w:rFonts w:hint="eastAsia"/>
                      <w:szCs w:val="21"/>
                    </w:rPr>
                    <w:t>技改</w:t>
                  </w:r>
                  <w:r>
                    <w:rPr>
                      <w:szCs w:val="21"/>
                    </w:rPr>
                    <w:t>后</w:t>
                  </w:r>
                </w:p>
                <w:p>
                  <w:pPr>
                    <w:jc w:val="center"/>
                    <w:rPr>
                      <w:szCs w:val="21"/>
                    </w:rPr>
                  </w:pPr>
                  <w:r>
                    <w:rPr>
                      <w:szCs w:val="21"/>
                    </w:rPr>
                    <w:t>排放量</w:t>
                  </w:r>
                </w:p>
              </w:tc>
              <w:tc>
                <w:tcPr>
                  <w:tcW w:w="1133" w:type="dxa"/>
                  <w:vAlign w:val="center"/>
                </w:tcPr>
                <w:p>
                  <w:pPr>
                    <w:jc w:val="center"/>
                    <w:rPr>
                      <w:szCs w:val="21"/>
                    </w:rPr>
                  </w:pPr>
                  <w:r>
                    <w:rPr>
                      <w:rFonts w:hint="eastAsia"/>
                      <w:szCs w:val="21"/>
                    </w:rPr>
                    <w:t>增减</w:t>
                  </w:r>
                </w:p>
                <w:p>
                  <w:pPr>
                    <w:jc w:val="center"/>
                    <w:rPr>
                      <w:szCs w:val="21"/>
                    </w:rPr>
                  </w:pPr>
                  <w:r>
                    <w:rPr>
                      <w:rFonts w:hint="eastAsia"/>
                      <w:szCs w:val="21"/>
                    </w:rPr>
                    <w:t>排放量</w:t>
                  </w:r>
                </w:p>
              </w:tc>
              <w:tc>
                <w:tcPr>
                  <w:tcW w:w="1484" w:type="dxa"/>
                  <w:vAlign w:val="center"/>
                </w:tcPr>
                <w:p>
                  <w:pPr>
                    <w:jc w:val="center"/>
                    <w:rPr>
                      <w:spacing w:val="-14"/>
                      <w:szCs w:val="21"/>
                    </w:rPr>
                  </w:pPr>
                  <w:r>
                    <w:rPr>
                      <w:rFonts w:hint="eastAsia"/>
                      <w:spacing w:val="-14"/>
                      <w:szCs w:val="21"/>
                    </w:rPr>
                    <w:t>本环评建议总量控制指标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27" w:type="dxa"/>
                  <w:vMerge w:val="restart"/>
                  <w:vAlign w:val="center"/>
                </w:tcPr>
                <w:p>
                  <w:pPr>
                    <w:jc w:val="center"/>
                    <w:rPr>
                      <w:szCs w:val="21"/>
                    </w:rPr>
                  </w:pPr>
                  <w:r>
                    <w:rPr>
                      <w:szCs w:val="21"/>
                    </w:rPr>
                    <w:t>废气</w:t>
                  </w:r>
                </w:p>
              </w:tc>
              <w:tc>
                <w:tcPr>
                  <w:tcW w:w="1034" w:type="dxa"/>
                  <w:vAlign w:val="center"/>
                </w:tcPr>
                <w:p>
                  <w:pPr>
                    <w:jc w:val="center"/>
                    <w:rPr>
                      <w:szCs w:val="21"/>
                    </w:rPr>
                  </w:pPr>
                  <w:r>
                    <w:rPr>
                      <w:szCs w:val="21"/>
                    </w:rPr>
                    <w:t>SO</w:t>
                  </w:r>
                  <w:r>
                    <w:rPr>
                      <w:szCs w:val="21"/>
                      <w:vertAlign w:val="subscript"/>
                    </w:rPr>
                    <w:t>2</w:t>
                  </w:r>
                </w:p>
              </w:tc>
              <w:tc>
                <w:tcPr>
                  <w:tcW w:w="1117" w:type="dxa"/>
                  <w:vAlign w:val="center"/>
                </w:tcPr>
                <w:p>
                  <w:pPr>
                    <w:jc w:val="center"/>
                    <w:rPr>
                      <w:szCs w:val="21"/>
                    </w:rPr>
                  </w:pPr>
                  <w:r>
                    <w:rPr>
                      <w:rFonts w:hint="eastAsia"/>
                      <w:szCs w:val="21"/>
                    </w:rPr>
                    <w:t>0</w:t>
                  </w:r>
                </w:p>
              </w:tc>
              <w:tc>
                <w:tcPr>
                  <w:tcW w:w="1227" w:type="dxa"/>
                  <w:vAlign w:val="center"/>
                </w:tcPr>
                <w:p>
                  <w:pPr>
                    <w:jc w:val="center"/>
                    <w:rPr>
                      <w:szCs w:val="21"/>
                    </w:rPr>
                  </w:pPr>
                  <w:r>
                    <w:rPr>
                      <w:rFonts w:hint="eastAsia"/>
                      <w:szCs w:val="21"/>
                    </w:rPr>
                    <w:t>0</w:t>
                  </w:r>
                </w:p>
              </w:tc>
              <w:tc>
                <w:tcPr>
                  <w:tcW w:w="1149" w:type="dxa"/>
                  <w:vAlign w:val="center"/>
                </w:tcPr>
                <w:p>
                  <w:pPr>
                    <w:jc w:val="center"/>
                    <w:rPr>
                      <w:szCs w:val="21"/>
                    </w:rPr>
                  </w:pPr>
                  <w:r>
                    <w:rPr>
                      <w:rFonts w:hint="eastAsia"/>
                      <w:szCs w:val="21"/>
                    </w:rPr>
                    <w:t>0</w:t>
                  </w:r>
                </w:p>
              </w:tc>
              <w:tc>
                <w:tcPr>
                  <w:tcW w:w="1127" w:type="dxa"/>
                  <w:vAlign w:val="center"/>
                </w:tcPr>
                <w:p>
                  <w:pPr>
                    <w:jc w:val="center"/>
                    <w:rPr>
                      <w:szCs w:val="21"/>
                    </w:rPr>
                  </w:pPr>
                  <w:r>
                    <w:rPr>
                      <w:rFonts w:hint="eastAsia"/>
                      <w:szCs w:val="21"/>
                    </w:rPr>
                    <w:t>0</w:t>
                  </w:r>
                </w:p>
              </w:tc>
              <w:tc>
                <w:tcPr>
                  <w:tcW w:w="1133" w:type="dxa"/>
                  <w:vAlign w:val="center"/>
                </w:tcPr>
                <w:p>
                  <w:pPr>
                    <w:jc w:val="center"/>
                    <w:rPr>
                      <w:szCs w:val="21"/>
                    </w:rPr>
                  </w:pPr>
                  <w:r>
                    <w:rPr>
                      <w:rFonts w:hint="eastAsia"/>
                      <w:szCs w:val="21"/>
                    </w:rPr>
                    <w:t>0</w:t>
                  </w:r>
                </w:p>
              </w:tc>
              <w:tc>
                <w:tcPr>
                  <w:tcW w:w="1484"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27" w:type="dxa"/>
                  <w:vMerge w:val="continue"/>
                  <w:vAlign w:val="center"/>
                </w:tcPr>
                <w:p>
                  <w:pPr>
                    <w:jc w:val="center"/>
                    <w:rPr>
                      <w:szCs w:val="21"/>
                    </w:rPr>
                  </w:pPr>
                </w:p>
              </w:tc>
              <w:tc>
                <w:tcPr>
                  <w:tcW w:w="1034" w:type="dxa"/>
                  <w:vAlign w:val="center"/>
                </w:tcPr>
                <w:p>
                  <w:pPr>
                    <w:jc w:val="center"/>
                    <w:rPr>
                      <w:szCs w:val="21"/>
                    </w:rPr>
                  </w:pPr>
                  <w:r>
                    <w:rPr>
                      <w:rFonts w:hint="eastAsia"/>
                      <w:szCs w:val="21"/>
                    </w:rPr>
                    <w:t>NO</w:t>
                  </w:r>
                  <w:r>
                    <w:rPr>
                      <w:rFonts w:hint="eastAsia"/>
                      <w:szCs w:val="21"/>
                      <w:vertAlign w:val="subscript"/>
                    </w:rPr>
                    <w:t>X</w:t>
                  </w:r>
                </w:p>
              </w:tc>
              <w:tc>
                <w:tcPr>
                  <w:tcW w:w="1117" w:type="dxa"/>
                  <w:vAlign w:val="center"/>
                </w:tcPr>
                <w:p>
                  <w:pPr>
                    <w:jc w:val="center"/>
                    <w:rPr>
                      <w:szCs w:val="21"/>
                    </w:rPr>
                  </w:pPr>
                  <w:r>
                    <w:rPr>
                      <w:rFonts w:hint="eastAsia"/>
                      <w:szCs w:val="21"/>
                    </w:rPr>
                    <w:t>0</w:t>
                  </w:r>
                </w:p>
              </w:tc>
              <w:tc>
                <w:tcPr>
                  <w:tcW w:w="1227" w:type="dxa"/>
                  <w:vAlign w:val="center"/>
                </w:tcPr>
                <w:p>
                  <w:pPr>
                    <w:jc w:val="center"/>
                    <w:rPr>
                      <w:szCs w:val="21"/>
                    </w:rPr>
                  </w:pPr>
                  <w:r>
                    <w:rPr>
                      <w:rFonts w:hint="eastAsia"/>
                      <w:szCs w:val="21"/>
                    </w:rPr>
                    <w:t>0</w:t>
                  </w:r>
                </w:p>
              </w:tc>
              <w:tc>
                <w:tcPr>
                  <w:tcW w:w="1149" w:type="dxa"/>
                  <w:vAlign w:val="center"/>
                </w:tcPr>
                <w:p>
                  <w:pPr>
                    <w:jc w:val="center"/>
                    <w:rPr>
                      <w:szCs w:val="21"/>
                    </w:rPr>
                  </w:pPr>
                  <w:r>
                    <w:rPr>
                      <w:rFonts w:hint="eastAsia"/>
                      <w:szCs w:val="21"/>
                    </w:rPr>
                    <w:t>0</w:t>
                  </w:r>
                </w:p>
              </w:tc>
              <w:tc>
                <w:tcPr>
                  <w:tcW w:w="1127" w:type="dxa"/>
                  <w:vAlign w:val="center"/>
                </w:tcPr>
                <w:p>
                  <w:pPr>
                    <w:jc w:val="center"/>
                    <w:rPr>
                      <w:szCs w:val="21"/>
                    </w:rPr>
                  </w:pPr>
                  <w:r>
                    <w:rPr>
                      <w:rFonts w:hint="eastAsia"/>
                      <w:szCs w:val="21"/>
                    </w:rPr>
                    <w:t>0</w:t>
                  </w:r>
                </w:p>
              </w:tc>
              <w:tc>
                <w:tcPr>
                  <w:tcW w:w="1133" w:type="dxa"/>
                  <w:vAlign w:val="center"/>
                </w:tcPr>
                <w:p>
                  <w:pPr>
                    <w:jc w:val="center"/>
                    <w:rPr>
                      <w:szCs w:val="21"/>
                    </w:rPr>
                  </w:pPr>
                  <w:r>
                    <w:rPr>
                      <w:rFonts w:hint="eastAsia"/>
                      <w:szCs w:val="21"/>
                    </w:rPr>
                    <w:t>0</w:t>
                  </w:r>
                </w:p>
              </w:tc>
              <w:tc>
                <w:tcPr>
                  <w:tcW w:w="1484"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27" w:type="dxa"/>
                  <w:vMerge w:val="continue"/>
                  <w:vAlign w:val="center"/>
                </w:tcPr>
                <w:p>
                  <w:pPr>
                    <w:jc w:val="center"/>
                    <w:rPr>
                      <w:szCs w:val="21"/>
                    </w:rPr>
                  </w:pPr>
                </w:p>
              </w:tc>
              <w:tc>
                <w:tcPr>
                  <w:tcW w:w="1034" w:type="dxa"/>
                  <w:vAlign w:val="center"/>
                </w:tcPr>
                <w:p>
                  <w:pPr>
                    <w:jc w:val="center"/>
                    <w:rPr>
                      <w:szCs w:val="21"/>
                    </w:rPr>
                  </w:pPr>
                  <w:r>
                    <w:rPr>
                      <w:rFonts w:hint="eastAsia"/>
                      <w:szCs w:val="21"/>
                    </w:rPr>
                    <w:t>VOCs</w:t>
                  </w:r>
                </w:p>
              </w:tc>
              <w:tc>
                <w:tcPr>
                  <w:tcW w:w="1117" w:type="dxa"/>
                  <w:vAlign w:val="center"/>
                </w:tcPr>
                <w:p>
                  <w:pPr>
                    <w:jc w:val="center"/>
                    <w:rPr>
                      <w:szCs w:val="21"/>
                    </w:rPr>
                  </w:pPr>
                  <w:r>
                    <w:rPr>
                      <w:rFonts w:hint="eastAsia"/>
                      <w:szCs w:val="21"/>
                    </w:rPr>
                    <w:t>0</w:t>
                  </w:r>
                </w:p>
              </w:tc>
              <w:tc>
                <w:tcPr>
                  <w:tcW w:w="1227" w:type="dxa"/>
                  <w:vAlign w:val="center"/>
                </w:tcPr>
                <w:p>
                  <w:pPr>
                    <w:jc w:val="center"/>
                    <w:rPr>
                      <w:szCs w:val="21"/>
                    </w:rPr>
                  </w:pPr>
                  <w:r>
                    <w:rPr>
                      <w:rFonts w:hint="eastAsia"/>
                      <w:szCs w:val="21"/>
                    </w:rPr>
                    <w:t>0</w:t>
                  </w:r>
                </w:p>
              </w:tc>
              <w:tc>
                <w:tcPr>
                  <w:tcW w:w="1149" w:type="dxa"/>
                  <w:vAlign w:val="center"/>
                </w:tcPr>
                <w:p>
                  <w:pPr>
                    <w:jc w:val="center"/>
                    <w:rPr>
                      <w:szCs w:val="21"/>
                    </w:rPr>
                  </w:pPr>
                  <w:r>
                    <w:rPr>
                      <w:rFonts w:hint="eastAsia"/>
                      <w:szCs w:val="21"/>
                    </w:rPr>
                    <w:t>3.840</w:t>
                  </w:r>
                </w:p>
              </w:tc>
              <w:tc>
                <w:tcPr>
                  <w:tcW w:w="1127" w:type="dxa"/>
                  <w:vAlign w:val="center"/>
                </w:tcPr>
                <w:p>
                  <w:pPr>
                    <w:jc w:val="center"/>
                    <w:rPr>
                      <w:szCs w:val="21"/>
                    </w:rPr>
                  </w:pPr>
                  <w:r>
                    <w:rPr>
                      <w:rFonts w:hint="eastAsia"/>
                      <w:szCs w:val="21"/>
                    </w:rPr>
                    <w:t>3.840</w:t>
                  </w:r>
                </w:p>
              </w:tc>
              <w:tc>
                <w:tcPr>
                  <w:tcW w:w="1133" w:type="dxa"/>
                  <w:vAlign w:val="center"/>
                </w:tcPr>
                <w:p>
                  <w:pPr>
                    <w:jc w:val="center"/>
                    <w:rPr>
                      <w:szCs w:val="21"/>
                    </w:rPr>
                  </w:pPr>
                  <w:r>
                    <w:rPr>
                      <w:rFonts w:hint="eastAsia"/>
                      <w:szCs w:val="21"/>
                    </w:rPr>
                    <w:t>+3.840</w:t>
                  </w:r>
                </w:p>
              </w:tc>
              <w:tc>
                <w:tcPr>
                  <w:tcW w:w="1484" w:type="dxa"/>
                  <w:vAlign w:val="center"/>
                </w:tcPr>
                <w:p>
                  <w:pPr>
                    <w:jc w:val="center"/>
                    <w:rPr>
                      <w:szCs w:val="21"/>
                    </w:rPr>
                  </w:pPr>
                  <w:r>
                    <w:rPr>
                      <w:rFonts w:hint="eastAsia"/>
                      <w:szCs w:val="21"/>
                    </w:rPr>
                    <w:t>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27" w:type="dxa"/>
                  <w:vMerge w:val="restart"/>
                  <w:vAlign w:val="center"/>
                </w:tcPr>
                <w:p>
                  <w:pPr>
                    <w:jc w:val="center"/>
                    <w:rPr>
                      <w:szCs w:val="21"/>
                    </w:rPr>
                  </w:pPr>
                  <w:r>
                    <w:rPr>
                      <w:rFonts w:hint="eastAsia"/>
                      <w:szCs w:val="21"/>
                    </w:rPr>
                    <w:t>废水</w:t>
                  </w:r>
                </w:p>
              </w:tc>
              <w:tc>
                <w:tcPr>
                  <w:tcW w:w="1034" w:type="dxa"/>
                  <w:vAlign w:val="center"/>
                </w:tcPr>
                <w:p>
                  <w:pPr>
                    <w:jc w:val="center"/>
                    <w:rPr>
                      <w:szCs w:val="21"/>
                    </w:rPr>
                  </w:pPr>
                  <w:r>
                    <w:rPr>
                      <w:rFonts w:hint="eastAsia"/>
                      <w:szCs w:val="21"/>
                    </w:rPr>
                    <w:t>COD</w:t>
                  </w:r>
                </w:p>
              </w:tc>
              <w:tc>
                <w:tcPr>
                  <w:tcW w:w="1117" w:type="dxa"/>
                  <w:vAlign w:val="center"/>
                </w:tcPr>
                <w:p>
                  <w:pPr>
                    <w:jc w:val="center"/>
                    <w:rPr>
                      <w:szCs w:val="21"/>
                    </w:rPr>
                  </w:pPr>
                  <w:r>
                    <w:rPr>
                      <w:rFonts w:hint="eastAsia"/>
                      <w:szCs w:val="21"/>
                    </w:rPr>
                    <w:t>0</w:t>
                  </w:r>
                </w:p>
              </w:tc>
              <w:tc>
                <w:tcPr>
                  <w:tcW w:w="1227" w:type="dxa"/>
                  <w:vAlign w:val="center"/>
                </w:tcPr>
                <w:p>
                  <w:pPr>
                    <w:jc w:val="center"/>
                    <w:rPr>
                      <w:szCs w:val="21"/>
                    </w:rPr>
                  </w:pPr>
                  <w:r>
                    <w:rPr>
                      <w:rFonts w:hint="eastAsia"/>
                      <w:szCs w:val="21"/>
                    </w:rPr>
                    <w:t>0</w:t>
                  </w:r>
                </w:p>
              </w:tc>
              <w:tc>
                <w:tcPr>
                  <w:tcW w:w="1149" w:type="dxa"/>
                  <w:vAlign w:val="center"/>
                </w:tcPr>
                <w:p>
                  <w:pPr>
                    <w:jc w:val="center"/>
                    <w:rPr>
                      <w:szCs w:val="21"/>
                    </w:rPr>
                  </w:pPr>
                  <w:r>
                    <w:rPr>
                      <w:rFonts w:hint="eastAsia"/>
                      <w:szCs w:val="21"/>
                    </w:rPr>
                    <w:t>0</w:t>
                  </w:r>
                </w:p>
              </w:tc>
              <w:tc>
                <w:tcPr>
                  <w:tcW w:w="1127" w:type="dxa"/>
                  <w:vAlign w:val="center"/>
                </w:tcPr>
                <w:p>
                  <w:pPr>
                    <w:jc w:val="center"/>
                    <w:rPr>
                      <w:szCs w:val="21"/>
                    </w:rPr>
                  </w:pPr>
                  <w:r>
                    <w:rPr>
                      <w:rFonts w:hint="eastAsia"/>
                      <w:szCs w:val="21"/>
                    </w:rPr>
                    <w:t>0</w:t>
                  </w:r>
                </w:p>
              </w:tc>
              <w:tc>
                <w:tcPr>
                  <w:tcW w:w="1133" w:type="dxa"/>
                  <w:vAlign w:val="center"/>
                </w:tcPr>
                <w:p>
                  <w:pPr>
                    <w:jc w:val="center"/>
                    <w:rPr>
                      <w:szCs w:val="21"/>
                    </w:rPr>
                  </w:pPr>
                  <w:r>
                    <w:rPr>
                      <w:rFonts w:hint="eastAsia"/>
                      <w:szCs w:val="21"/>
                    </w:rPr>
                    <w:t>0</w:t>
                  </w:r>
                </w:p>
              </w:tc>
              <w:tc>
                <w:tcPr>
                  <w:tcW w:w="1484"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27" w:type="dxa"/>
                  <w:vMerge w:val="continue"/>
                  <w:vAlign w:val="center"/>
                </w:tcPr>
                <w:p>
                  <w:pPr>
                    <w:jc w:val="center"/>
                    <w:rPr>
                      <w:szCs w:val="21"/>
                    </w:rPr>
                  </w:pPr>
                </w:p>
              </w:tc>
              <w:tc>
                <w:tcPr>
                  <w:tcW w:w="1034" w:type="dxa"/>
                  <w:vAlign w:val="center"/>
                </w:tcPr>
                <w:p>
                  <w:pPr>
                    <w:jc w:val="center"/>
                    <w:rPr>
                      <w:szCs w:val="21"/>
                    </w:rPr>
                  </w:pPr>
                  <w:r>
                    <w:rPr>
                      <w:rFonts w:hint="eastAsia"/>
                      <w:szCs w:val="21"/>
                    </w:rPr>
                    <w:t>氨氮</w:t>
                  </w:r>
                </w:p>
              </w:tc>
              <w:tc>
                <w:tcPr>
                  <w:tcW w:w="1117" w:type="dxa"/>
                  <w:vAlign w:val="center"/>
                </w:tcPr>
                <w:p>
                  <w:pPr>
                    <w:jc w:val="center"/>
                    <w:rPr>
                      <w:szCs w:val="21"/>
                    </w:rPr>
                  </w:pPr>
                  <w:r>
                    <w:rPr>
                      <w:rFonts w:hint="eastAsia"/>
                      <w:szCs w:val="21"/>
                    </w:rPr>
                    <w:t>0</w:t>
                  </w:r>
                </w:p>
              </w:tc>
              <w:tc>
                <w:tcPr>
                  <w:tcW w:w="1227" w:type="dxa"/>
                  <w:vAlign w:val="center"/>
                </w:tcPr>
                <w:p>
                  <w:pPr>
                    <w:jc w:val="center"/>
                    <w:rPr>
                      <w:szCs w:val="21"/>
                    </w:rPr>
                  </w:pPr>
                  <w:r>
                    <w:rPr>
                      <w:rFonts w:hint="eastAsia"/>
                      <w:szCs w:val="21"/>
                    </w:rPr>
                    <w:t>0</w:t>
                  </w:r>
                </w:p>
              </w:tc>
              <w:tc>
                <w:tcPr>
                  <w:tcW w:w="1149" w:type="dxa"/>
                  <w:vAlign w:val="center"/>
                </w:tcPr>
                <w:p>
                  <w:pPr>
                    <w:jc w:val="center"/>
                    <w:rPr>
                      <w:szCs w:val="21"/>
                    </w:rPr>
                  </w:pPr>
                  <w:r>
                    <w:rPr>
                      <w:rFonts w:hint="eastAsia"/>
                      <w:szCs w:val="21"/>
                    </w:rPr>
                    <w:t>0</w:t>
                  </w:r>
                </w:p>
              </w:tc>
              <w:tc>
                <w:tcPr>
                  <w:tcW w:w="1127" w:type="dxa"/>
                  <w:vAlign w:val="center"/>
                </w:tcPr>
                <w:p>
                  <w:pPr>
                    <w:jc w:val="center"/>
                    <w:rPr>
                      <w:szCs w:val="21"/>
                    </w:rPr>
                  </w:pPr>
                  <w:r>
                    <w:rPr>
                      <w:rFonts w:hint="eastAsia"/>
                      <w:szCs w:val="21"/>
                    </w:rPr>
                    <w:t>0</w:t>
                  </w:r>
                </w:p>
              </w:tc>
              <w:tc>
                <w:tcPr>
                  <w:tcW w:w="1133" w:type="dxa"/>
                  <w:vAlign w:val="center"/>
                </w:tcPr>
                <w:p>
                  <w:pPr>
                    <w:jc w:val="center"/>
                    <w:rPr>
                      <w:szCs w:val="21"/>
                    </w:rPr>
                  </w:pPr>
                  <w:r>
                    <w:rPr>
                      <w:rFonts w:hint="eastAsia"/>
                      <w:szCs w:val="21"/>
                    </w:rPr>
                    <w:t>0</w:t>
                  </w:r>
                </w:p>
              </w:tc>
              <w:tc>
                <w:tcPr>
                  <w:tcW w:w="1484" w:type="dxa"/>
                  <w:vAlign w:val="center"/>
                </w:tcPr>
                <w:p>
                  <w:pPr>
                    <w:jc w:val="center"/>
                    <w:rPr>
                      <w:szCs w:val="21"/>
                    </w:rPr>
                  </w:pPr>
                  <w:r>
                    <w:rPr>
                      <w:rFonts w:hint="eastAsia"/>
                      <w:szCs w:val="21"/>
                    </w:rPr>
                    <w:t>0</w:t>
                  </w:r>
                </w:p>
              </w:tc>
            </w:tr>
          </w:tbl>
          <w:p>
            <w:pPr>
              <w:spacing w:line="480" w:lineRule="exact"/>
              <w:ind w:firstLine="480" w:firstLineChars="200"/>
              <w:rPr>
                <w:b/>
                <w:sz w:val="24"/>
                <w:szCs w:val="24"/>
              </w:rPr>
            </w:pPr>
            <w:r>
              <w:rPr>
                <w:rFonts w:hint="eastAsia"/>
                <w:b/>
                <w:sz w:val="24"/>
                <w:szCs w:val="24"/>
              </w:rPr>
              <w:t>5</w:t>
            </w:r>
            <w:r>
              <w:rPr>
                <w:b/>
                <w:sz w:val="24"/>
                <w:szCs w:val="24"/>
              </w:rPr>
              <w:t>、项目可行性结论</w:t>
            </w:r>
          </w:p>
          <w:p>
            <w:pPr>
              <w:spacing w:line="480" w:lineRule="exact"/>
              <w:ind w:firstLine="480" w:firstLineChars="200"/>
              <w:rPr>
                <w:sz w:val="24"/>
              </w:rPr>
            </w:pPr>
            <w:r>
              <w:rPr>
                <w:sz w:val="24"/>
              </w:rPr>
              <w:t>综上所述，项目建设符合国家产业政策；运营期采取了有效的污染防治措施，各污染防治措施可行，污染物能够达标排放，项目的建设不会对周围环境产生明显影响。在认真落实各项环保措施的前提下，本评价从环境保护角度认为，项目建设是可行的。</w:t>
            </w:r>
          </w:p>
          <w:p>
            <w:pPr>
              <w:snapToGrid w:val="0"/>
              <w:spacing w:line="360" w:lineRule="auto"/>
              <w:ind w:right="52"/>
              <w:rPr>
                <w:b/>
                <w:bCs/>
                <w:sz w:val="24"/>
                <w:szCs w:val="24"/>
              </w:rPr>
            </w:pPr>
            <w:r>
              <w:rPr>
                <w:b/>
                <w:bCs/>
                <w:sz w:val="24"/>
                <w:szCs w:val="24"/>
              </w:rPr>
              <w:t>二、建议</w:t>
            </w:r>
          </w:p>
          <w:p>
            <w:pPr>
              <w:spacing w:line="360" w:lineRule="auto"/>
              <w:ind w:firstLine="480" w:firstLineChars="200"/>
              <w:rPr>
                <w:sz w:val="24"/>
              </w:rPr>
            </w:pPr>
            <w:r>
              <w:rPr>
                <w:sz w:val="24"/>
              </w:rPr>
              <w:t>保护环境，最大限度减少污染物排放量，针对项目特点，本环评提出以下要求和建议：</w:t>
            </w:r>
          </w:p>
          <w:p>
            <w:pPr>
              <w:spacing w:line="360" w:lineRule="auto"/>
              <w:ind w:firstLine="480" w:firstLineChars="200"/>
              <w:rPr>
                <w:sz w:val="24"/>
              </w:rPr>
            </w:pPr>
            <w:r>
              <w:rPr>
                <w:rFonts w:hint="eastAsia"/>
                <w:sz w:val="24"/>
              </w:rPr>
              <w:t>（</w:t>
            </w:r>
            <w:r>
              <w:rPr>
                <w:sz w:val="24"/>
              </w:rPr>
              <w:t>1</w:t>
            </w:r>
            <w:r>
              <w:rPr>
                <w:rFonts w:hint="eastAsia"/>
                <w:sz w:val="24"/>
              </w:rPr>
              <w:t>）</w:t>
            </w:r>
            <w:r>
              <w:rPr>
                <w:sz w:val="24"/>
              </w:rPr>
              <w:t>加强企业内部的环境管理，确保污染治理设施的正常运行，最大限度减少污染物排放。</w:t>
            </w:r>
          </w:p>
          <w:p>
            <w:pPr>
              <w:spacing w:line="360" w:lineRule="auto"/>
              <w:ind w:firstLine="480" w:firstLineChars="200"/>
              <w:rPr>
                <w:sz w:val="24"/>
              </w:rPr>
            </w:pPr>
            <w:r>
              <w:rPr>
                <w:rFonts w:hint="eastAsia"/>
                <w:sz w:val="24"/>
              </w:rPr>
              <w:t>（</w:t>
            </w:r>
            <w:r>
              <w:rPr>
                <w:sz w:val="24"/>
              </w:rPr>
              <w:t>2</w:t>
            </w:r>
            <w:r>
              <w:rPr>
                <w:rFonts w:hint="eastAsia"/>
                <w:sz w:val="24"/>
              </w:rPr>
              <w:t>）</w:t>
            </w:r>
            <w:r>
              <w:rPr>
                <w:sz w:val="24"/>
              </w:rPr>
              <w:t>建议项目严格按本环评提到的治理措施实施，确保各项污染物长期稳定达标排放。</w:t>
            </w:r>
          </w:p>
          <w:p>
            <w:pPr>
              <w:spacing w:line="360" w:lineRule="auto"/>
              <w:ind w:firstLine="480" w:firstLineChars="200"/>
              <w:rPr>
                <w:sz w:val="24"/>
              </w:rPr>
            </w:pPr>
            <w:r>
              <w:rPr>
                <w:rFonts w:hint="eastAsia"/>
                <w:sz w:val="24"/>
              </w:rPr>
              <w:t>（3）各种废物要及时收集，放置在指定地点，不得乱堆，定期清运，避免在厂区长期堆放造成二次污染。</w:t>
            </w:r>
          </w:p>
          <w:p>
            <w:pPr>
              <w:spacing w:afterLines="50" w:line="348" w:lineRule="auto"/>
              <w:rPr>
                <w:rFonts w:ascii="宋体" w:hAnsi="宋体"/>
                <w:b/>
                <w:bCs/>
                <w:sz w:val="28"/>
              </w:rPr>
            </w:pPr>
            <w:r>
              <w:rPr>
                <w:rFonts w:hint="eastAsia" w:ascii="宋体" w:hAnsi="宋体"/>
                <w:b/>
                <w:bCs/>
                <w:sz w:val="28"/>
              </w:rPr>
              <w:t>三、</w:t>
            </w:r>
            <w:r>
              <w:rPr>
                <w:rFonts w:ascii="宋体" w:hAnsi="宋体"/>
                <w:b/>
                <w:bCs/>
                <w:sz w:val="28"/>
              </w:rPr>
              <w:t>建设项目</w:t>
            </w:r>
            <w:r>
              <w:rPr>
                <w:rFonts w:hint="eastAsia" w:ascii="宋体" w:hAnsi="宋体"/>
                <w:b/>
                <w:bCs/>
                <w:sz w:val="28"/>
              </w:rPr>
              <w:t>竣工</w:t>
            </w:r>
            <w:r>
              <w:rPr>
                <w:rFonts w:ascii="宋体" w:hAnsi="宋体"/>
                <w:b/>
                <w:bCs/>
                <w:sz w:val="28"/>
              </w:rPr>
              <w:t>环境保护验收内容</w:t>
            </w:r>
          </w:p>
          <w:p>
            <w:pPr>
              <w:spacing w:line="360" w:lineRule="auto"/>
              <w:ind w:firstLine="480" w:firstLineChars="200"/>
              <w:rPr>
                <w:snapToGrid w:val="0"/>
                <w:kern w:val="0"/>
                <w:sz w:val="24"/>
                <w:szCs w:val="24"/>
              </w:rPr>
            </w:pPr>
            <w:r>
              <w:rPr>
                <w:snapToGrid w:val="0"/>
                <w:kern w:val="0"/>
                <w:sz w:val="24"/>
                <w:szCs w:val="24"/>
              </w:rPr>
              <w:t>根据建设项目环境管理办法，环境污染物防治设施必须与主体</w:t>
            </w:r>
            <w:r>
              <w:rPr>
                <w:rFonts w:hint="eastAsia"/>
                <w:snapToGrid w:val="0"/>
                <w:kern w:val="0"/>
                <w:sz w:val="24"/>
                <w:szCs w:val="24"/>
              </w:rPr>
              <w:t>工程</w:t>
            </w:r>
            <w:r>
              <w:rPr>
                <w:snapToGrid w:val="0"/>
                <w:kern w:val="0"/>
                <w:sz w:val="24"/>
                <w:szCs w:val="24"/>
              </w:rPr>
              <w:t>同时设计、同时施工、同时投入使用。在工程完成后，应对环境保护设施进行验收。</w:t>
            </w:r>
            <w:r>
              <w:rPr>
                <w:rFonts w:hint="eastAsia"/>
                <w:snapToGrid w:val="0"/>
                <w:kern w:val="0"/>
                <w:sz w:val="24"/>
                <w:szCs w:val="24"/>
              </w:rPr>
              <w:t>营运</w:t>
            </w:r>
            <w:r>
              <w:rPr>
                <w:snapToGrid w:val="0"/>
                <w:kern w:val="0"/>
                <w:sz w:val="24"/>
                <w:szCs w:val="24"/>
              </w:rPr>
              <w:t>期</w:t>
            </w:r>
            <w:r>
              <w:rPr>
                <w:rFonts w:hint="eastAsia"/>
                <w:snapToGrid w:val="0"/>
                <w:kern w:val="0"/>
                <w:sz w:val="24"/>
                <w:szCs w:val="24"/>
              </w:rPr>
              <w:t>“</w:t>
            </w:r>
            <w:r>
              <w:rPr>
                <w:bCs/>
                <w:snapToGrid w:val="0"/>
                <w:kern w:val="0"/>
                <w:sz w:val="24"/>
                <w:szCs w:val="24"/>
              </w:rPr>
              <w:t>三同时</w:t>
            </w:r>
            <w:r>
              <w:rPr>
                <w:rFonts w:hint="eastAsia"/>
                <w:snapToGrid w:val="0"/>
                <w:kern w:val="0"/>
                <w:sz w:val="24"/>
                <w:szCs w:val="24"/>
              </w:rPr>
              <w:t>”</w:t>
            </w:r>
            <w:r>
              <w:rPr>
                <w:bCs/>
                <w:snapToGrid w:val="0"/>
                <w:kern w:val="0"/>
                <w:sz w:val="24"/>
                <w:szCs w:val="24"/>
              </w:rPr>
              <w:t>验收一览表</w:t>
            </w:r>
            <w:r>
              <w:rPr>
                <w:snapToGrid w:val="0"/>
                <w:kern w:val="0"/>
                <w:sz w:val="24"/>
                <w:szCs w:val="24"/>
              </w:rPr>
              <w:t>见表</w:t>
            </w:r>
            <w:r>
              <w:rPr>
                <w:rFonts w:hint="eastAsia"/>
                <w:snapToGrid w:val="0"/>
                <w:kern w:val="0"/>
                <w:sz w:val="24"/>
                <w:szCs w:val="24"/>
              </w:rPr>
              <w:t>34</w:t>
            </w:r>
            <w:r>
              <w:rPr>
                <w:snapToGrid w:val="0"/>
                <w:kern w:val="0"/>
                <w:sz w:val="24"/>
                <w:szCs w:val="24"/>
              </w:rPr>
              <w:t>。</w:t>
            </w:r>
          </w:p>
          <w:p>
            <w:pPr>
              <w:spacing w:line="360" w:lineRule="auto"/>
              <w:jc w:val="center"/>
              <w:rPr>
                <w:b/>
                <w:bCs/>
                <w:szCs w:val="21"/>
              </w:rPr>
            </w:pPr>
            <w:r>
              <w:rPr>
                <w:b/>
                <w:bCs/>
                <w:szCs w:val="21"/>
              </w:rPr>
              <w:t>表</w:t>
            </w:r>
            <w:r>
              <w:rPr>
                <w:rFonts w:hint="eastAsia"/>
                <w:b/>
                <w:bCs/>
                <w:szCs w:val="21"/>
              </w:rPr>
              <w:t xml:space="preserve">34  </w:t>
            </w:r>
            <w:r>
              <w:rPr>
                <w:b/>
                <w:bCs/>
                <w:szCs w:val="21"/>
              </w:rPr>
              <w:t xml:space="preserve"> </w:t>
            </w:r>
            <w:r>
              <w:rPr>
                <w:rFonts w:hint="eastAsia"/>
                <w:b/>
                <w:bCs/>
                <w:szCs w:val="21"/>
              </w:rPr>
              <w:t xml:space="preserve"> </w:t>
            </w:r>
            <w:r>
              <w:rPr>
                <w:b/>
                <w:bCs/>
                <w:szCs w:val="21"/>
              </w:rPr>
              <w:t>建设项目环境保护</w:t>
            </w:r>
            <w:r>
              <w:rPr>
                <w:rFonts w:hint="eastAsia"/>
                <w:b/>
                <w:bCs/>
                <w:szCs w:val="21"/>
              </w:rPr>
              <w:t>“</w:t>
            </w:r>
            <w:r>
              <w:rPr>
                <w:b/>
                <w:bCs/>
                <w:szCs w:val="21"/>
              </w:rPr>
              <w:t>三同时</w:t>
            </w:r>
            <w:r>
              <w:rPr>
                <w:rFonts w:hint="eastAsia"/>
                <w:b/>
                <w:bCs/>
                <w:szCs w:val="21"/>
              </w:rPr>
              <w:t>”</w:t>
            </w:r>
            <w:r>
              <w:rPr>
                <w:b/>
                <w:bCs/>
                <w:szCs w:val="21"/>
              </w:rPr>
              <w:t>验收一览表</w:t>
            </w:r>
          </w:p>
          <w:tbl>
            <w:tblPr>
              <w:tblStyle w:val="31"/>
              <w:tblW w:w="88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3"/>
              <w:gridCol w:w="880"/>
              <w:gridCol w:w="854"/>
              <w:gridCol w:w="1524"/>
              <w:gridCol w:w="2435"/>
              <w:gridCol w:w="1880"/>
              <w:gridCol w:w="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2137" w:type="dxa"/>
                  <w:gridSpan w:val="3"/>
                  <w:vAlign w:val="center"/>
                </w:tcPr>
                <w:p>
                  <w:pPr>
                    <w:pStyle w:val="14"/>
                    <w:spacing w:line="240" w:lineRule="exact"/>
                    <w:jc w:val="center"/>
                    <w:rPr>
                      <w:rFonts w:ascii="Times New Roman" w:hAnsi="Times New Roman" w:cs="Times New Roman"/>
                      <w:b/>
                      <w:bCs/>
                      <w:sz w:val="21"/>
                    </w:rPr>
                  </w:pPr>
                  <w:r>
                    <w:rPr>
                      <w:rFonts w:ascii="Times New Roman" w:hAnsi="Times New Roman" w:cs="Times New Roman"/>
                      <w:b/>
                      <w:bCs/>
                      <w:sz w:val="21"/>
                    </w:rPr>
                    <w:t>项目</w:t>
                  </w:r>
                </w:p>
              </w:tc>
              <w:tc>
                <w:tcPr>
                  <w:tcW w:w="1524" w:type="dxa"/>
                  <w:tcBorders>
                    <w:right w:val="single" w:color="auto" w:sz="4" w:space="0"/>
                  </w:tcBorders>
                  <w:vAlign w:val="center"/>
                </w:tcPr>
                <w:p>
                  <w:pPr>
                    <w:pStyle w:val="14"/>
                    <w:spacing w:line="240" w:lineRule="exact"/>
                    <w:jc w:val="center"/>
                    <w:rPr>
                      <w:rFonts w:ascii="Times New Roman" w:hAnsi="Times New Roman" w:cs="Times New Roman"/>
                      <w:b/>
                      <w:bCs/>
                      <w:sz w:val="21"/>
                    </w:rPr>
                  </w:pPr>
                  <w:r>
                    <w:rPr>
                      <w:rFonts w:ascii="Times New Roman" w:hAnsi="Times New Roman" w:cs="Times New Roman"/>
                      <w:b/>
                      <w:bCs/>
                      <w:sz w:val="21"/>
                    </w:rPr>
                    <w:t>环保措施</w:t>
                  </w:r>
                </w:p>
              </w:tc>
              <w:tc>
                <w:tcPr>
                  <w:tcW w:w="2435" w:type="dxa"/>
                  <w:tcBorders>
                    <w:left w:val="single" w:color="auto" w:sz="4" w:space="0"/>
                  </w:tcBorders>
                  <w:vAlign w:val="center"/>
                </w:tcPr>
                <w:p>
                  <w:pPr>
                    <w:pStyle w:val="14"/>
                    <w:spacing w:line="240" w:lineRule="exact"/>
                    <w:jc w:val="center"/>
                    <w:rPr>
                      <w:rFonts w:ascii="Times New Roman" w:hAnsi="Times New Roman" w:cs="Times New Roman"/>
                      <w:b/>
                      <w:bCs/>
                      <w:sz w:val="21"/>
                    </w:rPr>
                  </w:pPr>
                  <w:r>
                    <w:rPr>
                      <w:rFonts w:ascii="Times New Roman" w:hAnsi="Times New Roman" w:cs="Times New Roman"/>
                      <w:b/>
                      <w:bCs/>
                      <w:sz w:val="21"/>
                    </w:rPr>
                    <w:t>验收标准</w:t>
                  </w:r>
                </w:p>
              </w:tc>
              <w:tc>
                <w:tcPr>
                  <w:tcW w:w="1880" w:type="dxa"/>
                  <w:vAlign w:val="center"/>
                </w:tcPr>
                <w:p>
                  <w:pPr>
                    <w:pStyle w:val="14"/>
                    <w:spacing w:line="240" w:lineRule="exact"/>
                    <w:jc w:val="center"/>
                    <w:rPr>
                      <w:rFonts w:ascii="Times New Roman" w:hAnsi="Times New Roman" w:cs="Times New Roman"/>
                      <w:b/>
                      <w:bCs/>
                      <w:sz w:val="21"/>
                    </w:rPr>
                  </w:pPr>
                  <w:r>
                    <w:rPr>
                      <w:rFonts w:hint="eastAsia" w:ascii="Times New Roman" w:hAnsi="Times New Roman" w:cs="Times New Roman"/>
                      <w:b/>
                      <w:bCs/>
                      <w:sz w:val="21"/>
                    </w:rPr>
                    <w:t>标准限值</w:t>
                  </w:r>
                </w:p>
              </w:tc>
              <w:tc>
                <w:tcPr>
                  <w:tcW w:w="920" w:type="dxa"/>
                  <w:vAlign w:val="center"/>
                </w:tcPr>
                <w:p>
                  <w:pPr>
                    <w:pStyle w:val="14"/>
                    <w:spacing w:line="240" w:lineRule="exact"/>
                    <w:jc w:val="center"/>
                    <w:rPr>
                      <w:rFonts w:ascii="Times New Roman" w:hAnsi="Times New Roman" w:cs="Times New Roman"/>
                      <w:b/>
                      <w:bCs/>
                      <w:sz w:val="21"/>
                    </w:rPr>
                  </w:pPr>
                  <w:r>
                    <w:rPr>
                      <w:rFonts w:hint="eastAsia" w:ascii="Times New Roman" w:hAnsi="Times New Roman" w:cs="Times New Roman"/>
                      <w:b/>
                      <w:bCs/>
                      <w:sz w:val="21"/>
                    </w:rPr>
                    <w:t>投资(</w:t>
                  </w:r>
                  <w:r>
                    <w:rPr>
                      <w:rFonts w:hint="eastAsia" w:ascii="Times New Roman" w:hAnsi="Times New Roman"/>
                      <w:b/>
                      <w:bCs/>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403" w:type="dxa"/>
                  <w:vMerge w:val="restart"/>
                  <w:vAlign w:val="center"/>
                </w:tcPr>
                <w:p>
                  <w:pPr>
                    <w:pStyle w:val="14"/>
                    <w:spacing w:line="240" w:lineRule="exact"/>
                    <w:jc w:val="center"/>
                    <w:rPr>
                      <w:rFonts w:ascii="Times New Roman" w:hAnsi="Times New Roman" w:cs="Times New Roman"/>
                      <w:sz w:val="21"/>
                    </w:rPr>
                  </w:pPr>
                  <w:r>
                    <w:rPr>
                      <w:rFonts w:hint="eastAsia" w:ascii="Times New Roman" w:hAnsi="Times New Roman" w:cs="Times New Roman"/>
                      <w:sz w:val="21"/>
                    </w:rPr>
                    <w:t>废气</w:t>
                  </w:r>
                </w:p>
              </w:tc>
              <w:tc>
                <w:tcPr>
                  <w:tcW w:w="880" w:type="dxa"/>
                  <w:vAlign w:val="center"/>
                </w:tcPr>
                <w:p>
                  <w:pPr>
                    <w:jc w:val="center"/>
                    <w:rPr>
                      <w:szCs w:val="21"/>
                    </w:rPr>
                  </w:pPr>
                  <w:r>
                    <w:rPr>
                      <w:rFonts w:hint="eastAsia"/>
                      <w:szCs w:val="21"/>
                    </w:rPr>
                    <w:t>切割粉尘</w:t>
                  </w:r>
                </w:p>
              </w:tc>
              <w:tc>
                <w:tcPr>
                  <w:tcW w:w="854" w:type="dxa"/>
                  <w:vAlign w:val="center"/>
                </w:tcPr>
                <w:p>
                  <w:pPr>
                    <w:jc w:val="center"/>
                    <w:rPr>
                      <w:szCs w:val="21"/>
                    </w:rPr>
                  </w:pPr>
                  <w:r>
                    <w:rPr>
                      <w:rFonts w:hint="eastAsia" w:ascii="宋体"/>
                      <w:szCs w:val="21"/>
                    </w:rPr>
                    <w:t>颗粒物有组织</w:t>
                  </w:r>
                </w:p>
              </w:tc>
              <w:tc>
                <w:tcPr>
                  <w:tcW w:w="1524" w:type="dxa"/>
                  <w:tcBorders>
                    <w:right w:val="single" w:color="auto" w:sz="4" w:space="0"/>
                  </w:tcBorders>
                  <w:vAlign w:val="center"/>
                </w:tcPr>
                <w:p>
                  <w:pPr>
                    <w:snapToGrid w:val="0"/>
                    <w:spacing w:line="360" w:lineRule="exact"/>
                    <w:jc w:val="center"/>
                    <w:rPr>
                      <w:spacing w:val="5"/>
                      <w:szCs w:val="21"/>
                    </w:rPr>
                  </w:pPr>
                  <w:r>
                    <w:rPr>
                      <w:rFonts w:hint="eastAsia"/>
                      <w:szCs w:val="21"/>
                    </w:rPr>
                    <w:t>集气罩+布袋除尘器+15m排气筒</w:t>
                  </w:r>
                </w:p>
              </w:tc>
              <w:tc>
                <w:tcPr>
                  <w:tcW w:w="2435" w:type="dxa"/>
                  <w:tcBorders>
                    <w:left w:val="single" w:color="auto" w:sz="4" w:space="0"/>
                  </w:tcBorders>
                  <w:vAlign w:val="center"/>
                </w:tcPr>
                <w:p>
                  <w:pPr>
                    <w:spacing w:line="240" w:lineRule="exact"/>
                    <w:jc w:val="center"/>
                    <w:rPr>
                      <w:spacing w:val="5"/>
                      <w:szCs w:val="21"/>
                    </w:rPr>
                  </w:pPr>
                  <w:r>
                    <w:rPr>
                      <w:rFonts w:hint="eastAsia"/>
                      <w:snapToGrid w:val="0"/>
                      <w:kern w:val="0"/>
                      <w:szCs w:val="21"/>
                    </w:rPr>
                    <w:t>《大气污染物综合排放标准》（GB16297-1996）表2二级标准</w:t>
                  </w:r>
                </w:p>
              </w:tc>
              <w:tc>
                <w:tcPr>
                  <w:tcW w:w="1880" w:type="dxa"/>
                  <w:vAlign w:val="center"/>
                </w:tcPr>
                <w:p>
                  <w:pPr>
                    <w:pStyle w:val="6"/>
                    <w:spacing w:line="240" w:lineRule="exact"/>
                    <w:ind w:firstLine="0"/>
                    <w:jc w:val="center"/>
                    <w:rPr>
                      <w:szCs w:val="21"/>
                    </w:rPr>
                  </w:pPr>
                  <w:r>
                    <w:rPr>
                      <w:rFonts w:hint="eastAsia"/>
                      <w:snapToGrid w:val="0"/>
                      <w:kern w:val="0"/>
                      <w:szCs w:val="21"/>
                    </w:rPr>
                    <w:t>颗粒物</w:t>
                  </w:r>
                  <w:r>
                    <w:rPr>
                      <w:rFonts w:hint="eastAsia"/>
                      <w:szCs w:val="21"/>
                    </w:rPr>
                    <w:t>≤120mg/m</w:t>
                  </w:r>
                  <w:r>
                    <w:rPr>
                      <w:rFonts w:hint="eastAsia"/>
                      <w:szCs w:val="21"/>
                      <w:vertAlign w:val="superscript"/>
                    </w:rPr>
                    <w:t>3</w:t>
                  </w:r>
                  <w:r>
                    <w:rPr>
                      <w:rFonts w:hint="eastAsia"/>
                      <w:szCs w:val="21"/>
                    </w:rPr>
                    <w:t>；排气筒15m；</w:t>
                  </w:r>
                </w:p>
                <w:p>
                  <w:pPr>
                    <w:spacing w:line="240" w:lineRule="exact"/>
                    <w:jc w:val="center"/>
                    <w:rPr>
                      <w:spacing w:val="-8"/>
                      <w:szCs w:val="21"/>
                    </w:rPr>
                  </w:pPr>
                  <w:r>
                    <w:rPr>
                      <w:rFonts w:hint="eastAsia"/>
                      <w:szCs w:val="21"/>
                    </w:rPr>
                    <w:t>排放速率≤3.5kg/h</w:t>
                  </w:r>
                </w:p>
              </w:tc>
              <w:tc>
                <w:tcPr>
                  <w:tcW w:w="920" w:type="dxa"/>
                  <w:vAlign w:val="center"/>
                </w:tcPr>
                <w:p>
                  <w:pPr>
                    <w:pStyle w:val="26"/>
                    <w:spacing w:line="240" w:lineRule="exact"/>
                  </w:pPr>
                  <w:r>
                    <w:rPr>
                      <w:rFonts w:hint="eastAsi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03" w:type="dxa"/>
                  <w:vMerge w:val="continue"/>
                  <w:vAlign w:val="center"/>
                </w:tcPr>
                <w:p>
                  <w:pPr>
                    <w:pStyle w:val="14"/>
                    <w:spacing w:line="240" w:lineRule="exact"/>
                    <w:jc w:val="center"/>
                    <w:rPr>
                      <w:rFonts w:ascii="Times New Roman" w:hAnsi="Times New Roman" w:cs="Times New Roman"/>
                      <w:sz w:val="21"/>
                    </w:rPr>
                  </w:pPr>
                </w:p>
              </w:tc>
              <w:tc>
                <w:tcPr>
                  <w:tcW w:w="880" w:type="dxa"/>
                  <w:vMerge w:val="restart"/>
                  <w:vAlign w:val="center"/>
                </w:tcPr>
                <w:p>
                  <w:pPr>
                    <w:jc w:val="center"/>
                    <w:rPr>
                      <w:szCs w:val="21"/>
                    </w:rPr>
                  </w:pPr>
                  <w:r>
                    <w:rPr>
                      <w:rFonts w:hint="eastAsia" w:ascii="宋体"/>
                      <w:szCs w:val="21"/>
                    </w:rPr>
                    <w:t>喷晾漆废气</w:t>
                  </w:r>
                </w:p>
              </w:tc>
              <w:tc>
                <w:tcPr>
                  <w:tcW w:w="854" w:type="dxa"/>
                  <w:vAlign w:val="center"/>
                </w:tcPr>
                <w:p>
                  <w:pPr>
                    <w:spacing w:line="340" w:lineRule="exact"/>
                    <w:jc w:val="center"/>
                    <w:rPr>
                      <w:szCs w:val="21"/>
                    </w:rPr>
                  </w:pPr>
                  <w:r>
                    <w:rPr>
                      <w:szCs w:val="21"/>
                    </w:rPr>
                    <w:t>颗粒物</w:t>
                  </w:r>
                </w:p>
              </w:tc>
              <w:tc>
                <w:tcPr>
                  <w:tcW w:w="1524" w:type="dxa"/>
                  <w:vMerge w:val="restart"/>
                  <w:tcBorders>
                    <w:right w:val="single" w:color="auto" w:sz="4" w:space="0"/>
                  </w:tcBorders>
                  <w:vAlign w:val="center"/>
                </w:tcPr>
                <w:p>
                  <w:pPr>
                    <w:snapToGrid w:val="0"/>
                    <w:spacing w:line="240" w:lineRule="exact"/>
                    <w:jc w:val="center"/>
                    <w:rPr>
                      <w:spacing w:val="5"/>
                      <w:szCs w:val="21"/>
                    </w:rPr>
                  </w:pPr>
                  <w:r>
                    <w:rPr>
                      <w:rFonts w:hint="eastAsia"/>
                      <w:szCs w:val="21"/>
                    </w:rPr>
                    <w:t>负压收集+干式过滤器+等离子光氧一体机+15m排气筒</w:t>
                  </w:r>
                </w:p>
              </w:tc>
              <w:tc>
                <w:tcPr>
                  <w:tcW w:w="2435" w:type="dxa"/>
                  <w:tcBorders>
                    <w:left w:val="single" w:color="auto" w:sz="4" w:space="0"/>
                  </w:tcBorders>
                  <w:vAlign w:val="center"/>
                </w:tcPr>
                <w:p>
                  <w:pPr>
                    <w:jc w:val="center"/>
                    <w:rPr>
                      <w:spacing w:val="5"/>
                      <w:szCs w:val="21"/>
                    </w:rPr>
                  </w:pPr>
                  <w:r>
                    <w:rPr>
                      <w:szCs w:val="21"/>
                    </w:rPr>
                    <w:t>《大气污染物综合排放标准》（GB16297-1996）表2二级</w:t>
                  </w:r>
                  <w:r>
                    <w:rPr>
                      <w:rFonts w:hint="eastAsia"/>
                      <w:szCs w:val="21"/>
                    </w:rPr>
                    <w:t>染料尘</w:t>
                  </w:r>
                  <w:r>
                    <w:rPr>
                      <w:szCs w:val="21"/>
                    </w:rPr>
                    <w:t>标准</w:t>
                  </w:r>
                </w:p>
              </w:tc>
              <w:tc>
                <w:tcPr>
                  <w:tcW w:w="1880" w:type="dxa"/>
                  <w:vAlign w:val="center"/>
                </w:tcPr>
                <w:p>
                  <w:pPr>
                    <w:spacing w:line="240" w:lineRule="exact"/>
                    <w:jc w:val="center"/>
                    <w:rPr>
                      <w:spacing w:val="-8"/>
                      <w:szCs w:val="21"/>
                    </w:rPr>
                  </w:pPr>
                  <w:r>
                    <w:rPr>
                      <w:rFonts w:hint="eastAsia"/>
                      <w:szCs w:val="21"/>
                    </w:rPr>
                    <w:t>颗粒物</w:t>
                  </w:r>
                  <w:r>
                    <w:rPr>
                      <w:szCs w:val="21"/>
                    </w:rPr>
                    <w:t>≤1</w:t>
                  </w:r>
                  <w:r>
                    <w:rPr>
                      <w:rFonts w:hint="eastAsia"/>
                      <w:szCs w:val="21"/>
                    </w:rPr>
                    <w:t>8</w:t>
                  </w:r>
                  <w:r>
                    <w:rPr>
                      <w:szCs w:val="21"/>
                    </w:rPr>
                    <w:t>mg/m</w:t>
                  </w:r>
                  <w:r>
                    <w:rPr>
                      <w:szCs w:val="21"/>
                      <w:vertAlign w:val="superscript"/>
                    </w:rPr>
                    <w:t>3</w:t>
                  </w:r>
                  <w:r>
                    <w:rPr>
                      <w:szCs w:val="21"/>
                    </w:rPr>
                    <w:t>，15m排气筒，排放速率</w:t>
                  </w:r>
                  <w:r>
                    <w:rPr>
                      <w:rFonts w:hint="eastAsia"/>
                      <w:szCs w:val="21"/>
                    </w:rPr>
                    <w:t>0.51</w:t>
                  </w:r>
                  <w:r>
                    <w:rPr>
                      <w:szCs w:val="21"/>
                    </w:rPr>
                    <w:t>kg/h</w:t>
                  </w:r>
                </w:p>
              </w:tc>
              <w:tc>
                <w:tcPr>
                  <w:tcW w:w="920" w:type="dxa"/>
                  <w:vMerge w:val="restart"/>
                  <w:vAlign w:val="center"/>
                </w:tcPr>
                <w:p>
                  <w:pPr>
                    <w:pStyle w:val="26"/>
                    <w:spacing w:line="240" w:lineRule="exact"/>
                  </w:pPr>
                  <w:r>
                    <w:rPr>
                      <w:rFonts w:hint="eastAsi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03" w:type="dxa"/>
                  <w:vMerge w:val="continue"/>
                  <w:vAlign w:val="center"/>
                </w:tcPr>
                <w:p>
                  <w:pPr>
                    <w:spacing w:line="240" w:lineRule="exact"/>
                    <w:jc w:val="center"/>
                    <w:rPr>
                      <w:szCs w:val="21"/>
                    </w:rPr>
                  </w:pPr>
                </w:p>
              </w:tc>
              <w:tc>
                <w:tcPr>
                  <w:tcW w:w="880" w:type="dxa"/>
                  <w:vMerge w:val="continue"/>
                  <w:vAlign w:val="center"/>
                </w:tcPr>
                <w:p>
                  <w:pPr>
                    <w:jc w:val="center"/>
                    <w:rPr>
                      <w:szCs w:val="21"/>
                    </w:rPr>
                  </w:pPr>
                </w:p>
              </w:tc>
              <w:tc>
                <w:tcPr>
                  <w:tcW w:w="854" w:type="dxa"/>
                  <w:vAlign w:val="center"/>
                </w:tcPr>
                <w:p>
                  <w:pPr>
                    <w:spacing w:line="340" w:lineRule="exact"/>
                    <w:jc w:val="center"/>
                    <w:rPr>
                      <w:bCs/>
                      <w:spacing w:val="-4"/>
                      <w:szCs w:val="21"/>
                    </w:rPr>
                  </w:pPr>
                  <w:r>
                    <w:rPr>
                      <w:szCs w:val="21"/>
                    </w:rPr>
                    <w:t>非甲烷总烃</w:t>
                  </w:r>
                </w:p>
              </w:tc>
              <w:tc>
                <w:tcPr>
                  <w:tcW w:w="1524" w:type="dxa"/>
                  <w:vMerge w:val="continue"/>
                  <w:tcBorders>
                    <w:right w:val="single" w:color="auto" w:sz="4" w:space="0"/>
                  </w:tcBorders>
                  <w:vAlign w:val="center"/>
                </w:tcPr>
                <w:p>
                  <w:pPr>
                    <w:spacing w:line="240" w:lineRule="exact"/>
                    <w:jc w:val="center"/>
                    <w:rPr>
                      <w:bCs/>
                      <w:spacing w:val="-4"/>
                      <w:szCs w:val="21"/>
                    </w:rPr>
                  </w:pPr>
                </w:p>
              </w:tc>
              <w:tc>
                <w:tcPr>
                  <w:tcW w:w="2435" w:type="dxa"/>
                  <w:vMerge w:val="restart"/>
                  <w:tcBorders>
                    <w:left w:val="single" w:color="auto" w:sz="4" w:space="0"/>
                  </w:tcBorders>
                  <w:vAlign w:val="center"/>
                </w:tcPr>
                <w:p>
                  <w:pPr>
                    <w:jc w:val="center"/>
                    <w:rPr>
                      <w:bCs/>
                      <w:spacing w:val="-4"/>
                      <w:szCs w:val="21"/>
                    </w:rPr>
                  </w:pPr>
                  <w:r>
                    <w:rPr>
                      <w:szCs w:val="21"/>
                    </w:rPr>
                    <w:t>《工业企业挥发性有机物排放控制标准》（DB13/2322-2016）表1表面涂装业最高允许排放浓度要求</w:t>
                  </w:r>
                </w:p>
              </w:tc>
              <w:tc>
                <w:tcPr>
                  <w:tcW w:w="1880" w:type="dxa"/>
                  <w:vAlign w:val="center"/>
                </w:tcPr>
                <w:p>
                  <w:pPr>
                    <w:spacing w:line="240" w:lineRule="exact"/>
                    <w:jc w:val="center"/>
                    <w:rPr>
                      <w:bCs/>
                      <w:spacing w:val="-4"/>
                      <w:szCs w:val="21"/>
                    </w:rPr>
                  </w:pPr>
                  <w:r>
                    <w:rPr>
                      <w:szCs w:val="21"/>
                    </w:rPr>
                    <w:t>排放浓度：60mg/m</w:t>
                  </w:r>
                  <w:r>
                    <w:rPr>
                      <w:szCs w:val="21"/>
                      <w:vertAlign w:val="superscript"/>
                    </w:rPr>
                    <w:t>3</w:t>
                  </w:r>
                  <w:r>
                    <w:rPr>
                      <w:szCs w:val="21"/>
                    </w:rPr>
                    <w:t>，去除效率≥70%</w:t>
                  </w:r>
                </w:p>
              </w:tc>
              <w:tc>
                <w:tcPr>
                  <w:tcW w:w="920" w:type="dxa"/>
                  <w:vMerge w:val="continue"/>
                  <w:vAlign w:val="center"/>
                </w:tcPr>
                <w:p>
                  <w:pPr>
                    <w:spacing w:line="240" w:lineRule="exact"/>
                    <w:jc w:val="center"/>
                    <w:rPr>
                      <w:bCs/>
                      <w:spacing w:val="-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03" w:type="dxa"/>
                  <w:vMerge w:val="continue"/>
                  <w:vAlign w:val="center"/>
                </w:tcPr>
                <w:p>
                  <w:pPr>
                    <w:spacing w:line="240" w:lineRule="exact"/>
                    <w:jc w:val="center"/>
                    <w:rPr>
                      <w:bCs/>
                      <w:spacing w:val="-4"/>
                      <w:szCs w:val="21"/>
                    </w:rPr>
                  </w:pPr>
                </w:p>
              </w:tc>
              <w:tc>
                <w:tcPr>
                  <w:tcW w:w="880" w:type="dxa"/>
                  <w:vMerge w:val="continue"/>
                  <w:vAlign w:val="center"/>
                </w:tcPr>
                <w:p>
                  <w:pPr>
                    <w:jc w:val="center"/>
                    <w:rPr>
                      <w:bCs/>
                      <w:spacing w:val="-4"/>
                      <w:szCs w:val="21"/>
                    </w:rPr>
                  </w:pPr>
                </w:p>
              </w:tc>
              <w:tc>
                <w:tcPr>
                  <w:tcW w:w="854" w:type="dxa"/>
                  <w:vAlign w:val="center"/>
                </w:tcPr>
                <w:p>
                  <w:pPr>
                    <w:spacing w:line="340" w:lineRule="exact"/>
                    <w:jc w:val="center"/>
                    <w:rPr>
                      <w:bCs/>
                      <w:spacing w:val="-4"/>
                      <w:szCs w:val="21"/>
                    </w:rPr>
                  </w:pPr>
                  <w:r>
                    <w:rPr>
                      <w:szCs w:val="21"/>
                    </w:rPr>
                    <w:t>二甲苯</w:t>
                  </w:r>
                </w:p>
              </w:tc>
              <w:tc>
                <w:tcPr>
                  <w:tcW w:w="1524" w:type="dxa"/>
                  <w:vMerge w:val="continue"/>
                  <w:tcBorders>
                    <w:right w:val="single" w:color="auto" w:sz="4" w:space="0"/>
                  </w:tcBorders>
                  <w:vAlign w:val="center"/>
                </w:tcPr>
                <w:p>
                  <w:pPr>
                    <w:spacing w:line="240" w:lineRule="exact"/>
                    <w:jc w:val="center"/>
                    <w:rPr>
                      <w:bCs/>
                      <w:spacing w:val="-4"/>
                      <w:szCs w:val="21"/>
                    </w:rPr>
                  </w:pPr>
                </w:p>
              </w:tc>
              <w:tc>
                <w:tcPr>
                  <w:tcW w:w="2435" w:type="dxa"/>
                  <w:vMerge w:val="continue"/>
                  <w:tcBorders>
                    <w:left w:val="single" w:color="auto" w:sz="4" w:space="0"/>
                  </w:tcBorders>
                  <w:vAlign w:val="center"/>
                </w:tcPr>
                <w:p>
                  <w:pPr>
                    <w:spacing w:line="240" w:lineRule="exact"/>
                    <w:jc w:val="center"/>
                    <w:rPr>
                      <w:bCs/>
                      <w:spacing w:val="-4"/>
                      <w:szCs w:val="21"/>
                    </w:rPr>
                  </w:pPr>
                </w:p>
              </w:tc>
              <w:tc>
                <w:tcPr>
                  <w:tcW w:w="1880" w:type="dxa"/>
                  <w:vAlign w:val="center"/>
                </w:tcPr>
                <w:p>
                  <w:pPr>
                    <w:spacing w:line="240" w:lineRule="exact"/>
                    <w:jc w:val="center"/>
                    <w:rPr>
                      <w:bCs/>
                      <w:spacing w:val="-4"/>
                      <w:szCs w:val="21"/>
                    </w:rPr>
                  </w:pPr>
                  <w:r>
                    <w:rPr>
                      <w:szCs w:val="21"/>
                    </w:rPr>
                    <w:t>排放浓度：20mg/m</w:t>
                  </w:r>
                  <w:r>
                    <w:rPr>
                      <w:szCs w:val="21"/>
                      <w:vertAlign w:val="superscript"/>
                    </w:rPr>
                    <w:t>3</w:t>
                  </w:r>
                </w:p>
              </w:tc>
              <w:tc>
                <w:tcPr>
                  <w:tcW w:w="920" w:type="dxa"/>
                  <w:vMerge w:val="continue"/>
                  <w:vAlign w:val="center"/>
                </w:tcPr>
                <w:p>
                  <w:pPr>
                    <w:spacing w:line="240" w:lineRule="exact"/>
                    <w:jc w:val="center"/>
                    <w:rPr>
                      <w:bCs/>
                      <w:spacing w:val="-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403" w:type="dxa"/>
                  <w:vMerge w:val="continue"/>
                  <w:vAlign w:val="center"/>
                </w:tcPr>
                <w:p>
                  <w:pPr>
                    <w:pStyle w:val="14"/>
                    <w:spacing w:line="240" w:lineRule="exact"/>
                    <w:jc w:val="center"/>
                    <w:rPr>
                      <w:rFonts w:ascii="Times New Roman" w:hAnsi="Times New Roman" w:cs="Times New Roman"/>
                      <w:sz w:val="21"/>
                    </w:rPr>
                  </w:pPr>
                </w:p>
              </w:tc>
              <w:tc>
                <w:tcPr>
                  <w:tcW w:w="880" w:type="dxa"/>
                  <w:vAlign w:val="center"/>
                </w:tcPr>
                <w:p>
                  <w:pPr>
                    <w:jc w:val="center"/>
                    <w:rPr>
                      <w:szCs w:val="21"/>
                    </w:rPr>
                  </w:pPr>
                  <w:r>
                    <w:rPr>
                      <w:rFonts w:hint="eastAsia" w:ascii="宋体" w:hAnsi="华文中宋"/>
                      <w:szCs w:val="21"/>
                    </w:rPr>
                    <w:t>回火炉废气</w:t>
                  </w:r>
                </w:p>
              </w:tc>
              <w:tc>
                <w:tcPr>
                  <w:tcW w:w="854" w:type="dxa"/>
                  <w:vAlign w:val="center"/>
                </w:tcPr>
                <w:p>
                  <w:pPr>
                    <w:jc w:val="center"/>
                    <w:rPr>
                      <w:rFonts w:ascii="宋体" w:hAnsi="华文中宋"/>
                      <w:szCs w:val="21"/>
                    </w:rPr>
                  </w:pPr>
                  <w:r>
                    <w:rPr>
                      <w:rFonts w:hint="eastAsia"/>
                      <w:bCs/>
                      <w:spacing w:val="-4"/>
                      <w:szCs w:val="21"/>
                    </w:rPr>
                    <w:t>非甲烷总烃（有组织）</w:t>
                  </w:r>
                </w:p>
              </w:tc>
              <w:tc>
                <w:tcPr>
                  <w:tcW w:w="1524" w:type="dxa"/>
                  <w:tcBorders>
                    <w:right w:val="single" w:color="auto" w:sz="4" w:space="0"/>
                  </w:tcBorders>
                  <w:vAlign w:val="center"/>
                </w:tcPr>
                <w:p>
                  <w:pPr>
                    <w:snapToGrid w:val="0"/>
                    <w:spacing w:line="240" w:lineRule="exact"/>
                    <w:jc w:val="center"/>
                    <w:rPr>
                      <w:spacing w:val="5"/>
                      <w:szCs w:val="21"/>
                    </w:rPr>
                  </w:pPr>
                  <w:r>
                    <w:rPr>
                      <w:rFonts w:hint="eastAsia"/>
                      <w:szCs w:val="21"/>
                    </w:rPr>
                    <w:t>集气罩+等离子光氧一体机+15m排气筒排放</w:t>
                  </w:r>
                </w:p>
              </w:tc>
              <w:tc>
                <w:tcPr>
                  <w:tcW w:w="2435" w:type="dxa"/>
                  <w:tcBorders>
                    <w:left w:val="single" w:color="auto" w:sz="4" w:space="0"/>
                  </w:tcBorders>
                  <w:vAlign w:val="center"/>
                </w:tcPr>
                <w:p>
                  <w:pPr>
                    <w:spacing w:line="240" w:lineRule="exact"/>
                    <w:jc w:val="center"/>
                    <w:rPr>
                      <w:spacing w:val="5"/>
                      <w:szCs w:val="21"/>
                    </w:rPr>
                  </w:pPr>
                  <w:r>
                    <w:rPr>
                      <w:rFonts w:hint="eastAsia"/>
                      <w:szCs w:val="21"/>
                    </w:rPr>
                    <w:t>《工业企业挥发性有机物排放控制标准》（DB13/2322-2016）表1其他行业标准限值要求</w:t>
                  </w:r>
                </w:p>
              </w:tc>
              <w:tc>
                <w:tcPr>
                  <w:tcW w:w="1880" w:type="dxa"/>
                  <w:vAlign w:val="center"/>
                </w:tcPr>
                <w:p>
                  <w:pPr>
                    <w:spacing w:line="240" w:lineRule="exact"/>
                    <w:jc w:val="center"/>
                    <w:rPr>
                      <w:spacing w:val="-8"/>
                      <w:szCs w:val="21"/>
                    </w:rPr>
                  </w:pPr>
                  <w:r>
                    <w:rPr>
                      <w:szCs w:val="21"/>
                    </w:rPr>
                    <w:t>排放浓度：</w:t>
                  </w:r>
                  <w:r>
                    <w:rPr>
                      <w:rFonts w:hint="eastAsia"/>
                      <w:szCs w:val="21"/>
                    </w:rPr>
                    <w:t>8</w:t>
                  </w:r>
                  <w:r>
                    <w:rPr>
                      <w:szCs w:val="21"/>
                    </w:rPr>
                    <w:t>0mg/m</w:t>
                  </w:r>
                  <w:r>
                    <w:rPr>
                      <w:szCs w:val="21"/>
                      <w:vertAlign w:val="superscript"/>
                    </w:rPr>
                    <w:t>3</w:t>
                  </w:r>
                </w:p>
              </w:tc>
              <w:tc>
                <w:tcPr>
                  <w:tcW w:w="920" w:type="dxa"/>
                  <w:vAlign w:val="center"/>
                </w:tcPr>
                <w:p>
                  <w:pPr>
                    <w:pStyle w:val="26"/>
                    <w:spacing w:line="240" w:lineRule="exact"/>
                  </w:pPr>
                  <w:r>
                    <w:rPr>
                      <w:rFonts w:hint="eastAsi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403" w:type="dxa"/>
                  <w:vMerge w:val="continue"/>
                  <w:vAlign w:val="center"/>
                </w:tcPr>
                <w:p>
                  <w:pPr>
                    <w:pStyle w:val="14"/>
                    <w:spacing w:line="240" w:lineRule="exact"/>
                    <w:jc w:val="center"/>
                    <w:rPr>
                      <w:rFonts w:ascii="Times New Roman" w:hAnsi="Times New Roman" w:cs="Times New Roman"/>
                      <w:sz w:val="21"/>
                    </w:rPr>
                  </w:pPr>
                </w:p>
              </w:tc>
              <w:tc>
                <w:tcPr>
                  <w:tcW w:w="880" w:type="dxa"/>
                  <w:vAlign w:val="center"/>
                </w:tcPr>
                <w:p>
                  <w:pPr>
                    <w:jc w:val="center"/>
                    <w:rPr>
                      <w:szCs w:val="21"/>
                    </w:rPr>
                  </w:pPr>
                  <w:r>
                    <w:rPr>
                      <w:rFonts w:hint="eastAsia"/>
                      <w:szCs w:val="21"/>
                    </w:rPr>
                    <w:t>焊接烟尘</w:t>
                  </w:r>
                </w:p>
              </w:tc>
              <w:tc>
                <w:tcPr>
                  <w:tcW w:w="854" w:type="dxa"/>
                  <w:vAlign w:val="center"/>
                </w:tcPr>
                <w:p>
                  <w:pPr>
                    <w:jc w:val="center"/>
                    <w:rPr>
                      <w:rFonts w:ascii="宋体"/>
                      <w:szCs w:val="21"/>
                    </w:rPr>
                  </w:pPr>
                  <w:r>
                    <w:rPr>
                      <w:rFonts w:hint="eastAsia" w:ascii="宋体"/>
                      <w:szCs w:val="21"/>
                    </w:rPr>
                    <w:t>颗粒物无组织</w:t>
                  </w:r>
                </w:p>
              </w:tc>
              <w:tc>
                <w:tcPr>
                  <w:tcW w:w="1524" w:type="dxa"/>
                  <w:tcBorders>
                    <w:right w:val="single" w:color="auto" w:sz="4" w:space="0"/>
                  </w:tcBorders>
                  <w:vAlign w:val="center"/>
                </w:tcPr>
                <w:p>
                  <w:pPr>
                    <w:snapToGrid w:val="0"/>
                    <w:spacing w:line="240" w:lineRule="exact"/>
                    <w:jc w:val="center"/>
                    <w:rPr>
                      <w:spacing w:val="5"/>
                      <w:szCs w:val="21"/>
                    </w:rPr>
                  </w:pPr>
                  <w:r>
                    <w:rPr>
                      <w:rFonts w:hint="eastAsia"/>
                      <w:szCs w:val="21"/>
                    </w:rPr>
                    <w:t>焊烟净化处理后无组织排放</w:t>
                  </w:r>
                </w:p>
              </w:tc>
              <w:tc>
                <w:tcPr>
                  <w:tcW w:w="2435" w:type="dxa"/>
                  <w:vMerge w:val="restart"/>
                  <w:tcBorders>
                    <w:left w:val="single" w:color="auto" w:sz="4" w:space="0"/>
                  </w:tcBorders>
                  <w:vAlign w:val="center"/>
                </w:tcPr>
                <w:p>
                  <w:pPr>
                    <w:spacing w:line="240" w:lineRule="exact"/>
                    <w:jc w:val="center"/>
                    <w:rPr>
                      <w:spacing w:val="5"/>
                      <w:szCs w:val="21"/>
                    </w:rPr>
                  </w:pPr>
                  <w:r>
                    <w:rPr>
                      <w:rFonts w:hint="eastAsia"/>
                      <w:snapToGrid w:val="0"/>
                      <w:kern w:val="0"/>
                      <w:szCs w:val="21"/>
                    </w:rPr>
                    <w:t>《大气污染物综合排放标准》（GB16297-1996）表2中无组织排放标准</w:t>
                  </w:r>
                </w:p>
              </w:tc>
              <w:tc>
                <w:tcPr>
                  <w:tcW w:w="1880" w:type="dxa"/>
                  <w:vMerge w:val="restart"/>
                  <w:vAlign w:val="center"/>
                </w:tcPr>
                <w:p>
                  <w:pPr>
                    <w:spacing w:line="240" w:lineRule="exact"/>
                    <w:jc w:val="center"/>
                    <w:rPr>
                      <w:spacing w:val="-8"/>
                      <w:szCs w:val="21"/>
                    </w:rPr>
                  </w:pPr>
                  <w:r>
                    <w:rPr>
                      <w:rFonts w:hint="eastAsia"/>
                      <w:snapToGrid w:val="0"/>
                      <w:kern w:val="0"/>
                      <w:szCs w:val="21"/>
                    </w:rPr>
                    <w:t>颗粒物</w:t>
                  </w:r>
                  <w:r>
                    <w:rPr>
                      <w:rFonts w:hint="eastAsia"/>
                      <w:szCs w:val="21"/>
                    </w:rPr>
                    <w:t>≤1.0mg/m</w:t>
                  </w:r>
                  <w:r>
                    <w:rPr>
                      <w:rFonts w:hint="eastAsia"/>
                      <w:szCs w:val="21"/>
                      <w:vertAlign w:val="superscript"/>
                    </w:rPr>
                    <w:t>3</w:t>
                  </w:r>
                </w:p>
              </w:tc>
              <w:tc>
                <w:tcPr>
                  <w:tcW w:w="920" w:type="dxa"/>
                  <w:vAlign w:val="center"/>
                </w:tcPr>
                <w:p>
                  <w:pPr>
                    <w:pStyle w:val="26"/>
                    <w:spacing w:line="240" w:lineRule="exact"/>
                  </w:pPr>
                  <w:r>
                    <w:rPr>
                      <w:rFonts w:hint="eastAsi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403" w:type="dxa"/>
                  <w:vMerge w:val="continue"/>
                  <w:vAlign w:val="center"/>
                </w:tcPr>
                <w:p>
                  <w:pPr>
                    <w:pStyle w:val="14"/>
                    <w:spacing w:line="240" w:lineRule="exact"/>
                    <w:jc w:val="center"/>
                    <w:rPr>
                      <w:rFonts w:ascii="Times New Roman" w:hAnsi="Times New Roman" w:cs="Times New Roman"/>
                      <w:sz w:val="21"/>
                    </w:rPr>
                  </w:pPr>
                </w:p>
              </w:tc>
              <w:tc>
                <w:tcPr>
                  <w:tcW w:w="880" w:type="dxa"/>
                  <w:vMerge w:val="restart"/>
                  <w:vAlign w:val="center"/>
                </w:tcPr>
                <w:p>
                  <w:pPr>
                    <w:spacing w:line="240" w:lineRule="exact"/>
                    <w:jc w:val="center"/>
                    <w:rPr>
                      <w:szCs w:val="21"/>
                    </w:rPr>
                  </w:pPr>
                  <w:r>
                    <w:rPr>
                      <w:rFonts w:hint="eastAsia"/>
                      <w:szCs w:val="21"/>
                    </w:rPr>
                    <w:t>无组织废气</w:t>
                  </w:r>
                </w:p>
              </w:tc>
              <w:tc>
                <w:tcPr>
                  <w:tcW w:w="854" w:type="dxa"/>
                  <w:vAlign w:val="center"/>
                </w:tcPr>
                <w:p>
                  <w:pPr>
                    <w:spacing w:line="340" w:lineRule="exact"/>
                    <w:jc w:val="center"/>
                    <w:rPr>
                      <w:rFonts w:ascii="宋体" w:hAnsi="华文中宋"/>
                      <w:szCs w:val="21"/>
                    </w:rPr>
                  </w:pPr>
                  <w:r>
                    <w:rPr>
                      <w:szCs w:val="21"/>
                    </w:rPr>
                    <w:t>颗粒物</w:t>
                  </w:r>
                </w:p>
              </w:tc>
              <w:tc>
                <w:tcPr>
                  <w:tcW w:w="1524" w:type="dxa"/>
                  <w:vMerge w:val="restart"/>
                  <w:tcBorders>
                    <w:right w:val="single" w:color="auto" w:sz="4" w:space="0"/>
                  </w:tcBorders>
                  <w:vAlign w:val="center"/>
                </w:tcPr>
                <w:p>
                  <w:pPr>
                    <w:snapToGrid w:val="0"/>
                    <w:spacing w:line="240" w:lineRule="exact"/>
                    <w:jc w:val="center"/>
                    <w:rPr>
                      <w:spacing w:val="5"/>
                      <w:szCs w:val="21"/>
                    </w:rPr>
                  </w:pPr>
                  <w:commentRangeStart w:id="7"/>
                  <w:r>
                    <w:rPr>
                      <w:rFonts w:hint="eastAsia"/>
                      <w:szCs w:val="21"/>
                    </w:rPr>
                    <w:t>车间无组织排放</w:t>
                  </w:r>
                  <w:commentRangeEnd w:id="7"/>
                  <w:r>
                    <w:rPr>
                      <w:rStyle w:val="45"/>
                    </w:rPr>
                    <w:commentReference w:id="7"/>
                  </w:r>
                </w:p>
              </w:tc>
              <w:tc>
                <w:tcPr>
                  <w:tcW w:w="2435" w:type="dxa"/>
                  <w:vMerge w:val="continue"/>
                  <w:tcBorders>
                    <w:left w:val="single" w:color="auto" w:sz="4" w:space="0"/>
                  </w:tcBorders>
                  <w:vAlign w:val="center"/>
                </w:tcPr>
                <w:p>
                  <w:pPr>
                    <w:spacing w:line="240" w:lineRule="exact"/>
                    <w:jc w:val="center"/>
                    <w:rPr>
                      <w:spacing w:val="5"/>
                      <w:szCs w:val="21"/>
                    </w:rPr>
                  </w:pPr>
                </w:p>
              </w:tc>
              <w:tc>
                <w:tcPr>
                  <w:tcW w:w="1880" w:type="dxa"/>
                  <w:vMerge w:val="continue"/>
                  <w:vAlign w:val="center"/>
                </w:tcPr>
                <w:p>
                  <w:pPr>
                    <w:spacing w:line="240" w:lineRule="exact"/>
                    <w:jc w:val="center"/>
                    <w:rPr>
                      <w:spacing w:val="-8"/>
                      <w:szCs w:val="21"/>
                    </w:rPr>
                  </w:pPr>
                </w:p>
              </w:tc>
              <w:tc>
                <w:tcPr>
                  <w:tcW w:w="920" w:type="dxa"/>
                  <w:vMerge w:val="restart"/>
                  <w:vAlign w:val="center"/>
                </w:tcPr>
                <w:p>
                  <w:pPr>
                    <w:pStyle w:val="26"/>
                    <w:spacing w:line="240" w:lineRule="exact"/>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403" w:type="dxa"/>
                  <w:vMerge w:val="continue"/>
                  <w:vAlign w:val="center"/>
                </w:tcPr>
                <w:p>
                  <w:pPr>
                    <w:spacing w:line="240" w:lineRule="exact"/>
                    <w:jc w:val="center"/>
                    <w:rPr>
                      <w:szCs w:val="21"/>
                    </w:rPr>
                  </w:pPr>
                </w:p>
              </w:tc>
              <w:tc>
                <w:tcPr>
                  <w:tcW w:w="880" w:type="dxa"/>
                  <w:vMerge w:val="continue"/>
                  <w:vAlign w:val="center"/>
                </w:tcPr>
                <w:p>
                  <w:pPr>
                    <w:spacing w:line="240" w:lineRule="exact"/>
                    <w:jc w:val="center"/>
                    <w:rPr>
                      <w:szCs w:val="21"/>
                    </w:rPr>
                  </w:pPr>
                </w:p>
              </w:tc>
              <w:tc>
                <w:tcPr>
                  <w:tcW w:w="854" w:type="dxa"/>
                  <w:vAlign w:val="center"/>
                </w:tcPr>
                <w:p>
                  <w:pPr>
                    <w:spacing w:line="340" w:lineRule="exact"/>
                    <w:jc w:val="center"/>
                    <w:rPr>
                      <w:rFonts w:ascii="宋体" w:hAnsi="华文中宋"/>
                      <w:szCs w:val="21"/>
                    </w:rPr>
                  </w:pPr>
                  <w:r>
                    <w:rPr>
                      <w:szCs w:val="21"/>
                    </w:rPr>
                    <w:t>非甲烷总烃</w:t>
                  </w:r>
                </w:p>
              </w:tc>
              <w:tc>
                <w:tcPr>
                  <w:tcW w:w="1524" w:type="dxa"/>
                  <w:vMerge w:val="continue"/>
                  <w:tcBorders>
                    <w:right w:val="single" w:color="auto" w:sz="4" w:space="0"/>
                  </w:tcBorders>
                  <w:vAlign w:val="center"/>
                </w:tcPr>
                <w:p>
                  <w:pPr>
                    <w:spacing w:line="240" w:lineRule="exact"/>
                    <w:jc w:val="center"/>
                    <w:rPr>
                      <w:rFonts w:ascii="宋体" w:hAnsi="华文中宋"/>
                      <w:szCs w:val="21"/>
                    </w:rPr>
                  </w:pPr>
                </w:p>
              </w:tc>
              <w:tc>
                <w:tcPr>
                  <w:tcW w:w="2435" w:type="dxa"/>
                  <w:vMerge w:val="restart"/>
                  <w:tcBorders>
                    <w:left w:val="single" w:color="auto" w:sz="4" w:space="0"/>
                  </w:tcBorders>
                  <w:vAlign w:val="center"/>
                </w:tcPr>
                <w:p>
                  <w:pPr>
                    <w:jc w:val="center"/>
                    <w:rPr>
                      <w:rFonts w:ascii="宋体" w:hAnsi="华文中宋"/>
                      <w:szCs w:val="21"/>
                    </w:rPr>
                  </w:pPr>
                  <w:r>
                    <w:rPr>
                      <w:szCs w:val="21"/>
                    </w:rPr>
                    <w:t>《工业企业挥发性有机物排放控制标准》（DB13/2322-2016）表2企业边界大气污染物浓度限值要求</w:t>
                  </w:r>
                </w:p>
              </w:tc>
              <w:tc>
                <w:tcPr>
                  <w:tcW w:w="1880" w:type="dxa"/>
                  <w:vAlign w:val="center"/>
                </w:tcPr>
                <w:p>
                  <w:pPr>
                    <w:jc w:val="center"/>
                    <w:rPr>
                      <w:rFonts w:ascii="宋体" w:hAnsi="华文中宋"/>
                      <w:szCs w:val="21"/>
                    </w:rPr>
                  </w:pPr>
                  <w:r>
                    <w:rPr>
                      <w:szCs w:val="21"/>
                    </w:rPr>
                    <w:t>企业边界非甲烷总烃≤2.0mg/m</w:t>
                  </w:r>
                  <w:r>
                    <w:rPr>
                      <w:szCs w:val="21"/>
                      <w:vertAlign w:val="superscript"/>
                    </w:rPr>
                    <w:t>3</w:t>
                  </w:r>
                </w:p>
              </w:tc>
              <w:tc>
                <w:tcPr>
                  <w:tcW w:w="920" w:type="dxa"/>
                  <w:vMerge w:val="continue"/>
                  <w:vAlign w:val="center"/>
                </w:tcPr>
                <w:p>
                  <w:pPr>
                    <w:spacing w:line="240" w:lineRule="exact"/>
                    <w:jc w:val="center"/>
                    <w:rPr>
                      <w:rFonts w:ascii="宋体" w:hAnsi="华文中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403" w:type="dxa"/>
                  <w:vMerge w:val="continue"/>
                  <w:vAlign w:val="center"/>
                </w:tcPr>
                <w:p>
                  <w:pPr>
                    <w:pStyle w:val="14"/>
                    <w:spacing w:line="240" w:lineRule="exact"/>
                    <w:jc w:val="center"/>
                    <w:rPr>
                      <w:rFonts w:ascii="Times New Roman" w:hAnsi="Times New Roman" w:cs="Times New Roman"/>
                      <w:sz w:val="21"/>
                    </w:rPr>
                  </w:pPr>
                </w:p>
              </w:tc>
              <w:tc>
                <w:tcPr>
                  <w:tcW w:w="880" w:type="dxa"/>
                  <w:vMerge w:val="continue"/>
                  <w:vAlign w:val="center"/>
                </w:tcPr>
                <w:p>
                  <w:pPr>
                    <w:spacing w:line="240" w:lineRule="exact"/>
                    <w:jc w:val="center"/>
                    <w:rPr>
                      <w:rFonts w:ascii="宋体" w:hAnsi="华文中宋"/>
                      <w:szCs w:val="21"/>
                    </w:rPr>
                  </w:pPr>
                </w:p>
              </w:tc>
              <w:tc>
                <w:tcPr>
                  <w:tcW w:w="854" w:type="dxa"/>
                  <w:vAlign w:val="center"/>
                </w:tcPr>
                <w:p>
                  <w:pPr>
                    <w:spacing w:line="340" w:lineRule="exact"/>
                    <w:jc w:val="center"/>
                    <w:rPr>
                      <w:rFonts w:ascii="宋体" w:hAnsi="华文中宋"/>
                      <w:szCs w:val="21"/>
                    </w:rPr>
                  </w:pPr>
                  <w:r>
                    <w:rPr>
                      <w:szCs w:val="21"/>
                    </w:rPr>
                    <w:t>二甲苯</w:t>
                  </w:r>
                </w:p>
              </w:tc>
              <w:tc>
                <w:tcPr>
                  <w:tcW w:w="1524" w:type="dxa"/>
                  <w:vMerge w:val="continue"/>
                  <w:tcBorders>
                    <w:right w:val="single" w:color="auto" w:sz="4" w:space="0"/>
                  </w:tcBorders>
                  <w:vAlign w:val="center"/>
                </w:tcPr>
                <w:p>
                  <w:pPr>
                    <w:snapToGrid w:val="0"/>
                    <w:spacing w:line="240" w:lineRule="exact"/>
                    <w:jc w:val="center"/>
                    <w:rPr>
                      <w:spacing w:val="5"/>
                      <w:szCs w:val="21"/>
                    </w:rPr>
                  </w:pPr>
                </w:p>
              </w:tc>
              <w:tc>
                <w:tcPr>
                  <w:tcW w:w="2435" w:type="dxa"/>
                  <w:vMerge w:val="continue"/>
                  <w:tcBorders>
                    <w:left w:val="single" w:color="auto" w:sz="4" w:space="0"/>
                  </w:tcBorders>
                  <w:vAlign w:val="center"/>
                </w:tcPr>
                <w:p>
                  <w:pPr>
                    <w:spacing w:line="240" w:lineRule="exact"/>
                    <w:jc w:val="center"/>
                    <w:rPr>
                      <w:spacing w:val="5"/>
                      <w:szCs w:val="21"/>
                    </w:rPr>
                  </w:pPr>
                </w:p>
              </w:tc>
              <w:tc>
                <w:tcPr>
                  <w:tcW w:w="1880" w:type="dxa"/>
                  <w:vAlign w:val="center"/>
                </w:tcPr>
                <w:p>
                  <w:pPr>
                    <w:spacing w:line="240" w:lineRule="exact"/>
                    <w:jc w:val="center"/>
                    <w:rPr>
                      <w:spacing w:val="-8"/>
                      <w:szCs w:val="21"/>
                    </w:rPr>
                  </w:pPr>
                  <w:r>
                    <w:rPr>
                      <w:szCs w:val="21"/>
                    </w:rPr>
                    <w:t>企业边界</w:t>
                  </w:r>
                  <w:r>
                    <w:rPr>
                      <w:rFonts w:hint="eastAsia"/>
                      <w:szCs w:val="21"/>
                    </w:rPr>
                    <w:t>二甲苯</w:t>
                  </w:r>
                  <w:r>
                    <w:rPr>
                      <w:szCs w:val="21"/>
                    </w:rPr>
                    <w:t>≤0.5mg/m</w:t>
                  </w:r>
                  <w:r>
                    <w:rPr>
                      <w:szCs w:val="21"/>
                      <w:vertAlign w:val="superscript"/>
                    </w:rPr>
                    <w:t>3</w:t>
                  </w:r>
                </w:p>
              </w:tc>
              <w:tc>
                <w:tcPr>
                  <w:tcW w:w="920" w:type="dxa"/>
                  <w:vMerge w:val="continue"/>
                  <w:vAlign w:val="center"/>
                </w:tcPr>
                <w:p>
                  <w:pPr>
                    <w:pStyle w:val="26"/>
                    <w:spacing w:line="240" w:lineRule="exact"/>
                  </w:pPr>
                </w:p>
              </w:tc>
            </w:tr>
          </w:tbl>
          <w:p/>
          <w:p>
            <w:pPr>
              <w:spacing w:line="360" w:lineRule="auto"/>
              <w:jc w:val="center"/>
              <w:rPr>
                <w:b/>
                <w:bCs/>
                <w:szCs w:val="21"/>
              </w:rPr>
            </w:pPr>
            <w:r>
              <w:rPr>
                <w:rFonts w:hint="eastAsia"/>
                <w:b/>
                <w:bCs/>
                <w:szCs w:val="21"/>
              </w:rPr>
              <w:t>续</w:t>
            </w:r>
            <w:r>
              <w:rPr>
                <w:b/>
                <w:bCs/>
                <w:szCs w:val="21"/>
              </w:rPr>
              <w:t>表</w:t>
            </w:r>
            <w:r>
              <w:rPr>
                <w:rFonts w:hint="eastAsia"/>
                <w:b/>
                <w:bCs/>
                <w:szCs w:val="21"/>
              </w:rPr>
              <w:t xml:space="preserve">34  </w:t>
            </w:r>
            <w:r>
              <w:rPr>
                <w:b/>
                <w:bCs/>
                <w:szCs w:val="21"/>
              </w:rPr>
              <w:t xml:space="preserve"> </w:t>
            </w:r>
            <w:r>
              <w:rPr>
                <w:rFonts w:hint="eastAsia"/>
                <w:b/>
                <w:bCs/>
                <w:szCs w:val="21"/>
              </w:rPr>
              <w:t xml:space="preserve"> </w:t>
            </w:r>
            <w:r>
              <w:rPr>
                <w:b/>
                <w:bCs/>
                <w:szCs w:val="21"/>
              </w:rPr>
              <w:t>建设项目环境保护</w:t>
            </w:r>
            <w:r>
              <w:rPr>
                <w:rFonts w:hint="eastAsia"/>
                <w:b/>
                <w:bCs/>
                <w:szCs w:val="21"/>
              </w:rPr>
              <w:t>“</w:t>
            </w:r>
            <w:r>
              <w:rPr>
                <w:b/>
                <w:bCs/>
                <w:szCs w:val="21"/>
              </w:rPr>
              <w:t>三同时</w:t>
            </w:r>
            <w:r>
              <w:rPr>
                <w:rFonts w:hint="eastAsia"/>
                <w:b/>
                <w:bCs/>
                <w:szCs w:val="21"/>
              </w:rPr>
              <w:t>”</w:t>
            </w:r>
            <w:r>
              <w:rPr>
                <w:b/>
                <w:bCs/>
                <w:szCs w:val="21"/>
              </w:rPr>
              <w:t>验收一览表</w:t>
            </w:r>
          </w:p>
          <w:tbl>
            <w:tblPr>
              <w:tblStyle w:val="31"/>
              <w:tblW w:w="88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3"/>
              <w:gridCol w:w="641"/>
              <w:gridCol w:w="1093"/>
              <w:gridCol w:w="1524"/>
              <w:gridCol w:w="2435"/>
              <w:gridCol w:w="1880"/>
              <w:gridCol w:w="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2137" w:type="dxa"/>
                  <w:gridSpan w:val="3"/>
                  <w:vAlign w:val="center"/>
                </w:tcPr>
                <w:p>
                  <w:pPr>
                    <w:pStyle w:val="14"/>
                    <w:spacing w:line="240" w:lineRule="exact"/>
                    <w:jc w:val="center"/>
                    <w:rPr>
                      <w:rFonts w:ascii="Times New Roman" w:hAnsi="Times New Roman" w:cs="Times New Roman"/>
                      <w:b/>
                      <w:bCs/>
                      <w:sz w:val="21"/>
                    </w:rPr>
                  </w:pPr>
                  <w:r>
                    <w:rPr>
                      <w:rFonts w:ascii="Times New Roman" w:hAnsi="Times New Roman" w:cs="Times New Roman"/>
                      <w:b/>
                      <w:bCs/>
                      <w:sz w:val="21"/>
                    </w:rPr>
                    <w:t>项目</w:t>
                  </w:r>
                </w:p>
              </w:tc>
              <w:tc>
                <w:tcPr>
                  <w:tcW w:w="1524" w:type="dxa"/>
                  <w:tcBorders>
                    <w:right w:val="single" w:color="auto" w:sz="4" w:space="0"/>
                  </w:tcBorders>
                  <w:vAlign w:val="center"/>
                </w:tcPr>
                <w:p>
                  <w:pPr>
                    <w:pStyle w:val="14"/>
                    <w:spacing w:line="240" w:lineRule="exact"/>
                    <w:jc w:val="center"/>
                    <w:rPr>
                      <w:rFonts w:ascii="Times New Roman" w:hAnsi="Times New Roman" w:cs="Times New Roman"/>
                      <w:b/>
                      <w:bCs/>
                      <w:sz w:val="21"/>
                    </w:rPr>
                  </w:pPr>
                  <w:r>
                    <w:rPr>
                      <w:rFonts w:ascii="Times New Roman" w:hAnsi="Times New Roman" w:cs="Times New Roman"/>
                      <w:b/>
                      <w:bCs/>
                      <w:sz w:val="21"/>
                    </w:rPr>
                    <w:t>环保措施</w:t>
                  </w:r>
                </w:p>
              </w:tc>
              <w:tc>
                <w:tcPr>
                  <w:tcW w:w="2435" w:type="dxa"/>
                  <w:tcBorders>
                    <w:left w:val="single" w:color="auto" w:sz="4" w:space="0"/>
                  </w:tcBorders>
                  <w:vAlign w:val="center"/>
                </w:tcPr>
                <w:p>
                  <w:pPr>
                    <w:pStyle w:val="14"/>
                    <w:spacing w:line="240" w:lineRule="exact"/>
                    <w:jc w:val="center"/>
                    <w:rPr>
                      <w:rFonts w:ascii="Times New Roman" w:hAnsi="Times New Roman" w:cs="Times New Roman"/>
                      <w:b/>
                      <w:bCs/>
                      <w:sz w:val="21"/>
                    </w:rPr>
                  </w:pPr>
                  <w:r>
                    <w:rPr>
                      <w:rFonts w:ascii="Times New Roman" w:hAnsi="Times New Roman" w:cs="Times New Roman"/>
                      <w:b/>
                      <w:bCs/>
                      <w:sz w:val="21"/>
                    </w:rPr>
                    <w:t>验收标准</w:t>
                  </w:r>
                </w:p>
              </w:tc>
              <w:tc>
                <w:tcPr>
                  <w:tcW w:w="1880" w:type="dxa"/>
                  <w:vAlign w:val="center"/>
                </w:tcPr>
                <w:p>
                  <w:pPr>
                    <w:pStyle w:val="14"/>
                    <w:spacing w:line="240" w:lineRule="exact"/>
                    <w:jc w:val="center"/>
                    <w:rPr>
                      <w:rFonts w:ascii="Times New Roman" w:hAnsi="Times New Roman" w:cs="Times New Roman"/>
                      <w:b/>
                      <w:bCs/>
                      <w:sz w:val="21"/>
                    </w:rPr>
                  </w:pPr>
                  <w:r>
                    <w:rPr>
                      <w:rFonts w:hint="eastAsia" w:ascii="Times New Roman" w:hAnsi="Times New Roman" w:cs="Times New Roman"/>
                      <w:b/>
                      <w:bCs/>
                      <w:sz w:val="21"/>
                    </w:rPr>
                    <w:t>标准限值</w:t>
                  </w:r>
                </w:p>
              </w:tc>
              <w:tc>
                <w:tcPr>
                  <w:tcW w:w="922" w:type="dxa"/>
                  <w:vAlign w:val="center"/>
                </w:tcPr>
                <w:p>
                  <w:pPr>
                    <w:pStyle w:val="14"/>
                    <w:spacing w:line="240" w:lineRule="exact"/>
                    <w:jc w:val="center"/>
                    <w:rPr>
                      <w:rFonts w:ascii="Times New Roman" w:hAnsi="Times New Roman" w:cs="Times New Roman"/>
                      <w:b/>
                      <w:bCs/>
                      <w:sz w:val="21"/>
                    </w:rPr>
                  </w:pPr>
                  <w:r>
                    <w:rPr>
                      <w:rFonts w:hint="eastAsia" w:ascii="Times New Roman" w:hAnsi="Times New Roman" w:cs="Times New Roman"/>
                      <w:b/>
                      <w:bCs/>
                      <w:sz w:val="21"/>
                    </w:rPr>
                    <w:t>投资(</w:t>
                  </w:r>
                  <w:r>
                    <w:rPr>
                      <w:rFonts w:hint="eastAsia" w:ascii="Times New Roman" w:hAnsi="Times New Roman"/>
                      <w:b/>
                      <w:bCs/>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403" w:type="dxa"/>
                  <w:vMerge w:val="restart"/>
                  <w:vAlign w:val="center"/>
                </w:tcPr>
                <w:p>
                  <w:pPr>
                    <w:spacing w:line="240" w:lineRule="exact"/>
                    <w:jc w:val="center"/>
                    <w:rPr>
                      <w:szCs w:val="21"/>
                    </w:rPr>
                  </w:pPr>
                  <w:r>
                    <w:rPr>
                      <w:szCs w:val="21"/>
                    </w:rPr>
                    <w:t>噪声</w:t>
                  </w:r>
                </w:p>
              </w:tc>
              <w:tc>
                <w:tcPr>
                  <w:tcW w:w="1734" w:type="dxa"/>
                  <w:gridSpan w:val="2"/>
                  <w:vMerge w:val="restart"/>
                  <w:vAlign w:val="center"/>
                </w:tcPr>
                <w:p>
                  <w:pPr>
                    <w:spacing w:line="240" w:lineRule="exact"/>
                    <w:jc w:val="center"/>
                    <w:rPr>
                      <w:szCs w:val="21"/>
                    </w:rPr>
                  </w:pPr>
                  <w:r>
                    <w:rPr>
                      <w:szCs w:val="21"/>
                    </w:rPr>
                    <w:t>噪声</w:t>
                  </w:r>
                </w:p>
              </w:tc>
              <w:tc>
                <w:tcPr>
                  <w:tcW w:w="1524" w:type="dxa"/>
                  <w:vMerge w:val="restart"/>
                  <w:tcBorders>
                    <w:right w:val="single" w:color="auto" w:sz="4" w:space="0"/>
                  </w:tcBorders>
                  <w:vAlign w:val="center"/>
                </w:tcPr>
                <w:p>
                  <w:pPr>
                    <w:spacing w:line="240" w:lineRule="exact"/>
                    <w:jc w:val="center"/>
                    <w:rPr>
                      <w:szCs w:val="21"/>
                    </w:rPr>
                  </w:pPr>
                  <w:r>
                    <w:rPr>
                      <w:rFonts w:hint="eastAsia"/>
                      <w:szCs w:val="21"/>
                    </w:rPr>
                    <w:t>采用低噪设备，并对产噪设备进行基础减振，合理布局，设置在车间内部，密闭生产</w:t>
                  </w:r>
                </w:p>
              </w:tc>
              <w:tc>
                <w:tcPr>
                  <w:tcW w:w="2435" w:type="dxa"/>
                  <w:tcBorders>
                    <w:left w:val="single" w:color="auto" w:sz="4" w:space="0"/>
                  </w:tcBorders>
                  <w:vAlign w:val="center"/>
                </w:tcPr>
                <w:p>
                  <w:pPr>
                    <w:spacing w:line="240" w:lineRule="exact"/>
                    <w:jc w:val="center"/>
                    <w:rPr>
                      <w:szCs w:val="21"/>
                    </w:rPr>
                  </w:pPr>
                  <w:r>
                    <w:rPr>
                      <w:rFonts w:hint="eastAsia"/>
                      <w:bCs/>
                      <w:szCs w:val="21"/>
                    </w:rPr>
                    <w:t>南</w:t>
                  </w:r>
                  <w:r>
                    <w:rPr>
                      <w:bCs/>
                      <w:szCs w:val="21"/>
                    </w:rPr>
                    <w:t>厂界执行《工业企业厂界环境噪声排放标准》（GB12348-2008）中4类标准</w:t>
                  </w:r>
                </w:p>
              </w:tc>
              <w:tc>
                <w:tcPr>
                  <w:tcW w:w="1880" w:type="dxa"/>
                  <w:vAlign w:val="center"/>
                </w:tcPr>
                <w:p>
                  <w:pPr>
                    <w:spacing w:line="240" w:lineRule="exact"/>
                    <w:jc w:val="center"/>
                    <w:rPr>
                      <w:bCs/>
                      <w:szCs w:val="21"/>
                    </w:rPr>
                  </w:pPr>
                  <w:r>
                    <w:rPr>
                      <w:bCs/>
                      <w:szCs w:val="21"/>
                    </w:rPr>
                    <w:t>昼间≤70dB(A)</w:t>
                  </w:r>
                </w:p>
                <w:p>
                  <w:pPr>
                    <w:spacing w:line="240" w:lineRule="exact"/>
                    <w:jc w:val="center"/>
                    <w:rPr>
                      <w:szCs w:val="21"/>
                    </w:rPr>
                  </w:pPr>
                  <w:r>
                    <w:rPr>
                      <w:bCs/>
                      <w:szCs w:val="21"/>
                    </w:rPr>
                    <w:t>夜间≤5</w:t>
                  </w:r>
                  <w:r>
                    <w:rPr>
                      <w:rFonts w:hint="eastAsia"/>
                      <w:bCs/>
                      <w:szCs w:val="21"/>
                    </w:rPr>
                    <w:t>5</w:t>
                  </w:r>
                  <w:r>
                    <w:rPr>
                      <w:bCs/>
                      <w:szCs w:val="21"/>
                    </w:rPr>
                    <w:t>dB(A)</w:t>
                  </w:r>
                </w:p>
              </w:tc>
              <w:tc>
                <w:tcPr>
                  <w:tcW w:w="922" w:type="dxa"/>
                  <w:vMerge w:val="restart"/>
                  <w:vAlign w:val="center"/>
                </w:tcPr>
                <w:p>
                  <w:pPr>
                    <w:spacing w:line="240" w:lineRule="exact"/>
                    <w:jc w:val="center"/>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403" w:type="dxa"/>
                  <w:vMerge w:val="continue"/>
                  <w:vAlign w:val="center"/>
                </w:tcPr>
                <w:p>
                  <w:pPr>
                    <w:pStyle w:val="14"/>
                    <w:spacing w:line="240" w:lineRule="exact"/>
                    <w:jc w:val="center"/>
                    <w:rPr>
                      <w:sz w:val="21"/>
                    </w:rPr>
                  </w:pPr>
                </w:p>
              </w:tc>
              <w:tc>
                <w:tcPr>
                  <w:tcW w:w="1734" w:type="dxa"/>
                  <w:gridSpan w:val="2"/>
                  <w:vMerge w:val="continue"/>
                  <w:vAlign w:val="center"/>
                </w:tcPr>
                <w:p>
                  <w:pPr>
                    <w:pStyle w:val="14"/>
                    <w:spacing w:line="240" w:lineRule="exact"/>
                    <w:jc w:val="center"/>
                    <w:rPr>
                      <w:sz w:val="21"/>
                    </w:rPr>
                  </w:pPr>
                </w:p>
              </w:tc>
              <w:tc>
                <w:tcPr>
                  <w:tcW w:w="1524" w:type="dxa"/>
                  <w:vMerge w:val="continue"/>
                  <w:tcBorders>
                    <w:right w:val="single" w:color="auto" w:sz="4" w:space="0"/>
                  </w:tcBorders>
                  <w:vAlign w:val="center"/>
                </w:tcPr>
                <w:p>
                  <w:pPr>
                    <w:pStyle w:val="14"/>
                    <w:spacing w:line="240" w:lineRule="exact"/>
                    <w:jc w:val="center"/>
                    <w:rPr>
                      <w:sz w:val="21"/>
                    </w:rPr>
                  </w:pPr>
                </w:p>
              </w:tc>
              <w:tc>
                <w:tcPr>
                  <w:tcW w:w="2435" w:type="dxa"/>
                  <w:tcBorders>
                    <w:left w:val="single" w:color="auto" w:sz="4" w:space="0"/>
                  </w:tcBorders>
                  <w:vAlign w:val="center"/>
                </w:tcPr>
                <w:p>
                  <w:pPr>
                    <w:spacing w:line="240" w:lineRule="exact"/>
                    <w:jc w:val="center"/>
                    <w:rPr>
                      <w:szCs w:val="21"/>
                    </w:rPr>
                  </w:pPr>
                  <w:r>
                    <w:rPr>
                      <w:bCs/>
                      <w:szCs w:val="21"/>
                    </w:rPr>
                    <w:t>东、西、</w:t>
                  </w:r>
                  <w:r>
                    <w:rPr>
                      <w:rFonts w:hint="eastAsia"/>
                      <w:bCs/>
                      <w:szCs w:val="21"/>
                    </w:rPr>
                    <w:t>北</w:t>
                  </w:r>
                  <w:r>
                    <w:rPr>
                      <w:bCs/>
                      <w:szCs w:val="21"/>
                    </w:rPr>
                    <w:t>厂界执行《工业企业厂界环境噪声排放标准》（GB12348-2008）中3类标准</w:t>
                  </w:r>
                </w:p>
              </w:tc>
              <w:tc>
                <w:tcPr>
                  <w:tcW w:w="1880" w:type="dxa"/>
                  <w:vAlign w:val="center"/>
                </w:tcPr>
                <w:p>
                  <w:pPr>
                    <w:spacing w:line="240" w:lineRule="exact"/>
                    <w:jc w:val="center"/>
                    <w:rPr>
                      <w:bCs/>
                      <w:szCs w:val="21"/>
                    </w:rPr>
                  </w:pPr>
                  <w:r>
                    <w:rPr>
                      <w:bCs/>
                      <w:szCs w:val="21"/>
                    </w:rPr>
                    <w:t>昼间≤65dB(A)</w:t>
                  </w:r>
                </w:p>
                <w:p>
                  <w:pPr>
                    <w:spacing w:line="240" w:lineRule="exact"/>
                    <w:jc w:val="center"/>
                    <w:rPr>
                      <w:szCs w:val="21"/>
                    </w:rPr>
                  </w:pPr>
                  <w:r>
                    <w:rPr>
                      <w:bCs/>
                      <w:szCs w:val="21"/>
                    </w:rPr>
                    <w:t>夜间≤5</w:t>
                  </w:r>
                  <w:r>
                    <w:rPr>
                      <w:rFonts w:hint="eastAsia"/>
                      <w:bCs/>
                      <w:szCs w:val="21"/>
                    </w:rPr>
                    <w:t>5</w:t>
                  </w:r>
                  <w:r>
                    <w:rPr>
                      <w:bCs/>
                      <w:szCs w:val="21"/>
                    </w:rPr>
                    <w:t>dB(A)</w:t>
                  </w:r>
                </w:p>
              </w:tc>
              <w:tc>
                <w:tcPr>
                  <w:tcW w:w="922" w:type="dxa"/>
                  <w:vMerge w:val="continue"/>
                  <w:vAlign w:val="center"/>
                </w:tcPr>
                <w:p>
                  <w:pPr>
                    <w:pStyle w:val="14"/>
                    <w:spacing w:line="240" w:lineRule="exact"/>
                    <w:jc w:val="center"/>
                    <w:rPr>
                      <w:rFonts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03" w:type="dxa"/>
                  <w:vMerge w:val="restart"/>
                  <w:vAlign w:val="center"/>
                </w:tcPr>
                <w:p>
                  <w:pPr>
                    <w:spacing w:line="240" w:lineRule="exact"/>
                    <w:jc w:val="center"/>
                    <w:rPr>
                      <w:szCs w:val="21"/>
                    </w:rPr>
                  </w:pPr>
                  <w:r>
                    <w:rPr>
                      <w:rFonts w:hint="eastAsia"/>
                      <w:szCs w:val="21"/>
                    </w:rPr>
                    <w:t>固</w:t>
                  </w:r>
                </w:p>
                <w:p>
                  <w:pPr>
                    <w:spacing w:line="240" w:lineRule="exact"/>
                    <w:jc w:val="center"/>
                    <w:rPr>
                      <w:szCs w:val="21"/>
                    </w:rPr>
                  </w:pPr>
                  <w:r>
                    <w:rPr>
                      <w:rFonts w:hint="eastAsia"/>
                      <w:szCs w:val="21"/>
                    </w:rPr>
                    <w:t>体</w:t>
                  </w:r>
                </w:p>
                <w:p>
                  <w:pPr>
                    <w:spacing w:line="240" w:lineRule="exact"/>
                    <w:jc w:val="center"/>
                    <w:rPr>
                      <w:szCs w:val="21"/>
                    </w:rPr>
                  </w:pPr>
                  <w:r>
                    <w:rPr>
                      <w:rFonts w:hint="eastAsia"/>
                      <w:szCs w:val="21"/>
                    </w:rPr>
                    <w:t>废</w:t>
                  </w:r>
                </w:p>
                <w:p>
                  <w:pPr>
                    <w:spacing w:line="240" w:lineRule="exact"/>
                    <w:jc w:val="center"/>
                    <w:rPr>
                      <w:szCs w:val="21"/>
                    </w:rPr>
                  </w:pPr>
                  <w:r>
                    <w:rPr>
                      <w:rFonts w:hint="eastAsia"/>
                      <w:szCs w:val="21"/>
                    </w:rPr>
                    <w:t>物</w:t>
                  </w:r>
                </w:p>
              </w:tc>
              <w:tc>
                <w:tcPr>
                  <w:tcW w:w="641" w:type="dxa"/>
                  <w:vMerge w:val="restart"/>
                  <w:vAlign w:val="center"/>
                </w:tcPr>
                <w:p>
                  <w:pPr>
                    <w:spacing w:line="340" w:lineRule="exact"/>
                    <w:jc w:val="center"/>
                    <w:rPr>
                      <w:szCs w:val="21"/>
                    </w:rPr>
                  </w:pPr>
                  <w:r>
                    <w:rPr>
                      <w:rFonts w:hint="eastAsia"/>
                      <w:szCs w:val="21"/>
                    </w:rPr>
                    <w:t>生产过程</w:t>
                  </w:r>
                </w:p>
              </w:tc>
              <w:tc>
                <w:tcPr>
                  <w:tcW w:w="1093" w:type="dxa"/>
                  <w:vAlign w:val="center"/>
                </w:tcPr>
                <w:p>
                  <w:pPr>
                    <w:spacing w:line="340" w:lineRule="exact"/>
                    <w:jc w:val="center"/>
                    <w:rPr>
                      <w:szCs w:val="21"/>
                    </w:rPr>
                  </w:pPr>
                  <w:r>
                    <w:rPr>
                      <w:rFonts w:hint="eastAsia"/>
                      <w:szCs w:val="21"/>
                    </w:rPr>
                    <w:t>废滤芯</w:t>
                  </w:r>
                </w:p>
              </w:tc>
              <w:tc>
                <w:tcPr>
                  <w:tcW w:w="1524" w:type="dxa"/>
                  <w:vMerge w:val="restart"/>
                  <w:tcBorders>
                    <w:right w:val="single" w:color="auto" w:sz="4" w:space="0"/>
                  </w:tcBorders>
                  <w:vAlign w:val="center"/>
                </w:tcPr>
                <w:p>
                  <w:pPr>
                    <w:spacing w:line="240" w:lineRule="exact"/>
                    <w:jc w:val="center"/>
                    <w:rPr>
                      <w:szCs w:val="21"/>
                    </w:rPr>
                  </w:pPr>
                  <w:r>
                    <w:rPr>
                      <w:rFonts w:hint="eastAsia"/>
                      <w:szCs w:val="21"/>
                    </w:rPr>
                    <w:t>集中收集后，暂存于危废间，定期交由有资质单位处理</w:t>
                  </w:r>
                </w:p>
              </w:tc>
              <w:tc>
                <w:tcPr>
                  <w:tcW w:w="4315" w:type="dxa"/>
                  <w:gridSpan w:val="2"/>
                  <w:vMerge w:val="restart"/>
                  <w:tcBorders>
                    <w:left w:val="single" w:color="auto" w:sz="4" w:space="0"/>
                  </w:tcBorders>
                  <w:vAlign w:val="center"/>
                </w:tcPr>
                <w:p>
                  <w:pPr>
                    <w:pStyle w:val="14"/>
                    <w:spacing w:line="240" w:lineRule="exact"/>
                    <w:jc w:val="center"/>
                    <w:rPr>
                      <w:rFonts w:ascii="Times New Roman" w:hAnsi="Times New Roman" w:cs="Times New Roman"/>
                      <w:sz w:val="21"/>
                    </w:rPr>
                  </w:pPr>
                  <w:r>
                    <w:rPr>
                      <w:rFonts w:hint="eastAsia" w:ascii="Times New Roman" w:hAnsi="Times New Roman" w:cs="Times New Roman"/>
                      <w:sz w:val="21"/>
                    </w:rPr>
                    <w:t>执行《危险废物贮存污染控制标准》（GB18597-2001）及修改单要求</w:t>
                  </w:r>
                </w:p>
              </w:tc>
              <w:tc>
                <w:tcPr>
                  <w:tcW w:w="922" w:type="dxa"/>
                  <w:vMerge w:val="restart"/>
                  <w:vAlign w:val="center"/>
                </w:tcPr>
                <w:p>
                  <w:pPr>
                    <w:spacing w:line="240" w:lineRule="exact"/>
                    <w:jc w:val="center"/>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03" w:type="dxa"/>
                  <w:vMerge w:val="continue"/>
                  <w:vAlign w:val="center"/>
                </w:tcPr>
                <w:p>
                  <w:pPr>
                    <w:spacing w:line="240" w:lineRule="exact"/>
                    <w:jc w:val="center"/>
                    <w:rPr>
                      <w:szCs w:val="21"/>
                    </w:rPr>
                  </w:pPr>
                </w:p>
              </w:tc>
              <w:tc>
                <w:tcPr>
                  <w:tcW w:w="641" w:type="dxa"/>
                  <w:vMerge w:val="continue"/>
                  <w:vAlign w:val="center"/>
                </w:tcPr>
                <w:p>
                  <w:pPr>
                    <w:spacing w:line="340" w:lineRule="exact"/>
                    <w:jc w:val="center"/>
                    <w:rPr>
                      <w:szCs w:val="21"/>
                    </w:rPr>
                  </w:pPr>
                </w:p>
              </w:tc>
              <w:tc>
                <w:tcPr>
                  <w:tcW w:w="1093" w:type="dxa"/>
                  <w:vAlign w:val="center"/>
                </w:tcPr>
                <w:p>
                  <w:pPr>
                    <w:spacing w:line="340" w:lineRule="exact"/>
                    <w:jc w:val="center"/>
                    <w:rPr>
                      <w:szCs w:val="21"/>
                    </w:rPr>
                  </w:pPr>
                  <w:r>
                    <w:rPr>
                      <w:rFonts w:hint="eastAsia"/>
                      <w:szCs w:val="21"/>
                    </w:rPr>
                    <w:t>废油漆桶</w:t>
                  </w:r>
                </w:p>
              </w:tc>
              <w:tc>
                <w:tcPr>
                  <w:tcW w:w="1524" w:type="dxa"/>
                  <w:vMerge w:val="continue"/>
                  <w:tcBorders>
                    <w:right w:val="single" w:color="auto" w:sz="4" w:space="0"/>
                  </w:tcBorders>
                  <w:vAlign w:val="center"/>
                </w:tcPr>
                <w:p>
                  <w:pPr>
                    <w:spacing w:line="240" w:lineRule="exact"/>
                    <w:jc w:val="center"/>
                    <w:rPr>
                      <w:szCs w:val="21"/>
                    </w:rPr>
                  </w:pPr>
                </w:p>
              </w:tc>
              <w:tc>
                <w:tcPr>
                  <w:tcW w:w="4315" w:type="dxa"/>
                  <w:gridSpan w:val="2"/>
                  <w:vMerge w:val="continue"/>
                  <w:tcBorders>
                    <w:left w:val="single" w:color="auto" w:sz="4" w:space="0"/>
                  </w:tcBorders>
                  <w:vAlign w:val="center"/>
                </w:tcPr>
                <w:p>
                  <w:pPr>
                    <w:pStyle w:val="14"/>
                    <w:spacing w:line="240" w:lineRule="exact"/>
                    <w:jc w:val="center"/>
                    <w:rPr>
                      <w:rFonts w:ascii="Times New Roman" w:hAnsi="Times New Roman" w:cs="Times New Roman"/>
                      <w:sz w:val="21"/>
                    </w:rPr>
                  </w:pPr>
                </w:p>
              </w:tc>
              <w:tc>
                <w:tcPr>
                  <w:tcW w:w="922" w:type="dxa"/>
                  <w:vMerge w:val="continue"/>
                  <w:vAlign w:val="center"/>
                </w:tcPr>
                <w:p>
                  <w:pPr>
                    <w:spacing w:line="24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03" w:type="dxa"/>
                  <w:vMerge w:val="continue"/>
                  <w:vAlign w:val="center"/>
                </w:tcPr>
                <w:p>
                  <w:pPr>
                    <w:spacing w:line="240" w:lineRule="exact"/>
                    <w:jc w:val="center"/>
                    <w:rPr>
                      <w:szCs w:val="21"/>
                    </w:rPr>
                  </w:pPr>
                </w:p>
              </w:tc>
              <w:tc>
                <w:tcPr>
                  <w:tcW w:w="641" w:type="dxa"/>
                  <w:vMerge w:val="continue"/>
                  <w:vAlign w:val="center"/>
                </w:tcPr>
                <w:p>
                  <w:pPr>
                    <w:spacing w:line="340" w:lineRule="exact"/>
                    <w:jc w:val="center"/>
                    <w:rPr>
                      <w:szCs w:val="21"/>
                    </w:rPr>
                  </w:pPr>
                </w:p>
              </w:tc>
              <w:tc>
                <w:tcPr>
                  <w:tcW w:w="1093" w:type="dxa"/>
                  <w:vAlign w:val="center"/>
                </w:tcPr>
                <w:p>
                  <w:pPr>
                    <w:spacing w:line="340" w:lineRule="exact"/>
                    <w:jc w:val="center"/>
                    <w:rPr>
                      <w:szCs w:val="21"/>
                    </w:rPr>
                  </w:pPr>
                  <w:r>
                    <w:rPr>
                      <w:rFonts w:hint="eastAsia"/>
                      <w:szCs w:val="21"/>
                    </w:rPr>
                    <w:t>废机油</w:t>
                  </w:r>
                </w:p>
              </w:tc>
              <w:tc>
                <w:tcPr>
                  <w:tcW w:w="1524" w:type="dxa"/>
                  <w:vMerge w:val="continue"/>
                  <w:tcBorders>
                    <w:right w:val="single" w:color="auto" w:sz="4" w:space="0"/>
                  </w:tcBorders>
                  <w:vAlign w:val="center"/>
                </w:tcPr>
                <w:p>
                  <w:pPr>
                    <w:spacing w:line="240" w:lineRule="exact"/>
                    <w:jc w:val="center"/>
                    <w:rPr>
                      <w:szCs w:val="21"/>
                    </w:rPr>
                  </w:pPr>
                </w:p>
              </w:tc>
              <w:tc>
                <w:tcPr>
                  <w:tcW w:w="4315" w:type="dxa"/>
                  <w:gridSpan w:val="2"/>
                  <w:vMerge w:val="continue"/>
                  <w:tcBorders>
                    <w:left w:val="single" w:color="auto" w:sz="4" w:space="0"/>
                  </w:tcBorders>
                  <w:vAlign w:val="center"/>
                </w:tcPr>
                <w:p>
                  <w:pPr>
                    <w:pStyle w:val="14"/>
                    <w:spacing w:line="240" w:lineRule="exact"/>
                    <w:jc w:val="center"/>
                    <w:rPr>
                      <w:rFonts w:ascii="Times New Roman" w:hAnsi="Times New Roman" w:cs="Times New Roman"/>
                      <w:sz w:val="21"/>
                    </w:rPr>
                  </w:pPr>
                </w:p>
              </w:tc>
              <w:tc>
                <w:tcPr>
                  <w:tcW w:w="922" w:type="dxa"/>
                  <w:vMerge w:val="continue"/>
                  <w:vAlign w:val="center"/>
                </w:tcPr>
                <w:p>
                  <w:pPr>
                    <w:spacing w:line="24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03" w:type="dxa"/>
                  <w:vMerge w:val="continue"/>
                  <w:vAlign w:val="center"/>
                </w:tcPr>
                <w:p>
                  <w:pPr>
                    <w:spacing w:line="240" w:lineRule="exact"/>
                    <w:jc w:val="center"/>
                    <w:rPr>
                      <w:szCs w:val="21"/>
                    </w:rPr>
                  </w:pPr>
                </w:p>
              </w:tc>
              <w:tc>
                <w:tcPr>
                  <w:tcW w:w="641" w:type="dxa"/>
                  <w:vMerge w:val="continue"/>
                  <w:vAlign w:val="center"/>
                </w:tcPr>
                <w:p>
                  <w:pPr>
                    <w:spacing w:line="340" w:lineRule="exact"/>
                    <w:jc w:val="center"/>
                    <w:rPr>
                      <w:szCs w:val="21"/>
                    </w:rPr>
                  </w:pPr>
                </w:p>
              </w:tc>
              <w:tc>
                <w:tcPr>
                  <w:tcW w:w="1093" w:type="dxa"/>
                  <w:vAlign w:val="center"/>
                </w:tcPr>
                <w:p>
                  <w:pPr>
                    <w:spacing w:line="340" w:lineRule="exact"/>
                    <w:jc w:val="center"/>
                    <w:rPr>
                      <w:rFonts w:hint="eastAsia" w:eastAsia="宋体"/>
                      <w:color w:val="FF0000"/>
                      <w:szCs w:val="21"/>
                      <w:lang w:eastAsia="zh-CN"/>
                    </w:rPr>
                  </w:pPr>
                  <w:r>
                    <w:rPr>
                      <w:rFonts w:hint="eastAsia"/>
                      <w:color w:val="FF0000"/>
                      <w:szCs w:val="21"/>
                      <w:lang w:eastAsia="zh-CN"/>
                    </w:rPr>
                    <w:t>废机油桶</w:t>
                  </w:r>
                </w:p>
              </w:tc>
              <w:tc>
                <w:tcPr>
                  <w:tcW w:w="1524" w:type="dxa"/>
                  <w:tcBorders>
                    <w:right w:val="single" w:color="auto" w:sz="4" w:space="0"/>
                  </w:tcBorders>
                  <w:vAlign w:val="center"/>
                </w:tcPr>
                <w:p>
                  <w:pPr>
                    <w:spacing w:line="240" w:lineRule="exact"/>
                    <w:jc w:val="center"/>
                    <w:rPr>
                      <w:color w:val="FF0000"/>
                      <w:szCs w:val="21"/>
                    </w:rPr>
                  </w:pPr>
                  <w:r>
                    <w:rPr>
                      <w:rFonts w:hint="eastAsia"/>
                      <w:color w:val="FF0000"/>
                      <w:szCs w:val="21"/>
                      <w:lang w:eastAsia="zh-CN"/>
                    </w:rPr>
                    <w:t>集中收集后，由原厂家回收</w:t>
                  </w:r>
                </w:p>
              </w:tc>
              <w:tc>
                <w:tcPr>
                  <w:tcW w:w="4315" w:type="dxa"/>
                  <w:gridSpan w:val="2"/>
                  <w:tcBorders>
                    <w:left w:val="single" w:color="auto" w:sz="4" w:space="0"/>
                  </w:tcBorders>
                  <w:vAlign w:val="center"/>
                </w:tcPr>
                <w:p>
                  <w:pPr>
                    <w:pStyle w:val="14"/>
                    <w:spacing w:line="240" w:lineRule="exact"/>
                    <w:jc w:val="center"/>
                    <w:rPr>
                      <w:rFonts w:ascii="Times New Roman" w:hAnsi="Times New Roman" w:cs="Times New Roman"/>
                      <w:color w:val="FF0000"/>
                      <w:sz w:val="21"/>
                    </w:rPr>
                  </w:pPr>
                  <w:r>
                    <w:rPr>
                      <w:rFonts w:hint="default" w:ascii="Times New Roman" w:hAnsi="Times New Roman" w:cs="Times New Roman"/>
                      <w:color w:val="FF0000"/>
                      <w:sz w:val="21"/>
                      <w:szCs w:val="21"/>
                    </w:rPr>
                    <w:t>《一般工业固体废物贮存、处置场污染控制标准》（GB18599-2001）及修改单中有关规定</w:t>
                  </w:r>
                </w:p>
              </w:tc>
              <w:tc>
                <w:tcPr>
                  <w:tcW w:w="922" w:type="dxa"/>
                  <w:vMerge w:val="continue"/>
                  <w:vAlign w:val="center"/>
                </w:tcPr>
                <w:p>
                  <w:pPr>
                    <w:spacing w:line="24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03" w:type="dxa"/>
                  <w:vAlign w:val="center"/>
                </w:tcPr>
                <w:p>
                  <w:pPr>
                    <w:spacing w:line="240" w:lineRule="exact"/>
                    <w:jc w:val="center"/>
                    <w:rPr>
                      <w:szCs w:val="21"/>
                    </w:rPr>
                  </w:pPr>
                  <w:r>
                    <w:rPr>
                      <w:rFonts w:hint="eastAsia"/>
                      <w:szCs w:val="21"/>
                    </w:rPr>
                    <w:t>合计</w:t>
                  </w:r>
                </w:p>
              </w:tc>
              <w:tc>
                <w:tcPr>
                  <w:tcW w:w="8495" w:type="dxa"/>
                  <w:gridSpan w:val="6"/>
                  <w:vAlign w:val="center"/>
                </w:tcPr>
                <w:p>
                  <w:pPr>
                    <w:spacing w:line="240" w:lineRule="exact"/>
                    <w:jc w:val="center"/>
                    <w:rPr>
                      <w:szCs w:val="21"/>
                    </w:rPr>
                  </w:pPr>
                  <w:r>
                    <w:rPr>
                      <w:rFonts w:hint="eastAsia"/>
                      <w:szCs w:val="21"/>
                    </w:rPr>
                    <w:t>25万元</w:t>
                  </w:r>
                </w:p>
              </w:tc>
            </w:tr>
          </w:tbl>
          <w:p>
            <w:pPr>
              <w:spacing w:line="360" w:lineRule="auto"/>
              <w:ind w:firstLine="480" w:firstLineChars="200"/>
              <w:rPr>
                <w:sz w:val="24"/>
              </w:rPr>
            </w:pPr>
          </w:p>
          <w:p>
            <w:pPr>
              <w:pStyle w:val="48"/>
            </w:pPr>
          </w:p>
          <w:p>
            <w:pPr>
              <w:pStyle w:val="48"/>
            </w:pPr>
          </w:p>
          <w:p>
            <w:pPr>
              <w:pStyle w:val="48"/>
            </w:pPr>
          </w:p>
          <w:p>
            <w:pPr>
              <w:pStyle w:val="48"/>
            </w:pPr>
          </w:p>
          <w:p>
            <w:pPr>
              <w:pStyle w:val="48"/>
            </w:pPr>
          </w:p>
          <w:p>
            <w:pPr>
              <w:pStyle w:val="48"/>
            </w:pPr>
          </w:p>
          <w:p>
            <w:pPr>
              <w:pStyle w:val="48"/>
            </w:pPr>
          </w:p>
          <w:p>
            <w:pPr>
              <w:pStyle w:val="48"/>
            </w:pPr>
          </w:p>
          <w:p>
            <w:pPr>
              <w:pStyle w:val="48"/>
            </w:pPr>
          </w:p>
          <w:p>
            <w:pPr>
              <w:pStyle w:val="48"/>
            </w:pPr>
          </w:p>
          <w:p>
            <w:pPr>
              <w:pStyle w:val="48"/>
            </w:pPr>
          </w:p>
          <w:p>
            <w:pPr>
              <w:pStyle w:val="48"/>
            </w:pPr>
          </w:p>
          <w:p>
            <w:pPr>
              <w:pStyle w:val="48"/>
            </w:pPr>
          </w:p>
          <w:p>
            <w:pPr>
              <w:pStyle w:val="48"/>
            </w:pPr>
          </w:p>
          <w:p>
            <w:pPr>
              <w:pStyle w:val="48"/>
            </w:pPr>
          </w:p>
          <w:p>
            <w:pPr>
              <w:spacing w:line="200" w:lineRule="exact"/>
              <w:rPr>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140" w:hRule="atLeast"/>
        </w:trPr>
        <w:tc>
          <w:tcPr>
            <w:tcW w:w="9108" w:type="dxa"/>
          </w:tcPr>
          <w:p>
            <w:pPr>
              <w:spacing w:line="800" w:lineRule="exact"/>
              <w:jc w:val="left"/>
              <w:rPr>
                <w:b/>
                <w:sz w:val="28"/>
              </w:rPr>
            </w:pPr>
            <w:r>
              <w:rPr>
                <w:b/>
                <w:sz w:val="28"/>
              </w:rPr>
              <w:t>预审意见：</w:t>
            </w:r>
          </w:p>
          <w:p>
            <w:pPr>
              <w:jc w:val="left"/>
              <w:rPr>
                <w:sz w:val="28"/>
              </w:rPr>
            </w:pPr>
          </w:p>
          <w:p>
            <w:pPr>
              <w:jc w:val="left"/>
              <w:rPr>
                <w:sz w:val="28"/>
              </w:rPr>
            </w:pPr>
          </w:p>
          <w:p>
            <w:pPr>
              <w:jc w:val="left"/>
              <w:rPr>
                <w:sz w:val="28"/>
              </w:rPr>
            </w:pPr>
          </w:p>
          <w:p>
            <w:pPr>
              <w:jc w:val="left"/>
              <w:rPr>
                <w:sz w:val="28"/>
              </w:rPr>
            </w:pPr>
          </w:p>
          <w:p>
            <w:pPr>
              <w:jc w:val="left"/>
              <w:rPr>
                <w:sz w:val="28"/>
              </w:rPr>
            </w:pPr>
          </w:p>
          <w:p>
            <w:pPr>
              <w:jc w:val="left"/>
              <w:rPr>
                <w:sz w:val="28"/>
              </w:rPr>
            </w:pPr>
          </w:p>
          <w:p>
            <w:pPr>
              <w:jc w:val="left"/>
              <w:rPr>
                <w:sz w:val="28"/>
              </w:rPr>
            </w:pPr>
          </w:p>
          <w:p>
            <w:pPr>
              <w:jc w:val="left"/>
              <w:rPr>
                <w:sz w:val="28"/>
              </w:rPr>
            </w:pPr>
          </w:p>
          <w:p>
            <w:pPr>
              <w:jc w:val="left"/>
              <w:rPr>
                <w:sz w:val="28"/>
              </w:rPr>
            </w:pPr>
            <w:r>
              <w:rPr>
                <w:sz w:val="28"/>
              </w:rPr>
              <w:t xml:space="preserve">          </w:t>
            </w:r>
            <w:r>
              <w:rPr>
                <w:rFonts w:hint="eastAsia"/>
                <w:sz w:val="28"/>
              </w:rPr>
              <w:t xml:space="preserve">  </w:t>
            </w:r>
            <w:r>
              <w:rPr>
                <w:sz w:val="28"/>
              </w:rPr>
              <w:t xml:space="preserve">                                       </w:t>
            </w:r>
            <w:r>
              <w:rPr>
                <w:b/>
                <w:sz w:val="28"/>
              </w:rPr>
              <w:t>公  章</w:t>
            </w:r>
          </w:p>
          <w:p>
            <w:pPr>
              <w:jc w:val="left"/>
              <w:rPr>
                <w:sz w:val="28"/>
              </w:rPr>
            </w:pPr>
            <w:r>
              <w:rPr>
                <w:sz w:val="28"/>
              </w:rPr>
              <w:t xml:space="preserve">  </w:t>
            </w:r>
            <w:r>
              <w:rPr>
                <w:rFonts w:hint="eastAsia"/>
                <w:sz w:val="28"/>
              </w:rPr>
              <w:t xml:space="preserve">  </w:t>
            </w:r>
            <w:r>
              <w:rPr>
                <w:b/>
                <w:sz w:val="28"/>
              </w:rPr>
              <w:t>经办人:</w:t>
            </w:r>
            <w:r>
              <w:rPr>
                <w:sz w:val="28"/>
              </w:rPr>
              <w:t xml:space="preserve">                                     </w:t>
            </w:r>
            <w:r>
              <w:rPr>
                <w:b/>
                <w:sz w:val="28"/>
              </w:rPr>
              <w:t>年</w:t>
            </w:r>
            <w:r>
              <w:rPr>
                <w:sz w:val="28"/>
              </w:rPr>
              <w:t xml:space="preserve">    </w:t>
            </w:r>
            <w:r>
              <w:rPr>
                <w:b/>
                <w:sz w:val="28"/>
              </w:rPr>
              <w:t>月</w:t>
            </w:r>
            <w:r>
              <w:rPr>
                <w:sz w:val="28"/>
              </w:rPr>
              <w:t xml:space="preserve">    </w:t>
            </w:r>
            <w:r>
              <w:rPr>
                <w:b/>
                <w:sz w:val="28"/>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6688" w:hRule="atLeast"/>
        </w:trPr>
        <w:tc>
          <w:tcPr>
            <w:tcW w:w="9108" w:type="dxa"/>
          </w:tcPr>
          <w:p>
            <w:pPr>
              <w:spacing w:line="800" w:lineRule="exact"/>
              <w:jc w:val="left"/>
              <w:rPr>
                <w:b/>
                <w:sz w:val="28"/>
              </w:rPr>
            </w:pPr>
            <w:r>
              <w:rPr>
                <w:b/>
                <w:sz w:val="28"/>
              </w:rPr>
              <w:t>下一级环境保护行政主管部门审查意见：</w:t>
            </w:r>
          </w:p>
          <w:p>
            <w:pPr>
              <w:jc w:val="left"/>
              <w:rPr>
                <w:sz w:val="28"/>
              </w:rPr>
            </w:pPr>
          </w:p>
          <w:p>
            <w:pPr>
              <w:jc w:val="left"/>
              <w:rPr>
                <w:sz w:val="28"/>
              </w:rPr>
            </w:pPr>
          </w:p>
          <w:p>
            <w:pPr>
              <w:jc w:val="left"/>
              <w:rPr>
                <w:sz w:val="28"/>
              </w:rPr>
            </w:pPr>
          </w:p>
          <w:p>
            <w:pPr>
              <w:jc w:val="left"/>
              <w:rPr>
                <w:sz w:val="28"/>
              </w:rPr>
            </w:pPr>
          </w:p>
          <w:p>
            <w:pPr>
              <w:jc w:val="left"/>
              <w:rPr>
                <w:sz w:val="28"/>
              </w:rPr>
            </w:pPr>
          </w:p>
          <w:p>
            <w:pPr>
              <w:jc w:val="left"/>
              <w:rPr>
                <w:sz w:val="28"/>
              </w:rPr>
            </w:pPr>
          </w:p>
          <w:p>
            <w:pPr>
              <w:jc w:val="left"/>
              <w:rPr>
                <w:sz w:val="28"/>
              </w:rPr>
            </w:pPr>
          </w:p>
          <w:p>
            <w:pPr>
              <w:jc w:val="left"/>
              <w:rPr>
                <w:b/>
                <w:sz w:val="28"/>
              </w:rPr>
            </w:pPr>
            <w:r>
              <w:rPr>
                <w:sz w:val="28"/>
              </w:rPr>
              <w:t xml:space="preserve">              </w:t>
            </w:r>
            <w:r>
              <w:rPr>
                <w:rFonts w:hint="eastAsia"/>
                <w:sz w:val="28"/>
              </w:rPr>
              <w:t xml:space="preserve">  </w:t>
            </w:r>
            <w:r>
              <w:rPr>
                <w:sz w:val="28"/>
              </w:rPr>
              <w:t xml:space="preserve">                                   </w:t>
            </w:r>
            <w:r>
              <w:rPr>
                <w:rFonts w:hint="eastAsia"/>
                <w:sz w:val="28"/>
              </w:rPr>
              <w:t xml:space="preserve"> </w:t>
            </w:r>
            <w:r>
              <w:rPr>
                <w:b/>
                <w:sz w:val="28"/>
              </w:rPr>
              <w:t>公  章</w:t>
            </w:r>
          </w:p>
          <w:p>
            <w:pPr>
              <w:rPr>
                <w:sz w:val="28"/>
              </w:rPr>
            </w:pPr>
            <w:r>
              <w:rPr>
                <w:sz w:val="28"/>
              </w:rPr>
              <w:t xml:space="preserve">  </w:t>
            </w:r>
            <w:r>
              <w:rPr>
                <w:rFonts w:hint="eastAsia"/>
                <w:sz w:val="28"/>
              </w:rPr>
              <w:t xml:space="preserve">  </w:t>
            </w:r>
            <w:r>
              <w:rPr>
                <w:b/>
                <w:sz w:val="28"/>
              </w:rPr>
              <w:t>经办人:</w:t>
            </w:r>
            <w:r>
              <w:rPr>
                <w:sz w:val="28"/>
              </w:rPr>
              <w:t xml:space="preserve">                                    </w:t>
            </w:r>
            <w:r>
              <w:rPr>
                <w:rFonts w:hint="eastAsia"/>
                <w:sz w:val="28"/>
              </w:rPr>
              <w:t xml:space="preserve"> </w:t>
            </w:r>
            <w:r>
              <w:rPr>
                <w:b/>
                <w:sz w:val="28"/>
              </w:rPr>
              <w:t>年</w:t>
            </w:r>
            <w:r>
              <w:rPr>
                <w:sz w:val="28"/>
              </w:rPr>
              <w:t xml:space="preserve">    </w:t>
            </w:r>
            <w:r>
              <w:rPr>
                <w:b/>
                <w:sz w:val="28"/>
              </w:rPr>
              <w:t>月</w:t>
            </w:r>
            <w:r>
              <w:rPr>
                <w:sz w:val="28"/>
              </w:rPr>
              <w:t xml:space="preserve">    </w:t>
            </w:r>
            <w:r>
              <w:rPr>
                <w:b/>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3489" w:hRule="atLeast"/>
        </w:trPr>
        <w:tc>
          <w:tcPr>
            <w:tcW w:w="9108" w:type="dxa"/>
          </w:tcPr>
          <w:p>
            <w:pPr>
              <w:spacing w:line="800" w:lineRule="exact"/>
              <w:jc w:val="left"/>
              <w:rPr>
                <w:b/>
                <w:sz w:val="28"/>
              </w:rPr>
            </w:pPr>
            <w:r>
              <w:rPr>
                <w:b/>
                <w:sz w:val="28"/>
              </w:rPr>
              <w:t>审批意见：</w:t>
            </w:r>
          </w:p>
          <w:p>
            <w:pPr>
              <w:jc w:val="left"/>
              <w:rPr>
                <w:sz w:val="28"/>
              </w:rPr>
            </w:pPr>
          </w:p>
          <w:p>
            <w:pPr>
              <w:jc w:val="left"/>
              <w:rPr>
                <w:sz w:val="28"/>
              </w:rPr>
            </w:pPr>
          </w:p>
          <w:p>
            <w:pPr>
              <w:jc w:val="left"/>
              <w:rPr>
                <w:sz w:val="28"/>
              </w:rPr>
            </w:pPr>
          </w:p>
          <w:p>
            <w:pPr>
              <w:jc w:val="left"/>
              <w:rPr>
                <w:sz w:val="28"/>
              </w:rPr>
            </w:pPr>
          </w:p>
          <w:p>
            <w:pPr>
              <w:jc w:val="left"/>
              <w:rPr>
                <w:sz w:val="28"/>
              </w:rPr>
            </w:pPr>
          </w:p>
          <w:p>
            <w:pPr>
              <w:jc w:val="left"/>
              <w:rPr>
                <w:sz w:val="28"/>
              </w:rPr>
            </w:pPr>
          </w:p>
          <w:p>
            <w:pPr>
              <w:jc w:val="left"/>
              <w:rPr>
                <w:sz w:val="28"/>
              </w:rPr>
            </w:pPr>
          </w:p>
          <w:p>
            <w:pPr>
              <w:jc w:val="left"/>
              <w:rPr>
                <w:sz w:val="28"/>
              </w:rPr>
            </w:pPr>
          </w:p>
          <w:p>
            <w:pPr>
              <w:jc w:val="left"/>
              <w:rPr>
                <w:sz w:val="28"/>
              </w:rPr>
            </w:pPr>
          </w:p>
          <w:p>
            <w:pPr>
              <w:jc w:val="left"/>
              <w:rPr>
                <w:sz w:val="28"/>
              </w:rPr>
            </w:pPr>
          </w:p>
          <w:p>
            <w:pPr>
              <w:jc w:val="left"/>
              <w:rPr>
                <w:sz w:val="28"/>
              </w:rPr>
            </w:pPr>
          </w:p>
          <w:p>
            <w:pPr>
              <w:jc w:val="left"/>
              <w:rPr>
                <w:sz w:val="28"/>
              </w:rPr>
            </w:pPr>
          </w:p>
          <w:p>
            <w:pPr>
              <w:jc w:val="left"/>
              <w:rPr>
                <w:sz w:val="28"/>
              </w:rPr>
            </w:pPr>
          </w:p>
          <w:p>
            <w:pPr>
              <w:jc w:val="left"/>
              <w:rPr>
                <w:sz w:val="28"/>
              </w:rPr>
            </w:pPr>
          </w:p>
          <w:p>
            <w:pPr>
              <w:jc w:val="left"/>
              <w:rPr>
                <w:sz w:val="28"/>
              </w:rPr>
            </w:pPr>
          </w:p>
          <w:p>
            <w:pPr>
              <w:jc w:val="left"/>
              <w:rPr>
                <w:sz w:val="28"/>
              </w:rPr>
            </w:pPr>
          </w:p>
          <w:p>
            <w:pPr>
              <w:jc w:val="left"/>
              <w:rPr>
                <w:sz w:val="28"/>
              </w:rPr>
            </w:pPr>
          </w:p>
          <w:p>
            <w:pPr>
              <w:jc w:val="left"/>
              <w:rPr>
                <w:sz w:val="28"/>
              </w:rPr>
            </w:pPr>
          </w:p>
          <w:p>
            <w:pPr>
              <w:jc w:val="left"/>
              <w:rPr>
                <w:sz w:val="28"/>
              </w:rPr>
            </w:pPr>
            <w:r>
              <w:rPr>
                <w:sz w:val="28"/>
              </w:rPr>
              <w:t xml:space="preserve">                               </w:t>
            </w:r>
            <w:r>
              <w:rPr>
                <w:rFonts w:hint="eastAsia"/>
                <w:sz w:val="28"/>
              </w:rPr>
              <w:t xml:space="preserve">  </w:t>
            </w:r>
            <w:r>
              <w:rPr>
                <w:sz w:val="28"/>
              </w:rPr>
              <w:t xml:space="preserve">               </w:t>
            </w:r>
            <w:r>
              <w:rPr>
                <w:rFonts w:hint="eastAsia"/>
                <w:sz w:val="28"/>
              </w:rPr>
              <w:t xml:space="preserve">   </w:t>
            </w:r>
            <w:r>
              <w:rPr>
                <w:b/>
                <w:sz w:val="28"/>
              </w:rPr>
              <w:t>公  章</w:t>
            </w:r>
          </w:p>
          <w:p>
            <w:pPr>
              <w:ind w:firstLine="555"/>
              <w:rPr>
                <w:b/>
                <w:sz w:val="28"/>
              </w:rPr>
            </w:pPr>
            <w:r>
              <w:rPr>
                <w:b/>
                <w:sz w:val="28"/>
              </w:rPr>
              <w:t>经办人:</w:t>
            </w:r>
            <w:r>
              <w:rPr>
                <w:sz w:val="28"/>
              </w:rPr>
              <w:t xml:space="preserve">                                    </w:t>
            </w:r>
            <w:r>
              <w:rPr>
                <w:rFonts w:hint="eastAsia"/>
                <w:sz w:val="28"/>
              </w:rPr>
              <w:t xml:space="preserve"> </w:t>
            </w:r>
            <w:r>
              <w:rPr>
                <w:b/>
                <w:sz w:val="28"/>
              </w:rPr>
              <w:t>年</w:t>
            </w:r>
            <w:r>
              <w:rPr>
                <w:sz w:val="28"/>
              </w:rPr>
              <w:t xml:space="preserve">    </w:t>
            </w:r>
            <w:r>
              <w:rPr>
                <w:b/>
                <w:sz w:val="28"/>
              </w:rPr>
              <w:t>月</w:t>
            </w:r>
            <w:r>
              <w:rPr>
                <w:sz w:val="28"/>
              </w:rPr>
              <w:t xml:space="preserve">    </w:t>
            </w:r>
            <w:r>
              <w:rPr>
                <w:b/>
                <w:sz w:val="28"/>
              </w:rPr>
              <w:t>日</w:t>
            </w:r>
          </w:p>
          <w:p>
            <w:pPr>
              <w:spacing w:line="360" w:lineRule="auto"/>
              <w:ind w:firstLine="555"/>
              <w:rPr>
                <w:b/>
                <w:sz w:val="28"/>
              </w:rPr>
            </w:pPr>
          </w:p>
          <w:p>
            <w:pPr>
              <w:spacing w:line="360" w:lineRule="auto"/>
              <w:jc w:val="center"/>
              <w:rPr>
                <w:rFonts w:ascii="宋体" w:hAnsi="宋体"/>
                <w:b/>
                <w:sz w:val="36"/>
              </w:rPr>
            </w:pPr>
          </w:p>
          <w:p>
            <w:pPr>
              <w:jc w:val="center"/>
              <w:rPr>
                <w:rFonts w:ascii="宋体" w:hAnsi="宋体"/>
                <w:b/>
                <w:sz w:val="36"/>
              </w:rPr>
            </w:pPr>
            <w:r>
              <w:rPr>
                <w:rFonts w:hint="eastAsia" w:ascii="宋体" w:hAnsi="宋体"/>
                <w:b/>
                <w:sz w:val="36"/>
              </w:rPr>
              <w:t>注        释</w:t>
            </w:r>
          </w:p>
          <w:p>
            <w:pPr>
              <w:jc w:val="center"/>
              <w:rPr>
                <w:rFonts w:ascii="宋体" w:hAnsi="宋体"/>
                <w:b/>
                <w:sz w:val="28"/>
              </w:rPr>
            </w:pPr>
          </w:p>
          <w:p>
            <w:pPr>
              <w:snapToGrid w:val="0"/>
              <w:spacing w:line="500" w:lineRule="exact"/>
              <w:rPr>
                <w:sz w:val="28"/>
              </w:rPr>
            </w:pPr>
            <w:r>
              <w:rPr>
                <w:rFonts w:hint="eastAsia"/>
                <w:b/>
                <w:sz w:val="28"/>
              </w:rPr>
              <w:t xml:space="preserve">    </w:t>
            </w:r>
            <w:r>
              <w:rPr>
                <w:rFonts w:hint="eastAsia"/>
                <w:sz w:val="28"/>
              </w:rPr>
              <w:t>一、本报告表应附以下附件、附图：</w:t>
            </w:r>
          </w:p>
          <w:p>
            <w:pPr>
              <w:snapToGrid w:val="0"/>
              <w:spacing w:line="500" w:lineRule="exact"/>
              <w:rPr>
                <w:sz w:val="28"/>
              </w:rPr>
            </w:pPr>
            <w:r>
              <w:rPr>
                <w:rFonts w:hint="eastAsia"/>
                <w:sz w:val="28"/>
              </w:rPr>
              <w:t xml:space="preserve">    附件1  立项批准文件</w:t>
            </w:r>
          </w:p>
          <w:p>
            <w:pPr>
              <w:snapToGrid w:val="0"/>
              <w:spacing w:line="500" w:lineRule="exact"/>
              <w:rPr>
                <w:sz w:val="28"/>
              </w:rPr>
            </w:pPr>
            <w:r>
              <w:rPr>
                <w:rFonts w:hint="eastAsia"/>
                <w:sz w:val="28"/>
              </w:rPr>
              <w:t xml:space="preserve">    附件2  其他与环评有关的行政管理文件</w:t>
            </w:r>
          </w:p>
          <w:p>
            <w:pPr>
              <w:snapToGrid w:val="0"/>
              <w:spacing w:line="500" w:lineRule="exact"/>
              <w:rPr>
                <w:sz w:val="28"/>
              </w:rPr>
            </w:pPr>
            <w:r>
              <w:rPr>
                <w:rFonts w:hint="eastAsia"/>
                <w:sz w:val="28"/>
              </w:rPr>
              <w:t xml:space="preserve">    附图1  项目地理位置图(应反映行政区划、水系、标明纳污口位置</w:t>
            </w:r>
          </w:p>
          <w:p>
            <w:pPr>
              <w:snapToGrid w:val="0"/>
              <w:spacing w:line="500" w:lineRule="exact"/>
              <w:rPr>
                <w:sz w:val="28"/>
              </w:rPr>
            </w:pPr>
            <w:r>
              <w:rPr>
                <w:rFonts w:hint="eastAsia"/>
                <w:sz w:val="28"/>
              </w:rPr>
              <w:t xml:space="preserve">       和地形地貌等)</w:t>
            </w:r>
          </w:p>
          <w:p>
            <w:pPr>
              <w:snapToGrid w:val="0"/>
              <w:spacing w:line="500" w:lineRule="exact"/>
              <w:rPr>
                <w:sz w:val="28"/>
              </w:rPr>
            </w:pPr>
            <w:r>
              <w:rPr>
                <w:rFonts w:hint="eastAsia"/>
                <w:sz w:val="28"/>
              </w:rPr>
              <w:t xml:space="preserve">    附图2  项目平面布置图</w:t>
            </w:r>
          </w:p>
          <w:p>
            <w:pPr>
              <w:snapToGrid w:val="0"/>
              <w:spacing w:line="400" w:lineRule="exact"/>
              <w:ind w:firstLine="560" w:firstLineChars="200"/>
              <w:rPr>
                <w:sz w:val="28"/>
              </w:rPr>
            </w:pPr>
            <w:r>
              <w:rPr>
                <w:rFonts w:hint="eastAsia"/>
                <w:sz w:val="28"/>
              </w:rPr>
              <w:t>附图3  项目周边关系简图</w:t>
            </w:r>
          </w:p>
          <w:p>
            <w:pPr>
              <w:snapToGrid w:val="0"/>
              <w:spacing w:line="400" w:lineRule="exact"/>
              <w:jc w:val="center"/>
              <w:rPr>
                <w:sz w:val="28"/>
              </w:rPr>
            </w:pPr>
          </w:p>
          <w:p>
            <w:pPr>
              <w:snapToGrid w:val="0"/>
              <w:spacing w:line="400" w:lineRule="exact"/>
              <w:jc w:val="center"/>
              <w:rPr>
                <w:sz w:val="28"/>
              </w:rPr>
            </w:pPr>
          </w:p>
          <w:p>
            <w:pPr>
              <w:snapToGrid w:val="0"/>
              <w:spacing w:line="500" w:lineRule="exact"/>
              <w:rPr>
                <w:sz w:val="28"/>
              </w:rPr>
            </w:pPr>
            <w:r>
              <w:rPr>
                <w:rFonts w:hint="eastAsia"/>
                <w:sz w:val="28"/>
              </w:rPr>
              <w:t xml:space="preserve">    二、如果本报告表不能说明项目产生的污染及对环境造成的影响，应</w:t>
            </w:r>
          </w:p>
          <w:p>
            <w:pPr>
              <w:snapToGrid w:val="0"/>
              <w:spacing w:line="500" w:lineRule="exact"/>
              <w:rPr>
                <w:sz w:val="28"/>
              </w:rPr>
            </w:pPr>
            <w:r>
              <w:rPr>
                <w:rFonts w:hint="eastAsia"/>
                <w:sz w:val="28"/>
              </w:rPr>
              <w:t>进行专项评价。根据建设项目的特点和当地环境特征，应选下列</w:t>
            </w:r>
            <w:r>
              <w:rPr>
                <w:sz w:val="28"/>
              </w:rPr>
              <w:t>1</w:t>
            </w:r>
            <w:r>
              <w:rPr>
                <w:rFonts w:hint="eastAsia"/>
                <w:sz w:val="28"/>
              </w:rPr>
              <w:t>～</w:t>
            </w:r>
            <w:r>
              <w:rPr>
                <w:sz w:val="28"/>
              </w:rPr>
              <w:t>2</w:t>
            </w:r>
            <w:r>
              <w:rPr>
                <w:rFonts w:hint="eastAsia"/>
                <w:sz w:val="28"/>
              </w:rPr>
              <w:t>项进行专项评价。</w:t>
            </w:r>
          </w:p>
          <w:p>
            <w:pPr>
              <w:snapToGrid w:val="0"/>
              <w:spacing w:line="500" w:lineRule="exact"/>
              <w:rPr>
                <w:sz w:val="28"/>
              </w:rPr>
            </w:pPr>
            <w:r>
              <w:rPr>
                <w:rFonts w:hint="eastAsia"/>
                <w:sz w:val="28"/>
              </w:rPr>
              <w:t xml:space="preserve">    </w:t>
            </w:r>
            <w:r>
              <w:rPr>
                <w:sz w:val="28"/>
              </w:rPr>
              <w:t>1．大气环境影响专项评价</w:t>
            </w:r>
          </w:p>
          <w:p>
            <w:pPr>
              <w:snapToGrid w:val="0"/>
              <w:spacing w:line="500" w:lineRule="exact"/>
              <w:rPr>
                <w:sz w:val="28"/>
              </w:rPr>
            </w:pPr>
            <w:r>
              <w:rPr>
                <w:sz w:val="28"/>
              </w:rPr>
              <w:t xml:space="preserve">    2．水环境影响专项评价(包括地表水和地下水)</w:t>
            </w:r>
          </w:p>
          <w:p>
            <w:pPr>
              <w:snapToGrid w:val="0"/>
              <w:spacing w:line="500" w:lineRule="exact"/>
              <w:rPr>
                <w:sz w:val="28"/>
              </w:rPr>
            </w:pPr>
            <w:r>
              <w:rPr>
                <w:sz w:val="28"/>
              </w:rPr>
              <w:t xml:space="preserve">    3．生态影响专项评价</w:t>
            </w:r>
          </w:p>
          <w:p>
            <w:pPr>
              <w:snapToGrid w:val="0"/>
              <w:spacing w:line="500" w:lineRule="exact"/>
              <w:rPr>
                <w:sz w:val="28"/>
              </w:rPr>
            </w:pPr>
            <w:r>
              <w:rPr>
                <w:sz w:val="28"/>
              </w:rPr>
              <w:t xml:space="preserve">    4．声环境专项评价</w:t>
            </w:r>
          </w:p>
          <w:p>
            <w:pPr>
              <w:snapToGrid w:val="0"/>
              <w:spacing w:line="500" w:lineRule="exact"/>
              <w:rPr>
                <w:sz w:val="28"/>
              </w:rPr>
            </w:pPr>
            <w:r>
              <w:rPr>
                <w:sz w:val="28"/>
              </w:rPr>
              <w:t xml:space="preserve">    5．土壤影响专项评价</w:t>
            </w:r>
          </w:p>
          <w:p>
            <w:pPr>
              <w:snapToGrid w:val="0"/>
              <w:spacing w:line="500" w:lineRule="exact"/>
              <w:rPr>
                <w:sz w:val="28"/>
              </w:rPr>
            </w:pPr>
            <w:r>
              <w:rPr>
                <w:sz w:val="28"/>
              </w:rPr>
              <w:t xml:space="preserve">    6．固</w:t>
            </w:r>
            <w:r>
              <w:rPr>
                <w:rFonts w:hint="eastAsia"/>
                <w:sz w:val="28"/>
              </w:rPr>
              <w:t>体废物影响专项评价</w:t>
            </w:r>
          </w:p>
          <w:p>
            <w:pPr>
              <w:snapToGrid w:val="0"/>
              <w:spacing w:line="500" w:lineRule="exact"/>
              <w:rPr>
                <w:b/>
                <w:sz w:val="28"/>
              </w:rPr>
            </w:pPr>
            <w:r>
              <w:rPr>
                <w:rFonts w:hint="eastAsia"/>
                <w:sz w:val="28"/>
              </w:rPr>
              <w:t xml:space="preserve">    以上专项评价未包括的可另列专项，专项评价按照《环境影响评价技术导则》中的要求进行。</w:t>
            </w:r>
          </w:p>
          <w:p/>
          <w:p>
            <w:pPr>
              <w:ind w:firstLine="555"/>
            </w:pPr>
          </w:p>
        </w:tc>
      </w:tr>
    </w:tbl>
    <w:p>
      <w:pPr>
        <w:spacing w:line="100" w:lineRule="exact"/>
      </w:pPr>
    </w:p>
    <w:p>
      <w:pPr>
        <w:spacing w:line="100" w:lineRule="exact"/>
      </w:pPr>
    </w:p>
    <w:sectPr>
      <w:footerReference r:id="rId11" w:type="first"/>
      <w:pgSz w:w="11906" w:h="16838"/>
      <w:pgMar w:top="1418" w:right="1418" w:bottom="1418" w:left="1701" w:header="1134" w:footer="1066" w:gutter="0"/>
      <w:pgNumType w:start="1"/>
      <w:cols w:space="720" w:num="1"/>
      <w:titlePg/>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xbany" w:date="2018-05-09T10:09:00Z" w:initials="xb21cn">
    <w:p w14:paraId="34892D92">
      <w:pPr>
        <w:pStyle w:val="9"/>
      </w:pPr>
      <w:r>
        <w:rPr>
          <w:rFonts w:hint="eastAsia"/>
        </w:rPr>
        <w:t>完善项目平面布置图，明确技改情况</w:t>
      </w:r>
    </w:p>
  </w:comment>
  <w:comment w:id="1" w:author="xbany" w:date="2018-05-09T10:13:00Z" w:initials="xb21cn">
    <w:p w14:paraId="125E4691">
      <w:pPr>
        <w:pStyle w:val="9"/>
      </w:pPr>
      <w:r>
        <w:rPr>
          <w:rFonts w:hint="eastAsia"/>
        </w:rPr>
        <w:t>完善技改和现有生产情况对比</w:t>
      </w:r>
    </w:p>
  </w:comment>
  <w:comment w:id="2" w:author="xbany" w:date="2018-05-10T09:19:00Z" w:initials="xb21cn">
    <w:p w14:paraId="562A0535">
      <w:pPr>
        <w:pStyle w:val="9"/>
      </w:pPr>
      <w:r>
        <w:rPr>
          <w:rFonts w:hint="eastAsia"/>
        </w:rPr>
        <w:t>引用调整规划环评数据</w:t>
      </w:r>
    </w:p>
  </w:comment>
  <w:comment w:id="3" w:author="xbany" w:date="2018-05-09T09:40:00Z" w:initials="xb21cn">
    <w:p w14:paraId="0E712253">
      <w:pPr>
        <w:pStyle w:val="9"/>
      </w:pPr>
    </w:p>
  </w:comment>
  <w:comment w:id="4" w:author="xbany" w:date="2018-05-09T09:40:00Z" w:initials="xb21cn">
    <w:p w14:paraId="589C6F3C">
      <w:pPr>
        <w:pStyle w:val="9"/>
      </w:pPr>
      <w:r>
        <w:rPr>
          <w:rFonts w:hint="eastAsia"/>
        </w:rPr>
        <w:t>工艺图？</w:t>
      </w:r>
    </w:p>
  </w:comment>
  <w:comment w:id="5" w:author="xbany" w:date="2018-05-09T09:52:00Z" w:initials="xb21cn">
    <w:p w14:paraId="4DAA47A9">
      <w:pPr>
        <w:pStyle w:val="9"/>
      </w:pPr>
      <w:r>
        <w:rPr>
          <w:rFonts w:hint="eastAsia"/>
        </w:rPr>
        <w:t>废机油桶？</w:t>
      </w:r>
    </w:p>
  </w:comment>
  <w:comment w:id="6" w:author="xbany" w:date="2018-05-09T09:53:00Z" w:initials="xb21cn">
    <w:p w14:paraId="0186041F">
      <w:pPr>
        <w:pStyle w:val="9"/>
      </w:pPr>
      <w:r>
        <w:rPr>
          <w:rFonts w:hint="eastAsia"/>
        </w:rPr>
        <w:t>是否还有别的</w:t>
      </w:r>
    </w:p>
  </w:comment>
  <w:comment w:id="7" w:author="xbany" w:date="2018-05-10T09:33:00Z" w:initials="xb21cn">
    <w:p w14:paraId="12047870">
      <w:pPr>
        <w:pStyle w:val="9"/>
      </w:pPr>
      <w:r>
        <w:rPr>
          <w:rFonts w:hint="eastAsia"/>
        </w:rPr>
        <w:t>与原有项目排放废气叠加分析</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4892D92" w15:done="0"/>
  <w15:commentEx w15:paraId="125E4691" w15:done="0"/>
  <w15:commentEx w15:paraId="562A0535" w15:done="0"/>
  <w15:commentEx w15:paraId="0E712253" w15:done="0"/>
  <w15:commentEx w15:paraId="589C6F3C" w15:done="0"/>
  <w15:commentEx w15:paraId="4DAA47A9" w15:done="0"/>
  <w15:commentEx w15:paraId="0186041F" w15:done="0"/>
  <w15:commentEx w15:paraId="1204787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Script">
    <w:altName w:val="仿宋_GB2312"/>
    <w:panose1 w:val="00000000000000000000"/>
    <w:charset w:val="00"/>
    <w:family w:val="script"/>
    <w:pitch w:val="default"/>
    <w:sig w:usb0="00000000" w:usb1="00000000" w:usb2="00000000" w:usb3="00000000" w:csb0="00040001" w:csb1="00000000"/>
  </w:font>
  <w:font w:name="Consolas">
    <w:panose1 w:val="020B0609020204030204"/>
    <w:charset w:val="00"/>
    <w:family w:val="modern"/>
    <w:pitch w:val="default"/>
    <w:sig w:usb0="A00002EF" w:usb1="4000204B"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0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8240" behindDoc="0" locked="0" layoutInCell="1" allowOverlap="1">
              <wp:simplePos x="0" y="0"/>
              <wp:positionH relativeFrom="column">
                <wp:posOffset>-546100</wp:posOffset>
              </wp:positionH>
              <wp:positionV relativeFrom="paragraph">
                <wp:posOffset>-1951990</wp:posOffset>
              </wp:positionV>
              <wp:extent cx="342900" cy="396240"/>
              <wp:effectExtent l="0" t="0" r="0" b="0"/>
              <wp:wrapNone/>
              <wp:docPr id="100" name="文本框 1028"/>
              <wp:cNvGraphicFramePr/>
              <a:graphic xmlns:a="http://schemas.openxmlformats.org/drawingml/2006/main">
                <a:graphicData uri="http://schemas.microsoft.com/office/word/2010/wordprocessingShape">
                  <wps:wsp>
                    <wps:cNvSpPr txBox="1"/>
                    <wps:spPr>
                      <a:xfrm>
                        <a:off x="0" y="0"/>
                        <a:ext cx="342900" cy="396240"/>
                      </a:xfrm>
                      <a:prstGeom prst="rect">
                        <a:avLst/>
                      </a:prstGeom>
                      <a:noFill/>
                      <a:ln w="9525">
                        <a:noFill/>
                      </a:ln>
                      <a:effectLst/>
                    </wps:spPr>
                    <wps:txbx>
                      <w:txbxContent>
                        <w:p/>
                      </w:txbxContent>
                    </wps:txbx>
                    <wps:bodyPr wrap="square" upright="1"/>
                  </wps:wsp>
                </a:graphicData>
              </a:graphic>
            </wp:anchor>
          </w:drawing>
        </mc:Choice>
        <mc:Fallback>
          <w:pict>
            <v:shape id="文本框 1028" o:spid="_x0000_s1026" o:spt="202" type="#_x0000_t202" style="position:absolute;left:0pt;margin-left:-43pt;margin-top:-153.7pt;height:31.2pt;width:27pt;z-index:251658240;mso-width-relative:page;mso-height-relative:page;" filled="f" stroked="f" coordsize="21600,21600" o:gfxdata="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lfll9oA&#10;AAANAQAADwAAAAAAAAABACAAAAAiAAAAZHJzL2Rvd25yZXYueG1sUEsBAhQAFAAAAAgAh07iQBSV&#10;w0KrAQAAKQMAAA4AAAAAAAAAAQAgAAAAKQEAAGRycy9lMm9Eb2MueG1sUEsFBgAAAAAGAAYAWQEA&#10;AEYFAAAAAA==&#10;">
              <v:fill on="f" focussize="0,0"/>
              <v:stroke on="f"/>
              <v:imagedata o:title=""/>
              <o:lock v:ext="edit" aspectratio="f"/>
              <v:textbox>
                <w:txbxContent>
                  <w:p/>
                </w:txbxContent>
              </v:textbox>
            </v:shape>
          </w:pict>
        </mc:Fallback>
      </mc:AlternateContent>
    </w:r>
    <w:r>
      <w:fldChar w:fldCharType="begin"/>
    </w:r>
    <w:r>
      <w:rPr>
        <w:rStyle w:val="37"/>
      </w:rPr>
      <w:instrText xml:space="preserve"> PAGE </w:instrText>
    </w:r>
    <w:r>
      <w:fldChar w:fldCharType="separate"/>
    </w:r>
    <w:r>
      <w:rPr>
        <w:rStyle w:val="37"/>
      </w:rP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rPr>
        <w:rStyle w:val="37"/>
      </w:rPr>
      <w:instrText xml:space="preserve"> PAGE </w:instrText>
    </w:r>
    <w:r>
      <w:fldChar w:fldCharType="separate"/>
    </w:r>
    <w:r>
      <w:rPr>
        <w:rStyle w:val="37"/>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521663"/>
    <w:multiLevelType w:val="singleLevel"/>
    <w:tmpl w:val="D0521663"/>
    <w:lvl w:ilvl="0" w:tentative="0">
      <w:start w:val="1"/>
      <w:numFmt w:val="decimal"/>
      <w:suff w:val="nothing"/>
      <w:lvlText w:val="%1、"/>
      <w:lvlJc w:val="left"/>
    </w:lvl>
  </w:abstractNum>
  <w:abstractNum w:abstractNumId="1">
    <w:nsid w:val="F5FD9327"/>
    <w:multiLevelType w:val="singleLevel"/>
    <w:tmpl w:val="F5FD9327"/>
    <w:lvl w:ilvl="0" w:tentative="0">
      <w:start w:val="3"/>
      <w:numFmt w:val="decimal"/>
      <w:suff w:val="nothing"/>
      <w:lvlText w:val="（%1）"/>
      <w:lvlJc w:val="left"/>
    </w:lvl>
  </w:abstractNum>
  <w:abstractNum w:abstractNumId="2">
    <w:nsid w:val="5772121F"/>
    <w:multiLevelType w:val="singleLevel"/>
    <w:tmpl w:val="5772121F"/>
    <w:lvl w:ilvl="0" w:tentative="0">
      <w:start w:val="1"/>
      <w:numFmt w:val="decimal"/>
      <w:suff w:val="nothing"/>
      <w:lvlText w:val="%1、"/>
      <w:lvlJc w:val="left"/>
    </w:lvl>
  </w:abstractNum>
  <w:abstractNum w:abstractNumId="3">
    <w:nsid w:val="5777374A"/>
    <w:multiLevelType w:val="singleLevel"/>
    <w:tmpl w:val="5777374A"/>
    <w:lvl w:ilvl="0" w:tentative="0">
      <w:start w:val="1"/>
      <w:numFmt w:val="decimal"/>
      <w:suff w:val="nothing"/>
      <w:lvlText w:val="（%1）"/>
      <w:lvlJc w:val="left"/>
    </w:lvl>
  </w:abstractNum>
  <w:abstractNum w:abstractNumId="4">
    <w:nsid w:val="577737F7"/>
    <w:multiLevelType w:val="singleLevel"/>
    <w:tmpl w:val="577737F7"/>
    <w:lvl w:ilvl="0" w:tentative="0">
      <w:start w:val="1"/>
      <w:numFmt w:val="decimal"/>
      <w:suff w:val="nothing"/>
      <w:lvlText w:val="（%1）"/>
      <w:lvlJc w:val="left"/>
    </w:lvl>
  </w:abstractNum>
  <w:abstractNum w:abstractNumId="5">
    <w:nsid w:val="58354B67"/>
    <w:multiLevelType w:val="singleLevel"/>
    <w:tmpl w:val="58354B67"/>
    <w:lvl w:ilvl="0" w:tentative="0">
      <w:start w:val="1"/>
      <w:numFmt w:val="decimal"/>
      <w:suff w:val="nothing"/>
      <w:lvlText w:val="%1、"/>
      <w:lvlJc w:val="left"/>
    </w:lvl>
  </w:abstractNum>
  <w:abstractNum w:abstractNumId="6">
    <w:nsid w:val="5A3A3433"/>
    <w:multiLevelType w:val="singleLevel"/>
    <w:tmpl w:val="5A3A3433"/>
    <w:lvl w:ilvl="0" w:tentative="0">
      <w:start w:val="1"/>
      <w:numFmt w:val="decimal"/>
      <w:suff w:val="nothing"/>
      <w:lvlText w:val="%1"/>
      <w:lvlJc w:val="left"/>
      <w:pPr>
        <w:ind w:left="0" w:firstLine="0"/>
      </w:pPr>
      <w:rPr>
        <w:rFonts w:hint="default"/>
      </w:rPr>
    </w:lvl>
  </w:abstractNum>
  <w:num w:numId="1">
    <w:abstractNumId w:val="1"/>
  </w:num>
  <w:num w:numId="2">
    <w:abstractNumId w:val="6"/>
  </w:num>
  <w:num w:numId="3">
    <w:abstractNumId w:val="0"/>
  </w:num>
  <w:num w:numId="4">
    <w:abstractNumId w:val="5"/>
  </w:num>
  <w:num w:numId="5">
    <w:abstractNumId w:val="3"/>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bany">
    <w15:presenceInfo w15:providerId="None" w15:userId="xba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3C"/>
    <w:rsid w:val="00001C18"/>
    <w:rsid w:val="00003BDC"/>
    <w:rsid w:val="000116C9"/>
    <w:rsid w:val="000129F0"/>
    <w:rsid w:val="00013267"/>
    <w:rsid w:val="00015504"/>
    <w:rsid w:val="000157E0"/>
    <w:rsid w:val="00016977"/>
    <w:rsid w:val="00016C11"/>
    <w:rsid w:val="00020F60"/>
    <w:rsid w:val="00022E2D"/>
    <w:rsid w:val="00027B46"/>
    <w:rsid w:val="0003162E"/>
    <w:rsid w:val="000326E6"/>
    <w:rsid w:val="00033AFA"/>
    <w:rsid w:val="00034B09"/>
    <w:rsid w:val="0003557C"/>
    <w:rsid w:val="00036F27"/>
    <w:rsid w:val="000404AA"/>
    <w:rsid w:val="00041068"/>
    <w:rsid w:val="00041563"/>
    <w:rsid w:val="00042EBD"/>
    <w:rsid w:val="000449FF"/>
    <w:rsid w:val="0004575C"/>
    <w:rsid w:val="00047443"/>
    <w:rsid w:val="00050B14"/>
    <w:rsid w:val="00051422"/>
    <w:rsid w:val="000516EA"/>
    <w:rsid w:val="0005616F"/>
    <w:rsid w:val="00065D9F"/>
    <w:rsid w:val="00067C30"/>
    <w:rsid w:val="00070427"/>
    <w:rsid w:val="00070517"/>
    <w:rsid w:val="0007206B"/>
    <w:rsid w:val="0007361B"/>
    <w:rsid w:val="00074325"/>
    <w:rsid w:val="00074DBD"/>
    <w:rsid w:val="0007561C"/>
    <w:rsid w:val="00075E50"/>
    <w:rsid w:val="00077C69"/>
    <w:rsid w:val="0008032D"/>
    <w:rsid w:val="0008044A"/>
    <w:rsid w:val="00084233"/>
    <w:rsid w:val="000842B6"/>
    <w:rsid w:val="00086A2D"/>
    <w:rsid w:val="00090533"/>
    <w:rsid w:val="000952E6"/>
    <w:rsid w:val="000956B2"/>
    <w:rsid w:val="00096088"/>
    <w:rsid w:val="000967A6"/>
    <w:rsid w:val="00096D7F"/>
    <w:rsid w:val="000A07DC"/>
    <w:rsid w:val="000A09CA"/>
    <w:rsid w:val="000A5A62"/>
    <w:rsid w:val="000A5B11"/>
    <w:rsid w:val="000A6967"/>
    <w:rsid w:val="000B3254"/>
    <w:rsid w:val="000B3ED8"/>
    <w:rsid w:val="000B4D50"/>
    <w:rsid w:val="000C0660"/>
    <w:rsid w:val="000C0BC0"/>
    <w:rsid w:val="000C0F6D"/>
    <w:rsid w:val="000C0FB9"/>
    <w:rsid w:val="000C1F10"/>
    <w:rsid w:val="000C215E"/>
    <w:rsid w:val="000C6689"/>
    <w:rsid w:val="000D1126"/>
    <w:rsid w:val="000D11D8"/>
    <w:rsid w:val="000D3767"/>
    <w:rsid w:val="000D4751"/>
    <w:rsid w:val="000D4C5B"/>
    <w:rsid w:val="000D58D7"/>
    <w:rsid w:val="000D6C7B"/>
    <w:rsid w:val="000E142B"/>
    <w:rsid w:val="000E6748"/>
    <w:rsid w:val="000F0D72"/>
    <w:rsid w:val="000F6895"/>
    <w:rsid w:val="000F7EF1"/>
    <w:rsid w:val="00101A30"/>
    <w:rsid w:val="001026C1"/>
    <w:rsid w:val="00102CC2"/>
    <w:rsid w:val="00104CED"/>
    <w:rsid w:val="001061BD"/>
    <w:rsid w:val="00106CE1"/>
    <w:rsid w:val="00107945"/>
    <w:rsid w:val="00107E62"/>
    <w:rsid w:val="00110F33"/>
    <w:rsid w:val="00121B74"/>
    <w:rsid w:val="001224AA"/>
    <w:rsid w:val="00122CAF"/>
    <w:rsid w:val="001249A0"/>
    <w:rsid w:val="00126D1B"/>
    <w:rsid w:val="00127504"/>
    <w:rsid w:val="001312DE"/>
    <w:rsid w:val="00133F6E"/>
    <w:rsid w:val="001352B1"/>
    <w:rsid w:val="00135DBB"/>
    <w:rsid w:val="001373EB"/>
    <w:rsid w:val="0013796E"/>
    <w:rsid w:val="00141D2D"/>
    <w:rsid w:val="00142448"/>
    <w:rsid w:val="00143B98"/>
    <w:rsid w:val="001457AC"/>
    <w:rsid w:val="0014722F"/>
    <w:rsid w:val="00147D28"/>
    <w:rsid w:val="0015203E"/>
    <w:rsid w:val="00152E09"/>
    <w:rsid w:val="0015544F"/>
    <w:rsid w:val="00161D5A"/>
    <w:rsid w:val="001636C3"/>
    <w:rsid w:val="00163DDD"/>
    <w:rsid w:val="00164DCC"/>
    <w:rsid w:val="00171C88"/>
    <w:rsid w:val="00172582"/>
    <w:rsid w:val="0017264D"/>
    <w:rsid w:val="00172A27"/>
    <w:rsid w:val="00173F77"/>
    <w:rsid w:val="00174F8F"/>
    <w:rsid w:val="001769F9"/>
    <w:rsid w:val="001775D0"/>
    <w:rsid w:val="00181EBB"/>
    <w:rsid w:val="00182551"/>
    <w:rsid w:val="00183486"/>
    <w:rsid w:val="0018436D"/>
    <w:rsid w:val="001911D6"/>
    <w:rsid w:val="00192DCF"/>
    <w:rsid w:val="00194279"/>
    <w:rsid w:val="0019461B"/>
    <w:rsid w:val="00196A54"/>
    <w:rsid w:val="00197C7E"/>
    <w:rsid w:val="001A03A1"/>
    <w:rsid w:val="001A17DC"/>
    <w:rsid w:val="001A17E7"/>
    <w:rsid w:val="001A1C80"/>
    <w:rsid w:val="001A28A7"/>
    <w:rsid w:val="001A3921"/>
    <w:rsid w:val="001A41C3"/>
    <w:rsid w:val="001A5DE4"/>
    <w:rsid w:val="001A6B50"/>
    <w:rsid w:val="001A78FB"/>
    <w:rsid w:val="001B101F"/>
    <w:rsid w:val="001B37CB"/>
    <w:rsid w:val="001B482D"/>
    <w:rsid w:val="001B5A00"/>
    <w:rsid w:val="001B613F"/>
    <w:rsid w:val="001B712D"/>
    <w:rsid w:val="001C26BB"/>
    <w:rsid w:val="001C2EE9"/>
    <w:rsid w:val="001C38C0"/>
    <w:rsid w:val="001C44EA"/>
    <w:rsid w:val="001C5842"/>
    <w:rsid w:val="001C5B96"/>
    <w:rsid w:val="001D005D"/>
    <w:rsid w:val="001D0E52"/>
    <w:rsid w:val="001D10C7"/>
    <w:rsid w:val="001D151F"/>
    <w:rsid w:val="001D16B7"/>
    <w:rsid w:val="001D1812"/>
    <w:rsid w:val="001D4A17"/>
    <w:rsid w:val="001D5696"/>
    <w:rsid w:val="001D7579"/>
    <w:rsid w:val="001E0CA5"/>
    <w:rsid w:val="001E103D"/>
    <w:rsid w:val="001E11E2"/>
    <w:rsid w:val="001E1F85"/>
    <w:rsid w:val="001E25A4"/>
    <w:rsid w:val="001E31EF"/>
    <w:rsid w:val="001E5B51"/>
    <w:rsid w:val="001E64A3"/>
    <w:rsid w:val="001E753E"/>
    <w:rsid w:val="001E7717"/>
    <w:rsid w:val="001E7C7A"/>
    <w:rsid w:val="001F1CCA"/>
    <w:rsid w:val="001F2438"/>
    <w:rsid w:val="001F645F"/>
    <w:rsid w:val="001F7A06"/>
    <w:rsid w:val="0020075D"/>
    <w:rsid w:val="00203715"/>
    <w:rsid w:val="00205926"/>
    <w:rsid w:val="00210E3E"/>
    <w:rsid w:val="00210F73"/>
    <w:rsid w:val="0021222E"/>
    <w:rsid w:val="00214B05"/>
    <w:rsid w:val="002174F1"/>
    <w:rsid w:val="002200B2"/>
    <w:rsid w:val="00222CE7"/>
    <w:rsid w:val="00223D58"/>
    <w:rsid w:val="0022466D"/>
    <w:rsid w:val="00224E1B"/>
    <w:rsid w:val="002345BE"/>
    <w:rsid w:val="00235CDF"/>
    <w:rsid w:val="002364F1"/>
    <w:rsid w:val="002414EA"/>
    <w:rsid w:val="00241DED"/>
    <w:rsid w:val="00242FE2"/>
    <w:rsid w:val="00245C45"/>
    <w:rsid w:val="002476F8"/>
    <w:rsid w:val="0024784E"/>
    <w:rsid w:val="00253E70"/>
    <w:rsid w:val="002544C8"/>
    <w:rsid w:val="00254C9E"/>
    <w:rsid w:val="00254F3E"/>
    <w:rsid w:val="002555BC"/>
    <w:rsid w:val="00256D06"/>
    <w:rsid w:val="00256E19"/>
    <w:rsid w:val="00257676"/>
    <w:rsid w:val="00267F4A"/>
    <w:rsid w:val="002707C4"/>
    <w:rsid w:val="00271F5D"/>
    <w:rsid w:val="00275360"/>
    <w:rsid w:val="00277A8B"/>
    <w:rsid w:val="0028005E"/>
    <w:rsid w:val="002804CC"/>
    <w:rsid w:val="00280E62"/>
    <w:rsid w:val="00281D23"/>
    <w:rsid w:val="00281ED9"/>
    <w:rsid w:val="00282494"/>
    <w:rsid w:val="00283973"/>
    <w:rsid w:val="00283E5D"/>
    <w:rsid w:val="00284F7F"/>
    <w:rsid w:val="0028609C"/>
    <w:rsid w:val="00286E86"/>
    <w:rsid w:val="00291117"/>
    <w:rsid w:val="002934DB"/>
    <w:rsid w:val="00293B77"/>
    <w:rsid w:val="00294F7B"/>
    <w:rsid w:val="00295FBD"/>
    <w:rsid w:val="00297273"/>
    <w:rsid w:val="002972F3"/>
    <w:rsid w:val="002A152B"/>
    <w:rsid w:val="002A2CC5"/>
    <w:rsid w:val="002A2D44"/>
    <w:rsid w:val="002A2DFE"/>
    <w:rsid w:val="002A54C0"/>
    <w:rsid w:val="002A5837"/>
    <w:rsid w:val="002A6014"/>
    <w:rsid w:val="002A6CE1"/>
    <w:rsid w:val="002A6F6A"/>
    <w:rsid w:val="002A7FF4"/>
    <w:rsid w:val="002B0AE9"/>
    <w:rsid w:val="002B1F95"/>
    <w:rsid w:val="002B4B86"/>
    <w:rsid w:val="002C040B"/>
    <w:rsid w:val="002C2E8F"/>
    <w:rsid w:val="002C5A54"/>
    <w:rsid w:val="002C5F49"/>
    <w:rsid w:val="002C61F3"/>
    <w:rsid w:val="002C6788"/>
    <w:rsid w:val="002C6974"/>
    <w:rsid w:val="002C7E07"/>
    <w:rsid w:val="002D27CF"/>
    <w:rsid w:val="002D2FC7"/>
    <w:rsid w:val="002D3CA7"/>
    <w:rsid w:val="002D7456"/>
    <w:rsid w:val="002E09D5"/>
    <w:rsid w:val="002E0DEB"/>
    <w:rsid w:val="002E1088"/>
    <w:rsid w:val="002E295C"/>
    <w:rsid w:val="002E3886"/>
    <w:rsid w:val="002E5EEC"/>
    <w:rsid w:val="002E65D4"/>
    <w:rsid w:val="002F0B5F"/>
    <w:rsid w:val="002F196F"/>
    <w:rsid w:val="002F222D"/>
    <w:rsid w:val="002F3A28"/>
    <w:rsid w:val="002F42F8"/>
    <w:rsid w:val="002F59C0"/>
    <w:rsid w:val="003032DC"/>
    <w:rsid w:val="0030675D"/>
    <w:rsid w:val="003107A7"/>
    <w:rsid w:val="00311B30"/>
    <w:rsid w:val="003121D2"/>
    <w:rsid w:val="00313701"/>
    <w:rsid w:val="0031602A"/>
    <w:rsid w:val="003207BA"/>
    <w:rsid w:val="00321035"/>
    <w:rsid w:val="00322286"/>
    <w:rsid w:val="00322C75"/>
    <w:rsid w:val="00323239"/>
    <w:rsid w:val="0032395C"/>
    <w:rsid w:val="0032799E"/>
    <w:rsid w:val="00327E7D"/>
    <w:rsid w:val="003316EA"/>
    <w:rsid w:val="00331729"/>
    <w:rsid w:val="003327E1"/>
    <w:rsid w:val="00334909"/>
    <w:rsid w:val="00334BE4"/>
    <w:rsid w:val="003354C9"/>
    <w:rsid w:val="00336804"/>
    <w:rsid w:val="003374CB"/>
    <w:rsid w:val="003407CB"/>
    <w:rsid w:val="00340883"/>
    <w:rsid w:val="00340ABF"/>
    <w:rsid w:val="00340F0F"/>
    <w:rsid w:val="00340F3A"/>
    <w:rsid w:val="0034100B"/>
    <w:rsid w:val="00342762"/>
    <w:rsid w:val="00342C3D"/>
    <w:rsid w:val="00343E6C"/>
    <w:rsid w:val="00344303"/>
    <w:rsid w:val="003478E4"/>
    <w:rsid w:val="0035156D"/>
    <w:rsid w:val="00352CBC"/>
    <w:rsid w:val="003547D1"/>
    <w:rsid w:val="0035629A"/>
    <w:rsid w:val="0035701F"/>
    <w:rsid w:val="003603B5"/>
    <w:rsid w:val="00362FD8"/>
    <w:rsid w:val="003641B1"/>
    <w:rsid w:val="00365A3B"/>
    <w:rsid w:val="003674F5"/>
    <w:rsid w:val="00372297"/>
    <w:rsid w:val="00372738"/>
    <w:rsid w:val="003745B1"/>
    <w:rsid w:val="00376ED2"/>
    <w:rsid w:val="00377C34"/>
    <w:rsid w:val="003817ED"/>
    <w:rsid w:val="00381A4A"/>
    <w:rsid w:val="0038268A"/>
    <w:rsid w:val="003839F1"/>
    <w:rsid w:val="00385BDA"/>
    <w:rsid w:val="00386394"/>
    <w:rsid w:val="00387215"/>
    <w:rsid w:val="00387761"/>
    <w:rsid w:val="0039065B"/>
    <w:rsid w:val="00391594"/>
    <w:rsid w:val="00391924"/>
    <w:rsid w:val="0039193E"/>
    <w:rsid w:val="003932C0"/>
    <w:rsid w:val="0039498A"/>
    <w:rsid w:val="003957C3"/>
    <w:rsid w:val="00397F62"/>
    <w:rsid w:val="003A1025"/>
    <w:rsid w:val="003A1C4E"/>
    <w:rsid w:val="003A3EDE"/>
    <w:rsid w:val="003A421E"/>
    <w:rsid w:val="003A570B"/>
    <w:rsid w:val="003A6461"/>
    <w:rsid w:val="003A6604"/>
    <w:rsid w:val="003A6938"/>
    <w:rsid w:val="003A6AE2"/>
    <w:rsid w:val="003A726A"/>
    <w:rsid w:val="003A74AB"/>
    <w:rsid w:val="003A78CD"/>
    <w:rsid w:val="003B0BF5"/>
    <w:rsid w:val="003B3CCD"/>
    <w:rsid w:val="003B43DC"/>
    <w:rsid w:val="003B7D1D"/>
    <w:rsid w:val="003C05EF"/>
    <w:rsid w:val="003C14E8"/>
    <w:rsid w:val="003C24FA"/>
    <w:rsid w:val="003C3B3E"/>
    <w:rsid w:val="003C5F72"/>
    <w:rsid w:val="003C6C8E"/>
    <w:rsid w:val="003C6E1B"/>
    <w:rsid w:val="003D31C2"/>
    <w:rsid w:val="003D459A"/>
    <w:rsid w:val="003D5936"/>
    <w:rsid w:val="003D6EC4"/>
    <w:rsid w:val="003E1CC0"/>
    <w:rsid w:val="003E1D5C"/>
    <w:rsid w:val="003E20F9"/>
    <w:rsid w:val="003E2316"/>
    <w:rsid w:val="003E2D9E"/>
    <w:rsid w:val="003E381B"/>
    <w:rsid w:val="003E47DF"/>
    <w:rsid w:val="003F01C0"/>
    <w:rsid w:val="003F1951"/>
    <w:rsid w:val="003F255C"/>
    <w:rsid w:val="003F5233"/>
    <w:rsid w:val="003F56C7"/>
    <w:rsid w:val="003F629B"/>
    <w:rsid w:val="0040240D"/>
    <w:rsid w:val="004026A3"/>
    <w:rsid w:val="00404B51"/>
    <w:rsid w:val="004101FE"/>
    <w:rsid w:val="0041057C"/>
    <w:rsid w:val="00410686"/>
    <w:rsid w:val="00410E41"/>
    <w:rsid w:val="0041209C"/>
    <w:rsid w:val="00412562"/>
    <w:rsid w:val="004126E6"/>
    <w:rsid w:val="00413650"/>
    <w:rsid w:val="00413D1A"/>
    <w:rsid w:val="00415425"/>
    <w:rsid w:val="0041727C"/>
    <w:rsid w:val="00427691"/>
    <w:rsid w:val="00427890"/>
    <w:rsid w:val="00430DD8"/>
    <w:rsid w:val="00433726"/>
    <w:rsid w:val="00433F5F"/>
    <w:rsid w:val="00434BAE"/>
    <w:rsid w:val="00437718"/>
    <w:rsid w:val="004401EC"/>
    <w:rsid w:val="0044072F"/>
    <w:rsid w:val="00441790"/>
    <w:rsid w:val="004418FA"/>
    <w:rsid w:val="00442597"/>
    <w:rsid w:val="00446922"/>
    <w:rsid w:val="004475BE"/>
    <w:rsid w:val="00452C20"/>
    <w:rsid w:val="0045398D"/>
    <w:rsid w:val="00454956"/>
    <w:rsid w:val="0045767B"/>
    <w:rsid w:val="004600F3"/>
    <w:rsid w:val="00460554"/>
    <w:rsid w:val="00460A40"/>
    <w:rsid w:val="00460F92"/>
    <w:rsid w:val="004662BC"/>
    <w:rsid w:val="00470D19"/>
    <w:rsid w:val="00471F78"/>
    <w:rsid w:val="00475813"/>
    <w:rsid w:val="00477B23"/>
    <w:rsid w:val="00480391"/>
    <w:rsid w:val="0048168D"/>
    <w:rsid w:val="00482D1B"/>
    <w:rsid w:val="00484BBA"/>
    <w:rsid w:val="00486F6A"/>
    <w:rsid w:val="004876B4"/>
    <w:rsid w:val="00487D95"/>
    <w:rsid w:val="00491D0B"/>
    <w:rsid w:val="00492F27"/>
    <w:rsid w:val="00493DEC"/>
    <w:rsid w:val="00495B15"/>
    <w:rsid w:val="00495FFB"/>
    <w:rsid w:val="00496C8B"/>
    <w:rsid w:val="004A0EAE"/>
    <w:rsid w:val="004A1ED9"/>
    <w:rsid w:val="004A293D"/>
    <w:rsid w:val="004A4277"/>
    <w:rsid w:val="004A6AD7"/>
    <w:rsid w:val="004A701F"/>
    <w:rsid w:val="004A7132"/>
    <w:rsid w:val="004A7839"/>
    <w:rsid w:val="004A7E2A"/>
    <w:rsid w:val="004B0811"/>
    <w:rsid w:val="004B105A"/>
    <w:rsid w:val="004B23D5"/>
    <w:rsid w:val="004B3518"/>
    <w:rsid w:val="004B50E3"/>
    <w:rsid w:val="004B54A3"/>
    <w:rsid w:val="004B5763"/>
    <w:rsid w:val="004B6CAA"/>
    <w:rsid w:val="004B7981"/>
    <w:rsid w:val="004B7F92"/>
    <w:rsid w:val="004C2019"/>
    <w:rsid w:val="004C2BC5"/>
    <w:rsid w:val="004C7951"/>
    <w:rsid w:val="004D1561"/>
    <w:rsid w:val="004D1C64"/>
    <w:rsid w:val="004D555F"/>
    <w:rsid w:val="004D7668"/>
    <w:rsid w:val="004E17A9"/>
    <w:rsid w:val="004E1E11"/>
    <w:rsid w:val="004E2A9C"/>
    <w:rsid w:val="004E354D"/>
    <w:rsid w:val="004E5159"/>
    <w:rsid w:val="004E7592"/>
    <w:rsid w:val="004F3D1E"/>
    <w:rsid w:val="004F4474"/>
    <w:rsid w:val="004F5603"/>
    <w:rsid w:val="004F60A9"/>
    <w:rsid w:val="00500BB9"/>
    <w:rsid w:val="0050281C"/>
    <w:rsid w:val="005029FC"/>
    <w:rsid w:val="00504165"/>
    <w:rsid w:val="0050641B"/>
    <w:rsid w:val="00507024"/>
    <w:rsid w:val="0050709C"/>
    <w:rsid w:val="00510821"/>
    <w:rsid w:val="00513A58"/>
    <w:rsid w:val="00513DDD"/>
    <w:rsid w:val="005156E4"/>
    <w:rsid w:val="005158AF"/>
    <w:rsid w:val="00516A97"/>
    <w:rsid w:val="00516C1D"/>
    <w:rsid w:val="00517A1E"/>
    <w:rsid w:val="005203B0"/>
    <w:rsid w:val="005205B6"/>
    <w:rsid w:val="00522DB1"/>
    <w:rsid w:val="00523A76"/>
    <w:rsid w:val="005254AB"/>
    <w:rsid w:val="0052569A"/>
    <w:rsid w:val="0052715C"/>
    <w:rsid w:val="00532806"/>
    <w:rsid w:val="00534774"/>
    <w:rsid w:val="005362B5"/>
    <w:rsid w:val="00536EDF"/>
    <w:rsid w:val="005402AE"/>
    <w:rsid w:val="005462A5"/>
    <w:rsid w:val="005467E8"/>
    <w:rsid w:val="00547477"/>
    <w:rsid w:val="00551A24"/>
    <w:rsid w:val="005548D0"/>
    <w:rsid w:val="00556BF7"/>
    <w:rsid w:val="00560CF6"/>
    <w:rsid w:val="00561FED"/>
    <w:rsid w:val="00562428"/>
    <w:rsid w:val="00562795"/>
    <w:rsid w:val="0056306D"/>
    <w:rsid w:val="005635D0"/>
    <w:rsid w:val="005635E5"/>
    <w:rsid w:val="00570421"/>
    <w:rsid w:val="005718B2"/>
    <w:rsid w:val="00572360"/>
    <w:rsid w:val="0057331A"/>
    <w:rsid w:val="005734FF"/>
    <w:rsid w:val="0057649F"/>
    <w:rsid w:val="00577F51"/>
    <w:rsid w:val="0058120A"/>
    <w:rsid w:val="00581313"/>
    <w:rsid w:val="00582081"/>
    <w:rsid w:val="0058217D"/>
    <w:rsid w:val="0058264A"/>
    <w:rsid w:val="0058599C"/>
    <w:rsid w:val="00587730"/>
    <w:rsid w:val="005905C1"/>
    <w:rsid w:val="00591DBB"/>
    <w:rsid w:val="00592BEB"/>
    <w:rsid w:val="00592E7E"/>
    <w:rsid w:val="005945C7"/>
    <w:rsid w:val="00597210"/>
    <w:rsid w:val="00597D8F"/>
    <w:rsid w:val="005A0E71"/>
    <w:rsid w:val="005A1948"/>
    <w:rsid w:val="005A2206"/>
    <w:rsid w:val="005A4E32"/>
    <w:rsid w:val="005A4F3A"/>
    <w:rsid w:val="005A61EB"/>
    <w:rsid w:val="005A7E7C"/>
    <w:rsid w:val="005B2086"/>
    <w:rsid w:val="005B3E15"/>
    <w:rsid w:val="005B60CD"/>
    <w:rsid w:val="005B62F7"/>
    <w:rsid w:val="005B77EB"/>
    <w:rsid w:val="005C1D52"/>
    <w:rsid w:val="005C42B0"/>
    <w:rsid w:val="005C4A1E"/>
    <w:rsid w:val="005C512D"/>
    <w:rsid w:val="005C5AFC"/>
    <w:rsid w:val="005C71C1"/>
    <w:rsid w:val="005C79B8"/>
    <w:rsid w:val="005D11E4"/>
    <w:rsid w:val="005D2FE0"/>
    <w:rsid w:val="005D3720"/>
    <w:rsid w:val="005D4C68"/>
    <w:rsid w:val="005D5FDB"/>
    <w:rsid w:val="005E007E"/>
    <w:rsid w:val="005E00C1"/>
    <w:rsid w:val="005E00E1"/>
    <w:rsid w:val="005E2C36"/>
    <w:rsid w:val="005E5F9C"/>
    <w:rsid w:val="005E7BAA"/>
    <w:rsid w:val="005F01C8"/>
    <w:rsid w:val="005F0EEC"/>
    <w:rsid w:val="005F1DE5"/>
    <w:rsid w:val="005F3E74"/>
    <w:rsid w:val="005F5D8C"/>
    <w:rsid w:val="00601A2B"/>
    <w:rsid w:val="006040A1"/>
    <w:rsid w:val="006046FD"/>
    <w:rsid w:val="006056E6"/>
    <w:rsid w:val="00605F72"/>
    <w:rsid w:val="006114A4"/>
    <w:rsid w:val="006116A5"/>
    <w:rsid w:val="0061263A"/>
    <w:rsid w:val="006134CA"/>
    <w:rsid w:val="00613846"/>
    <w:rsid w:val="00614FB8"/>
    <w:rsid w:val="00615EC3"/>
    <w:rsid w:val="00616EEB"/>
    <w:rsid w:val="00617923"/>
    <w:rsid w:val="00617CD1"/>
    <w:rsid w:val="00621D9F"/>
    <w:rsid w:val="00623834"/>
    <w:rsid w:val="006254D8"/>
    <w:rsid w:val="006261E3"/>
    <w:rsid w:val="0062621D"/>
    <w:rsid w:val="00626906"/>
    <w:rsid w:val="00627A78"/>
    <w:rsid w:val="00627BA8"/>
    <w:rsid w:val="006307B6"/>
    <w:rsid w:val="00632257"/>
    <w:rsid w:val="00632F17"/>
    <w:rsid w:val="0063349B"/>
    <w:rsid w:val="00633BFE"/>
    <w:rsid w:val="00633E42"/>
    <w:rsid w:val="00634C04"/>
    <w:rsid w:val="0063680F"/>
    <w:rsid w:val="00636AAF"/>
    <w:rsid w:val="00637309"/>
    <w:rsid w:val="0063735C"/>
    <w:rsid w:val="00637AD9"/>
    <w:rsid w:val="00640424"/>
    <w:rsid w:val="00640879"/>
    <w:rsid w:val="0064223A"/>
    <w:rsid w:val="00642AC8"/>
    <w:rsid w:val="00644518"/>
    <w:rsid w:val="006453FA"/>
    <w:rsid w:val="0064737A"/>
    <w:rsid w:val="00650E0C"/>
    <w:rsid w:val="00651853"/>
    <w:rsid w:val="00652BDE"/>
    <w:rsid w:val="0065396E"/>
    <w:rsid w:val="00653AC2"/>
    <w:rsid w:val="0065460B"/>
    <w:rsid w:val="00655476"/>
    <w:rsid w:val="00656740"/>
    <w:rsid w:val="00662A73"/>
    <w:rsid w:val="00664D87"/>
    <w:rsid w:val="00666100"/>
    <w:rsid w:val="0066653B"/>
    <w:rsid w:val="00667B22"/>
    <w:rsid w:val="00670EE1"/>
    <w:rsid w:val="006724C4"/>
    <w:rsid w:val="00674E39"/>
    <w:rsid w:val="00676443"/>
    <w:rsid w:val="00676A52"/>
    <w:rsid w:val="00677739"/>
    <w:rsid w:val="00681EA8"/>
    <w:rsid w:val="00682B72"/>
    <w:rsid w:val="00683134"/>
    <w:rsid w:val="00683151"/>
    <w:rsid w:val="00683974"/>
    <w:rsid w:val="0068499E"/>
    <w:rsid w:val="00685CC2"/>
    <w:rsid w:val="00686290"/>
    <w:rsid w:val="006866D9"/>
    <w:rsid w:val="006874C0"/>
    <w:rsid w:val="00692732"/>
    <w:rsid w:val="00694A05"/>
    <w:rsid w:val="00695501"/>
    <w:rsid w:val="00695CF6"/>
    <w:rsid w:val="0069625E"/>
    <w:rsid w:val="00696DCA"/>
    <w:rsid w:val="006A0BA6"/>
    <w:rsid w:val="006A0C88"/>
    <w:rsid w:val="006A73C0"/>
    <w:rsid w:val="006B1470"/>
    <w:rsid w:val="006B1FD0"/>
    <w:rsid w:val="006B34D0"/>
    <w:rsid w:val="006B5C27"/>
    <w:rsid w:val="006B60C4"/>
    <w:rsid w:val="006C04C9"/>
    <w:rsid w:val="006C0677"/>
    <w:rsid w:val="006C0B41"/>
    <w:rsid w:val="006C11CB"/>
    <w:rsid w:val="006C2F96"/>
    <w:rsid w:val="006C426D"/>
    <w:rsid w:val="006D0D5D"/>
    <w:rsid w:val="006D10B7"/>
    <w:rsid w:val="006D2AC2"/>
    <w:rsid w:val="006D3C60"/>
    <w:rsid w:val="006D419D"/>
    <w:rsid w:val="006D4BB3"/>
    <w:rsid w:val="006D5038"/>
    <w:rsid w:val="006D6D04"/>
    <w:rsid w:val="006D6FB1"/>
    <w:rsid w:val="006D7F67"/>
    <w:rsid w:val="006E28CF"/>
    <w:rsid w:val="006E4C77"/>
    <w:rsid w:val="006F202D"/>
    <w:rsid w:val="006F32F9"/>
    <w:rsid w:val="006F36F5"/>
    <w:rsid w:val="006F5A7B"/>
    <w:rsid w:val="006F63E9"/>
    <w:rsid w:val="00702F54"/>
    <w:rsid w:val="007037FF"/>
    <w:rsid w:val="00703822"/>
    <w:rsid w:val="0070578F"/>
    <w:rsid w:val="007057D7"/>
    <w:rsid w:val="007066DE"/>
    <w:rsid w:val="00706D6B"/>
    <w:rsid w:val="00710757"/>
    <w:rsid w:val="00710D64"/>
    <w:rsid w:val="007110B4"/>
    <w:rsid w:val="007118CE"/>
    <w:rsid w:val="0071214C"/>
    <w:rsid w:val="00712D27"/>
    <w:rsid w:val="007130CD"/>
    <w:rsid w:val="007144DF"/>
    <w:rsid w:val="007177D9"/>
    <w:rsid w:val="00717E33"/>
    <w:rsid w:val="00720946"/>
    <w:rsid w:val="007215F8"/>
    <w:rsid w:val="007222A0"/>
    <w:rsid w:val="00722E06"/>
    <w:rsid w:val="0072485F"/>
    <w:rsid w:val="00724DF2"/>
    <w:rsid w:val="00725E4F"/>
    <w:rsid w:val="0072627B"/>
    <w:rsid w:val="00726EEC"/>
    <w:rsid w:val="00730169"/>
    <w:rsid w:val="00732390"/>
    <w:rsid w:val="0073274B"/>
    <w:rsid w:val="00740CE5"/>
    <w:rsid w:val="00740DCD"/>
    <w:rsid w:val="00742D9D"/>
    <w:rsid w:val="007439E2"/>
    <w:rsid w:val="007453D4"/>
    <w:rsid w:val="0074598E"/>
    <w:rsid w:val="00746E15"/>
    <w:rsid w:val="0074746A"/>
    <w:rsid w:val="00747CE8"/>
    <w:rsid w:val="00751E35"/>
    <w:rsid w:val="00751EBA"/>
    <w:rsid w:val="00753D95"/>
    <w:rsid w:val="00754B50"/>
    <w:rsid w:val="007551B2"/>
    <w:rsid w:val="00755423"/>
    <w:rsid w:val="0075582C"/>
    <w:rsid w:val="00756D97"/>
    <w:rsid w:val="00760A06"/>
    <w:rsid w:val="0076176C"/>
    <w:rsid w:val="00763E63"/>
    <w:rsid w:val="00766807"/>
    <w:rsid w:val="00766933"/>
    <w:rsid w:val="00772B4D"/>
    <w:rsid w:val="007733F1"/>
    <w:rsid w:val="007736E2"/>
    <w:rsid w:val="007741C6"/>
    <w:rsid w:val="00774539"/>
    <w:rsid w:val="007745BE"/>
    <w:rsid w:val="007748C7"/>
    <w:rsid w:val="00774FAF"/>
    <w:rsid w:val="007757EA"/>
    <w:rsid w:val="007762CB"/>
    <w:rsid w:val="00777325"/>
    <w:rsid w:val="007816D8"/>
    <w:rsid w:val="0078412F"/>
    <w:rsid w:val="007848CB"/>
    <w:rsid w:val="0079151E"/>
    <w:rsid w:val="00791771"/>
    <w:rsid w:val="007920C6"/>
    <w:rsid w:val="00792566"/>
    <w:rsid w:val="0079316D"/>
    <w:rsid w:val="00796894"/>
    <w:rsid w:val="007A1272"/>
    <w:rsid w:val="007A4399"/>
    <w:rsid w:val="007A4932"/>
    <w:rsid w:val="007A5317"/>
    <w:rsid w:val="007A639C"/>
    <w:rsid w:val="007A6887"/>
    <w:rsid w:val="007A79A7"/>
    <w:rsid w:val="007A7F15"/>
    <w:rsid w:val="007B1018"/>
    <w:rsid w:val="007B23C5"/>
    <w:rsid w:val="007B29F3"/>
    <w:rsid w:val="007B2BA7"/>
    <w:rsid w:val="007B469F"/>
    <w:rsid w:val="007B606B"/>
    <w:rsid w:val="007B6E8D"/>
    <w:rsid w:val="007C19A4"/>
    <w:rsid w:val="007C1E1D"/>
    <w:rsid w:val="007C4E97"/>
    <w:rsid w:val="007C52B4"/>
    <w:rsid w:val="007C7D53"/>
    <w:rsid w:val="007D1E4A"/>
    <w:rsid w:val="007D32D9"/>
    <w:rsid w:val="007D6C4A"/>
    <w:rsid w:val="007D7EC7"/>
    <w:rsid w:val="007E0B6A"/>
    <w:rsid w:val="007E2C69"/>
    <w:rsid w:val="007E3067"/>
    <w:rsid w:val="007E417A"/>
    <w:rsid w:val="007E58B8"/>
    <w:rsid w:val="007F0532"/>
    <w:rsid w:val="007F17C4"/>
    <w:rsid w:val="007F256A"/>
    <w:rsid w:val="007F2E83"/>
    <w:rsid w:val="007F30D6"/>
    <w:rsid w:val="007F6254"/>
    <w:rsid w:val="007F67CC"/>
    <w:rsid w:val="007F68A1"/>
    <w:rsid w:val="007F72D1"/>
    <w:rsid w:val="00801575"/>
    <w:rsid w:val="0080414C"/>
    <w:rsid w:val="008047EF"/>
    <w:rsid w:val="00807277"/>
    <w:rsid w:val="0081042B"/>
    <w:rsid w:val="008128BD"/>
    <w:rsid w:val="00812C79"/>
    <w:rsid w:val="00814EF2"/>
    <w:rsid w:val="00816143"/>
    <w:rsid w:val="00816517"/>
    <w:rsid w:val="00824040"/>
    <w:rsid w:val="00825D61"/>
    <w:rsid w:val="00826CA4"/>
    <w:rsid w:val="00826E3A"/>
    <w:rsid w:val="008329FB"/>
    <w:rsid w:val="008407CB"/>
    <w:rsid w:val="00844569"/>
    <w:rsid w:val="008457DC"/>
    <w:rsid w:val="00845BB0"/>
    <w:rsid w:val="00846C10"/>
    <w:rsid w:val="00847F12"/>
    <w:rsid w:val="00850290"/>
    <w:rsid w:val="008504ED"/>
    <w:rsid w:val="008505D6"/>
    <w:rsid w:val="00851F1C"/>
    <w:rsid w:val="008525B2"/>
    <w:rsid w:val="00856548"/>
    <w:rsid w:val="00857796"/>
    <w:rsid w:val="00860A05"/>
    <w:rsid w:val="00860A9E"/>
    <w:rsid w:val="00863327"/>
    <w:rsid w:val="00865F18"/>
    <w:rsid w:val="008716BC"/>
    <w:rsid w:val="008725F2"/>
    <w:rsid w:val="00872638"/>
    <w:rsid w:val="00873041"/>
    <w:rsid w:val="00873589"/>
    <w:rsid w:val="00874B71"/>
    <w:rsid w:val="0087536C"/>
    <w:rsid w:val="00877665"/>
    <w:rsid w:val="008806DE"/>
    <w:rsid w:val="00880804"/>
    <w:rsid w:val="008815A5"/>
    <w:rsid w:val="00881674"/>
    <w:rsid w:val="008905B0"/>
    <w:rsid w:val="00891071"/>
    <w:rsid w:val="00892EF2"/>
    <w:rsid w:val="008A1383"/>
    <w:rsid w:val="008A1F61"/>
    <w:rsid w:val="008A2589"/>
    <w:rsid w:val="008A2FE0"/>
    <w:rsid w:val="008A4B1A"/>
    <w:rsid w:val="008A54E1"/>
    <w:rsid w:val="008A5B83"/>
    <w:rsid w:val="008A640B"/>
    <w:rsid w:val="008A7B78"/>
    <w:rsid w:val="008B2A49"/>
    <w:rsid w:val="008B33F2"/>
    <w:rsid w:val="008B434D"/>
    <w:rsid w:val="008C0A02"/>
    <w:rsid w:val="008C0E12"/>
    <w:rsid w:val="008C15C4"/>
    <w:rsid w:val="008C167C"/>
    <w:rsid w:val="008C2633"/>
    <w:rsid w:val="008C3937"/>
    <w:rsid w:val="008C3F37"/>
    <w:rsid w:val="008C47BD"/>
    <w:rsid w:val="008C4E2D"/>
    <w:rsid w:val="008C6252"/>
    <w:rsid w:val="008C6BF6"/>
    <w:rsid w:val="008C70AF"/>
    <w:rsid w:val="008D051E"/>
    <w:rsid w:val="008D15D9"/>
    <w:rsid w:val="008D37B6"/>
    <w:rsid w:val="008D694D"/>
    <w:rsid w:val="008E3622"/>
    <w:rsid w:val="008E48F1"/>
    <w:rsid w:val="008E5436"/>
    <w:rsid w:val="008E56D9"/>
    <w:rsid w:val="008E5E32"/>
    <w:rsid w:val="008E7303"/>
    <w:rsid w:val="008E73D7"/>
    <w:rsid w:val="008E7ACD"/>
    <w:rsid w:val="008F02B7"/>
    <w:rsid w:val="008F4DFB"/>
    <w:rsid w:val="008F5297"/>
    <w:rsid w:val="008F5BEF"/>
    <w:rsid w:val="008F6D55"/>
    <w:rsid w:val="008F7455"/>
    <w:rsid w:val="008F7B0D"/>
    <w:rsid w:val="0090093B"/>
    <w:rsid w:val="00900DF6"/>
    <w:rsid w:val="00900FD2"/>
    <w:rsid w:val="0090176A"/>
    <w:rsid w:val="0090216B"/>
    <w:rsid w:val="00902733"/>
    <w:rsid w:val="00903122"/>
    <w:rsid w:val="009057D3"/>
    <w:rsid w:val="0090747A"/>
    <w:rsid w:val="00912EAF"/>
    <w:rsid w:val="009145A0"/>
    <w:rsid w:val="009154A9"/>
    <w:rsid w:val="0091589F"/>
    <w:rsid w:val="009167B3"/>
    <w:rsid w:val="009178E2"/>
    <w:rsid w:val="00920D79"/>
    <w:rsid w:val="00922B8D"/>
    <w:rsid w:val="0092303A"/>
    <w:rsid w:val="009236AD"/>
    <w:rsid w:val="00923860"/>
    <w:rsid w:val="00923921"/>
    <w:rsid w:val="009250AC"/>
    <w:rsid w:val="009272C6"/>
    <w:rsid w:val="009273CA"/>
    <w:rsid w:val="00927F30"/>
    <w:rsid w:val="0093048B"/>
    <w:rsid w:val="00930796"/>
    <w:rsid w:val="009315F9"/>
    <w:rsid w:val="00931600"/>
    <w:rsid w:val="00931E00"/>
    <w:rsid w:val="00933D1D"/>
    <w:rsid w:val="00934B61"/>
    <w:rsid w:val="00935169"/>
    <w:rsid w:val="00935F6E"/>
    <w:rsid w:val="00936922"/>
    <w:rsid w:val="00936AC1"/>
    <w:rsid w:val="00936F0B"/>
    <w:rsid w:val="00937080"/>
    <w:rsid w:val="00940C32"/>
    <w:rsid w:val="00940D20"/>
    <w:rsid w:val="0094426C"/>
    <w:rsid w:val="00945044"/>
    <w:rsid w:val="009474D9"/>
    <w:rsid w:val="00950F14"/>
    <w:rsid w:val="0095105F"/>
    <w:rsid w:val="00951DF4"/>
    <w:rsid w:val="00952B24"/>
    <w:rsid w:val="00952B53"/>
    <w:rsid w:val="00952C2B"/>
    <w:rsid w:val="00954BD4"/>
    <w:rsid w:val="00955BD0"/>
    <w:rsid w:val="00955FCE"/>
    <w:rsid w:val="00957E64"/>
    <w:rsid w:val="009609A5"/>
    <w:rsid w:val="00963211"/>
    <w:rsid w:val="00963E1F"/>
    <w:rsid w:val="00964FD4"/>
    <w:rsid w:val="00965712"/>
    <w:rsid w:val="00965BC8"/>
    <w:rsid w:val="00965EC5"/>
    <w:rsid w:val="00966148"/>
    <w:rsid w:val="00967556"/>
    <w:rsid w:val="0096789C"/>
    <w:rsid w:val="00970C8C"/>
    <w:rsid w:val="00973D02"/>
    <w:rsid w:val="0097453A"/>
    <w:rsid w:val="00974EC0"/>
    <w:rsid w:val="00977C3F"/>
    <w:rsid w:val="00977E10"/>
    <w:rsid w:val="00984396"/>
    <w:rsid w:val="00986EE1"/>
    <w:rsid w:val="00987A77"/>
    <w:rsid w:val="00994D5A"/>
    <w:rsid w:val="00995EF6"/>
    <w:rsid w:val="00996A28"/>
    <w:rsid w:val="009A15AB"/>
    <w:rsid w:val="009A3C91"/>
    <w:rsid w:val="009A3DB5"/>
    <w:rsid w:val="009A56C4"/>
    <w:rsid w:val="009A65F6"/>
    <w:rsid w:val="009B01BD"/>
    <w:rsid w:val="009B0997"/>
    <w:rsid w:val="009B2D45"/>
    <w:rsid w:val="009B2F9E"/>
    <w:rsid w:val="009B387F"/>
    <w:rsid w:val="009B3FD5"/>
    <w:rsid w:val="009B4AB3"/>
    <w:rsid w:val="009B4BA0"/>
    <w:rsid w:val="009B517B"/>
    <w:rsid w:val="009B6132"/>
    <w:rsid w:val="009B777E"/>
    <w:rsid w:val="009C0050"/>
    <w:rsid w:val="009C0F10"/>
    <w:rsid w:val="009C17D1"/>
    <w:rsid w:val="009C53FA"/>
    <w:rsid w:val="009C737F"/>
    <w:rsid w:val="009D0519"/>
    <w:rsid w:val="009D1B78"/>
    <w:rsid w:val="009D260C"/>
    <w:rsid w:val="009D29FF"/>
    <w:rsid w:val="009D57D6"/>
    <w:rsid w:val="009D5F0E"/>
    <w:rsid w:val="009D7E01"/>
    <w:rsid w:val="009E1D64"/>
    <w:rsid w:val="009E2238"/>
    <w:rsid w:val="009E30AD"/>
    <w:rsid w:val="009E75D8"/>
    <w:rsid w:val="009F0BDC"/>
    <w:rsid w:val="009F1B25"/>
    <w:rsid w:val="009F452B"/>
    <w:rsid w:val="009F4893"/>
    <w:rsid w:val="009F50B2"/>
    <w:rsid w:val="009F566C"/>
    <w:rsid w:val="00A00B90"/>
    <w:rsid w:val="00A00D04"/>
    <w:rsid w:val="00A01C0F"/>
    <w:rsid w:val="00A02519"/>
    <w:rsid w:val="00A02D54"/>
    <w:rsid w:val="00A03F76"/>
    <w:rsid w:val="00A073E0"/>
    <w:rsid w:val="00A07C22"/>
    <w:rsid w:val="00A13861"/>
    <w:rsid w:val="00A13A82"/>
    <w:rsid w:val="00A15294"/>
    <w:rsid w:val="00A16429"/>
    <w:rsid w:val="00A20711"/>
    <w:rsid w:val="00A2108F"/>
    <w:rsid w:val="00A215F6"/>
    <w:rsid w:val="00A23790"/>
    <w:rsid w:val="00A2599F"/>
    <w:rsid w:val="00A25EFA"/>
    <w:rsid w:val="00A27071"/>
    <w:rsid w:val="00A324C0"/>
    <w:rsid w:val="00A336C0"/>
    <w:rsid w:val="00A36098"/>
    <w:rsid w:val="00A37B6A"/>
    <w:rsid w:val="00A410C0"/>
    <w:rsid w:val="00A4282F"/>
    <w:rsid w:val="00A43DED"/>
    <w:rsid w:val="00A45030"/>
    <w:rsid w:val="00A47AA2"/>
    <w:rsid w:val="00A53A58"/>
    <w:rsid w:val="00A5429B"/>
    <w:rsid w:val="00A54B98"/>
    <w:rsid w:val="00A55729"/>
    <w:rsid w:val="00A566D5"/>
    <w:rsid w:val="00A57807"/>
    <w:rsid w:val="00A628F0"/>
    <w:rsid w:val="00A64857"/>
    <w:rsid w:val="00A65D5B"/>
    <w:rsid w:val="00A67892"/>
    <w:rsid w:val="00A7026A"/>
    <w:rsid w:val="00A7101B"/>
    <w:rsid w:val="00A71E95"/>
    <w:rsid w:val="00A72CFC"/>
    <w:rsid w:val="00A746D1"/>
    <w:rsid w:val="00A7708C"/>
    <w:rsid w:val="00A831D9"/>
    <w:rsid w:val="00A856A6"/>
    <w:rsid w:val="00A86423"/>
    <w:rsid w:val="00A8677A"/>
    <w:rsid w:val="00A86D7F"/>
    <w:rsid w:val="00A86E64"/>
    <w:rsid w:val="00A905B8"/>
    <w:rsid w:val="00A91DBA"/>
    <w:rsid w:val="00A93D47"/>
    <w:rsid w:val="00AA0497"/>
    <w:rsid w:val="00AA3F1F"/>
    <w:rsid w:val="00AA4690"/>
    <w:rsid w:val="00AA6AB9"/>
    <w:rsid w:val="00AA756E"/>
    <w:rsid w:val="00AB01B2"/>
    <w:rsid w:val="00AB0585"/>
    <w:rsid w:val="00AB0A46"/>
    <w:rsid w:val="00AB30A3"/>
    <w:rsid w:val="00AB45FE"/>
    <w:rsid w:val="00AC0662"/>
    <w:rsid w:val="00AC0C21"/>
    <w:rsid w:val="00AC1FA4"/>
    <w:rsid w:val="00AC1FA9"/>
    <w:rsid w:val="00AC27A8"/>
    <w:rsid w:val="00AC2AFD"/>
    <w:rsid w:val="00AC3E41"/>
    <w:rsid w:val="00AC4D52"/>
    <w:rsid w:val="00AC50B5"/>
    <w:rsid w:val="00AC75D1"/>
    <w:rsid w:val="00AD01F0"/>
    <w:rsid w:val="00AD048B"/>
    <w:rsid w:val="00AD0494"/>
    <w:rsid w:val="00AD0BBC"/>
    <w:rsid w:val="00AD1C4D"/>
    <w:rsid w:val="00AD2833"/>
    <w:rsid w:val="00AD4865"/>
    <w:rsid w:val="00AD5139"/>
    <w:rsid w:val="00AD7AA5"/>
    <w:rsid w:val="00AD7C91"/>
    <w:rsid w:val="00AD7FB9"/>
    <w:rsid w:val="00AE0E64"/>
    <w:rsid w:val="00AE2136"/>
    <w:rsid w:val="00AE39AD"/>
    <w:rsid w:val="00AE62F8"/>
    <w:rsid w:val="00AE6F27"/>
    <w:rsid w:val="00AF133F"/>
    <w:rsid w:val="00AF311D"/>
    <w:rsid w:val="00AF40AF"/>
    <w:rsid w:val="00AF503C"/>
    <w:rsid w:val="00AF5D68"/>
    <w:rsid w:val="00AF7A7F"/>
    <w:rsid w:val="00B0010E"/>
    <w:rsid w:val="00B01B57"/>
    <w:rsid w:val="00B03B11"/>
    <w:rsid w:val="00B046E4"/>
    <w:rsid w:val="00B059AC"/>
    <w:rsid w:val="00B06162"/>
    <w:rsid w:val="00B071FB"/>
    <w:rsid w:val="00B07EF9"/>
    <w:rsid w:val="00B107EB"/>
    <w:rsid w:val="00B11937"/>
    <w:rsid w:val="00B11A4C"/>
    <w:rsid w:val="00B12BCA"/>
    <w:rsid w:val="00B13085"/>
    <w:rsid w:val="00B14287"/>
    <w:rsid w:val="00B15EE0"/>
    <w:rsid w:val="00B175B6"/>
    <w:rsid w:val="00B17857"/>
    <w:rsid w:val="00B20AC7"/>
    <w:rsid w:val="00B20C69"/>
    <w:rsid w:val="00B215D5"/>
    <w:rsid w:val="00B21615"/>
    <w:rsid w:val="00B25A9C"/>
    <w:rsid w:val="00B26265"/>
    <w:rsid w:val="00B350B9"/>
    <w:rsid w:val="00B400E3"/>
    <w:rsid w:val="00B406AE"/>
    <w:rsid w:val="00B416E0"/>
    <w:rsid w:val="00B43096"/>
    <w:rsid w:val="00B43C10"/>
    <w:rsid w:val="00B44060"/>
    <w:rsid w:val="00B45822"/>
    <w:rsid w:val="00B473CD"/>
    <w:rsid w:val="00B538D2"/>
    <w:rsid w:val="00B57267"/>
    <w:rsid w:val="00B57341"/>
    <w:rsid w:val="00B57EAF"/>
    <w:rsid w:val="00B61901"/>
    <w:rsid w:val="00B62458"/>
    <w:rsid w:val="00B635B7"/>
    <w:rsid w:val="00B6636B"/>
    <w:rsid w:val="00B72D14"/>
    <w:rsid w:val="00B73E59"/>
    <w:rsid w:val="00B7413D"/>
    <w:rsid w:val="00B74C39"/>
    <w:rsid w:val="00B74E8A"/>
    <w:rsid w:val="00B75686"/>
    <w:rsid w:val="00B75B28"/>
    <w:rsid w:val="00B770A7"/>
    <w:rsid w:val="00B80155"/>
    <w:rsid w:val="00B806FA"/>
    <w:rsid w:val="00B810C8"/>
    <w:rsid w:val="00B813DC"/>
    <w:rsid w:val="00B81798"/>
    <w:rsid w:val="00B82FF5"/>
    <w:rsid w:val="00B843F7"/>
    <w:rsid w:val="00B873AC"/>
    <w:rsid w:val="00B9089C"/>
    <w:rsid w:val="00B90924"/>
    <w:rsid w:val="00B9479E"/>
    <w:rsid w:val="00B94A7D"/>
    <w:rsid w:val="00B96760"/>
    <w:rsid w:val="00B968E8"/>
    <w:rsid w:val="00BA1B71"/>
    <w:rsid w:val="00BA2B5F"/>
    <w:rsid w:val="00BA38CC"/>
    <w:rsid w:val="00BA595B"/>
    <w:rsid w:val="00BA6E6E"/>
    <w:rsid w:val="00BB2D0F"/>
    <w:rsid w:val="00BB3C55"/>
    <w:rsid w:val="00BB5534"/>
    <w:rsid w:val="00BB5583"/>
    <w:rsid w:val="00BB64BF"/>
    <w:rsid w:val="00BB7B9E"/>
    <w:rsid w:val="00BB7CC2"/>
    <w:rsid w:val="00BC098A"/>
    <w:rsid w:val="00BD119B"/>
    <w:rsid w:val="00BD33C5"/>
    <w:rsid w:val="00BD3A4B"/>
    <w:rsid w:val="00BD436A"/>
    <w:rsid w:val="00BD4EB4"/>
    <w:rsid w:val="00BD7DE2"/>
    <w:rsid w:val="00BE0F71"/>
    <w:rsid w:val="00BE1B25"/>
    <w:rsid w:val="00BE41A8"/>
    <w:rsid w:val="00BE59CF"/>
    <w:rsid w:val="00BF4155"/>
    <w:rsid w:val="00BF4E1D"/>
    <w:rsid w:val="00BF5179"/>
    <w:rsid w:val="00C01FB9"/>
    <w:rsid w:val="00C02FA6"/>
    <w:rsid w:val="00C0354E"/>
    <w:rsid w:val="00C0482C"/>
    <w:rsid w:val="00C062FE"/>
    <w:rsid w:val="00C07ADE"/>
    <w:rsid w:val="00C10340"/>
    <w:rsid w:val="00C12CCB"/>
    <w:rsid w:val="00C13668"/>
    <w:rsid w:val="00C146BE"/>
    <w:rsid w:val="00C147FF"/>
    <w:rsid w:val="00C157DD"/>
    <w:rsid w:val="00C17ADB"/>
    <w:rsid w:val="00C24ECA"/>
    <w:rsid w:val="00C27101"/>
    <w:rsid w:val="00C32E14"/>
    <w:rsid w:val="00C333F4"/>
    <w:rsid w:val="00C338A9"/>
    <w:rsid w:val="00C349EB"/>
    <w:rsid w:val="00C34B74"/>
    <w:rsid w:val="00C36E1A"/>
    <w:rsid w:val="00C379BD"/>
    <w:rsid w:val="00C43234"/>
    <w:rsid w:val="00C439A3"/>
    <w:rsid w:val="00C43DD5"/>
    <w:rsid w:val="00C45A64"/>
    <w:rsid w:val="00C45D93"/>
    <w:rsid w:val="00C46212"/>
    <w:rsid w:val="00C46BA6"/>
    <w:rsid w:val="00C478C0"/>
    <w:rsid w:val="00C50A42"/>
    <w:rsid w:val="00C528A1"/>
    <w:rsid w:val="00C54B11"/>
    <w:rsid w:val="00C55168"/>
    <w:rsid w:val="00C56DEC"/>
    <w:rsid w:val="00C627A5"/>
    <w:rsid w:val="00C64680"/>
    <w:rsid w:val="00C7282F"/>
    <w:rsid w:val="00C7288D"/>
    <w:rsid w:val="00C72C46"/>
    <w:rsid w:val="00C73129"/>
    <w:rsid w:val="00C7383E"/>
    <w:rsid w:val="00C742CF"/>
    <w:rsid w:val="00C75889"/>
    <w:rsid w:val="00C75B4D"/>
    <w:rsid w:val="00C80AD4"/>
    <w:rsid w:val="00C81892"/>
    <w:rsid w:val="00C821CC"/>
    <w:rsid w:val="00C82754"/>
    <w:rsid w:val="00C82CA2"/>
    <w:rsid w:val="00C85A6B"/>
    <w:rsid w:val="00C86C37"/>
    <w:rsid w:val="00C873CA"/>
    <w:rsid w:val="00C87EBF"/>
    <w:rsid w:val="00C902B9"/>
    <w:rsid w:val="00C90AF2"/>
    <w:rsid w:val="00C9156A"/>
    <w:rsid w:val="00C95BA3"/>
    <w:rsid w:val="00C965F8"/>
    <w:rsid w:val="00CA25AF"/>
    <w:rsid w:val="00CA28DF"/>
    <w:rsid w:val="00CA33F9"/>
    <w:rsid w:val="00CA3698"/>
    <w:rsid w:val="00CA4872"/>
    <w:rsid w:val="00CA5E99"/>
    <w:rsid w:val="00CA7C03"/>
    <w:rsid w:val="00CB042F"/>
    <w:rsid w:val="00CB1E4B"/>
    <w:rsid w:val="00CB3EF3"/>
    <w:rsid w:val="00CB47C9"/>
    <w:rsid w:val="00CB538A"/>
    <w:rsid w:val="00CB6951"/>
    <w:rsid w:val="00CB6D43"/>
    <w:rsid w:val="00CC145F"/>
    <w:rsid w:val="00CC14B3"/>
    <w:rsid w:val="00CC18CC"/>
    <w:rsid w:val="00CC2A05"/>
    <w:rsid w:val="00CC3505"/>
    <w:rsid w:val="00CC3905"/>
    <w:rsid w:val="00CC3E3F"/>
    <w:rsid w:val="00CC437D"/>
    <w:rsid w:val="00CC503D"/>
    <w:rsid w:val="00CC6C43"/>
    <w:rsid w:val="00CC6E27"/>
    <w:rsid w:val="00CC7657"/>
    <w:rsid w:val="00CD052F"/>
    <w:rsid w:val="00CD1CDF"/>
    <w:rsid w:val="00CD25C1"/>
    <w:rsid w:val="00CD3395"/>
    <w:rsid w:val="00CD407C"/>
    <w:rsid w:val="00CD6430"/>
    <w:rsid w:val="00CD71EE"/>
    <w:rsid w:val="00CE15BD"/>
    <w:rsid w:val="00CE73A6"/>
    <w:rsid w:val="00CF0278"/>
    <w:rsid w:val="00CF04AA"/>
    <w:rsid w:val="00CF1F3C"/>
    <w:rsid w:val="00CF30FC"/>
    <w:rsid w:val="00CF544D"/>
    <w:rsid w:val="00CF565B"/>
    <w:rsid w:val="00CF7E8D"/>
    <w:rsid w:val="00D00B53"/>
    <w:rsid w:val="00D02B10"/>
    <w:rsid w:val="00D05C7C"/>
    <w:rsid w:val="00D070E7"/>
    <w:rsid w:val="00D0734E"/>
    <w:rsid w:val="00D120EE"/>
    <w:rsid w:val="00D12A55"/>
    <w:rsid w:val="00D23797"/>
    <w:rsid w:val="00D24CF3"/>
    <w:rsid w:val="00D25907"/>
    <w:rsid w:val="00D26732"/>
    <w:rsid w:val="00D27B7B"/>
    <w:rsid w:val="00D3148A"/>
    <w:rsid w:val="00D315A7"/>
    <w:rsid w:val="00D32F37"/>
    <w:rsid w:val="00D337B5"/>
    <w:rsid w:val="00D37351"/>
    <w:rsid w:val="00D40585"/>
    <w:rsid w:val="00D40677"/>
    <w:rsid w:val="00D425A6"/>
    <w:rsid w:val="00D42693"/>
    <w:rsid w:val="00D43639"/>
    <w:rsid w:val="00D44CEA"/>
    <w:rsid w:val="00D46107"/>
    <w:rsid w:val="00D50683"/>
    <w:rsid w:val="00D568BD"/>
    <w:rsid w:val="00D60F5C"/>
    <w:rsid w:val="00D60FF6"/>
    <w:rsid w:val="00D61C0B"/>
    <w:rsid w:val="00D63586"/>
    <w:rsid w:val="00D6415E"/>
    <w:rsid w:val="00D65F61"/>
    <w:rsid w:val="00D677F5"/>
    <w:rsid w:val="00D67C4E"/>
    <w:rsid w:val="00D70B05"/>
    <w:rsid w:val="00D71B23"/>
    <w:rsid w:val="00D71B69"/>
    <w:rsid w:val="00D72C2C"/>
    <w:rsid w:val="00D7404F"/>
    <w:rsid w:val="00D75B6A"/>
    <w:rsid w:val="00D76213"/>
    <w:rsid w:val="00D76F6A"/>
    <w:rsid w:val="00D77521"/>
    <w:rsid w:val="00D80C0B"/>
    <w:rsid w:val="00D80FB6"/>
    <w:rsid w:val="00D81FCC"/>
    <w:rsid w:val="00D83CC1"/>
    <w:rsid w:val="00D83FC0"/>
    <w:rsid w:val="00D84674"/>
    <w:rsid w:val="00D86901"/>
    <w:rsid w:val="00D87290"/>
    <w:rsid w:val="00D90BB8"/>
    <w:rsid w:val="00D91BFC"/>
    <w:rsid w:val="00D92E34"/>
    <w:rsid w:val="00D94617"/>
    <w:rsid w:val="00D94AEA"/>
    <w:rsid w:val="00D95809"/>
    <w:rsid w:val="00D96254"/>
    <w:rsid w:val="00D96A6C"/>
    <w:rsid w:val="00D96EB8"/>
    <w:rsid w:val="00D9779F"/>
    <w:rsid w:val="00D979E3"/>
    <w:rsid w:val="00DA0B75"/>
    <w:rsid w:val="00DA10C8"/>
    <w:rsid w:val="00DA1C62"/>
    <w:rsid w:val="00DA2143"/>
    <w:rsid w:val="00DA2B7A"/>
    <w:rsid w:val="00DA3003"/>
    <w:rsid w:val="00DA3029"/>
    <w:rsid w:val="00DA360D"/>
    <w:rsid w:val="00DA5213"/>
    <w:rsid w:val="00DA6FC6"/>
    <w:rsid w:val="00DA72BC"/>
    <w:rsid w:val="00DB40B3"/>
    <w:rsid w:val="00DB40E9"/>
    <w:rsid w:val="00DB446D"/>
    <w:rsid w:val="00DB5B7E"/>
    <w:rsid w:val="00DB70D1"/>
    <w:rsid w:val="00DC1B69"/>
    <w:rsid w:val="00DC4ACE"/>
    <w:rsid w:val="00DC7D83"/>
    <w:rsid w:val="00DD0092"/>
    <w:rsid w:val="00DD03CD"/>
    <w:rsid w:val="00DD08EA"/>
    <w:rsid w:val="00DD38DB"/>
    <w:rsid w:val="00DD43C3"/>
    <w:rsid w:val="00DD471D"/>
    <w:rsid w:val="00DD4909"/>
    <w:rsid w:val="00DD4D9D"/>
    <w:rsid w:val="00DD6127"/>
    <w:rsid w:val="00DE3F22"/>
    <w:rsid w:val="00DE4942"/>
    <w:rsid w:val="00DE4CAF"/>
    <w:rsid w:val="00DE4E0C"/>
    <w:rsid w:val="00DE5C90"/>
    <w:rsid w:val="00DE630F"/>
    <w:rsid w:val="00DE6C18"/>
    <w:rsid w:val="00DE7197"/>
    <w:rsid w:val="00DF2927"/>
    <w:rsid w:val="00DF41DD"/>
    <w:rsid w:val="00DF493E"/>
    <w:rsid w:val="00DF6D74"/>
    <w:rsid w:val="00E001F0"/>
    <w:rsid w:val="00E017C9"/>
    <w:rsid w:val="00E01FE1"/>
    <w:rsid w:val="00E04285"/>
    <w:rsid w:val="00E06336"/>
    <w:rsid w:val="00E06D71"/>
    <w:rsid w:val="00E110E0"/>
    <w:rsid w:val="00E120C6"/>
    <w:rsid w:val="00E13561"/>
    <w:rsid w:val="00E16FCA"/>
    <w:rsid w:val="00E223F5"/>
    <w:rsid w:val="00E22A19"/>
    <w:rsid w:val="00E237F6"/>
    <w:rsid w:val="00E23D01"/>
    <w:rsid w:val="00E2420B"/>
    <w:rsid w:val="00E25106"/>
    <w:rsid w:val="00E251C7"/>
    <w:rsid w:val="00E26831"/>
    <w:rsid w:val="00E31423"/>
    <w:rsid w:val="00E34383"/>
    <w:rsid w:val="00E3512D"/>
    <w:rsid w:val="00E35BC1"/>
    <w:rsid w:val="00E36013"/>
    <w:rsid w:val="00E370C6"/>
    <w:rsid w:val="00E37283"/>
    <w:rsid w:val="00E37F35"/>
    <w:rsid w:val="00E42168"/>
    <w:rsid w:val="00E44FAC"/>
    <w:rsid w:val="00E46820"/>
    <w:rsid w:val="00E46E3B"/>
    <w:rsid w:val="00E472CF"/>
    <w:rsid w:val="00E4782B"/>
    <w:rsid w:val="00E4796F"/>
    <w:rsid w:val="00E47D20"/>
    <w:rsid w:val="00E51703"/>
    <w:rsid w:val="00E51E68"/>
    <w:rsid w:val="00E53B71"/>
    <w:rsid w:val="00E53CA7"/>
    <w:rsid w:val="00E53F6E"/>
    <w:rsid w:val="00E5583C"/>
    <w:rsid w:val="00E55D76"/>
    <w:rsid w:val="00E55EBF"/>
    <w:rsid w:val="00E56454"/>
    <w:rsid w:val="00E5665A"/>
    <w:rsid w:val="00E57AF7"/>
    <w:rsid w:val="00E61483"/>
    <w:rsid w:val="00E618EC"/>
    <w:rsid w:val="00E62E78"/>
    <w:rsid w:val="00E663A1"/>
    <w:rsid w:val="00E6740D"/>
    <w:rsid w:val="00E709EE"/>
    <w:rsid w:val="00E736CF"/>
    <w:rsid w:val="00E73DD3"/>
    <w:rsid w:val="00E74149"/>
    <w:rsid w:val="00E755D6"/>
    <w:rsid w:val="00E779B7"/>
    <w:rsid w:val="00E80593"/>
    <w:rsid w:val="00E82219"/>
    <w:rsid w:val="00E86F77"/>
    <w:rsid w:val="00E87363"/>
    <w:rsid w:val="00E91AE6"/>
    <w:rsid w:val="00E9245B"/>
    <w:rsid w:val="00E95CB2"/>
    <w:rsid w:val="00E95F50"/>
    <w:rsid w:val="00EA117F"/>
    <w:rsid w:val="00EA1F00"/>
    <w:rsid w:val="00EA3798"/>
    <w:rsid w:val="00EA4FF3"/>
    <w:rsid w:val="00EA5537"/>
    <w:rsid w:val="00EA5E05"/>
    <w:rsid w:val="00EA6619"/>
    <w:rsid w:val="00EA761F"/>
    <w:rsid w:val="00EB05A5"/>
    <w:rsid w:val="00EB138E"/>
    <w:rsid w:val="00EB1A4F"/>
    <w:rsid w:val="00EB1DB0"/>
    <w:rsid w:val="00EB2A38"/>
    <w:rsid w:val="00EB432C"/>
    <w:rsid w:val="00EB5C0D"/>
    <w:rsid w:val="00EC2685"/>
    <w:rsid w:val="00EC30D1"/>
    <w:rsid w:val="00EC38FC"/>
    <w:rsid w:val="00EC435D"/>
    <w:rsid w:val="00ED1512"/>
    <w:rsid w:val="00ED2E81"/>
    <w:rsid w:val="00ED34C5"/>
    <w:rsid w:val="00ED5A10"/>
    <w:rsid w:val="00ED5FD2"/>
    <w:rsid w:val="00ED7400"/>
    <w:rsid w:val="00ED74AB"/>
    <w:rsid w:val="00EE0042"/>
    <w:rsid w:val="00EE1EB6"/>
    <w:rsid w:val="00EE237A"/>
    <w:rsid w:val="00EE3003"/>
    <w:rsid w:val="00EE3553"/>
    <w:rsid w:val="00EE6D3B"/>
    <w:rsid w:val="00EF1329"/>
    <w:rsid w:val="00EF468A"/>
    <w:rsid w:val="00EF6E8A"/>
    <w:rsid w:val="00F02B17"/>
    <w:rsid w:val="00F03175"/>
    <w:rsid w:val="00F03FFF"/>
    <w:rsid w:val="00F046FA"/>
    <w:rsid w:val="00F06A50"/>
    <w:rsid w:val="00F079BB"/>
    <w:rsid w:val="00F10813"/>
    <w:rsid w:val="00F1121C"/>
    <w:rsid w:val="00F12594"/>
    <w:rsid w:val="00F1455A"/>
    <w:rsid w:val="00F14936"/>
    <w:rsid w:val="00F150DB"/>
    <w:rsid w:val="00F1544B"/>
    <w:rsid w:val="00F15A70"/>
    <w:rsid w:val="00F2196A"/>
    <w:rsid w:val="00F22040"/>
    <w:rsid w:val="00F221DF"/>
    <w:rsid w:val="00F2311C"/>
    <w:rsid w:val="00F23633"/>
    <w:rsid w:val="00F246AB"/>
    <w:rsid w:val="00F25F77"/>
    <w:rsid w:val="00F26E34"/>
    <w:rsid w:val="00F31C85"/>
    <w:rsid w:val="00F31CB0"/>
    <w:rsid w:val="00F31F10"/>
    <w:rsid w:val="00F32249"/>
    <w:rsid w:val="00F350A4"/>
    <w:rsid w:val="00F357E6"/>
    <w:rsid w:val="00F35E50"/>
    <w:rsid w:val="00F36EF1"/>
    <w:rsid w:val="00F41481"/>
    <w:rsid w:val="00F42DA1"/>
    <w:rsid w:val="00F43A62"/>
    <w:rsid w:val="00F46E36"/>
    <w:rsid w:val="00F478D7"/>
    <w:rsid w:val="00F513CF"/>
    <w:rsid w:val="00F5187E"/>
    <w:rsid w:val="00F520F2"/>
    <w:rsid w:val="00F526FF"/>
    <w:rsid w:val="00F53302"/>
    <w:rsid w:val="00F540C0"/>
    <w:rsid w:val="00F5484B"/>
    <w:rsid w:val="00F56AF2"/>
    <w:rsid w:val="00F56B76"/>
    <w:rsid w:val="00F57CF8"/>
    <w:rsid w:val="00F61D06"/>
    <w:rsid w:val="00F65F64"/>
    <w:rsid w:val="00F71140"/>
    <w:rsid w:val="00F71224"/>
    <w:rsid w:val="00F7260B"/>
    <w:rsid w:val="00F72621"/>
    <w:rsid w:val="00F7349D"/>
    <w:rsid w:val="00F75ED9"/>
    <w:rsid w:val="00F77E04"/>
    <w:rsid w:val="00F8064F"/>
    <w:rsid w:val="00F80C12"/>
    <w:rsid w:val="00F82C44"/>
    <w:rsid w:val="00F83697"/>
    <w:rsid w:val="00F847C9"/>
    <w:rsid w:val="00F849E6"/>
    <w:rsid w:val="00F849FD"/>
    <w:rsid w:val="00F90B67"/>
    <w:rsid w:val="00F91480"/>
    <w:rsid w:val="00F91CAE"/>
    <w:rsid w:val="00F91DF0"/>
    <w:rsid w:val="00F9244F"/>
    <w:rsid w:val="00F958B2"/>
    <w:rsid w:val="00F96917"/>
    <w:rsid w:val="00FA0AD4"/>
    <w:rsid w:val="00FA3835"/>
    <w:rsid w:val="00FA51DB"/>
    <w:rsid w:val="00FA5CBC"/>
    <w:rsid w:val="00FB00BC"/>
    <w:rsid w:val="00FB0CE8"/>
    <w:rsid w:val="00FB0DC6"/>
    <w:rsid w:val="00FB184F"/>
    <w:rsid w:val="00FB2CD1"/>
    <w:rsid w:val="00FB32D2"/>
    <w:rsid w:val="00FB4FCA"/>
    <w:rsid w:val="00FC169C"/>
    <w:rsid w:val="00FC51F7"/>
    <w:rsid w:val="00FC5761"/>
    <w:rsid w:val="00FC602B"/>
    <w:rsid w:val="00FC6D29"/>
    <w:rsid w:val="00FC7DAA"/>
    <w:rsid w:val="00FD04D4"/>
    <w:rsid w:val="00FD2C7C"/>
    <w:rsid w:val="00FD2E7C"/>
    <w:rsid w:val="00FD31B2"/>
    <w:rsid w:val="00FD4F92"/>
    <w:rsid w:val="00FE1E0B"/>
    <w:rsid w:val="00FE3C9E"/>
    <w:rsid w:val="00FE408C"/>
    <w:rsid w:val="00FE43F2"/>
    <w:rsid w:val="00FF19A1"/>
    <w:rsid w:val="00FF3F77"/>
    <w:rsid w:val="00FF6298"/>
    <w:rsid w:val="00FF6A4B"/>
    <w:rsid w:val="0102482D"/>
    <w:rsid w:val="01157A42"/>
    <w:rsid w:val="0120240C"/>
    <w:rsid w:val="0120624F"/>
    <w:rsid w:val="01216DB4"/>
    <w:rsid w:val="01253D93"/>
    <w:rsid w:val="012A0A1E"/>
    <w:rsid w:val="012C57CF"/>
    <w:rsid w:val="012C7408"/>
    <w:rsid w:val="013A2868"/>
    <w:rsid w:val="013C4AA1"/>
    <w:rsid w:val="01442811"/>
    <w:rsid w:val="01461EA5"/>
    <w:rsid w:val="01462412"/>
    <w:rsid w:val="014C6A44"/>
    <w:rsid w:val="014F1EEC"/>
    <w:rsid w:val="015063B2"/>
    <w:rsid w:val="01593CCF"/>
    <w:rsid w:val="015A0266"/>
    <w:rsid w:val="016A41D4"/>
    <w:rsid w:val="016B7EEC"/>
    <w:rsid w:val="016D3A51"/>
    <w:rsid w:val="01786800"/>
    <w:rsid w:val="017C0612"/>
    <w:rsid w:val="01883447"/>
    <w:rsid w:val="01893830"/>
    <w:rsid w:val="018C0445"/>
    <w:rsid w:val="01966A52"/>
    <w:rsid w:val="01992FD0"/>
    <w:rsid w:val="01A12F94"/>
    <w:rsid w:val="01A40E31"/>
    <w:rsid w:val="01B66740"/>
    <w:rsid w:val="01D65E28"/>
    <w:rsid w:val="01DA2BD2"/>
    <w:rsid w:val="01E214AB"/>
    <w:rsid w:val="01E76294"/>
    <w:rsid w:val="01E77E50"/>
    <w:rsid w:val="01EE4CEE"/>
    <w:rsid w:val="01FA16A2"/>
    <w:rsid w:val="02045373"/>
    <w:rsid w:val="020937ED"/>
    <w:rsid w:val="020E4E67"/>
    <w:rsid w:val="020F3E1E"/>
    <w:rsid w:val="02146A1E"/>
    <w:rsid w:val="02211953"/>
    <w:rsid w:val="0222253E"/>
    <w:rsid w:val="02321B2F"/>
    <w:rsid w:val="02322C97"/>
    <w:rsid w:val="023E530B"/>
    <w:rsid w:val="02483199"/>
    <w:rsid w:val="024A0F60"/>
    <w:rsid w:val="024C4594"/>
    <w:rsid w:val="02584C82"/>
    <w:rsid w:val="026420C6"/>
    <w:rsid w:val="02681902"/>
    <w:rsid w:val="026D591E"/>
    <w:rsid w:val="027537C9"/>
    <w:rsid w:val="027A04E7"/>
    <w:rsid w:val="027E752D"/>
    <w:rsid w:val="0281514A"/>
    <w:rsid w:val="0289792C"/>
    <w:rsid w:val="02902FD4"/>
    <w:rsid w:val="02911149"/>
    <w:rsid w:val="02962946"/>
    <w:rsid w:val="029A4AD8"/>
    <w:rsid w:val="029E4095"/>
    <w:rsid w:val="02A20B49"/>
    <w:rsid w:val="02A36726"/>
    <w:rsid w:val="02A61114"/>
    <w:rsid w:val="02A66E17"/>
    <w:rsid w:val="02A74976"/>
    <w:rsid w:val="02BA620E"/>
    <w:rsid w:val="02BD68D0"/>
    <w:rsid w:val="02C07B98"/>
    <w:rsid w:val="02D7584A"/>
    <w:rsid w:val="02DF2373"/>
    <w:rsid w:val="02E7712B"/>
    <w:rsid w:val="02E86A1F"/>
    <w:rsid w:val="02EB358B"/>
    <w:rsid w:val="02ED3760"/>
    <w:rsid w:val="02F93A11"/>
    <w:rsid w:val="02FA76AC"/>
    <w:rsid w:val="0301599E"/>
    <w:rsid w:val="03032AF4"/>
    <w:rsid w:val="030837D1"/>
    <w:rsid w:val="03116E3B"/>
    <w:rsid w:val="03167586"/>
    <w:rsid w:val="03242920"/>
    <w:rsid w:val="0328710A"/>
    <w:rsid w:val="032A09FB"/>
    <w:rsid w:val="032B0502"/>
    <w:rsid w:val="032E1237"/>
    <w:rsid w:val="033A5422"/>
    <w:rsid w:val="035173D2"/>
    <w:rsid w:val="035B20EC"/>
    <w:rsid w:val="03650F09"/>
    <w:rsid w:val="03664893"/>
    <w:rsid w:val="036F0D4C"/>
    <w:rsid w:val="03725820"/>
    <w:rsid w:val="0373305F"/>
    <w:rsid w:val="038868CD"/>
    <w:rsid w:val="038B5558"/>
    <w:rsid w:val="038E486B"/>
    <w:rsid w:val="03903A99"/>
    <w:rsid w:val="039061B9"/>
    <w:rsid w:val="03912C4D"/>
    <w:rsid w:val="03933381"/>
    <w:rsid w:val="03980D48"/>
    <w:rsid w:val="03B10950"/>
    <w:rsid w:val="03B31E91"/>
    <w:rsid w:val="03B976D9"/>
    <w:rsid w:val="03BF4A12"/>
    <w:rsid w:val="03C10C80"/>
    <w:rsid w:val="03C17101"/>
    <w:rsid w:val="03C21F7D"/>
    <w:rsid w:val="03CD55B4"/>
    <w:rsid w:val="03D72C52"/>
    <w:rsid w:val="03DB2A5D"/>
    <w:rsid w:val="03DC2B37"/>
    <w:rsid w:val="03DF774D"/>
    <w:rsid w:val="03E82B8B"/>
    <w:rsid w:val="03F24817"/>
    <w:rsid w:val="03F272B4"/>
    <w:rsid w:val="03F85623"/>
    <w:rsid w:val="04004584"/>
    <w:rsid w:val="04037DA2"/>
    <w:rsid w:val="04063DA3"/>
    <w:rsid w:val="04095269"/>
    <w:rsid w:val="040C49E2"/>
    <w:rsid w:val="04114D5E"/>
    <w:rsid w:val="041308FA"/>
    <w:rsid w:val="041D6FAA"/>
    <w:rsid w:val="04214734"/>
    <w:rsid w:val="04343639"/>
    <w:rsid w:val="04385534"/>
    <w:rsid w:val="044465FD"/>
    <w:rsid w:val="044600C6"/>
    <w:rsid w:val="045A78F0"/>
    <w:rsid w:val="045F6E31"/>
    <w:rsid w:val="0463340A"/>
    <w:rsid w:val="0468337B"/>
    <w:rsid w:val="04737881"/>
    <w:rsid w:val="04774A42"/>
    <w:rsid w:val="048D1FA5"/>
    <w:rsid w:val="048F2521"/>
    <w:rsid w:val="049479FC"/>
    <w:rsid w:val="04960E4B"/>
    <w:rsid w:val="04A41C10"/>
    <w:rsid w:val="04AD2273"/>
    <w:rsid w:val="04AF4CEA"/>
    <w:rsid w:val="04B071E3"/>
    <w:rsid w:val="04B773B1"/>
    <w:rsid w:val="04C910AA"/>
    <w:rsid w:val="04CF34F4"/>
    <w:rsid w:val="04D47B83"/>
    <w:rsid w:val="04D958DF"/>
    <w:rsid w:val="05021030"/>
    <w:rsid w:val="05036F48"/>
    <w:rsid w:val="050F10F9"/>
    <w:rsid w:val="05156C8B"/>
    <w:rsid w:val="05272D2F"/>
    <w:rsid w:val="05370446"/>
    <w:rsid w:val="05403A44"/>
    <w:rsid w:val="05414C80"/>
    <w:rsid w:val="054B7B09"/>
    <w:rsid w:val="054F678D"/>
    <w:rsid w:val="05540EAF"/>
    <w:rsid w:val="05595281"/>
    <w:rsid w:val="05625BFD"/>
    <w:rsid w:val="059A7C15"/>
    <w:rsid w:val="059D4E63"/>
    <w:rsid w:val="059F2B01"/>
    <w:rsid w:val="05A91949"/>
    <w:rsid w:val="05AD1200"/>
    <w:rsid w:val="05AF695A"/>
    <w:rsid w:val="05BB6A59"/>
    <w:rsid w:val="05C353E0"/>
    <w:rsid w:val="05DE03F2"/>
    <w:rsid w:val="05E1791E"/>
    <w:rsid w:val="05E245F5"/>
    <w:rsid w:val="05E4354D"/>
    <w:rsid w:val="05EA1102"/>
    <w:rsid w:val="05F05843"/>
    <w:rsid w:val="05F8082B"/>
    <w:rsid w:val="05FD3ABF"/>
    <w:rsid w:val="060825EB"/>
    <w:rsid w:val="0609444F"/>
    <w:rsid w:val="06096540"/>
    <w:rsid w:val="0614054E"/>
    <w:rsid w:val="061469D5"/>
    <w:rsid w:val="06182056"/>
    <w:rsid w:val="061C1E59"/>
    <w:rsid w:val="061D270E"/>
    <w:rsid w:val="061F50F4"/>
    <w:rsid w:val="06281DE0"/>
    <w:rsid w:val="06361D76"/>
    <w:rsid w:val="063F2295"/>
    <w:rsid w:val="06407346"/>
    <w:rsid w:val="064A635B"/>
    <w:rsid w:val="0653780B"/>
    <w:rsid w:val="06550B77"/>
    <w:rsid w:val="06555AE8"/>
    <w:rsid w:val="06595416"/>
    <w:rsid w:val="065B4543"/>
    <w:rsid w:val="065D073B"/>
    <w:rsid w:val="065D1C35"/>
    <w:rsid w:val="0663604E"/>
    <w:rsid w:val="0666095D"/>
    <w:rsid w:val="06737768"/>
    <w:rsid w:val="067A70BE"/>
    <w:rsid w:val="06851138"/>
    <w:rsid w:val="0687472C"/>
    <w:rsid w:val="068A4163"/>
    <w:rsid w:val="068B365B"/>
    <w:rsid w:val="068B7241"/>
    <w:rsid w:val="06906438"/>
    <w:rsid w:val="069726C3"/>
    <w:rsid w:val="069D6971"/>
    <w:rsid w:val="069F3F6A"/>
    <w:rsid w:val="06AA52BF"/>
    <w:rsid w:val="06B859C6"/>
    <w:rsid w:val="06BB1305"/>
    <w:rsid w:val="06BE6A96"/>
    <w:rsid w:val="06C71540"/>
    <w:rsid w:val="06D454D6"/>
    <w:rsid w:val="06D57AED"/>
    <w:rsid w:val="06D81F78"/>
    <w:rsid w:val="06F216D1"/>
    <w:rsid w:val="06F50681"/>
    <w:rsid w:val="06FF074B"/>
    <w:rsid w:val="0703540A"/>
    <w:rsid w:val="07125F5D"/>
    <w:rsid w:val="07146D98"/>
    <w:rsid w:val="071F68D3"/>
    <w:rsid w:val="07205358"/>
    <w:rsid w:val="07214AFF"/>
    <w:rsid w:val="07352CFF"/>
    <w:rsid w:val="07363D20"/>
    <w:rsid w:val="073B7CA2"/>
    <w:rsid w:val="074D150B"/>
    <w:rsid w:val="07501C33"/>
    <w:rsid w:val="07554D69"/>
    <w:rsid w:val="075772A6"/>
    <w:rsid w:val="07587F6D"/>
    <w:rsid w:val="075D2B0F"/>
    <w:rsid w:val="076117FB"/>
    <w:rsid w:val="0762379A"/>
    <w:rsid w:val="076C7C26"/>
    <w:rsid w:val="07752CC3"/>
    <w:rsid w:val="077F4DFF"/>
    <w:rsid w:val="0782389F"/>
    <w:rsid w:val="078C2652"/>
    <w:rsid w:val="078E5E7E"/>
    <w:rsid w:val="07987A74"/>
    <w:rsid w:val="079971B4"/>
    <w:rsid w:val="079F3AEC"/>
    <w:rsid w:val="07B1369F"/>
    <w:rsid w:val="07B16782"/>
    <w:rsid w:val="07C04C70"/>
    <w:rsid w:val="07C178EC"/>
    <w:rsid w:val="07DA7E07"/>
    <w:rsid w:val="07EB2677"/>
    <w:rsid w:val="07EF5953"/>
    <w:rsid w:val="07F7357D"/>
    <w:rsid w:val="08047879"/>
    <w:rsid w:val="080F7E76"/>
    <w:rsid w:val="081520D6"/>
    <w:rsid w:val="08186559"/>
    <w:rsid w:val="08373AF2"/>
    <w:rsid w:val="0840671A"/>
    <w:rsid w:val="08424D22"/>
    <w:rsid w:val="08427B6D"/>
    <w:rsid w:val="085770D8"/>
    <w:rsid w:val="0858464D"/>
    <w:rsid w:val="085B7CFA"/>
    <w:rsid w:val="085C057A"/>
    <w:rsid w:val="085C7246"/>
    <w:rsid w:val="088640E4"/>
    <w:rsid w:val="088B44F0"/>
    <w:rsid w:val="088E28C0"/>
    <w:rsid w:val="08905A09"/>
    <w:rsid w:val="089800FE"/>
    <w:rsid w:val="08A77C43"/>
    <w:rsid w:val="08B277BB"/>
    <w:rsid w:val="08C97741"/>
    <w:rsid w:val="08D05C2F"/>
    <w:rsid w:val="08D330F5"/>
    <w:rsid w:val="08D63DED"/>
    <w:rsid w:val="08E87BE4"/>
    <w:rsid w:val="08ED766C"/>
    <w:rsid w:val="08F327C0"/>
    <w:rsid w:val="08FB238E"/>
    <w:rsid w:val="09057130"/>
    <w:rsid w:val="09085637"/>
    <w:rsid w:val="090C3EBB"/>
    <w:rsid w:val="09287B48"/>
    <w:rsid w:val="092C5A4A"/>
    <w:rsid w:val="09347318"/>
    <w:rsid w:val="09406DF5"/>
    <w:rsid w:val="0945243F"/>
    <w:rsid w:val="09640D25"/>
    <w:rsid w:val="09670CE3"/>
    <w:rsid w:val="09692F5F"/>
    <w:rsid w:val="097861C1"/>
    <w:rsid w:val="09855DCD"/>
    <w:rsid w:val="09890CF5"/>
    <w:rsid w:val="0993359C"/>
    <w:rsid w:val="099606D5"/>
    <w:rsid w:val="09B64FE9"/>
    <w:rsid w:val="09BF30DC"/>
    <w:rsid w:val="09C54646"/>
    <w:rsid w:val="09E55F3F"/>
    <w:rsid w:val="09E55F94"/>
    <w:rsid w:val="09E6611C"/>
    <w:rsid w:val="09F22F5B"/>
    <w:rsid w:val="09F81324"/>
    <w:rsid w:val="0A06151F"/>
    <w:rsid w:val="0A0B1AF8"/>
    <w:rsid w:val="0A0F448F"/>
    <w:rsid w:val="0A111992"/>
    <w:rsid w:val="0A140FDB"/>
    <w:rsid w:val="0A1921E5"/>
    <w:rsid w:val="0A2244BE"/>
    <w:rsid w:val="0A2A673B"/>
    <w:rsid w:val="0A382D55"/>
    <w:rsid w:val="0A3C1EDF"/>
    <w:rsid w:val="0A4618A8"/>
    <w:rsid w:val="0A4839E0"/>
    <w:rsid w:val="0A487C4E"/>
    <w:rsid w:val="0A602A01"/>
    <w:rsid w:val="0A6B55D0"/>
    <w:rsid w:val="0A766866"/>
    <w:rsid w:val="0A7768F1"/>
    <w:rsid w:val="0A7C7DA2"/>
    <w:rsid w:val="0A7E0D72"/>
    <w:rsid w:val="0A86587A"/>
    <w:rsid w:val="0A8A2A28"/>
    <w:rsid w:val="0A8B7EDF"/>
    <w:rsid w:val="0A8D01A9"/>
    <w:rsid w:val="0A8D3324"/>
    <w:rsid w:val="0A8E45E5"/>
    <w:rsid w:val="0A953CFB"/>
    <w:rsid w:val="0A976FA1"/>
    <w:rsid w:val="0A99654E"/>
    <w:rsid w:val="0A9A2D84"/>
    <w:rsid w:val="0A9F0AC2"/>
    <w:rsid w:val="0AA07E54"/>
    <w:rsid w:val="0AA4016B"/>
    <w:rsid w:val="0AB52C80"/>
    <w:rsid w:val="0AB917D5"/>
    <w:rsid w:val="0ABA79C7"/>
    <w:rsid w:val="0AC34106"/>
    <w:rsid w:val="0AC4143E"/>
    <w:rsid w:val="0AC558B2"/>
    <w:rsid w:val="0ADA366D"/>
    <w:rsid w:val="0ADA77C5"/>
    <w:rsid w:val="0ADE037A"/>
    <w:rsid w:val="0AE20D86"/>
    <w:rsid w:val="0AE85480"/>
    <w:rsid w:val="0AEE7C29"/>
    <w:rsid w:val="0AF530C5"/>
    <w:rsid w:val="0B0132D1"/>
    <w:rsid w:val="0B065C72"/>
    <w:rsid w:val="0B08242F"/>
    <w:rsid w:val="0B0B13B4"/>
    <w:rsid w:val="0B0C262B"/>
    <w:rsid w:val="0B0D159C"/>
    <w:rsid w:val="0B136AFB"/>
    <w:rsid w:val="0B1A7D8F"/>
    <w:rsid w:val="0B2D15E8"/>
    <w:rsid w:val="0B2D36BD"/>
    <w:rsid w:val="0B2E5111"/>
    <w:rsid w:val="0B30104E"/>
    <w:rsid w:val="0B400311"/>
    <w:rsid w:val="0B43073C"/>
    <w:rsid w:val="0B432C3C"/>
    <w:rsid w:val="0B5237EB"/>
    <w:rsid w:val="0B601D67"/>
    <w:rsid w:val="0B6C43D7"/>
    <w:rsid w:val="0B7C5606"/>
    <w:rsid w:val="0B8F42EC"/>
    <w:rsid w:val="0B91720F"/>
    <w:rsid w:val="0BA34DF4"/>
    <w:rsid w:val="0BA5128B"/>
    <w:rsid w:val="0BA80922"/>
    <w:rsid w:val="0BAB79AB"/>
    <w:rsid w:val="0BAC410A"/>
    <w:rsid w:val="0BB51A2D"/>
    <w:rsid w:val="0BC05B14"/>
    <w:rsid w:val="0BC67F23"/>
    <w:rsid w:val="0BC96E34"/>
    <w:rsid w:val="0BCA49EE"/>
    <w:rsid w:val="0BDE5D85"/>
    <w:rsid w:val="0BE2095B"/>
    <w:rsid w:val="0BE32743"/>
    <w:rsid w:val="0BEA7882"/>
    <w:rsid w:val="0BED17DD"/>
    <w:rsid w:val="0BEF07CF"/>
    <w:rsid w:val="0BF63E31"/>
    <w:rsid w:val="0BFD6C8F"/>
    <w:rsid w:val="0C1148E7"/>
    <w:rsid w:val="0C1412D4"/>
    <w:rsid w:val="0C165661"/>
    <w:rsid w:val="0C184914"/>
    <w:rsid w:val="0C194317"/>
    <w:rsid w:val="0C1B1443"/>
    <w:rsid w:val="0C1D0148"/>
    <w:rsid w:val="0C1D215A"/>
    <w:rsid w:val="0C2C0CD8"/>
    <w:rsid w:val="0C2C1869"/>
    <w:rsid w:val="0C344A89"/>
    <w:rsid w:val="0C3C598A"/>
    <w:rsid w:val="0C3E2284"/>
    <w:rsid w:val="0C4039AA"/>
    <w:rsid w:val="0C6F065C"/>
    <w:rsid w:val="0C7348DC"/>
    <w:rsid w:val="0C765C6A"/>
    <w:rsid w:val="0C795E67"/>
    <w:rsid w:val="0C7966D0"/>
    <w:rsid w:val="0C7A1401"/>
    <w:rsid w:val="0C850A30"/>
    <w:rsid w:val="0C8C609F"/>
    <w:rsid w:val="0C935C3C"/>
    <w:rsid w:val="0C9A1ED2"/>
    <w:rsid w:val="0C9C3627"/>
    <w:rsid w:val="0CA04B39"/>
    <w:rsid w:val="0CA53ADF"/>
    <w:rsid w:val="0CA83A7F"/>
    <w:rsid w:val="0CAF7DB6"/>
    <w:rsid w:val="0CB26127"/>
    <w:rsid w:val="0CB77E96"/>
    <w:rsid w:val="0CC921FD"/>
    <w:rsid w:val="0CCB5CAB"/>
    <w:rsid w:val="0CD37FBA"/>
    <w:rsid w:val="0CDF5EB6"/>
    <w:rsid w:val="0CE12636"/>
    <w:rsid w:val="0CE80F23"/>
    <w:rsid w:val="0CF13BFD"/>
    <w:rsid w:val="0CFF2110"/>
    <w:rsid w:val="0D0329B9"/>
    <w:rsid w:val="0D0F6E3B"/>
    <w:rsid w:val="0D160276"/>
    <w:rsid w:val="0D190A7F"/>
    <w:rsid w:val="0D1B7A98"/>
    <w:rsid w:val="0D1E3343"/>
    <w:rsid w:val="0D22431C"/>
    <w:rsid w:val="0D24290F"/>
    <w:rsid w:val="0D2D1C1C"/>
    <w:rsid w:val="0D3177BF"/>
    <w:rsid w:val="0D3311E2"/>
    <w:rsid w:val="0D36055B"/>
    <w:rsid w:val="0D3F058E"/>
    <w:rsid w:val="0D421F4E"/>
    <w:rsid w:val="0D434234"/>
    <w:rsid w:val="0D5514C9"/>
    <w:rsid w:val="0D615C38"/>
    <w:rsid w:val="0D631265"/>
    <w:rsid w:val="0D632DFA"/>
    <w:rsid w:val="0D655788"/>
    <w:rsid w:val="0D686A87"/>
    <w:rsid w:val="0D6F6838"/>
    <w:rsid w:val="0D736DED"/>
    <w:rsid w:val="0D741D62"/>
    <w:rsid w:val="0D7653DB"/>
    <w:rsid w:val="0D7F1BD8"/>
    <w:rsid w:val="0D8A36D2"/>
    <w:rsid w:val="0D8E26F3"/>
    <w:rsid w:val="0DA52A90"/>
    <w:rsid w:val="0DA561DD"/>
    <w:rsid w:val="0DA60C77"/>
    <w:rsid w:val="0DAA47FD"/>
    <w:rsid w:val="0DB646A6"/>
    <w:rsid w:val="0DB80AAC"/>
    <w:rsid w:val="0DC2736B"/>
    <w:rsid w:val="0DC410A8"/>
    <w:rsid w:val="0DCA7A68"/>
    <w:rsid w:val="0DCE2946"/>
    <w:rsid w:val="0DCF198B"/>
    <w:rsid w:val="0DD502F6"/>
    <w:rsid w:val="0DE719C0"/>
    <w:rsid w:val="0DE813AA"/>
    <w:rsid w:val="0DEB6CD9"/>
    <w:rsid w:val="0DF41166"/>
    <w:rsid w:val="0DF923FB"/>
    <w:rsid w:val="0E0C00C5"/>
    <w:rsid w:val="0E1E44FE"/>
    <w:rsid w:val="0E2F175E"/>
    <w:rsid w:val="0E39372C"/>
    <w:rsid w:val="0E413B3B"/>
    <w:rsid w:val="0E452298"/>
    <w:rsid w:val="0E494CFD"/>
    <w:rsid w:val="0E495A57"/>
    <w:rsid w:val="0E4B757C"/>
    <w:rsid w:val="0E4C335C"/>
    <w:rsid w:val="0E5829A5"/>
    <w:rsid w:val="0E652968"/>
    <w:rsid w:val="0E683B40"/>
    <w:rsid w:val="0E6F7C0B"/>
    <w:rsid w:val="0E717CD8"/>
    <w:rsid w:val="0E724BDE"/>
    <w:rsid w:val="0E7D6257"/>
    <w:rsid w:val="0E8E5B90"/>
    <w:rsid w:val="0E940030"/>
    <w:rsid w:val="0E950E90"/>
    <w:rsid w:val="0E9C0739"/>
    <w:rsid w:val="0EA46513"/>
    <w:rsid w:val="0EAA45DB"/>
    <w:rsid w:val="0EAC62A6"/>
    <w:rsid w:val="0EAE3B0C"/>
    <w:rsid w:val="0EBC221A"/>
    <w:rsid w:val="0EBE27BC"/>
    <w:rsid w:val="0EC25E87"/>
    <w:rsid w:val="0EC80C46"/>
    <w:rsid w:val="0ECA4BEA"/>
    <w:rsid w:val="0ECF4B9C"/>
    <w:rsid w:val="0ED23317"/>
    <w:rsid w:val="0ED5079C"/>
    <w:rsid w:val="0ED836AF"/>
    <w:rsid w:val="0ED84EB7"/>
    <w:rsid w:val="0EE4380C"/>
    <w:rsid w:val="0EEB6F21"/>
    <w:rsid w:val="0EF46EE2"/>
    <w:rsid w:val="0EFA106F"/>
    <w:rsid w:val="0F075787"/>
    <w:rsid w:val="0F08748C"/>
    <w:rsid w:val="0F0C017E"/>
    <w:rsid w:val="0F1E02F9"/>
    <w:rsid w:val="0F226577"/>
    <w:rsid w:val="0F2479B6"/>
    <w:rsid w:val="0F28706A"/>
    <w:rsid w:val="0F2C79D0"/>
    <w:rsid w:val="0F321AA4"/>
    <w:rsid w:val="0F34394F"/>
    <w:rsid w:val="0F5827A6"/>
    <w:rsid w:val="0F5A7436"/>
    <w:rsid w:val="0F60201E"/>
    <w:rsid w:val="0F735B00"/>
    <w:rsid w:val="0F813320"/>
    <w:rsid w:val="0F991D47"/>
    <w:rsid w:val="0F992290"/>
    <w:rsid w:val="0FA44DDC"/>
    <w:rsid w:val="0FA46B30"/>
    <w:rsid w:val="0FA71954"/>
    <w:rsid w:val="0FAE2B0D"/>
    <w:rsid w:val="0FBB4D33"/>
    <w:rsid w:val="0FC037BB"/>
    <w:rsid w:val="0FC6232D"/>
    <w:rsid w:val="0FCF6B41"/>
    <w:rsid w:val="0FD219E5"/>
    <w:rsid w:val="0FD3421F"/>
    <w:rsid w:val="0FE16028"/>
    <w:rsid w:val="0FE81ECE"/>
    <w:rsid w:val="0FEB1EB0"/>
    <w:rsid w:val="0FEE6B58"/>
    <w:rsid w:val="0FEF2FC9"/>
    <w:rsid w:val="0FF468D3"/>
    <w:rsid w:val="0FFD1B74"/>
    <w:rsid w:val="0FFD5663"/>
    <w:rsid w:val="10083ED5"/>
    <w:rsid w:val="100A6698"/>
    <w:rsid w:val="100B1F63"/>
    <w:rsid w:val="100B2944"/>
    <w:rsid w:val="100C05EF"/>
    <w:rsid w:val="10173770"/>
    <w:rsid w:val="101D45AE"/>
    <w:rsid w:val="102D0195"/>
    <w:rsid w:val="10303AA5"/>
    <w:rsid w:val="103960E9"/>
    <w:rsid w:val="10410944"/>
    <w:rsid w:val="10436D19"/>
    <w:rsid w:val="10446026"/>
    <w:rsid w:val="105F1BFA"/>
    <w:rsid w:val="10641137"/>
    <w:rsid w:val="1064595A"/>
    <w:rsid w:val="106A4037"/>
    <w:rsid w:val="1072076B"/>
    <w:rsid w:val="1079181D"/>
    <w:rsid w:val="10805A55"/>
    <w:rsid w:val="10806042"/>
    <w:rsid w:val="1088186C"/>
    <w:rsid w:val="10954222"/>
    <w:rsid w:val="10A30CFE"/>
    <w:rsid w:val="10AA4BB4"/>
    <w:rsid w:val="10AC0AEA"/>
    <w:rsid w:val="10BA1C59"/>
    <w:rsid w:val="10BD206C"/>
    <w:rsid w:val="10C0387F"/>
    <w:rsid w:val="10D34DC2"/>
    <w:rsid w:val="10D507F3"/>
    <w:rsid w:val="10DA11D5"/>
    <w:rsid w:val="10E133D9"/>
    <w:rsid w:val="10E752AD"/>
    <w:rsid w:val="10EE0504"/>
    <w:rsid w:val="10EF3CD6"/>
    <w:rsid w:val="10F07C55"/>
    <w:rsid w:val="10F61F3A"/>
    <w:rsid w:val="10FE5B55"/>
    <w:rsid w:val="11094499"/>
    <w:rsid w:val="110C6D5F"/>
    <w:rsid w:val="11290F1D"/>
    <w:rsid w:val="112D4894"/>
    <w:rsid w:val="113B38D3"/>
    <w:rsid w:val="113F61BF"/>
    <w:rsid w:val="1140093F"/>
    <w:rsid w:val="11473060"/>
    <w:rsid w:val="114B1AC3"/>
    <w:rsid w:val="114C0176"/>
    <w:rsid w:val="115D54D7"/>
    <w:rsid w:val="11613794"/>
    <w:rsid w:val="116A26E8"/>
    <w:rsid w:val="116A6ECA"/>
    <w:rsid w:val="1172394B"/>
    <w:rsid w:val="11772F86"/>
    <w:rsid w:val="118E3096"/>
    <w:rsid w:val="1194104D"/>
    <w:rsid w:val="11966CA6"/>
    <w:rsid w:val="11A03FAD"/>
    <w:rsid w:val="11A2252B"/>
    <w:rsid w:val="11C039F9"/>
    <w:rsid w:val="11C677D3"/>
    <w:rsid w:val="11CD678B"/>
    <w:rsid w:val="11D03D66"/>
    <w:rsid w:val="11DA78CB"/>
    <w:rsid w:val="11DB6A9D"/>
    <w:rsid w:val="11DC5BC7"/>
    <w:rsid w:val="11E659CC"/>
    <w:rsid w:val="11E812F2"/>
    <w:rsid w:val="11EB6A1C"/>
    <w:rsid w:val="11F43122"/>
    <w:rsid w:val="11F91574"/>
    <w:rsid w:val="11FF51F1"/>
    <w:rsid w:val="12016ECB"/>
    <w:rsid w:val="120F1665"/>
    <w:rsid w:val="12235654"/>
    <w:rsid w:val="1227561E"/>
    <w:rsid w:val="123345DB"/>
    <w:rsid w:val="123E1C67"/>
    <w:rsid w:val="1245689A"/>
    <w:rsid w:val="124B5DBB"/>
    <w:rsid w:val="124C05C1"/>
    <w:rsid w:val="12536E2F"/>
    <w:rsid w:val="125D697C"/>
    <w:rsid w:val="12660860"/>
    <w:rsid w:val="12733B49"/>
    <w:rsid w:val="12743903"/>
    <w:rsid w:val="127E7094"/>
    <w:rsid w:val="12857636"/>
    <w:rsid w:val="12932094"/>
    <w:rsid w:val="12A10C8C"/>
    <w:rsid w:val="12A32EFE"/>
    <w:rsid w:val="12A87425"/>
    <w:rsid w:val="12AC40C5"/>
    <w:rsid w:val="12C208A6"/>
    <w:rsid w:val="12C91AD1"/>
    <w:rsid w:val="12D40853"/>
    <w:rsid w:val="12D6627E"/>
    <w:rsid w:val="12D87D3E"/>
    <w:rsid w:val="12E709E6"/>
    <w:rsid w:val="12E9685D"/>
    <w:rsid w:val="12FA7533"/>
    <w:rsid w:val="130A0FF4"/>
    <w:rsid w:val="131538BD"/>
    <w:rsid w:val="13166131"/>
    <w:rsid w:val="131A7F6F"/>
    <w:rsid w:val="131D25A9"/>
    <w:rsid w:val="132502A2"/>
    <w:rsid w:val="13270F5B"/>
    <w:rsid w:val="132B0CC4"/>
    <w:rsid w:val="132B655F"/>
    <w:rsid w:val="13305A59"/>
    <w:rsid w:val="13371F03"/>
    <w:rsid w:val="133B2D86"/>
    <w:rsid w:val="133B79E1"/>
    <w:rsid w:val="13440929"/>
    <w:rsid w:val="13481478"/>
    <w:rsid w:val="134B47A2"/>
    <w:rsid w:val="135A1943"/>
    <w:rsid w:val="136A6499"/>
    <w:rsid w:val="136A718F"/>
    <w:rsid w:val="136B48DA"/>
    <w:rsid w:val="13800750"/>
    <w:rsid w:val="138D6DFA"/>
    <w:rsid w:val="138E1CE5"/>
    <w:rsid w:val="13907D4B"/>
    <w:rsid w:val="139A5F9E"/>
    <w:rsid w:val="13A23F83"/>
    <w:rsid w:val="13AE0FB7"/>
    <w:rsid w:val="13C017F0"/>
    <w:rsid w:val="13D43920"/>
    <w:rsid w:val="13D615F9"/>
    <w:rsid w:val="13ED19D3"/>
    <w:rsid w:val="13F15BBB"/>
    <w:rsid w:val="13F83477"/>
    <w:rsid w:val="13FE60D2"/>
    <w:rsid w:val="141319DA"/>
    <w:rsid w:val="141350E0"/>
    <w:rsid w:val="141A47F8"/>
    <w:rsid w:val="141C0CD2"/>
    <w:rsid w:val="143013F9"/>
    <w:rsid w:val="143F51A6"/>
    <w:rsid w:val="14600BE6"/>
    <w:rsid w:val="146804AA"/>
    <w:rsid w:val="14727A08"/>
    <w:rsid w:val="147868D8"/>
    <w:rsid w:val="147C2ECC"/>
    <w:rsid w:val="14883898"/>
    <w:rsid w:val="148A288E"/>
    <w:rsid w:val="148C1C17"/>
    <w:rsid w:val="14A8224A"/>
    <w:rsid w:val="14B10737"/>
    <w:rsid w:val="14BD7FBF"/>
    <w:rsid w:val="14C57350"/>
    <w:rsid w:val="14CA6D08"/>
    <w:rsid w:val="14CF58EF"/>
    <w:rsid w:val="14D90915"/>
    <w:rsid w:val="14DE229E"/>
    <w:rsid w:val="14E041A0"/>
    <w:rsid w:val="14E40AE9"/>
    <w:rsid w:val="14E94280"/>
    <w:rsid w:val="14E94F36"/>
    <w:rsid w:val="14EE7916"/>
    <w:rsid w:val="14F256BA"/>
    <w:rsid w:val="15015EE0"/>
    <w:rsid w:val="150C04D3"/>
    <w:rsid w:val="1514096A"/>
    <w:rsid w:val="1515122E"/>
    <w:rsid w:val="15180D48"/>
    <w:rsid w:val="152030C0"/>
    <w:rsid w:val="15240034"/>
    <w:rsid w:val="152762F4"/>
    <w:rsid w:val="15293D06"/>
    <w:rsid w:val="153916A7"/>
    <w:rsid w:val="153F383F"/>
    <w:rsid w:val="154A3124"/>
    <w:rsid w:val="154C08F1"/>
    <w:rsid w:val="154D1052"/>
    <w:rsid w:val="154E081E"/>
    <w:rsid w:val="155062DB"/>
    <w:rsid w:val="15611764"/>
    <w:rsid w:val="15670A11"/>
    <w:rsid w:val="15677D12"/>
    <w:rsid w:val="15790A29"/>
    <w:rsid w:val="157A0950"/>
    <w:rsid w:val="157A5300"/>
    <w:rsid w:val="157E6601"/>
    <w:rsid w:val="159B612D"/>
    <w:rsid w:val="159C0BD9"/>
    <w:rsid w:val="15A201F7"/>
    <w:rsid w:val="15AF3FC1"/>
    <w:rsid w:val="15BA031C"/>
    <w:rsid w:val="15BF0A4F"/>
    <w:rsid w:val="15C8686D"/>
    <w:rsid w:val="15DC71C1"/>
    <w:rsid w:val="15E2382C"/>
    <w:rsid w:val="15E52956"/>
    <w:rsid w:val="15EF7A0B"/>
    <w:rsid w:val="15F35E9F"/>
    <w:rsid w:val="15FC6948"/>
    <w:rsid w:val="15FF7171"/>
    <w:rsid w:val="160169A4"/>
    <w:rsid w:val="160E3BE1"/>
    <w:rsid w:val="160F36A4"/>
    <w:rsid w:val="16135D04"/>
    <w:rsid w:val="162B705C"/>
    <w:rsid w:val="16374F06"/>
    <w:rsid w:val="163D20DC"/>
    <w:rsid w:val="1647509D"/>
    <w:rsid w:val="164836A9"/>
    <w:rsid w:val="164F344D"/>
    <w:rsid w:val="16760687"/>
    <w:rsid w:val="16794621"/>
    <w:rsid w:val="168321C5"/>
    <w:rsid w:val="16871090"/>
    <w:rsid w:val="168F0543"/>
    <w:rsid w:val="1693681D"/>
    <w:rsid w:val="16994B96"/>
    <w:rsid w:val="16A34782"/>
    <w:rsid w:val="16A61DBB"/>
    <w:rsid w:val="16C043D1"/>
    <w:rsid w:val="16C44D5C"/>
    <w:rsid w:val="16C86D54"/>
    <w:rsid w:val="16C931AB"/>
    <w:rsid w:val="16CA2141"/>
    <w:rsid w:val="16CF07E4"/>
    <w:rsid w:val="16CF0B97"/>
    <w:rsid w:val="16D45AC1"/>
    <w:rsid w:val="16DD23A5"/>
    <w:rsid w:val="16DE57D4"/>
    <w:rsid w:val="16E8212E"/>
    <w:rsid w:val="16ED1E82"/>
    <w:rsid w:val="16F5070A"/>
    <w:rsid w:val="16FB0C8F"/>
    <w:rsid w:val="17061F0F"/>
    <w:rsid w:val="17102FC8"/>
    <w:rsid w:val="171A1713"/>
    <w:rsid w:val="172519B6"/>
    <w:rsid w:val="172A1195"/>
    <w:rsid w:val="172B368A"/>
    <w:rsid w:val="172C7387"/>
    <w:rsid w:val="172F7BD8"/>
    <w:rsid w:val="17360325"/>
    <w:rsid w:val="173B6E31"/>
    <w:rsid w:val="17412F10"/>
    <w:rsid w:val="1742601B"/>
    <w:rsid w:val="1744050D"/>
    <w:rsid w:val="174974AF"/>
    <w:rsid w:val="174C0985"/>
    <w:rsid w:val="175173A5"/>
    <w:rsid w:val="17557579"/>
    <w:rsid w:val="1765401C"/>
    <w:rsid w:val="17656B9F"/>
    <w:rsid w:val="176B702A"/>
    <w:rsid w:val="176E5A26"/>
    <w:rsid w:val="17783E02"/>
    <w:rsid w:val="17797AD5"/>
    <w:rsid w:val="177D4636"/>
    <w:rsid w:val="178A3AF7"/>
    <w:rsid w:val="178E35B6"/>
    <w:rsid w:val="179035B1"/>
    <w:rsid w:val="179856A3"/>
    <w:rsid w:val="17A0219C"/>
    <w:rsid w:val="17A7061F"/>
    <w:rsid w:val="17D0004F"/>
    <w:rsid w:val="17D04422"/>
    <w:rsid w:val="17D06000"/>
    <w:rsid w:val="17D25A64"/>
    <w:rsid w:val="17D30E4D"/>
    <w:rsid w:val="17DD115D"/>
    <w:rsid w:val="17DE6555"/>
    <w:rsid w:val="17E67B00"/>
    <w:rsid w:val="17F173E9"/>
    <w:rsid w:val="17F20C1F"/>
    <w:rsid w:val="17FF3364"/>
    <w:rsid w:val="18027757"/>
    <w:rsid w:val="18036E9F"/>
    <w:rsid w:val="18063189"/>
    <w:rsid w:val="180A10B0"/>
    <w:rsid w:val="180F4AA5"/>
    <w:rsid w:val="1812273B"/>
    <w:rsid w:val="18184FFE"/>
    <w:rsid w:val="181A6527"/>
    <w:rsid w:val="181C359B"/>
    <w:rsid w:val="1826056F"/>
    <w:rsid w:val="18311EA3"/>
    <w:rsid w:val="18351FA5"/>
    <w:rsid w:val="184A3E02"/>
    <w:rsid w:val="184E6BF3"/>
    <w:rsid w:val="184F1065"/>
    <w:rsid w:val="1857207E"/>
    <w:rsid w:val="1861325E"/>
    <w:rsid w:val="1875491B"/>
    <w:rsid w:val="18763A53"/>
    <w:rsid w:val="18852955"/>
    <w:rsid w:val="18925A0E"/>
    <w:rsid w:val="18996C03"/>
    <w:rsid w:val="18A44893"/>
    <w:rsid w:val="18B632F3"/>
    <w:rsid w:val="18BE5FD9"/>
    <w:rsid w:val="18DA5506"/>
    <w:rsid w:val="18E56AE6"/>
    <w:rsid w:val="18E62C3B"/>
    <w:rsid w:val="18EF3ED9"/>
    <w:rsid w:val="18F43250"/>
    <w:rsid w:val="190B2DB5"/>
    <w:rsid w:val="19152CE2"/>
    <w:rsid w:val="1919570A"/>
    <w:rsid w:val="191A0732"/>
    <w:rsid w:val="19357D72"/>
    <w:rsid w:val="193F2356"/>
    <w:rsid w:val="19407F90"/>
    <w:rsid w:val="194648AA"/>
    <w:rsid w:val="194C24DA"/>
    <w:rsid w:val="19643E7F"/>
    <w:rsid w:val="19672B50"/>
    <w:rsid w:val="196C2823"/>
    <w:rsid w:val="196E3865"/>
    <w:rsid w:val="197A74CC"/>
    <w:rsid w:val="197D104B"/>
    <w:rsid w:val="19807D34"/>
    <w:rsid w:val="19910C46"/>
    <w:rsid w:val="199445C3"/>
    <w:rsid w:val="19962775"/>
    <w:rsid w:val="1998461F"/>
    <w:rsid w:val="19985AA8"/>
    <w:rsid w:val="199E45BE"/>
    <w:rsid w:val="19AE67C4"/>
    <w:rsid w:val="19B83009"/>
    <w:rsid w:val="19BE12DE"/>
    <w:rsid w:val="19C709AF"/>
    <w:rsid w:val="19D2502B"/>
    <w:rsid w:val="19D266B8"/>
    <w:rsid w:val="19E975F6"/>
    <w:rsid w:val="19ED2089"/>
    <w:rsid w:val="19F518A6"/>
    <w:rsid w:val="19F82D3C"/>
    <w:rsid w:val="1A085A9E"/>
    <w:rsid w:val="1A0E3578"/>
    <w:rsid w:val="1A1178B7"/>
    <w:rsid w:val="1A141956"/>
    <w:rsid w:val="1A1B689F"/>
    <w:rsid w:val="1A1E51C1"/>
    <w:rsid w:val="1A2B10D3"/>
    <w:rsid w:val="1A400734"/>
    <w:rsid w:val="1A5827B3"/>
    <w:rsid w:val="1A592389"/>
    <w:rsid w:val="1A6331B4"/>
    <w:rsid w:val="1A6F393D"/>
    <w:rsid w:val="1A6F41DA"/>
    <w:rsid w:val="1A6F67EB"/>
    <w:rsid w:val="1A7B4A98"/>
    <w:rsid w:val="1A85135D"/>
    <w:rsid w:val="1A8C0EF6"/>
    <w:rsid w:val="1A944F2B"/>
    <w:rsid w:val="1A9B5955"/>
    <w:rsid w:val="1A9F7F9C"/>
    <w:rsid w:val="1AB04239"/>
    <w:rsid w:val="1AB523BB"/>
    <w:rsid w:val="1AB630D9"/>
    <w:rsid w:val="1AB76D38"/>
    <w:rsid w:val="1ABC470D"/>
    <w:rsid w:val="1AC635CF"/>
    <w:rsid w:val="1ACC6421"/>
    <w:rsid w:val="1ADD41F1"/>
    <w:rsid w:val="1AF01A22"/>
    <w:rsid w:val="1AFB6E97"/>
    <w:rsid w:val="1AFF0E0C"/>
    <w:rsid w:val="1B082DC2"/>
    <w:rsid w:val="1B090E60"/>
    <w:rsid w:val="1B0E7DFE"/>
    <w:rsid w:val="1B12145C"/>
    <w:rsid w:val="1B1A4D10"/>
    <w:rsid w:val="1B3B5674"/>
    <w:rsid w:val="1B4013C5"/>
    <w:rsid w:val="1B41703D"/>
    <w:rsid w:val="1B427AF3"/>
    <w:rsid w:val="1B470B4D"/>
    <w:rsid w:val="1B4B475A"/>
    <w:rsid w:val="1B4E4C3E"/>
    <w:rsid w:val="1B566C81"/>
    <w:rsid w:val="1B693155"/>
    <w:rsid w:val="1B6A029E"/>
    <w:rsid w:val="1B6C1009"/>
    <w:rsid w:val="1B7C6D4C"/>
    <w:rsid w:val="1B7F279F"/>
    <w:rsid w:val="1B87695B"/>
    <w:rsid w:val="1B891BA7"/>
    <w:rsid w:val="1B8B17CD"/>
    <w:rsid w:val="1BA03F89"/>
    <w:rsid w:val="1BBA1316"/>
    <w:rsid w:val="1BC03779"/>
    <w:rsid w:val="1BC21461"/>
    <w:rsid w:val="1BC43259"/>
    <w:rsid w:val="1BC94764"/>
    <w:rsid w:val="1BCD6CE4"/>
    <w:rsid w:val="1BD014C2"/>
    <w:rsid w:val="1BD70F0D"/>
    <w:rsid w:val="1BDF1597"/>
    <w:rsid w:val="1BDF5350"/>
    <w:rsid w:val="1BE271AB"/>
    <w:rsid w:val="1BE54715"/>
    <w:rsid w:val="1BE70B4E"/>
    <w:rsid w:val="1BED55B0"/>
    <w:rsid w:val="1BF51DD7"/>
    <w:rsid w:val="1BF85A65"/>
    <w:rsid w:val="1BFA4363"/>
    <w:rsid w:val="1C0F38D0"/>
    <w:rsid w:val="1C132B63"/>
    <w:rsid w:val="1C1C1DD6"/>
    <w:rsid w:val="1C1D2EAC"/>
    <w:rsid w:val="1C226EAC"/>
    <w:rsid w:val="1C2D24AD"/>
    <w:rsid w:val="1C427DD0"/>
    <w:rsid w:val="1C4378A9"/>
    <w:rsid w:val="1C574B07"/>
    <w:rsid w:val="1C671348"/>
    <w:rsid w:val="1C6B6CED"/>
    <w:rsid w:val="1C80260A"/>
    <w:rsid w:val="1C822749"/>
    <w:rsid w:val="1C955A0A"/>
    <w:rsid w:val="1C994FC3"/>
    <w:rsid w:val="1CA024B1"/>
    <w:rsid w:val="1CA30C46"/>
    <w:rsid w:val="1CA446EF"/>
    <w:rsid w:val="1CAE08BB"/>
    <w:rsid w:val="1CB253AA"/>
    <w:rsid w:val="1CBB0EA2"/>
    <w:rsid w:val="1CC04FE3"/>
    <w:rsid w:val="1CC26997"/>
    <w:rsid w:val="1CC84236"/>
    <w:rsid w:val="1CCC58BC"/>
    <w:rsid w:val="1CCC5E74"/>
    <w:rsid w:val="1CD72A8C"/>
    <w:rsid w:val="1CD8016D"/>
    <w:rsid w:val="1CD80696"/>
    <w:rsid w:val="1CDA7610"/>
    <w:rsid w:val="1CDA7A34"/>
    <w:rsid w:val="1CE13B8F"/>
    <w:rsid w:val="1CE20957"/>
    <w:rsid w:val="1CE41720"/>
    <w:rsid w:val="1CEE5F3A"/>
    <w:rsid w:val="1CF9553F"/>
    <w:rsid w:val="1D0A713A"/>
    <w:rsid w:val="1D0D2338"/>
    <w:rsid w:val="1D0F3F75"/>
    <w:rsid w:val="1D124BF1"/>
    <w:rsid w:val="1D131C42"/>
    <w:rsid w:val="1D181679"/>
    <w:rsid w:val="1D1C2C2A"/>
    <w:rsid w:val="1D237289"/>
    <w:rsid w:val="1D2A06C0"/>
    <w:rsid w:val="1D2C0C24"/>
    <w:rsid w:val="1D300D48"/>
    <w:rsid w:val="1D30302C"/>
    <w:rsid w:val="1D3B33C2"/>
    <w:rsid w:val="1D453AD4"/>
    <w:rsid w:val="1D477E33"/>
    <w:rsid w:val="1D4B2368"/>
    <w:rsid w:val="1D583349"/>
    <w:rsid w:val="1D643F7D"/>
    <w:rsid w:val="1D6A2C85"/>
    <w:rsid w:val="1D70471C"/>
    <w:rsid w:val="1D847A7E"/>
    <w:rsid w:val="1D8B52F0"/>
    <w:rsid w:val="1D8C3A99"/>
    <w:rsid w:val="1D950622"/>
    <w:rsid w:val="1D9839F9"/>
    <w:rsid w:val="1D9B092D"/>
    <w:rsid w:val="1DA05514"/>
    <w:rsid w:val="1DA2351F"/>
    <w:rsid w:val="1DA36B4D"/>
    <w:rsid w:val="1DAB4323"/>
    <w:rsid w:val="1DAC6350"/>
    <w:rsid w:val="1DAC73E0"/>
    <w:rsid w:val="1DB047B7"/>
    <w:rsid w:val="1DBB4289"/>
    <w:rsid w:val="1DC51632"/>
    <w:rsid w:val="1DC5655A"/>
    <w:rsid w:val="1DC863BC"/>
    <w:rsid w:val="1DDF4DB0"/>
    <w:rsid w:val="1DF70976"/>
    <w:rsid w:val="1DFA475D"/>
    <w:rsid w:val="1E020087"/>
    <w:rsid w:val="1E0A66AA"/>
    <w:rsid w:val="1E0B5BE2"/>
    <w:rsid w:val="1E0C3826"/>
    <w:rsid w:val="1E26343A"/>
    <w:rsid w:val="1E297FCE"/>
    <w:rsid w:val="1E312F28"/>
    <w:rsid w:val="1E33208F"/>
    <w:rsid w:val="1E4C1FDC"/>
    <w:rsid w:val="1E5B5191"/>
    <w:rsid w:val="1E6450E4"/>
    <w:rsid w:val="1E7D5100"/>
    <w:rsid w:val="1E801156"/>
    <w:rsid w:val="1E88378D"/>
    <w:rsid w:val="1E890A5B"/>
    <w:rsid w:val="1E9E017F"/>
    <w:rsid w:val="1EA31A31"/>
    <w:rsid w:val="1EBF74BE"/>
    <w:rsid w:val="1EC52281"/>
    <w:rsid w:val="1ECD23E6"/>
    <w:rsid w:val="1ECF6C20"/>
    <w:rsid w:val="1EE4290E"/>
    <w:rsid w:val="1EE60752"/>
    <w:rsid w:val="1EE677F4"/>
    <w:rsid w:val="1EE84E69"/>
    <w:rsid w:val="1EEE1BF5"/>
    <w:rsid w:val="1EF15532"/>
    <w:rsid w:val="1EF612EA"/>
    <w:rsid w:val="1F05310D"/>
    <w:rsid w:val="1F176D36"/>
    <w:rsid w:val="1F1A412E"/>
    <w:rsid w:val="1F1E03B6"/>
    <w:rsid w:val="1F201407"/>
    <w:rsid w:val="1F375121"/>
    <w:rsid w:val="1F402ACE"/>
    <w:rsid w:val="1F467676"/>
    <w:rsid w:val="1F490586"/>
    <w:rsid w:val="1F5873CE"/>
    <w:rsid w:val="1F5939DA"/>
    <w:rsid w:val="1F5B3FC8"/>
    <w:rsid w:val="1F5C2BB2"/>
    <w:rsid w:val="1F615D4D"/>
    <w:rsid w:val="1F7A3FB9"/>
    <w:rsid w:val="1F7D4078"/>
    <w:rsid w:val="1F7E54D2"/>
    <w:rsid w:val="1F847842"/>
    <w:rsid w:val="1F856BA7"/>
    <w:rsid w:val="1F863684"/>
    <w:rsid w:val="1F8C4F9F"/>
    <w:rsid w:val="1F917D77"/>
    <w:rsid w:val="1F9E57D4"/>
    <w:rsid w:val="1FA6165F"/>
    <w:rsid w:val="1FAB58BF"/>
    <w:rsid w:val="1FC05DDD"/>
    <w:rsid w:val="1FC16C5A"/>
    <w:rsid w:val="1FCB0080"/>
    <w:rsid w:val="1FD4368E"/>
    <w:rsid w:val="1FD748B3"/>
    <w:rsid w:val="1FE1703C"/>
    <w:rsid w:val="1FEB210E"/>
    <w:rsid w:val="1FEE306E"/>
    <w:rsid w:val="1FF73351"/>
    <w:rsid w:val="1FFD2203"/>
    <w:rsid w:val="200224CE"/>
    <w:rsid w:val="2007653C"/>
    <w:rsid w:val="200F3056"/>
    <w:rsid w:val="201009EE"/>
    <w:rsid w:val="201323B8"/>
    <w:rsid w:val="201C312F"/>
    <w:rsid w:val="202149F1"/>
    <w:rsid w:val="20253BED"/>
    <w:rsid w:val="20283E6D"/>
    <w:rsid w:val="20415843"/>
    <w:rsid w:val="204C4E5A"/>
    <w:rsid w:val="204D1701"/>
    <w:rsid w:val="204F2033"/>
    <w:rsid w:val="20525986"/>
    <w:rsid w:val="20640463"/>
    <w:rsid w:val="20690FFB"/>
    <w:rsid w:val="206A4A2B"/>
    <w:rsid w:val="20752B48"/>
    <w:rsid w:val="207B7572"/>
    <w:rsid w:val="207F298D"/>
    <w:rsid w:val="208A7D86"/>
    <w:rsid w:val="208C2376"/>
    <w:rsid w:val="20907154"/>
    <w:rsid w:val="209A549F"/>
    <w:rsid w:val="209B1BD5"/>
    <w:rsid w:val="20B0350C"/>
    <w:rsid w:val="20C10CBD"/>
    <w:rsid w:val="20E37EE6"/>
    <w:rsid w:val="20ED6CD0"/>
    <w:rsid w:val="20EE1DD0"/>
    <w:rsid w:val="20F42D37"/>
    <w:rsid w:val="211479B7"/>
    <w:rsid w:val="21166EBB"/>
    <w:rsid w:val="211757CA"/>
    <w:rsid w:val="211A58E5"/>
    <w:rsid w:val="212265F6"/>
    <w:rsid w:val="21262E09"/>
    <w:rsid w:val="21273306"/>
    <w:rsid w:val="21317BD1"/>
    <w:rsid w:val="213E0CE4"/>
    <w:rsid w:val="213E5390"/>
    <w:rsid w:val="214250A4"/>
    <w:rsid w:val="21466895"/>
    <w:rsid w:val="214837E1"/>
    <w:rsid w:val="214E01C2"/>
    <w:rsid w:val="214F1F52"/>
    <w:rsid w:val="21512A99"/>
    <w:rsid w:val="21562FBC"/>
    <w:rsid w:val="215860EA"/>
    <w:rsid w:val="215D239D"/>
    <w:rsid w:val="21600720"/>
    <w:rsid w:val="216632E4"/>
    <w:rsid w:val="216D1F5E"/>
    <w:rsid w:val="216D36C4"/>
    <w:rsid w:val="218327D9"/>
    <w:rsid w:val="21857DD8"/>
    <w:rsid w:val="21891584"/>
    <w:rsid w:val="21A34CD4"/>
    <w:rsid w:val="21B47049"/>
    <w:rsid w:val="21B55592"/>
    <w:rsid w:val="21BA2C44"/>
    <w:rsid w:val="21BC53C3"/>
    <w:rsid w:val="21C874E9"/>
    <w:rsid w:val="21D06195"/>
    <w:rsid w:val="21D17ADF"/>
    <w:rsid w:val="21D41EE8"/>
    <w:rsid w:val="21D63C9C"/>
    <w:rsid w:val="21D73B97"/>
    <w:rsid w:val="21DC3F3E"/>
    <w:rsid w:val="21DF7003"/>
    <w:rsid w:val="21E43AA4"/>
    <w:rsid w:val="21E61B7D"/>
    <w:rsid w:val="21E70AE5"/>
    <w:rsid w:val="21F01B38"/>
    <w:rsid w:val="21F228FC"/>
    <w:rsid w:val="21F622BB"/>
    <w:rsid w:val="21F6506F"/>
    <w:rsid w:val="21F84440"/>
    <w:rsid w:val="2203473C"/>
    <w:rsid w:val="22125515"/>
    <w:rsid w:val="22203F5F"/>
    <w:rsid w:val="22204AF6"/>
    <w:rsid w:val="22261713"/>
    <w:rsid w:val="22267FB5"/>
    <w:rsid w:val="22377A74"/>
    <w:rsid w:val="224225BE"/>
    <w:rsid w:val="22530886"/>
    <w:rsid w:val="22566338"/>
    <w:rsid w:val="22592808"/>
    <w:rsid w:val="22674FA5"/>
    <w:rsid w:val="2275279D"/>
    <w:rsid w:val="2277754E"/>
    <w:rsid w:val="22794F62"/>
    <w:rsid w:val="227E71FA"/>
    <w:rsid w:val="228477AC"/>
    <w:rsid w:val="228B1BDD"/>
    <w:rsid w:val="22976467"/>
    <w:rsid w:val="229B7FFC"/>
    <w:rsid w:val="229D2BCC"/>
    <w:rsid w:val="22A863DD"/>
    <w:rsid w:val="22B1726C"/>
    <w:rsid w:val="22B82F61"/>
    <w:rsid w:val="22C32C9E"/>
    <w:rsid w:val="22CA61CC"/>
    <w:rsid w:val="22CE0218"/>
    <w:rsid w:val="22D74806"/>
    <w:rsid w:val="22E01E8F"/>
    <w:rsid w:val="22E05102"/>
    <w:rsid w:val="22E62BB6"/>
    <w:rsid w:val="22F129BC"/>
    <w:rsid w:val="22FC5273"/>
    <w:rsid w:val="23087395"/>
    <w:rsid w:val="230C1A37"/>
    <w:rsid w:val="230F374B"/>
    <w:rsid w:val="2312257D"/>
    <w:rsid w:val="231A5351"/>
    <w:rsid w:val="231D3A44"/>
    <w:rsid w:val="232713D3"/>
    <w:rsid w:val="23391308"/>
    <w:rsid w:val="233F153B"/>
    <w:rsid w:val="23454B18"/>
    <w:rsid w:val="2346105D"/>
    <w:rsid w:val="23463B7C"/>
    <w:rsid w:val="23486921"/>
    <w:rsid w:val="234B7C34"/>
    <w:rsid w:val="23552E6D"/>
    <w:rsid w:val="23584815"/>
    <w:rsid w:val="235D3DA8"/>
    <w:rsid w:val="23614C4B"/>
    <w:rsid w:val="23632081"/>
    <w:rsid w:val="2379382C"/>
    <w:rsid w:val="238427CF"/>
    <w:rsid w:val="238461CC"/>
    <w:rsid w:val="238C1DBB"/>
    <w:rsid w:val="23945A95"/>
    <w:rsid w:val="23952C3F"/>
    <w:rsid w:val="23984998"/>
    <w:rsid w:val="239C7FD2"/>
    <w:rsid w:val="239E19D0"/>
    <w:rsid w:val="23A50728"/>
    <w:rsid w:val="23AD611F"/>
    <w:rsid w:val="23B2493F"/>
    <w:rsid w:val="23C853C1"/>
    <w:rsid w:val="23CD3B88"/>
    <w:rsid w:val="23DC1A1E"/>
    <w:rsid w:val="23F75B32"/>
    <w:rsid w:val="23FB78BB"/>
    <w:rsid w:val="23FE551C"/>
    <w:rsid w:val="240B69BD"/>
    <w:rsid w:val="241105ED"/>
    <w:rsid w:val="241401B4"/>
    <w:rsid w:val="24197C1E"/>
    <w:rsid w:val="24234468"/>
    <w:rsid w:val="24325A15"/>
    <w:rsid w:val="24383A52"/>
    <w:rsid w:val="24406E3F"/>
    <w:rsid w:val="245161E9"/>
    <w:rsid w:val="24516368"/>
    <w:rsid w:val="245731C6"/>
    <w:rsid w:val="2457711F"/>
    <w:rsid w:val="245A0FA5"/>
    <w:rsid w:val="245F66D1"/>
    <w:rsid w:val="246F258E"/>
    <w:rsid w:val="2476396C"/>
    <w:rsid w:val="247E40C3"/>
    <w:rsid w:val="24874969"/>
    <w:rsid w:val="248E59E2"/>
    <w:rsid w:val="24947FA7"/>
    <w:rsid w:val="24993E00"/>
    <w:rsid w:val="24AC7D79"/>
    <w:rsid w:val="24AE1168"/>
    <w:rsid w:val="24BB7E25"/>
    <w:rsid w:val="24E71962"/>
    <w:rsid w:val="24E853B7"/>
    <w:rsid w:val="24F06E1B"/>
    <w:rsid w:val="24F42C44"/>
    <w:rsid w:val="24FB1A58"/>
    <w:rsid w:val="25050D7D"/>
    <w:rsid w:val="250C4185"/>
    <w:rsid w:val="25131295"/>
    <w:rsid w:val="25205B20"/>
    <w:rsid w:val="25220CDE"/>
    <w:rsid w:val="252340D7"/>
    <w:rsid w:val="252B5910"/>
    <w:rsid w:val="253D6987"/>
    <w:rsid w:val="25427144"/>
    <w:rsid w:val="254306D5"/>
    <w:rsid w:val="25513B9F"/>
    <w:rsid w:val="255566F8"/>
    <w:rsid w:val="2558692A"/>
    <w:rsid w:val="255B1C15"/>
    <w:rsid w:val="25622D90"/>
    <w:rsid w:val="25632522"/>
    <w:rsid w:val="25753E99"/>
    <w:rsid w:val="25847146"/>
    <w:rsid w:val="258A6B3D"/>
    <w:rsid w:val="258A76CE"/>
    <w:rsid w:val="258D2D77"/>
    <w:rsid w:val="258E3DF8"/>
    <w:rsid w:val="25993B08"/>
    <w:rsid w:val="259E34F7"/>
    <w:rsid w:val="259F6568"/>
    <w:rsid w:val="25A255C1"/>
    <w:rsid w:val="25A34C82"/>
    <w:rsid w:val="25A77797"/>
    <w:rsid w:val="25B00083"/>
    <w:rsid w:val="25B95AEB"/>
    <w:rsid w:val="25BE288A"/>
    <w:rsid w:val="25C21225"/>
    <w:rsid w:val="25CB3C4E"/>
    <w:rsid w:val="25CC5C82"/>
    <w:rsid w:val="25D07606"/>
    <w:rsid w:val="25D812F2"/>
    <w:rsid w:val="25DB582F"/>
    <w:rsid w:val="25DF4DB5"/>
    <w:rsid w:val="25E40F34"/>
    <w:rsid w:val="260B0EF4"/>
    <w:rsid w:val="260B4320"/>
    <w:rsid w:val="26171980"/>
    <w:rsid w:val="262126D0"/>
    <w:rsid w:val="263B658A"/>
    <w:rsid w:val="264B0B26"/>
    <w:rsid w:val="264D5754"/>
    <w:rsid w:val="264E3AC6"/>
    <w:rsid w:val="26572D94"/>
    <w:rsid w:val="2659070F"/>
    <w:rsid w:val="267F2D32"/>
    <w:rsid w:val="26862753"/>
    <w:rsid w:val="2687001C"/>
    <w:rsid w:val="268A00F8"/>
    <w:rsid w:val="268A32C0"/>
    <w:rsid w:val="26975052"/>
    <w:rsid w:val="269756C2"/>
    <w:rsid w:val="269760EA"/>
    <w:rsid w:val="26B13EB9"/>
    <w:rsid w:val="26BE5330"/>
    <w:rsid w:val="26C77FBE"/>
    <w:rsid w:val="26CB62AD"/>
    <w:rsid w:val="26D91D46"/>
    <w:rsid w:val="26E21B18"/>
    <w:rsid w:val="26E64D54"/>
    <w:rsid w:val="26F14CA0"/>
    <w:rsid w:val="26F5537E"/>
    <w:rsid w:val="26FB068C"/>
    <w:rsid w:val="26FB0CA4"/>
    <w:rsid w:val="26FE3EC2"/>
    <w:rsid w:val="27045654"/>
    <w:rsid w:val="271156B1"/>
    <w:rsid w:val="27167571"/>
    <w:rsid w:val="27194C1C"/>
    <w:rsid w:val="271D14E7"/>
    <w:rsid w:val="272322CD"/>
    <w:rsid w:val="272A2132"/>
    <w:rsid w:val="273424E2"/>
    <w:rsid w:val="27425255"/>
    <w:rsid w:val="27487587"/>
    <w:rsid w:val="274A6A1F"/>
    <w:rsid w:val="27546BE9"/>
    <w:rsid w:val="275B2754"/>
    <w:rsid w:val="27607864"/>
    <w:rsid w:val="276A1DCB"/>
    <w:rsid w:val="2775446D"/>
    <w:rsid w:val="278A411C"/>
    <w:rsid w:val="27911420"/>
    <w:rsid w:val="279A5001"/>
    <w:rsid w:val="279B109A"/>
    <w:rsid w:val="279B1A3D"/>
    <w:rsid w:val="27A46237"/>
    <w:rsid w:val="27AA3975"/>
    <w:rsid w:val="27AF5420"/>
    <w:rsid w:val="27BA5C1E"/>
    <w:rsid w:val="27BB1C89"/>
    <w:rsid w:val="27C26943"/>
    <w:rsid w:val="27C733FA"/>
    <w:rsid w:val="27CE6487"/>
    <w:rsid w:val="27D6134D"/>
    <w:rsid w:val="27E93030"/>
    <w:rsid w:val="27EE5884"/>
    <w:rsid w:val="28103B0E"/>
    <w:rsid w:val="28110A9B"/>
    <w:rsid w:val="28215761"/>
    <w:rsid w:val="28220951"/>
    <w:rsid w:val="28254553"/>
    <w:rsid w:val="2828052A"/>
    <w:rsid w:val="282B63DD"/>
    <w:rsid w:val="282F4B62"/>
    <w:rsid w:val="28313ABE"/>
    <w:rsid w:val="28331BE0"/>
    <w:rsid w:val="28537508"/>
    <w:rsid w:val="285B0D8F"/>
    <w:rsid w:val="285F68D6"/>
    <w:rsid w:val="2862731C"/>
    <w:rsid w:val="28761FFC"/>
    <w:rsid w:val="287936CF"/>
    <w:rsid w:val="287C6423"/>
    <w:rsid w:val="28853EEA"/>
    <w:rsid w:val="28884A39"/>
    <w:rsid w:val="28895E87"/>
    <w:rsid w:val="28961024"/>
    <w:rsid w:val="28967059"/>
    <w:rsid w:val="289D099E"/>
    <w:rsid w:val="289F2369"/>
    <w:rsid w:val="28A41BC3"/>
    <w:rsid w:val="28AA099F"/>
    <w:rsid w:val="28B0638D"/>
    <w:rsid w:val="28BA4CF6"/>
    <w:rsid w:val="28BD1478"/>
    <w:rsid w:val="28BE00C2"/>
    <w:rsid w:val="28C47371"/>
    <w:rsid w:val="28DE6D78"/>
    <w:rsid w:val="28E50C97"/>
    <w:rsid w:val="290343AE"/>
    <w:rsid w:val="290A48A1"/>
    <w:rsid w:val="290B7A8E"/>
    <w:rsid w:val="29110274"/>
    <w:rsid w:val="291272FA"/>
    <w:rsid w:val="29183E39"/>
    <w:rsid w:val="291D073A"/>
    <w:rsid w:val="29215FC5"/>
    <w:rsid w:val="29384677"/>
    <w:rsid w:val="29431069"/>
    <w:rsid w:val="294C5A8D"/>
    <w:rsid w:val="294D29FB"/>
    <w:rsid w:val="295360D4"/>
    <w:rsid w:val="29541DC5"/>
    <w:rsid w:val="29552D7D"/>
    <w:rsid w:val="29654E25"/>
    <w:rsid w:val="2967054B"/>
    <w:rsid w:val="296E64F5"/>
    <w:rsid w:val="29734C47"/>
    <w:rsid w:val="29760EBE"/>
    <w:rsid w:val="297F5862"/>
    <w:rsid w:val="29843B9B"/>
    <w:rsid w:val="29861CD6"/>
    <w:rsid w:val="298E4272"/>
    <w:rsid w:val="29962D38"/>
    <w:rsid w:val="299E7F5A"/>
    <w:rsid w:val="29AE318F"/>
    <w:rsid w:val="29C031E2"/>
    <w:rsid w:val="29D63AD2"/>
    <w:rsid w:val="29D82614"/>
    <w:rsid w:val="29E700DE"/>
    <w:rsid w:val="29F00E01"/>
    <w:rsid w:val="29FC47E1"/>
    <w:rsid w:val="2A006833"/>
    <w:rsid w:val="2A0A6397"/>
    <w:rsid w:val="2A0C5E53"/>
    <w:rsid w:val="2A141BC5"/>
    <w:rsid w:val="2A1624CE"/>
    <w:rsid w:val="2A176904"/>
    <w:rsid w:val="2A1C7547"/>
    <w:rsid w:val="2A1F175C"/>
    <w:rsid w:val="2A2117FD"/>
    <w:rsid w:val="2A227F97"/>
    <w:rsid w:val="2A234840"/>
    <w:rsid w:val="2A2642B6"/>
    <w:rsid w:val="2A2665D4"/>
    <w:rsid w:val="2A373BE3"/>
    <w:rsid w:val="2A387DBA"/>
    <w:rsid w:val="2A3A718D"/>
    <w:rsid w:val="2A3D74BE"/>
    <w:rsid w:val="2A3E3DA5"/>
    <w:rsid w:val="2A3F0338"/>
    <w:rsid w:val="2A4118B6"/>
    <w:rsid w:val="2A412FB8"/>
    <w:rsid w:val="2A435145"/>
    <w:rsid w:val="2A4822E9"/>
    <w:rsid w:val="2A4C2483"/>
    <w:rsid w:val="2A4F17C7"/>
    <w:rsid w:val="2A5D71BA"/>
    <w:rsid w:val="2A754C35"/>
    <w:rsid w:val="2A7F5532"/>
    <w:rsid w:val="2A814281"/>
    <w:rsid w:val="2A857FE3"/>
    <w:rsid w:val="2A90769A"/>
    <w:rsid w:val="2A9B4567"/>
    <w:rsid w:val="2A9F56B6"/>
    <w:rsid w:val="2A9F7BC7"/>
    <w:rsid w:val="2A9F7E24"/>
    <w:rsid w:val="2AA01833"/>
    <w:rsid w:val="2AA44070"/>
    <w:rsid w:val="2AAA4817"/>
    <w:rsid w:val="2AAE577B"/>
    <w:rsid w:val="2AB565C5"/>
    <w:rsid w:val="2ABA24BF"/>
    <w:rsid w:val="2AC63A5A"/>
    <w:rsid w:val="2AC84CC6"/>
    <w:rsid w:val="2AC86AE3"/>
    <w:rsid w:val="2ACE0793"/>
    <w:rsid w:val="2AD368C1"/>
    <w:rsid w:val="2AD519E9"/>
    <w:rsid w:val="2AD814A8"/>
    <w:rsid w:val="2AD8165D"/>
    <w:rsid w:val="2AF3794D"/>
    <w:rsid w:val="2AF86A2D"/>
    <w:rsid w:val="2AFF270C"/>
    <w:rsid w:val="2AFF585E"/>
    <w:rsid w:val="2B0C2962"/>
    <w:rsid w:val="2B242CFB"/>
    <w:rsid w:val="2B2A2DC3"/>
    <w:rsid w:val="2B306FC4"/>
    <w:rsid w:val="2B3E05A1"/>
    <w:rsid w:val="2B410962"/>
    <w:rsid w:val="2B4C3244"/>
    <w:rsid w:val="2B62377C"/>
    <w:rsid w:val="2B642AB4"/>
    <w:rsid w:val="2B6A2D92"/>
    <w:rsid w:val="2B6E4325"/>
    <w:rsid w:val="2B767D89"/>
    <w:rsid w:val="2B7C34DD"/>
    <w:rsid w:val="2B8174BD"/>
    <w:rsid w:val="2B87090B"/>
    <w:rsid w:val="2B88765E"/>
    <w:rsid w:val="2B8A7B63"/>
    <w:rsid w:val="2BA3388D"/>
    <w:rsid w:val="2BA54B7D"/>
    <w:rsid w:val="2BAE1E94"/>
    <w:rsid w:val="2BBD31ED"/>
    <w:rsid w:val="2BC07DF7"/>
    <w:rsid w:val="2BC315A9"/>
    <w:rsid w:val="2BC535BD"/>
    <w:rsid w:val="2BCB7819"/>
    <w:rsid w:val="2BD4161A"/>
    <w:rsid w:val="2BE22969"/>
    <w:rsid w:val="2BE55262"/>
    <w:rsid w:val="2BF14BED"/>
    <w:rsid w:val="2BF27C16"/>
    <w:rsid w:val="2BF84123"/>
    <w:rsid w:val="2BFF5D13"/>
    <w:rsid w:val="2C02392F"/>
    <w:rsid w:val="2C080ED0"/>
    <w:rsid w:val="2C0E421E"/>
    <w:rsid w:val="2C19051A"/>
    <w:rsid w:val="2C1B20DC"/>
    <w:rsid w:val="2C1B2173"/>
    <w:rsid w:val="2C225D09"/>
    <w:rsid w:val="2C236C78"/>
    <w:rsid w:val="2C3260B3"/>
    <w:rsid w:val="2C326302"/>
    <w:rsid w:val="2C340279"/>
    <w:rsid w:val="2C372A56"/>
    <w:rsid w:val="2C3E2DD8"/>
    <w:rsid w:val="2C3F1C07"/>
    <w:rsid w:val="2C524C23"/>
    <w:rsid w:val="2C56189A"/>
    <w:rsid w:val="2C57066B"/>
    <w:rsid w:val="2C5822F7"/>
    <w:rsid w:val="2C5F1154"/>
    <w:rsid w:val="2C6431D6"/>
    <w:rsid w:val="2C767AD1"/>
    <w:rsid w:val="2C79450A"/>
    <w:rsid w:val="2C7A1F70"/>
    <w:rsid w:val="2C7B5040"/>
    <w:rsid w:val="2C7E3FF7"/>
    <w:rsid w:val="2C832C97"/>
    <w:rsid w:val="2C8D50B3"/>
    <w:rsid w:val="2C8E0D4A"/>
    <w:rsid w:val="2C8F6708"/>
    <w:rsid w:val="2C972E1D"/>
    <w:rsid w:val="2C9D7ECE"/>
    <w:rsid w:val="2CA446C0"/>
    <w:rsid w:val="2CAE06D7"/>
    <w:rsid w:val="2CAE4FF5"/>
    <w:rsid w:val="2CB062BB"/>
    <w:rsid w:val="2CB23567"/>
    <w:rsid w:val="2CB34B49"/>
    <w:rsid w:val="2CB54B9C"/>
    <w:rsid w:val="2CBC62B6"/>
    <w:rsid w:val="2CC243F7"/>
    <w:rsid w:val="2CCB79E7"/>
    <w:rsid w:val="2CCE7C01"/>
    <w:rsid w:val="2CD055AB"/>
    <w:rsid w:val="2CD9221C"/>
    <w:rsid w:val="2CDF75BB"/>
    <w:rsid w:val="2CE25F23"/>
    <w:rsid w:val="2CE37C3E"/>
    <w:rsid w:val="2CEB7D66"/>
    <w:rsid w:val="2CF3262B"/>
    <w:rsid w:val="2CF551F0"/>
    <w:rsid w:val="2CF80345"/>
    <w:rsid w:val="2D0454AD"/>
    <w:rsid w:val="2D121430"/>
    <w:rsid w:val="2D1E273F"/>
    <w:rsid w:val="2D1F1274"/>
    <w:rsid w:val="2D1F36A1"/>
    <w:rsid w:val="2D2017D0"/>
    <w:rsid w:val="2D337478"/>
    <w:rsid w:val="2D3A5496"/>
    <w:rsid w:val="2D3D6873"/>
    <w:rsid w:val="2D4129D4"/>
    <w:rsid w:val="2D413D64"/>
    <w:rsid w:val="2D4F7ED6"/>
    <w:rsid w:val="2D513B30"/>
    <w:rsid w:val="2D531FE5"/>
    <w:rsid w:val="2D5E622E"/>
    <w:rsid w:val="2D5F3E1E"/>
    <w:rsid w:val="2D716C78"/>
    <w:rsid w:val="2D7207EB"/>
    <w:rsid w:val="2D810EE3"/>
    <w:rsid w:val="2D926567"/>
    <w:rsid w:val="2D9919C7"/>
    <w:rsid w:val="2D9B2FC5"/>
    <w:rsid w:val="2D9E685F"/>
    <w:rsid w:val="2DB00D66"/>
    <w:rsid w:val="2DB45EA7"/>
    <w:rsid w:val="2DB9652E"/>
    <w:rsid w:val="2DBD17D1"/>
    <w:rsid w:val="2DBF5527"/>
    <w:rsid w:val="2DC6017D"/>
    <w:rsid w:val="2DCB2245"/>
    <w:rsid w:val="2DCC17E6"/>
    <w:rsid w:val="2DCD18C0"/>
    <w:rsid w:val="2DDD2030"/>
    <w:rsid w:val="2DE36310"/>
    <w:rsid w:val="2DE46F2F"/>
    <w:rsid w:val="2DF81A9C"/>
    <w:rsid w:val="2DFC312E"/>
    <w:rsid w:val="2E0B0240"/>
    <w:rsid w:val="2E1E5FF5"/>
    <w:rsid w:val="2E210285"/>
    <w:rsid w:val="2E267898"/>
    <w:rsid w:val="2E2B70D2"/>
    <w:rsid w:val="2E38528F"/>
    <w:rsid w:val="2E3B6DBC"/>
    <w:rsid w:val="2E3C06AA"/>
    <w:rsid w:val="2E417B7D"/>
    <w:rsid w:val="2E4852C6"/>
    <w:rsid w:val="2E4F1339"/>
    <w:rsid w:val="2E5E0E6F"/>
    <w:rsid w:val="2E6265D8"/>
    <w:rsid w:val="2E6622A6"/>
    <w:rsid w:val="2E677BB8"/>
    <w:rsid w:val="2E691CA7"/>
    <w:rsid w:val="2E6C0D67"/>
    <w:rsid w:val="2E6E00FB"/>
    <w:rsid w:val="2E75729D"/>
    <w:rsid w:val="2E7F47BD"/>
    <w:rsid w:val="2E82340A"/>
    <w:rsid w:val="2E963374"/>
    <w:rsid w:val="2E9C1FB6"/>
    <w:rsid w:val="2EA544AA"/>
    <w:rsid w:val="2EAC29E3"/>
    <w:rsid w:val="2EAD5222"/>
    <w:rsid w:val="2EB359CC"/>
    <w:rsid w:val="2EC62310"/>
    <w:rsid w:val="2EC80760"/>
    <w:rsid w:val="2EC81E8B"/>
    <w:rsid w:val="2ED2072C"/>
    <w:rsid w:val="2ED26E6B"/>
    <w:rsid w:val="2ED91E88"/>
    <w:rsid w:val="2EDD61C6"/>
    <w:rsid w:val="2EE8735E"/>
    <w:rsid w:val="2EED6191"/>
    <w:rsid w:val="2EFB6BE5"/>
    <w:rsid w:val="2EFC356F"/>
    <w:rsid w:val="2F0476DC"/>
    <w:rsid w:val="2F1035F9"/>
    <w:rsid w:val="2F1B4A32"/>
    <w:rsid w:val="2F1F08CF"/>
    <w:rsid w:val="2F1F1CB9"/>
    <w:rsid w:val="2F1F5018"/>
    <w:rsid w:val="2F224EEE"/>
    <w:rsid w:val="2F242701"/>
    <w:rsid w:val="2F2D1ED6"/>
    <w:rsid w:val="2F385BCC"/>
    <w:rsid w:val="2F4B08AB"/>
    <w:rsid w:val="2F4F45E8"/>
    <w:rsid w:val="2F69562E"/>
    <w:rsid w:val="2F69577C"/>
    <w:rsid w:val="2F6E5134"/>
    <w:rsid w:val="2F835F19"/>
    <w:rsid w:val="2F9247DB"/>
    <w:rsid w:val="2F9C26A6"/>
    <w:rsid w:val="2F9C59C1"/>
    <w:rsid w:val="2FA27EF9"/>
    <w:rsid w:val="2FA91C3E"/>
    <w:rsid w:val="2FA96779"/>
    <w:rsid w:val="2FA96C0D"/>
    <w:rsid w:val="2FAC1675"/>
    <w:rsid w:val="2FAC7BA3"/>
    <w:rsid w:val="2FAF1DC5"/>
    <w:rsid w:val="2FB94CD6"/>
    <w:rsid w:val="2FBE2EDB"/>
    <w:rsid w:val="2FC1286E"/>
    <w:rsid w:val="2FC16F18"/>
    <w:rsid w:val="2FC233AB"/>
    <w:rsid w:val="2FC7030B"/>
    <w:rsid w:val="2FC84EDF"/>
    <w:rsid w:val="2FCE5F53"/>
    <w:rsid w:val="2FDA67B0"/>
    <w:rsid w:val="2FE57E5B"/>
    <w:rsid w:val="2FE95EA4"/>
    <w:rsid w:val="2FEA2296"/>
    <w:rsid w:val="2FF82666"/>
    <w:rsid w:val="2FF930C3"/>
    <w:rsid w:val="2FFE6E91"/>
    <w:rsid w:val="3004055C"/>
    <w:rsid w:val="300959E1"/>
    <w:rsid w:val="300B3D78"/>
    <w:rsid w:val="300E7E66"/>
    <w:rsid w:val="30311901"/>
    <w:rsid w:val="30407A93"/>
    <w:rsid w:val="305100B8"/>
    <w:rsid w:val="30674D5E"/>
    <w:rsid w:val="30677BC4"/>
    <w:rsid w:val="30682926"/>
    <w:rsid w:val="306E6050"/>
    <w:rsid w:val="307944F0"/>
    <w:rsid w:val="307C0026"/>
    <w:rsid w:val="308865BA"/>
    <w:rsid w:val="308F7ACB"/>
    <w:rsid w:val="30903F1E"/>
    <w:rsid w:val="30A31415"/>
    <w:rsid w:val="30A66662"/>
    <w:rsid w:val="30A94AC9"/>
    <w:rsid w:val="30AF162B"/>
    <w:rsid w:val="30B30BA7"/>
    <w:rsid w:val="30B44070"/>
    <w:rsid w:val="30B545FE"/>
    <w:rsid w:val="30BB32BB"/>
    <w:rsid w:val="30BE4E67"/>
    <w:rsid w:val="30C226D5"/>
    <w:rsid w:val="30CD5028"/>
    <w:rsid w:val="30D10CB8"/>
    <w:rsid w:val="30DA234F"/>
    <w:rsid w:val="30DB7933"/>
    <w:rsid w:val="30E0285F"/>
    <w:rsid w:val="30E56305"/>
    <w:rsid w:val="30E63426"/>
    <w:rsid w:val="30F02A6A"/>
    <w:rsid w:val="30F26CEE"/>
    <w:rsid w:val="30FB006D"/>
    <w:rsid w:val="30FC1484"/>
    <w:rsid w:val="30FE1C66"/>
    <w:rsid w:val="310F1E4D"/>
    <w:rsid w:val="31120880"/>
    <w:rsid w:val="3122011B"/>
    <w:rsid w:val="313E5EB4"/>
    <w:rsid w:val="31495008"/>
    <w:rsid w:val="314A1074"/>
    <w:rsid w:val="31533418"/>
    <w:rsid w:val="315A37F3"/>
    <w:rsid w:val="31655A59"/>
    <w:rsid w:val="316F10C3"/>
    <w:rsid w:val="31756E26"/>
    <w:rsid w:val="317B5AB0"/>
    <w:rsid w:val="31866B33"/>
    <w:rsid w:val="319D62FB"/>
    <w:rsid w:val="31A25C36"/>
    <w:rsid w:val="31A70420"/>
    <w:rsid w:val="31AC03CB"/>
    <w:rsid w:val="31AD6E15"/>
    <w:rsid w:val="31B37BFF"/>
    <w:rsid w:val="31B67B86"/>
    <w:rsid w:val="31C92EF3"/>
    <w:rsid w:val="31CE68FB"/>
    <w:rsid w:val="31D65418"/>
    <w:rsid w:val="31DB3988"/>
    <w:rsid w:val="31E46EE9"/>
    <w:rsid w:val="31E77034"/>
    <w:rsid w:val="31EA5FA9"/>
    <w:rsid w:val="31EF0D73"/>
    <w:rsid w:val="31F34219"/>
    <w:rsid w:val="31F91511"/>
    <w:rsid w:val="32116A62"/>
    <w:rsid w:val="32147A2C"/>
    <w:rsid w:val="3215350F"/>
    <w:rsid w:val="321831A8"/>
    <w:rsid w:val="322367B4"/>
    <w:rsid w:val="3229333B"/>
    <w:rsid w:val="322A619F"/>
    <w:rsid w:val="322D03AD"/>
    <w:rsid w:val="323C53EC"/>
    <w:rsid w:val="3241185C"/>
    <w:rsid w:val="325246FC"/>
    <w:rsid w:val="32544AD6"/>
    <w:rsid w:val="32546C87"/>
    <w:rsid w:val="32550AEB"/>
    <w:rsid w:val="325A15DD"/>
    <w:rsid w:val="325C5E23"/>
    <w:rsid w:val="325D1C29"/>
    <w:rsid w:val="325F6D30"/>
    <w:rsid w:val="326247C3"/>
    <w:rsid w:val="32636C4F"/>
    <w:rsid w:val="326D4EA3"/>
    <w:rsid w:val="32755141"/>
    <w:rsid w:val="327D5928"/>
    <w:rsid w:val="32853C2E"/>
    <w:rsid w:val="328769F6"/>
    <w:rsid w:val="32884299"/>
    <w:rsid w:val="3293512D"/>
    <w:rsid w:val="32961A21"/>
    <w:rsid w:val="329850F7"/>
    <w:rsid w:val="329C7957"/>
    <w:rsid w:val="329D4021"/>
    <w:rsid w:val="32A34055"/>
    <w:rsid w:val="32A66897"/>
    <w:rsid w:val="32A97F6E"/>
    <w:rsid w:val="32AF3A11"/>
    <w:rsid w:val="32B74CDA"/>
    <w:rsid w:val="32BD0DBA"/>
    <w:rsid w:val="32BF1D82"/>
    <w:rsid w:val="32C439D9"/>
    <w:rsid w:val="32CA22D3"/>
    <w:rsid w:val="32CF1D24"/>
    <w:rsid w:val="32E1644D"/>
    <w:rsid w:val="32E22C65"/>
    <w:rsid w:val="32E66CC9"/>
    <w:rsid w:val="32E70CC3"/>
    <w:rsid w:val="32E8038E"/>
    <w:rsid w:val="32F54189"/>
    <w:rsid w:val="32F65CD1"/>
    <w:rsid w:val="33012905"/>
    <w:rsid w:val="330C4A64"/>
    <w:rsid w:val="33244863"/>
    <w:rsid w:val="33276BFA"/>
    <w:rsid w:val="332A1E57"/>
    <w:rsid w:val="333014BF"/>
    <w:rsid w:val="333E7B19"/>
    <w:rsid w:val="33404FA9"/>
    <w:rsid w:val="33445BAB"/>
    <w:rsid w:val="33482834"/>
    <w:rsid w:val="3352584F"/>
    <w:rsid w:val="335559D0"/>
    <w:rsid w:val="33674143"/>
    <w:rsid w:val="33746C17"/>
    <w:rsid w:val="338631BC"/>
    <w:rsid w:val="338A5E2A"/>
    <w:rsid w:val="33915526"/>
    <w:rsid w:val="33925C11"/>
    <w:rsid w:val="3393133E"/>
    <w:rsid w:val="33954DD5"/>
    <w:rsid w:val="33965632"/>
    <w:rsid w:val="339B085B"/>
    <w:rsid w:val="33A11A2E"/>
    <w:rsid w:val="33B05A20"/>
    <w:rsid w:val="33B357C7"/>
    <w:rsid w:val="33B45699"/>
    <w:rsid w:val="33B6256B"/>
    <w:rsid w:val="33CF40B8"/>
    <w:rsid w:val="33D33246"/>
    <w:rsid w:val="33D6411C"/>
    <w:rsid w:val="33D92771"/>
    <w:rsid w:val="33DA37F9"/>
    <w:rsid w:val="33DA5B39"/>
    <w:rsid w:val="33E37655"/>
    <w:rsid w:val="33F171E6"/>
    <w:rsid w:val="340D46CD"/>
    <w:rsid w:val="340F77FE"/>
    <w:rsid w:val="34146C5D"/>
    <w:rsid w:val="3417406F"/>
    <w:rsid w:val="3420435B"/>
    <w:rsid w:val="34206314"/>
    <w:rsid w:val="34245779"/>
    <w:rsid w:val="34403C2F"/>
    <w:rsid w:val="34415F05"/>
    <w:rsid w:val="344D0C01"/>
    <w:rsid w:val="34506195"/>
    <w:rsid w:val="34521E25"/>
    <w:rsid w:val="345505E5"/>
    <w:rsid w:val="34552D56"/>
    <w:rsid w:val="34584F80"/>
    <w:rsid w:val="345A63B6"/>
    <w:rsid w:val="34623023"/>
    <w:rsid w:val="3462652D"/>
    <w:rsid w:val="347B2346"/>
    <w:rsid w:val="3481239D"/>
    <w:rsid w:val="3482115E"/>
    <w:rsid w:val="348C441C"/>
    <w:rsid w:val="348D51AA"/>
    <w:rsid w:val="349212DF"/>
    <w:rsid w:val="349A2C61"/>
    <w:rsid w:val="34A25CA5"/>
    <w:rsid w:val="34A32D51"/>
    <w:rsid w:val="34A35CDE"/>
    <w:rsid w:val="34AB0469"/>
    <w:rsid w:val="34AC2E10"/>
    <w:rsid w:val="34B6390A"/>
    <w:rsid w:val="34BA0C82"/>
    <w:rsid w:val="34CE1BF9"/>
    <w:rsid w:val="34D02D61"/>
    <w:rsid w:val="34D2441F"/>
    <w:rsid w:val="34DE0E32"/>
    <w:rsid w:val="34E55166"/>
    <w:rsid w:val="34EA0D2C"/>
    <w:rsid w:val="34EC0C5A"/>
    <w:rsid w:val="34EE0C0E"/>
    <w:rsid w:val="34F12392"/>
    <w:rsid w:val="34FB3E47"/>
    <w:rsid w:val="34FB5D4F"/>
    <w:rsid w:val="35097498"/>
    <w:rsid w:val="35140B7C"/>
    <w:rsid w:val="3520650D"/>
    <w:rsid w:val="35250EEE"/>
    <w:rsid w:val="35255EE7"/>
    <w:rsid w:val="352D02DB"/>
    <w:rsid w:val="35300BBC"/>
    <w:rsid w:val="3530757D"/>
    <w:rsid w:val="3533169C"/>
    <w:rsid w:val="35420625"/>
    <w:rsid w:val="35430711"/>
    <w:rsid w:val="354B1F32"/>
    <w:rsid w:val="355A2226"/>
    <w:rsid w:val="356C544E"/>
    <w:rsid w:val="357C20CA"/>
    <w:rsid w:val="358F7D79"/>
    <w:rsid w:val="359670B5"/>
    <w:rsid w:val="359C2EFC"/>
    <w:rsid w:val="35A156A7"/>
    <w:rsid w:val="35AE0EA1"/>
    <w:rsid w:val="35B14049"/>
    <w:rsid w:val="35BA25D7"/>
    <w:rsid w:val="35BC3871"/>
    <w:rsid w:val="35C21D07"/>
    <w:rsid w:val="35C32924"/>
    <w:rsid w:val="35D06987"/>
    <w:rsid w:val="35D30E2A"/>
    <w:rsid w:val="35D65810"/>
    <w:rsid w:val="35E50BEE"/>
    <w:rsid w:val="35EE6700"/>
    <w:rsid w:val="35F355F3"/>
    <w:rsid w:val="35F867CC"/>
    <w:rsid w:val="35F912E8"/>
    <w:rsid w:val="36064354"/>
    <w:rsid w:val="36075C2D"/>
    <w:rsid w:val="360C2D9A"/>
    <w:rsid w:val="361916FA"/>
    <w:rsid w:val="361D6A66"/>
    <w:rsid w:val="36231974"/>
    <w:rsid w:val="363112B5"/>
    <w:rsid w:val="36326139"/>
    <w:rsid w:val="363E479C"/>
    <w:rsid w:val="366D4CE1"/>
    <w:rsid w:val="366E03FD"/>
    <w:rsid w:val="36757094"/>
    <w:rsid w:val="367A2F81"/>
    <w:rsid w:val="367C4BB6"/>
    <w:rsid w:val="367D15B4"/>
    <w:rsid w:val="368F7951"/>
    <w:rsid w:val="36907FF5"/>
    <w:rsid w:val="36927EBE"/>
    <w:rsid w:val="36B14892"/>
    <w:rsid w:val="36BE1097"/>
    <w:rsid w:val="36C6380C"/>
    <w:rsid w:val="36CF1A03"/>
    <w:rsid w:val="36E06255"/>
    <w:rsid w:val="370137E2"/>
    <w:rsid w:val="370B363D"/>
    <w:rsid w:val="370C3F85"/>
    <w:rsid w:val="37175DAE"/>
    <w:rsid w:val="37201BE6"/>
    <w:rsid w:val="37291C73"/>
    <w:rsid w:val="373F0CDF"/>
    <w:rsid w:val="37450461"/>
    <w:rsid w:val="374668B8"/>
    <w:rsid w:val="37506CD4"/>
    <w:rsid w:val="3755426E"/>
    <w:rsid w:val="37605ABB"/>
    <w:rsid w:val="3762043B"/>
    <w:rsid w:val="37622323"/>
    <w:rsid w:val="37645535"/>
    <w:rsid w:val="37647A07"/>
    <w:rsid w:val="37782825"/>
    <w:rsid w:val="37793DCA"/>
    <w:rsid w:val="37832028"/>
    <w:rsid w:val="3785325C"/>
    <w:rsid w:val="37A768EC"/>
    <w:rsid w:val="37A956D0"/>
    <w:rsid w:val="37AC2A69"/>
    <w:rsid w:val="37AE5411"/>
    <w:rsid w:val="37B415ED"/>
    <w:rsid w:val="37C55D40"/>
    <w:rsid w:val="37CA0A66"/>
    <w:rsid w:val="37CE18E5"/>
    <w:rsid w:val="37CF54D3"/>
    <w:rsid w:val="37DA66F7"/>
    <w:rsid w:val="37E07842"/>
    <w:rsid w:val="37ED093D"/>
    <w:rsid w:val="37F1050F"/>
    <w:rsid w:val="37F11B4E"/>
    <w:rsid w:val="37F47D10"/>
    <w:rsid w:val="37F639A6"/>
    <w:rsid w:val="37FB5F58"/>
    <w:rsid w:val="380F1C27"/>
    <w:rsid w:val="3810770D"/>
    <w:rsid w:val="382524FC"/>
    <w:rsid w:val="38254CA9"/>
    <w:rsid w:val="382970BA"/>
    <w:rsid w:val="38346565"/>
    <w:rsid w:val="38403DDA"/>
    <w:rsid w:val="38420F95"/>
    <w:rsid w:val="38493772"/>
    <w:rsid w:val="38494CA3"/>
    <w:rsid w:val="385D5F2C"/>
    <w:rsid w:val="38651115"/>
    <w:rsid w:val="386A11E8"/>
    <w:rsid w:val="386B7C82"/>
    <w:rsid w:val="38726825"/>
    <w:rsid w:val="387A0435"/>
    <w:rsid w:val="387C33E4"/>
    <w:rsid w:val="38A83363"/>
    <w:rsid w:val="38B20021"/>
    <w:rsid w:val="38C36AB9"/>
    <w:rsid w:val="38CB4B5D"/>
    <w:rsid w:val="38D73A8F"/>
    <w:rsid w:val="38DA2F08"/>
    <w:rsid w:val="38E050C4"/>
    <w:rsid w:val="38E1205C"/>
    <w:rsid w:val="38E32900"/>
    <w:rsid w:val="38E72BE2"/>
    <w:rsid w:val="38E95968"/>
    <w:rsid w:val="39010C2F"/>
    <w:rsid w:val="39023BDD"/>
    <w:rsid w:val="39026391"/>
    <w:rsid w:val="39072C1B"/>
    <w:rsid w:val="390D541F"/>
    <w:rsid w:val="391351C2"/>
    <w:rsid w:val="391D143C"/>
    <w:rsid w:val="392D2590"/>
    <w:rsid w:val="392E13F0"/>
    <w:rsid w:val="39314AAE"/>
    <w:rsid w:val="394232CA"/>
    <w:rsid w:val="394312E0"/>
    <w:rsid w:val="394B6F52"/>
    <w:rsid w:val="394F04DB"/>
    <w:rsid w:val="39552346"/>
    <w:rsid w:val="39585E21"/>
    <w:rsid w:val="39591108"/>
    <w:rsid w:val="395E2F00"/>
    <w:rsid w:val="3961406A"/>
    <w:rsid w:val="3965546B"/>
    <w:rsid w:val="3967107B"/>
    <w:rsid w:val="396C7B45"/>
    <w:rsid w:val="396D0B24"/>
    <w:rsid w:val="397C3C28"/>
    <w:rsid w:val="397F0ABD"/>
    <w:rsid w:val="398A0BD6"/>
    <w:rsid w:val="399154B9"/>
    <w:rsid w:val="39976D53"/>
    <w:rsid w:val="399C0BCE"/>
    <w:rsid w:val="399F00CC"/>
    <w:rsid w:val="39AB767A"/>
    <w:rsid w:val="39B27A6D"/>
    <w:rsid w:val="39B72A58"/>
    <w:rsid w:val="39B74808"/>
    <w:rsid w:val="39BB546F"/>
    <w:rsid w:val="39BB650B"/>
    <w:rsid w:val="39C147DA"/>
    <w:rsid w:val="39C73566"/>
    <w:rsid w:val="39CD58A2"/>
    <w:rsid w:val="39CD7AD9"/>
    <w:rsid w:val="39D2162C"/>
    <w:rsid w:val="39D61D10"/>
    <w:rsid w:val="39DB6628"/>
    <w:rsid w:val="39DE7B4B"/>
    <w:rsid w:val="39E53E94"/>
    <w:rsid w:val="39EA32C7"/>
    <w:rsid w:val="39F23BF4"/>
    <w:rsid w:val="39F4413A"/>
    <w:rsid w:val="39F707F6"/>
    <w:rsid w:val="39FB7B27"/>
    <w:rsid w:val="3A0072E6"/>
    <w:rsid w:val="3A0E1BCA"/>
    <w:rsid w:val="3A0F7906"/>
    <w:rsid w:val="3A164117"/>
    <w:rsid w:val="3A267E6A"/>
    <w:rsid w:val="3A2A7D42"/>
    <w:rsid w:val="3A2B283D"/>
    <w:rsid w:val="3A385839"/>
    <w:rsid w:val="3A3C1476"/>
    <w:rsid w:val="3A407FC3"/>
    <w:rsid w:val="3A5247FB"/>
    <w:rsid w:val="3A5378BA"/>
    <w:rsid w:val="3A59641D"/>
    <w:rsid w:val="3A623FFC"/>
    <w:rsid w:val="3A672897"/>
    <w:rsid w:val="3A6D7B21"/>
    <w:rsid w:val="3A7170A7"/>
    <w:rsid w:val="3A7840B4"/>
    <w:rsid w:val="3A865FC0"/>
    <w:rsid w:val="3A956341"/>
    <w:rsid w:val="3A9778A7"/>
    <w:rsid w:val="3AAB1472"/>
    <w:rsid w:val="3AAD333F"/>
    <w:rsid w:val="3AAE2F8E"/>
    <w:rsid w:val="3AB77698"/>
    <w:rsid w:val="3AB80659"/>
    <w:rsid w:val="3ABD2225"/>
    <w:rsid w:val="3AC75359"/>
    <w:rsid w:val="3AC9216A"/>
    <w:rsid w:val="3ACF34F3"/>
    <w:rsid w:val="3ADC4D3E"/>
    <w:rsid w:val="3AF10007"/>
    <w:rsid w:val="3AF53402"/>
    <w:rsid w:val="3AF61CAD"/>
    <w:rsid w:val="3AFA3F23"/>
    <w:rsid w:val="3B0165F4"/>
    <w:rsid w:val="3B0555F9"/>
    <w:rsid w:val="3B1229B3"/>
    <w:rsid w:val="3B194415"/>
    <w:rsid w:val="3B2136DE"/>
    <w:rsid w:val="3B2D4C91"/>
    <w:rsid w:val="3B2E75C3"/>
    <w:rsid w:val="3B360004"/>
    <w:rsid w:val="3B447FB3"/>
    <w:rsid w:val="3B453940"/>
    <w:rsid w:val="3B4D6D23"/>
    <w:rsid w:val="3B51114D"/>
    <w:rsid w:val="3B592A42"/>
    <w:rsid w:val="3B791FCE"/>
    <w:rsid w:val="3B7A49B2"/>
    <w:rsid w:val="3B804354"/>
    <w:rsid w:val="3B816380"/>
    <w:rsid w:val="3B90139D"/>
    <w:rsid w:val="3B9050B3"/>
    <w:rsid w:val="3B9302FC"/>
    <w:rsid w:val="3B996D85"/>
    <w:rsid w:val="3BA47AD5"/>
    <w:rsid w:val="3BB1482C"/>
    <w:rsid w:val="3BB25F18"/>
    <w:rsid w:val="3BB972BE"/>
    <w:rsid w:val="3BC17493"/>
    <w:rsid w:val="3BC45DFC"/>
    <w:rsid w:val="3BC970DA"/>
    <w:rsid w:val="3BCB19CD"/>
    <w:rsid w:val="3BCE7D73"/>
    <w:rsid w:val="3BD228E6"/>
    <w:rsid w:val="3BDA4847"/>
    <w:rsid w:val="3BDD0A96"/>
    <w:rsid w:val="3BEB42BB"/>
    <w:rsid w:val="3BF232BB"/>
    <w:rsid w:val="3BF270D8"/>
    <w:rsid w:val="3BF355C3"/>
    <w:rsid w:val="3BF72C4A"/>
    <w:rsid w:val="3BF939D5"/>
    <w:rsid w:val="3BFB12BC"/>
    <w:rsid w:val="3BFC5EF6"/>
    <w:rsid w:val="3BFE57E2"/>
    <w:rsid w:val="3C003FD0"/>
    <w:rsid w:val="3C0B75ED"/>
    <w:rsid w:val="3C0C4318"/>
    <w:rsid w:val="3C133F10"/>
    <w:rsid w:val="3C1810D2"/>
    <w:rsid w:val="3C1A065D"/>
    <w:rsid w:val="3C1E5AEF"/>
    <w:rsid w:val="3C210E35"/>
    <w:rsid w:val="3C230183"/>
    <w:rsid w:val="3C235560"/>
    <w:rsid w:val="3C27795C"/>
    <w:rsid w:val="3C2A2618"/>
    <w:rsid w:val="3C2C4D0C"/>
    <w:rsid w:val="3C35238F"/>
    <w:rsid w:val="3C501072"/>
    <w:rsid w:val="3C613D48"/>
    <w:rsid w:val="3C620294"/>
    <w:rsid w:val="3C6456E6"/>
    <w:rsid w:val="3C746549"/>
    <w:rsid w:val="3C774720"/>
    <w:rsid w:val="3C873899"/>
    <w:rsid w:val="3C897C8E"/>
    <w:rsid w:val="3C8A5D2A"/>
    <w:rsid w:val="3C9B1E3F"/>
    <w:rsid w:val="3C9C2466"/>
    <w:rsid w:val="3C9F2CFE"/>
    <w:rsid w:val="3CA770B2"/>
    <w:rsid w:val="3CAE3EFB"/>
    <w:rsid w:val="3CB47CD2"/>
    <w:rsid w:val="3CC3722F"/>
    <w:rsid w:val="3CCC03BC"/>
    <w:rsid w:val="3CD87267"/>
    <w:rsid w:val="3CE0095E"/>
    <w:rsid w:val="3CE72217"/>
    <w:rsid w:val="3CE7696A"/>
    <w:rsid w:val="3D0A4684"/>
    <w:rsid w:val="3D0D1E31"/>
    <w:rsid w:val="3D0D486D"/>
    <w:rsid w:val="3D1D56BA"/>
    <w:rsid w:val="3D286472"/>
    <w:rsid w:val="3D2D4B69"/>
    <w:rsid w:val="3D3402C3"/>
    <w:rsid w:val="3D3B7E62"/>
    <w:rsid w:val="3D3E5624"/>
    <w:rsid w:val="3D4022AF"/>
    <w:rsid w:val="3D470EEC"/>
    <w:rsid w:val="3D531228"/>
    <w:rsid w:val="3D537FCF"/>
    <w:rsid w:val="3D7659AB"/>
    <w:rsid w:val="3D7D5A2E"/>
    <w:rsid w:val="3D7F529D"/>
    <w:rsid w:val="3D7F69EF"/>
    <w:rsid w:val="3D831B21"/>
    <w:rsid w:val="3D8913D1"/>
    <w:rsid w:val="3D8A0E70"/>
    <w:rsid w:val="3D8A4402"/>
    <w:rsid w:val="3D944A25"/>
    <w:rsid w:val="3DA15AA9"/>
    <w:rsid w:val="3DA67384"/>
    <w:rsid w:val="3DCD1C5B"/>
    <w:rsid w:val="3DCF360B"/>
    <w:rsid w:val="3DD0008D"/>
    <w:rsid w:val="3DD35A7F"/>
    <w:rsid w:val="3DD44818"/>
    <w:rsid w:val="3DEA10FD"/>
    <w:rsid w:val="3DEF139E"/>
    <w:rsid w:val="3DF325AC"/>
    <w:rsid w:val="3DF64187"/>
    <w:rsid w:val="3DF641F9"/>
    <w:rsid w:val="3E04138C"/>
    <w:rsid w:val="3E0B25E8"/>
    <w:rsid w:val="3E0B77EA"/>
    <w:rsid w:val="3E0D18EE"/>
    <w:rsid w:val="3E1B6395"/>
    <w:rsid w:val="3E1D5959"/>
    <w:rsid w:val="3E322FF9"/>
    <w:rsid w:val="3E37411E"/>
    <w:rsid w:val="3E3868CF"/>
    <w:rsid w:val="3E39302A"/>
    <w:rsid w:val="3E42348A"/>
    <w:rsid w:val="3E471C8A"/>
    <w:rsid w:val="3E537244"/>
    <w:rsid w:val="3E5554FC"/>
    <w:rsid w:val="3E664E08"/>
    <w:rsid w:val="3E6C73AA"/>
    <w:rsid w:val="3E715800"/>
    <w:rsid w:val="3E822CB5"/>
    <w:rsid w:val="3E9909C9"/>
    <w:rsid w:val="3EA14040"/>
    <w:rsid w:val="3EC351CF"/>
    <w:rsid w:val="3EC421E0"/>
    <w:rsid w:val="3EC72730"/>
    <w:rsid w:val="3EC848A0"/>
    <w:rsid w:val="3ED12CEB"/>
    <w:rsid w:val="3EE146E0"/>
    <w:rsid w:val="3EE26C70"/>
    <w:rsid w:val="3F033A60"/>
    <w:rsid w:val="3F1517C2"/>
    <w:rsid w:val="3F24551E"/>
    <w:rsid w:val="3F260251"/>
    <w:rsid w:val="3F277465"/>
    <w:rsid w:val="3F2B385F"/>
    <w:rsid w:val="3F3F79C7"/>
    <w:rsid w:val="3F444595"/>
    <w:rsid w:val="3F47440C"/>
    <w:rsid w:val="3F495CF6"/>
    <w:rsid w:val="3F4B4CFA"/>
    <w:rsid w:val="3F5354B7"/>
    <w:rsid w:val="3F787F08"/>
    <w:rsid w:val="3F794743"/>
    <w:rsid w:val="3F9F6D55"/>
    <w:rsid w:val="3FB46557"/>
    <w:rsid w:val="3FBA5E51"/>
    <w:rsid w:val="3FBF742A"/>
    <w:rsid w:val="3FBF7DFA"/>
    <w:rsid w:val="3FC615E8"/>
    <w:rsid w:val="3FC700BF"/>
    <w:rsid w:val="3FC92DD1"/>
    <w:rsid w:val="3FD261BF"/>
    <w:rsid w:val="3FD37A61"/>
    <w:rsid w:val="3FE55870"/>
    <w:rsid w:val="3FE90E4C"/>
    <w:rsid w:val="3FF069C9"/>
    <w:rsid w:val="3FF32D67"/>
    <w:rsid w:val="3FF37DD4"/>
    <w:rsid w:val="40022E45"/>
    <w:rsid w:val="400710AF"/>
    <w:rsid w:val="40162864"/>
    <w:rsid w:val="401924FC"/>
    <w:rsid w:val="4019750B"/>
    <w:rsid w:val="40201085"/>
    <w:rsid w:val="40213E7C"/>
    <w:rsid w:val="4028342D"/>
    <w:rsid w:val="402C226F"/>
    <w:rsid w:val="403424F2"/>
    <w:rsid w:val="403842D8"/>
    <w:rsid w:val="403A3BE9"/>
    <w:rsid w:val="404A31B9"/>
    <w:rsid w:val="4050787E"/>
    <w:rsid w:val="40515FBA"/>
    <w:rsid w:val="405C4A66"/>
    <w:rsid w:val="407A3EAD"/>
    <w:rsid w:val="40823866"/>
    <w:rsid w:val="408D3CEB"/>
    <w:rsid w:val="409A5C1D"/>
    <w:rsid w:val="409E6BFF"/>
    <w:rsid w:val="40A21FA4"/>
    <w:rsid w:val="40A26931"/>
    <w:rsid w:val="40A26A40"/>
    <w:rsid w:val="40AC44BA"/>
    <w:rsid w:val="40B2306C"/>
    <w:rsid w:val="40B63AEB"/>
    <w:rsid w:val="40B72E2D"/>
    <w:rsid w:val="40C636BD"/>
    <w:rsid w:val="40D04230"/>
    <w:rsid w:val="40D27A71"/>
    <w:rsid w:val="40DA0072"/>
    <w:rsid w:val="40E5618B"/>
    <w:rsid w:val="40ED6DA9"/>
    <w:rsid w:val="40F55B32"/>
    <w:rsid w:val="40FA54D9"/>
    <w:rsid w:val="41046722"/>
    <w:rsid w:val="41123797"/>
    <w:rsid w:val="41132046"/>
    <w:rsid w:val="411B69C8"/>
    <w:rsid w:val="411C188F"/>
    <w:rsid w:val="411D014F"/>
    <w:rsid w:val="411D2473"/>
    <w:rsid w:val="41255F02"/>
    <w:rsid w:val="41350856"/>
    <w:rsid w:val="41372757"/>
    <w:rsid w:val="413C7D52"/>
    <w:rsid w:val="413F209A"/>
    <w:rsid w:val="41493B7D"/>
    <w:rsid w:val="41504B69"/>
    <w:rsid w:val="41596DFC"/>
    <w:rsid w:val="415975BE"/>
    <w:rsid w:val="415E5361"/>
    <w:rsid w:val="4164029B"/>
    <w:rsid w:val="41682CBA"/>
    <w:rsid w:val="41684ADD"/>
    <w:rsid w:val="41705CAE"/>
    <w:rsid w:val="41766B35"/>
    <w:rsid w:val="4177388F"/>
    <w:rsid w:val="417A2D9A"/>
    <w:rsid w:val="4185029D"/>
    <w:rsid w:val="418A0211"/>
    <w:rsid w:val="418C51BF"/>
    <w:rsid w:val="41A77B65"/>
    <w:rsid w:val="41A827C6"/>
    <w:rsid w:val="41A906E8"/>
    <w:rsid w:val="41AB0450"/>
    <w:rsid w:val="41BD07D5"/>
    <w:rsid w:val="41C253E3"/>
    <w:rsid w:val="41C673A8"/>
    <w:rsid w:val="41C71BFE"/>
    <w:rsid w:val="41CF54DC"/>
    <w:rsid w:val="41DA4F1C"/>
    <w:rsid w:val="41E07B79"/>
    <w:rsid w:val="41EA0741"/>
    <w:rsid w:val="41EB3067"/>
    <w:rsid w:val="41F81B72"/>
    <w:rsid w:val="4203056E"/>
    <w:rsid w:val="42122AAE"/>
    <w:rsid w:val="421318F6"/>
    <w:rsid w:val="421F6948"/>
    <w:rsid w:val="422A7E91"/>
    <w:rsid w:val="42313335"/>
    <w:rsid w:val="423301BC"/>
    <w:rsid w:val="42411FF0"/>
    <w:rsid w:val="42477FB1"/>
    <w:rsid w:val="424A0F04"/>
    <w:rsid w:val="425E3416"/>
    <w:rsid w:val="42614EE8"/>
    <w:rsid w:val="42646E2E"/>
    <w:rsid w:val="42701B62"/>
    <w:rsid w:val="4275611F"/>
    <w:rsid w:val="427D34F8"/>
    <w:rsid w:val="42817810"/>
    <w:rsid w:val="428E624D"/>
    <w:rsid w:val="42932537"/>
    <w:rsid w:val="42AD1618"/>
    <w:rsid w:val="42B214D0"/>
    <w:rsid w:val="42B40466"/>
    <w:rsid w:val="42B563AD"/>
    <w:rsid w:val="42B76CB5"/>
    <w:rsid w:val="42BA50DF"/>
    <w:rsid w:val="42BB799D"/>
    <w:rsid w:val="42C5384E"/>
    <w:rsid w:val="42C54DC1"/>
    <w:rsid w:val="42CE1B8C"/>
    <w:rsid w:val="42DE72EF"/>
    <w:rsid w:val="42F54072"/>
    <w:rsid w:val="42F7239C"/>
    <w:rsid w:val="42FB1588"/>
    <w:rsid w:val="42FD3299"/>
    <w:rsid w:val="42FE2E28"/>
    <w:rsid w:val="430C2195"/>
    <w:rsid w:val="430D40B7"/>
    <w:rsid w:val="43130F0E"/>
    <w:rsid w:val="4321269E"/>
    <w:rsid w:val="432D704A"/>
    <w:rsid w:val="43365C14"/>
    <w:rsid w:val="433E2871"/>
    <w:rsid w:val="434112DD"/>
    <w:rsid w:val="43437954"/>
    <w:rsid w:val="43491F10"/>
    <w:rsid w:val="43513ED8"/>
    <w:rsid w:val="435B05BE"/>
    <w:rsid w:val="435D7C16"/>
    <w:rsid w:val="435E071D"/>
    <w:rsid w:val="435F24B4"/>
    <w:rsid w:val="43687294"/>
    <w:rsid w:val="436A54A0"/>
    <w:rsid w:val="43726D2B"/>
    <w:rsid w:val="43804341"/>
    <w:rsid w:val="43844959"/>
    <w:rsid w:val="43854B2E"/>
    <w:rsid w:val="438D09E7"/>
    <w:rsid w:val="43992D2A"/>
    <w:rsid w:val="43994B7F"/>
    <w:rsid w:val="439A3B41"/>
    <w:rsid w:val="439D4806"/>
    <w:rsid w:val="439D5EBB"/>
    <w:rsid w:val="439F26C5"/>
    <w:rsid w:val="43A23EED"/>
    <w:rsid w:val="43A524FA"/>
    <w:rsid w:val="43AE4585"/>
    <w:rsid w:val="43B20BB9"/>
    <w:rsid w:val="43B939A4"/>
    <w:rsid w:val="43BF12E8"/>
    <w:rsid w:val="43BF403F"/>
    <w:rsid w:val="43C05F29"/>
    <w:rsid w:val="43CE6ACD"/>
    <w:rsid w:val="43E44265"/>
    <w:rsid w:val="43EC4F71"/>
    <w:rsid w:val="43ED139B"/>
    <w:rsid w:val="43F52BE8"/>
    <w:rsid w:val="43F87C19"/>
    <w:rsid w:val="43F9323D"/>
    <w:rsid w:val="441E47F0"/>
    <w:rsid w:val="441F3760"/>
    <w:rsid w:val="442A3A4A"/>
    <w:rsid w:val="443638D5"/>
    <w:rsid w:val="443776C5"/>
    <w:rsid w:val="443D3CF9"/>
    <w:rsid w:val="44452D3B"/>
    <w:rsid w:val="444A5ECD"/>
    <w:rsid w:val="444C5E5B"/>
    <w:rsid w:val="44542EAF"/>
    <w:rsid w:val="445B382C"/>
    <w:rsid w:val="445B52BE"/>
    <w:rsid w:val="44632120"/>
    <w:rsid w:val="446A3424"/>
    <w:rsid w:val="446A5F21"/>
    <w:rsid w:val="446E2B4F"/>
    <w:rsid w:val="446E791B"/>
    <w:rsid w:val="446F773C"/>
    <w:rsid w:val="44795D65"/>
    <w:rsid w:val="447F0AE9"/>
    <w:rsid w:val="44881A38"/>
    <w:rsid w:val="44954A6A"/>
    <w:rsid w:val="44A053C9"/>
    <w:rsid w:val="44A573F4"/>
    <w:rsid w:val="44B5114B"/>
    <w:rsid w:val="44BA4ECD"/>
    <w:rsid w:val="44BC0DDA"/>
    <w:rsid w:val="44C275AC"/>
    <w:rsid w:val="44C30B90"/>
    <w:rsid w:val="44C45613"/>
    <w:rsid w:val="44C96FB7"/>
    <w:rsid w:val="44CD3224"/>
    <w:rsid w:val="44D969A4"/>
    <w:rsid w:val="44E50508"/>
    <w:rsid w:val="44E53F2E"/>
    <w:rsid w:val="44E67007"/>
    <w:rsid w:val="44E960C7"/>
    <w:rsid w:val="44EF4851"/>
    <w:rsid w:val="451434BB"/>
    <w:rsid w:val="451B5006"/>
    <w:rsid w:val="451D174E"/>
    <w:rsid w:val="45234B5B"/>
    <w:rsid w:val="45281B75"/>
    <w:rsid w:val="45415DB0"/>
    <w:rsid w:val="45425634"/>
    <w:rsid w:val="45544AD4"/>
    <w:rsid w:val="45570E47"/>
    <w:rsid w:val="455937B7"/>
    <w:rsid w:val="455944F8"/>
    <w:rsid w:val="45596713"/>
    <w:rsid w:val="455A377D"/>
    <w:rsid w:val="456561C6"/>
    <w:rsid w:val="4565692B"/>
    <w:rsid w:val="456B7486"/>
    <w:rsid w:val="45761D23"/>
    <w:rsid w:val="458724C7"/>
    <w:rsid w:val="45995F1A"/>
    <w:rsid w:val="45A47F35"/>
    <w:rsid w:val="45AB10A5"/>
    <w:rsid w:val="45AE3602"/>
    <w:rsid w:val="45B9231B"/>
    <w:rsid w:val="45BB3838"/>
    <w:rsid w:val="45D246A8"/>
    <w:rsid w:val="45DC58B7"/>
    <w:rsid w:val="45DF4E4E"/>
    <w:rsid w:val="45E427F0"/>
    <w:rsid w:val="45E4579B"/>
    <w:rsid w:val="45E642F7"/>
    <w:rsid w:val="45E65096"/>
    <w:rsid w:val="45F64F66"/>
    <w:rsid w:val="461C560E"/>
    <w:rsid w:val="461D1A59"/>
    <w:rsid w:val="461E2F54"/>
    <w:rsid w:val="46233933"/>
    <w:rsid w:val="462B30C7"/>
    <w:rsid w:val="46340953"/>
    <w:rsid w:val="4634539E"/>
    <w:rsid w:val="46425FF9"/>
    <w:rsid w:val="46503391"/>
    <w:rsid w:val="465708B4"/>
    <w:rsid w:val="465C4417"/>
    <w:rsid w:val="466061D9"/>
    <w:rsid w:val="4666398B"/>
    <w:rsid w:val="466B2AA1"/>
    <w:rsid w:val="466F6142"/>
    <w:rsid w:val="467578A2"/>
    <w:rsid w:val="467746C4"/>
    <w:rsid w:val="46877761"/>
    <w:rsid w:val="468A2D5B"/>
    <w:rsid w:val="468C7E4F"/>
    <w:rsid w:val="46981614"/>
    <w:rsid w:val="46A87E07"/>
    <w:rsid w:val="46AC1492"/>
    <w:rsid w:val="46AF6143"/>
    <w:rsid w:val="46B064E1"/>
    <w:rsid w:val="46B36132"/>
    <w:rsid w:val="46B37232"/>
    <w:rsid w:val="46B45B41"/>
    <w:rsid w:val="46BC5909"/>
    <w:rsid w:val="46C0274A"/>
    <w:rsid w:val="46C10E34"/>
    <w:rsid w:val="46C534B6"/>
    <w:rsid w:val="46CA666F"/>
    <w:rsid w:val="46D63A78"/>
    <w:rsid w:val="46D80C4B"/>
    <w:rsid w:val="46D81302"/>
    <w:rsid w:val="46DF438A"/>
    <w:rsid w:val="46EA6244"/>
    <w:rsid w:val="46ED6E7D"/>
    <w:rsid w:val="46EE6D98"/>
    <w:rsid w:val="46F4564C"/>
    <w:rsid w:val="4707353C"/>
    <w:rsid w:val="4711648C"/>
    <w:rsid w:val="471C783F"/>
    <w:rsid w:val="471D1809"/>
    <w:rsid w:val="471F26EB"/>
    <w:rsid w:val="47260809"/>
    <w:rsid w:val="47260C63"/>
    <w:rsid w:val="472B6FD4"/>
    <w:rsid w:val="472E1D95"/>
    <w:rsid w:val="47355406"/>
    <w:rsid w:val="4740689B"/>
    <w:rsid w:val="47414F0A"/>
    <w:rsid w:val="4742364B"/>
    <w:rsid w:val="474838B4"/>
    <w:rsid w:val="4750453C"/>
    <w:rsid w:val="47515AC9"/>
    <w:rsid w:val="475460F5"/>
    <w:rsid w:val="47582249"/>
    <w:rsid w:val="475A0B4F"/>
    <w:rsid w:val="47661A98"/>
    <w:rsid w:val="477629E9"/>
    <w:rsid w:val="477E664A"/>
    <w:rsid w:val="477F2983"/>
    <w:rsid w:val="478731B4"/>
    <w:rsid w:val="479321EC"/>
    <w:rsid w:val="47971298"/>
    <w:rsid w:val="47983083"/>
    <w:rsid w:val="47984E10"/>
    <w:rsid w:val="47A4653C"/>
    <w:rsid w:val="47A72BEE"/>
    <w:rsid w:val="47BE4416"/>
    <w:rsid w:val="47C13401"/>
    <w:rsid w:val="47DB1210"/>
    <w:rsid w:val="47E003A3"/>
    <w:rsid w:val="47E55707"/>
    <w:rsid w:val="47E83E53"/>
    <w:rsid w:val="47FE69DF"/>
    <w:rsid w:val="480A089D"/>
    <w:rsid w:val="480A5CC0"/>
    <w:rsid w:val="48110D1C"/>
    <w:rsid w:val="48151E4C"/>
    <w:rsid w:val="481C0EDB"/>
    <w:rsid w:val="48210789"/>
    <w:rsid w:val="4827707C"/>
    <w:rsid w:val="482B5E7A"/>
    <w:rsid w:val="4837644F"/>
    <w:rsid w:val="48430B9A"/>
    <w:rsid w:val="48496483"/>
    <w:rsid w:val="4850246F"/>
    <w:rsid w:val="48502491"/>
    <w:rsid w:val="48545B66"/>
    <w:rsid w:val="48645CEC"/>
    <w:rsid w:val="48802CC7"/>
    <w:rsid w:val="48842B3F"/>
    <w:rsid w:val="48890028"/>
    <w:rsid w:val="4896755C"/>
    <w:rsid w:val="48A01FAB"/>
    <w:rsid w:val="48A223F4"/>
    <w:rsid w:val="48A2480F"/>
    <w:rsid w:val="48A900CA"/>
    <w:rsid w:val="48B83B89"/>
    <w:rsid w:val="48B8566F"/>
    <w:rsid w:val="48BE7A5C"/>
    <w:rsid w:val="48CC0550"/>
    <w:rsid w:val="48D10979"/>
    <w:rsid w:val="48D85126"/>
    <w:rsid w:val="48D92DCB"/>
    <w:rsid w:val="48EC4C50"/>
    <w:rsid w:val="48F33777"/>
    <w:rsid w:val="48F63762"/>
    <w:rsid w:val="48F652B8"/>
    <w:rsid w:val="48FA4616"/>
    <w:rsid w:val="48FD533B"/>
    <w:rsid w:val="490137B6"/>
    <w:rsid w:val="490467E4"/>
    <w:rsid w:val="491A164D"/>
    <w:rsid w:val="49210EEF"/>
    <w:rsid w:val="492D56AE"/>
    <w:rsid w:val="49316423"/>
    <w:rsid w:val="493342B1"/>
    <w:rsid w:val="49393122"/>
    <w:rsid w:val="493C05E9"/>
    <w:rsid w:val="49420A56"/>
    <w:rsid w:val="4942523F"/>
    <w:rsid w:val="49435EF9"/>
    <w:rsid w:val="495446A6"/>
    <w:rsid w:val="495D7865"/>
    <w:rsid w:val="496464D8"/>
    <w:rsid w:val="49731175"/>
    <w:rsid w:val="4978142B"/>
    <w:rsid w:val="497E40F8"/>
    <w:rsid w:val="49854E86"/>
    <w:rsid w:val="498551D2"/>
    <w:rsid w:val="499D4C44"/>
    <w:rsid w:val="49A134F9"/>
    <w:rsid w:val="49A25784"/>
    <w:rsid w:val="49A5664A"/>
    <w:rsid w:val="49A923EC"/>
    <w:rsid w:val="49B9681B"/>
    <w:rsid w:val="49BA28FE"/>
    <w:rsid w:val="49BA4D26"/>
    <w:rsid w:val="49C35D69"/>
    <w:rsid w:val="49C54DC8"/>
    <w:rsid w:val="49CB7762"/>
    <w:rsid w:val="49CF5890"/>
    <w:rsid w:val="49D57959"/>
    <w:rsid w:val="49E51F18"/>
    <w:rsid w:val="49F63018"/>
    <w:rsid w:val="49F72E71"/>
    <w:rsid w:val="49FE7AC9"/>
    <w:rsid w:val="4A081D6A"/>
    <w:rsid w:val="4A0E7F45"/>
    <w:rsid w:val="4A11762D"/>
    <w:rsid w:val="4A157149"/>
    <w:rsid w:val="4A19077E"/>
    <w:rsid w:val="4A194C6F"/>
    <w:rsid w:val="4A1A0675"/>
    <w:rsid w:val="4A1C4A68"/>
    <w:rsid w:val="4A23322D"/>
    <w:rsid w:val="4A28296D"/>
    <w:rsid w:val="4A2B27BE"/>
    <w:rsid w:val="4A33223E"/>
    <w:rsid w:val="4A353986"/>
    <w:rsid w:val="4A381A43"/>
    <w:rsid w:val="4A381ABA"/>
    <w:rsid w:val="4A417C43"/>
    <w:rsid w:val="4A444D75"/>
    <w:rsid w:val="4A45432A"/>
    <w:rsid w:val="4A455212"/>
    <w:rsid w:val="4A4D71AD"/>
    <w:rsid w:val="4A660B3E"/>
    <w:rsid w:val="4A6E19F4"/>
    <w:rsid w:val="4A6F0701"/>
    <w:rsid w:val="4A794174"/>
    <w:rsid w:val="4A7B668F"/>
    <w:rsid w:val="4A872CDF"/>
    <w:rsid w:val="4A994AC9"/>
    <w:rsid w:val="4A9A1383"/>
    <w:rsid w:val="4AA90B47"/>
    <w:rsid w:val="4AAA5E88"/>
    <w:rsid w:val="4AB12772"/>
    <w:rsid w:val="4ABC55E1"/>
    <w:rsid w:val="4AC17099"/>
    <w:rsid w:val="4AC2637F"/>
    <w:rsid w:val="4AC37044"/>
    <w:rsid w:val="4ACD1136"/>
    <w:rsid w:val="4ACF03F0"/>
    <w:rsid w:val="4AD0522D"/>
    <w:rsid w:val="4AD12B5F"/>
    <w:rsid w:val="4ADB5CEA"/>
    <w:rsid w:val="4ADC7D67"/>
    <w:rsid w:val="4ADD0A0E"/>
    <w:rsid w:val="4AE06543"/>
    <w:rsid w:val="4AE60AFB"/>
    <w:rsid w:val="4AE6174E"/>
    <w:rsid w:val="4AFF196A"/>
    <w:rsid w:val="4B094AB6"/>
    <w:rsid w:val="4B0D4926"/>
    <w:rsid w:val="4B144BCF"/>
    <w:rsid w:val="4B181DE0"/>
    <w:rsid w:val="4B1B1600"/>
    <w:rsid w:val="4B1C074E"/>
    <w:rsid w:val="4B1F28A5"/>
    <w:rsid w:val="4B2D424C"/>
    <w:rsid w:val="4B4A61BC"/>
    <w:rsid w:val="4B4B0834"/>
    <w:rsid w:val="4B4B2E31"/>
    <w:rsid w:val="4B500644"/>
    <w:rsid w:val="4B502515"/>
    <w:rsid w:val="4B6054B5"/>
    <w:rsid w:val="4B7038C2"/>
    <w:rsid w:val="4B711D8E"/>
    <w:rsid w:val="4B7931F0"/>
    <w:rsid w:val="4B7C7536"/>
    <w:rsid w:val="4B9A35A1"/>
    <w:rsid w:val="4B9D14B8"/>
    <w:rsid w:val="4BA630E8"/>
    <w:rsid w:val="4BAE2D60"/>
    <w:rsid w:val="4BB231A6"/>
    <w:rsid w:val="4BC82A6A"/>
    <w:rsid w:val="4BE2162E"/>
    <w:rsid w:val="4BE245AC"/>
    <w:rsid w:val="4BE327BC"/>
    <w:rsid w:val="4BE42CBE"/>
    <w:rsid w:val="4BE7588F"/>
    <w:rsid w:val="4BEC17B3"/>
    <w:rsid w:val="4BED18BF"/>
    <w:rsid w:val="4BF51C6C"/>
    <w:rsid w:val="4BF604C3"/>
    <w:rsid w:val="4BF63C90"/>
    <w:rsid w:val="4BF74C4A"/>
    <w:rsid w:val="4C01119B"/>
    <w:rsid w:val="4C017703"/>
    <w:rsid w:val="4C0A2E37"/>
    <w:rsid w:val="4C120157"/>
    <w:rsid w:val="4C145459"/>
    <w:rsid w:val="4C152B82"/>
    <w:rsid w:val="4C193194"/>
    <w:rsid w:val="4C1D2274"/>
    <w:rsid w:val="4C1D393A"/>
    <w:rsid w:val="4C1F197D"/>
    <w:rsid w:val="4C337154"/>
    <w:rsid w:val="4C3A4B66"/>
    <w:rsid w:val="4C3B4C3A"/>
    <w:rsid w:val="4C3D3459"/>
    <w:rsid w:val="4C475725"/>
    <w:rsid w:val="4C4D326C"/>
    <w:rsid w:val="4C572640"/>
    <w:rsid w:val="4C5A7C3E"/>
    <w:rsid w:val="4C6405AE"/>
    <w:rsid w:val="4C6624FB"/>
    <w:rsid w:val="4C69467E"/>
    <w:rsid w:val="4C6E31D7"/>
    <w:rsid w:val="4C6F6054"/>
    <w:rsid w:val="4C7F5EBE"/>
    <w:rsid w:val="4C851264"/>
    <w:rsid w:val="4C8C2B41"/>
    <w:rsid w:val="4C8F47C9"/>
    <w:rsid w:val="4C900550"/>
    <w:rsid w:val="4C91244A"/>
    <w:rsid w:val="4C9721DF"/>
    <w:rsid w:val="4CA37CC7"/>
    <w:rsid w:val="4CA40381"/>
    <w:rsid w:val="4CAD0597"/>
    <w:rsid w:val="4CB07FA9"/>
    <w:rsid w:val="4CB2635D"/>
    <w:rsid w:val="4CB437B2"/>
    <w:rsid w:val="4CB7150B"/>
    <w:rsid w:val="4CB77605"/>
    <w:rsid w:val="4CDA37BA"/>
    <w:rsid w:val="4CDD035F"/>
    <w:rsid w:val="4CE11423"/>
    <w:rsid w:val="4CF223B3"/>
    <w:rsid w:val="4CF36D12"/>
    <w:rsid w:val="4CF872DD"/>
    <w:rsid w:val="4CF94B78"/>
    <w:rsid w:val="4D12627E"/>
    <w:rsid w:val="4D2E502E"/>
    <w:rsid w:val="4D362BF7"/>
    <w:rsid w:val="4D3E5DA7"/>
    <w:rsid w:val="4D411BB6"/>
    <w:rsid w:val="4D47752F"/>
    <w:rsid w:val="4D4B3EEE"/>
    <w:rsid w:val="4D556733"/>
    <w:rsid w:val="4D5A5779"/>
    <w:rsid w:val="4D7B1D29"/>
    <w:rsid w:val="4D832AC1"/>
    <w:rsid w:val="4D8D03C7"/>
    <w:rsid w:val="4D8F4656"/>
    <w:rsid w:val="4D9D06C0"/>
    <w:rsid w:val="4D9D791B"/>
    <w:rsid w:val="4DA81F05"/>
    <w:rsid w:val="4DA91B5A"/>
    <w:rsid w:val="4DAB47B7"/>
    <w:rsid w:val="4DB420D8"/>
    <w:rsid w:val="4DB54277"/>
    <w:rsid w:val="4DC10617"/>
    <w:rsid w:val="4DC747DA"/>
    <w:rsid w:val="4DC84619"/>
    <w:rsid w:val="4DC96EB8"/>
    <w:rsid w:val="4DCD7543"/>
    <w:rsid w:val="4DCF5DB4"/>
    <w:rsid w:val="4DD36227"/>
    <w:rsid w:val="4DDA5CA3"/>
    <w:rsid w:val="4DDC40E4"/>
    <w:rsid w:val="4DDD7A41"/>
    <w:rsid w:val="4DE428D3"/>
    <w:rsid w:val="4DF51D55"/>
    <w:rsid w:val="4DFE205D"/>
    <w:rsid w:val="4DFF6AE8"/>
    <w:rsid w:val="4E061D91"/>
    <w:rsid w:val="4E0D19D0"/>
    <w:rsid w:val="4E103B88"/>
    <w:rsid w:val="4E1B3B12"/>
    <w:rsid w:val="4E1C7A8B"/>
    <w:rsid w:val="4E232B18"/>
    <w:rsid w:val="4E2A1144"/>
    <w:rsid w:val="4E2A3DA0"/>
    <w:rsid w:val="4E3110A5"/>
    <w:rsid w:val="4E386F0B"/>
    <w:rsid w:val="4E3E4207"/>
    <w:rsid w:val="4E474B66"/>
    <w:rsid w:val="4E4B21F9"/>
    <w:rsid w:val="4E555AF3"/>
    <w:rsid w:val="4E591580"/>
    <w:rsid w:val="4E634699"/>
    <w:rsid w:val="4E634D82"/>
    <w:rsid w:val="4E663D6E"/>
    <w:rsid w:val="4E975535"/>
    <w:rsid w:val="4EB35768"/>
    <w:rsid w:val="4EB8566B"/>
    <w:rsid w:val="4EC06BD1"/>
    <w:rsid w:val="4EC174C8"/>
    <w:rsid w:val="4ED92B39"/>
    <w:rsid w:val="4EE15A50"/>
    <w:rsid w:val="4EE74A58"/>
    <w:rsid w:val="4EE75B89"/>
    <w:rsid w:val="4EF21E6F"/>
    <w:rsid w:val="4EF94E6F"/>
    <w:rsid w:val="4EFD376E"/>
    <w:rsid w:val="4EFE05F5"/>
    <w:rsid w:val="4EFF1005"/>
    <w:rsid w:val="4EFF6ED8"/>
    <w:rsid w:val="4F0C4273"/>
    <w:rsid w:val="4F0D61A6"/>
    <w:rsid w:val="4F164E81"/>
    <w:rsid w:val="4F1B59C5"/>
    <w:rsid w:val="4F2C5905"/>
    <w:rsid w:val="4F3A146A"/>
    <w:rsid w:val="4F3E007A"/>
    <w:rsid w:val="4F3E1139"/>
    <w:rsid w:val="4F422BDE"/>
    <w:rsid w:val="4F53140C"/>
    <w:rsid w:val="4F607988"/>
    <w:rsid w:val="4F6B7E15"/>
    <w:rsid w:val="4F7117A7"/>
    <w:rsid w:val="4F786454"/>
    <w:rsid w:val="4F7A4FA7"/>
    <w:rsid w:val="4F831F37"/>
    <w:rsid w:val="4F844A08"/>
    <w:rsid w:val="4F895B79"/>
    <w:rsid w:val="4F965496"/>
    <w:rsid w:val="4F9B243B"/>
    <w:rsid w:val="4FA3330B"/>
    <w:rsid w:val="4FB239CE"/>
    <w:rsid w:val="4FB816E4"/>
    <w:rsid w:val="4FBB031B"/>
    <w:rsid w:val="4FCB3DC2"/>
    <w:rsid w:val="4FCF1E3B"/>
    <w:rsid w:val="4FD015C7"/>
    <w:rsid w:val="4FD738AE"/>
    <w:rsid w:val="4FDA208B"/>
    <w:rsid w:val="4FE1667B"/>
    <w:rsid w:val="4FE758AD"/>
    <w:rsid w:val="4FED57B8"/>
    <w:rsid w:val="4FEF5185"/>
    <w:rsid w:val="4FFC3588"/>
    <w:rsid w:val="50053275"/>
    <w:rsid w:val="500B46DF"/>
    <w:rsid w:val="500F35BE"/>
    <w:rsid w:val="501764A0"/>
    <w:rsid w:val="501957EE"/>
    <w:rsid w:val="5020519F"/>
    <w:rsid w:val="502105A7"/>
    <w:rsid w:val="503774C6"/>
    <w:rsid w:val="5039453E"/>
    <w:rsid w:val="503B3837"/>
    <w:rsid w:val="504945FA"/>
    <w:rsid w:val="505A3342"/>
    <w:rsid w:val="505D795B"/>
    <w:rsid w:val="50607729"/>
    <w:rsid w:val="506F170E"/>
    <w:rsid w:val="5078075C"/>
    <w:rsid w:val="50790A74"/>
    <w:rsid w:val="508F29FD"/>
    <w:rsid w:val="509A6481"/>
    <w:rsid w:val="50BD3A83"/>
    <w:rsid w:val="50CF014F"/>
    <w:rsid w:val="50DD2EC3"/>
    <w:rsid w:val="50DD5880"/>
    <w:rsid w:val="50E86C65"/>
    <w:rsid w:val="50F5251D"/>
    <w:rsid w:val="50F61051"/>
    <w:rsid w:val="50FA227D"/>
    <w:rsid w:val="510F3B22"/>
    <w:rsid w:val="51182B88"/>
    <w:rsid w:val="511D44B1"/>
    <w:rsid w:val="5121152E"/>
    <w:rsid w:val="512C1424"/>
    <w:rsid w:val="51352275"/>
    <w:rsid w:val="5144565E"/>
    <w:rsid w:val="5148105E"/>
    <w:rsid w:val="51487F3F"/>
    <w:rsid w:val="514C0E0B"/>
    <w:rsid w:val="514E477E"/>
    <w:rsid w:val="514F5644"/>
    <w:rsid w:val="516030E4"/>
    <w:rsid w:val="516157C9"/>
    <w:rsid w:val="5167531F"/>
    <w:rsid w:val="51685793"/>
    <w:rsid w:val="516C7093"/>
    <w:rsid w:val="517602A3"/>
    <w:rsid w:val="51771E8C"/>
    <w:rsid w:val="51805FFE"/>
    <w:rsid w:val="519574AC"/>
    <w:rsid w:val="519D7B39"/>
    <w:rsid w:val="51A40405"/>
    <w:rsid w:val="51B113D4"/>
    <w:rsid w:val="51B91AB5"/>
    <w:rsid w:val="51C84025"/>
    <w:rsid w:val="51CE1DAB"/>
    <w:rsid w:val="51DE07F4"/>
    <w:rsid w:val="51E2475C"/>
    <w:rsid w:val="51F85D99"/>
    <w:rsid w:val="51F86006"/>
    <w:rsid w:val="51FF0073"/>
    <w:rsid w:val="52063D5E"/>
    <w:rsid w:val="520A72CC"/>
    <w:rsid w:val="52160A0B"/>
    <w:rsid w:val="521F1736"/>
    <w:rsid w:val="52204958"/>
    <w:rsid w:val="52220B9C"/>
    <w:rsid w:val="522D4478"/>
    <w:rsid w:val="52341046"/>
    <w:rsid w:val="524A4B28"/>
    <w:rsid w:val="524C47A7"/>
    <w:rsid w:val="52503235"/>
    <w:rsid w:val="525B2F0B"/>
    <w:rsid w:val="525B3D0B"/>
    <w:rsid w:val="52604380"/>
    <w:rsid w:val="526060D4"/>
    <w:rsid w:val="52613862"/>
    <w:rsid w:val="526252F5"/>
    <w:rsid w:val="52647E8C"/>
    <w:rsid w:val="5278534B"/>
    <w:rsid w:val="527C7F32"/>
    <w:rsid w:val="527E2317"/>
    <w:rsid w:val="527F18F4"/>
    <w:rsid w:val="527F480F"/>
    <w:rsid w:val="527F571B"/>
    <w:rsid w:val="52860D84"/>
    <w:rsid w:val="528C17A2"/>
    <w:rsid w:val="529027EB"/>
    <w:rsid w:val="52936362"/>
    <w:rsid w:val="52A73B7A"/>
    <w:rsid w:val="52AC2029"/>
    <w:rsid w:val="52B02D63"/>
    <w:rsid w:val="52B12050"/>
    <w:rsid w:val="52C20D10"/>
    <w:rsid w:val="52DD03D4"/>
    <w:rsid w:val="53013FCF"/>
    <w:rsid w:val="53033016"/>
    <w:rsid w:val="530B13AA"/>
    <w:rsid w:val="531615F6"/>
    <w:rsid w:val="531825A0"/>
    <w:rsid w:val="5342190D"/>
    <w:rsid w:val="535805AA"/>
    <w:rsid w:val="535A532B"/>
    <w:rsid w:val="535D1077"/>
    <w:rsid w:val="535F343B"/>
    <w:rsid w:val="535F41D2"/>
    <w:rsid w:val="536254F1"/>
    <w:rsid w:val="536B78E3"/>
    <w:rsid w:val="536E52CE"/>
    <w:rsid w:val="537C44B8"/>
    <w:rsid w:val="53821548"/>
    <w:rsid w:val="5382443A"/>
    <w:rsid w:val="539B00C4"/>
    <w:rsid w:val="539E0B35"/>
    <w:rsid w:val="53B7273A"/>
    <w:rsid w:val="53C14BAA"/>
    <w:rsid w:val="53C17136"/>
    <w:rsid w:val="53CA52FD"/>
    <w:rsid w:val="53CF6041"/>
    <w:rsid w:val="53D7556A"/>
    <w:rsid w:val="53DD1908"/>
    <w:rsid w:val="53EE4634"/>
    <w:rsid w:val="53F1235D"/>
    <w:rsid w:val="53F53E91"/>
    <w:rsid w:val="53F61097"/>
    <w:rsid w:val="53FA60B1"/>
    <w:rsid w:val="54210D45"/>
    <w:rsid w:val="542775AA"/>
    <w:rsid w:val="54390AE7"/>
    <w:rsid w:val="543D38E1"/>
    <w:rsid w:val="54403F00"/>
    <w:rsid w:val="54414259"/>
    <w:rsid w:val="5449525A"/>
    <w:rsid w:val="544A7982"/>
    <w:rsid w:val="544C5723"/>
    <w:rsid w:val="545F7AC8"/>
    <w:rsid w:val="5467549D"/>
    <w:rsid w:val="54681461"/>
    <w:rsid w:val="54687932"/>
    <w:rsid w:val="54752D69"/>
    <w:rsid w:val="54763DDF"/>
    <w:rsid w:val="547A2A8D"/>
    <w:rsid w:val="547F42F6"/>
    <w:rsid w:val="549169C6"/>
    <w:rsid w:val="54924045"/>
    <w:rsid w:val="54B07F6D"/>
    <w:rsid w:val="54B44AA8"/>
    <w:rsid w:val="54B87D19"/>
    <w:rsid w:val="54BC08FB"/>
    <w:rsid w:val="54BC7A7C"/>
    <w:rsid w:val="54D141D1"/>
    <w:rsid w:val="54D6060C"/>
    <w:rsid w:val="54DF0208"/>
    <w:rsid w:val="54DF4054"/>
    <w:rsid w:val="54DF4B1F"/>
    <w:rsid w:val="54E44624"/>
    <w:rsid w:val="54E80E43"/>
    <w:rsid w:val="54EA505F"/>
    <w:rsid w:val="5500104E"/>
    <w:rsid w:val="55017CF0"/>
    <w:rsid w:val="55144012"/>
    <w:rsid w:val="55190D5B"/>
    <w:rsid w:val="551D146F"/>
    <w:rsid w:val="552B4055"/>
    <w:rsid w:val="552B5CED"/>
    <w:rsid w:val="552D6DB1"/>
    <w:rsid w:val="553E5E18"/>
    <w:rsid w:val="55452291"/>
    <w:rsid w:val="55470FBF"/>
    <w:rsid w:val="554743D7"/>
    <w:rsid w:val="554913F3"/>
    <w:rsid w:val="55515FB8"/>
    <w:rsid w:val="555A7B8B"/>
    <w:rsid w:val="555E37B1"/>
    <w:rsid w:val="55634197"/>
    <w:rsid w:val="55670FA1"/>
    <w:rsid w:val="55684E50"/>
    <w:rsid w:val="55762980"/>
    <w:rsid w:val="558E65FA"/>
    <w:rsid w:val="55950B51"/>
    <w:rsid w:val="55991D90"/>
    <w:rsid w:val="559A1E6A"/>
    <w:rsid w:val="559A45E0"/>
    <w:rsid w:val="55AA0DB5"/>
    <w:rsid w:val="55AA2D9A"/>
    <w:rsid w:val="55AA58CF"/>
    <w:rsid w:val="55B92C73"/>
    <w:rsid w:val="55BA2446"/>
    <w:rsid w:val="55BF3A24"/>
    <w:rsid w:val="55C858E7"/>
    <w:rsid w:val="55D16738"/>
    <w:rsid w:val="55D6766D"/>
    <w:rsid w:val="55DA0CE7"/>
    <w:rsid w:val="55DA3950"/>
    <w:rsid w:val="55DB3738"/>
    <w:rsid w:val="55E12E97"/>
    <w:rsid w:val="55E22969"/>
    <w:rsid w:val="55E2523B"/>
    <w:rsid w:val="55E73110"/>
    <w:rsid w:val="55E90272"/>
    <w:rsid w:val="55EC34B6"/>
    <w:rsid w:val="55FB28DD"/>
    <w:rsid w:val="56097114"/>
    <w:rsid w:val="56152B4E"/>
    <w:rsid w:val="561A3A55"/>
    <w:rsid w:val="5624337B"/>
    <w:rsid w:val="5624397B"/>
    <w:rsid w:val="56276C20"/>
    <w:rsid w:val="562874D7"/>
    <w:rsid w:val="562F07A9"/>
    <w:rsid w:val="563073A2"/>
    <w:rsid w:val="5637606A"/>
    <w:rsid w:val="56384DCC"/>
    <w:rsid w:val="564466E8"/>
    <w:rsid w:val="56466220"/>
    <w:rsid w:val="56506A27"/>
    <w:rsid w:val="56604A45"/>
    <w:rsid w:val="566D591F"/>
    <w:rsid w:val="566F5FE2"/>
    <w:rsid w:val="567C0136"/>
    <w:rsid w:val="569740D7"/>
    <w:rsid w:val="56B11660"/>
    <w:rsid w:val="56B360B2"/>
    <w:rsid w:val="56B8146B"/>
    <w:rsid w:val="56BD1D2B"/>
    <w:rsid w:val="56C744D8"/>
    <w:rsid w:val="56D125E3"/>
    <w:rsid w:val="56D2316E"/>
    <w:rsid w:val="56D56417"/>
    <w:rsid w:val="56D725E3"/>
    <w:rsid w:val="56D919CC"/>
    <w:rsid w:val="56DB0031"/>
    <w:rsid w:val="56E4446D"/>
    <w:rsid w:val="56E9102A"/>
    <w:rsid w:val="56ED2455"/>
    <w:rsid w:val="56F01FF7"/>
    <w:rsid w:val="56F25C35"/>
    <w:rsid w:val="56F44964"/>
    <w:rsid w:val="56F776B9"/>
    <w:rsid w:val="56FD4D26"/>
    <w:rsid w:val="56FD79CC"/>
    <w:rsid w:val="57033377"/>
    <w:rsid w:val="570453AC"/>
    <w:rsid w:val="57104B06"/>
    <w:rsid w:val="571A5CC3"/>
    <w:rsid w:val="571C79B9"/>
    <w:rsid w:val="571F614A"/>
    <w:rsid w:val="572A1666"/>
    <w:rsid w:val="57303172"/>
    <w:rsid w:val="57344BBF"/>
    <w:rsid w:val="573923A3"/>
    <w:rsid w:val="574932A0"/>
    <w:rsid w:val="574D769B"/>
    <w:rsid w:val="575610AD"/>
    <w:rsid w:val="5761413D"/>
    <w:rsid w:val="57631A88"/>
    <w:rsid w:val="57653A14"/>
    <w:rsid w:val="577E4648"/>
    <w:rsid w:val="578B0FA4"/>
    <w:rsid w:val="578B401C"/>
    <w:rsid w:val="578B5E4E"/>
    <w:rsid w:val="578D1F85"/>
    <w:rsid w:val="57A7649A"/>
    <w:rsid w:val="57AB5828"/>
    <w:rsid w:val="57AE7199"/>
    <w:rsid w:val="57B32CE3"/>
    <w:rsid w:val="57B95A61"/>
    <w:rsid w:val="57BE6079"/>
    <w:rsid w:val="57C15D2A"/>
    <w:rsid w:val="57C352CC"/>
    <w:rsid w:val="57C52697"/>
    <w:rsid w:val="57C90028"/>
    <w:rsid w:val="57CA3908"/>
    <w:rsid w:val="57CE2359"/>
    <w:rsid w:val="57D118A6"/>
    <w:rsid w:val="57D82974"/>
    <w:rsid w:val="57D96525"/>
    <w:rsid w:val="57DB68EE"/>
    <w:rsid w:val="57F32AF3"/>
    <w:rsid w:val="57F506A7"/>
    <w:rsid w:val="57F707B8"/>
    <w:rsid w:val="58013FF8"/>
    <w:rsid w:val="58050DB7"/>
    <w:rsid w:val="58196261"/>
    <w:rsid w:val="58205C64"/>
    <w:rsid w:val="582144C7"/>
    <w:rsid w:val="58250312"/>
    <w:rsid w:val="58255E64"/>
    <w:rsid w:val="58267BFD"/>
    <w:rsid w:val="582B2267"/>
    <w:rsid w:val="582E4826"/>
    <w:rsid w:val="58326983"/>
    <w:rsid w:val="583A2FF5"/>
    <w:rsid w:val="583C1B0B"/>
    <w:rsid w:val="583C3F49"/>
    <w:rsid w:val="584B0355"/>
    <w:rsid w:val="58503802"/>
    <w:rsid w:val="58515095"/>
    <w:rsid w:val="585539DA"/>
    <w:rsid w:val="58593A38"/>
    <w:rsid w:val="585B3C12"/>
    <w:rsid w:val="585B6326"/>
    <w:rsid w:val="585C2059"/>
    <w:rsid w:val="58666660"/>
    <w:rsid w:val="587A6EB9"/>
    <w:rsid w:val="58817556"/>
    <w:rsid w:val="588426D2"/>
    <w:rsid w:val="588F132C"/>
    <w:rsid w:val="589063CB"/>
    <w:rsid w:val="589112D7"/>
    <w:rsid w:val="589377BF"/>
    <w:rsid w:val="58996485"/>
    <w:rsid w:val="589E26E1"/>
    <w:rsid w:val="58A0304E"/>
    <w:rsid w:val="58A71C70"/>
    <w:rsid w:val="58AF67F3"/>
    <w:rsid w:val="58BA07FC"/>
    <w:rsid w:val="58BD28A4"/>
    <w:rsid w:val="58C62E0C"/>
    <w:rsid w:val="58C64627"/>
    <w:rsid w:val="58D0263E"/>
    <w:rsid w:val="58D63787"/>
    <w:rsid w:val="58E42F13"/>
    <w:rsid w:val="58E90FE0"/>
    <w:rsid w:val="58F05914"/>
    <w:rsid w:val="58FB4E67"/>
    <w:rsid w:val="590002BD"/>
    <w:rsid w:val="5905440F"/>
    <w:rsid w:val="59076E28"/>
    <w:rsid w:val="591742AE"/>
    <w:rsid w:val="59176CC1"/>
    <w:rsid w:val="591A7D61"/>
    <w:rsid w:val="592E1709"/>
    <w:rsid w:val="59353DC7"/>
    <w:rsid w:val="593563A4"/>
    <w:rsid w:val="59361D25"/>
    <w:rsid w:val="59411020"/>
    <w:rsid w:val="59433721"/>
    <w:rsid w:val="594D54E0"/>
    <w:rsid w:val="594D54F5"/>
    <w:rsid w:val="595F42A0"/>
    <w:rsid w:val="59661A1D"/>
    <w:rsid w:val="596A4CF9"/>
    <w:rsid w:val="597C145C"/>
    <w:rsid w:val="59803D85"/>
    <w:rsid w:val="59974E56"/>
    <w:rsid w:val="599B2E6F"/>
    <w:rsid w:val="599F5EE4"/>
    <w:rsid w:val="59A83AB4"/>
    <w:rsid w:val="59B75E38"/>
    <w:rsid w:val="59BA6842"/>
    <w:rsid w:val="59BC376C"/>
    <w:rsid w:val="59C16D9A"/>
    <w:rsid w:val="59D27916"/>
    <w:rsid w:val="59D50A62"/>
    <w:rsid w:val="59DC2444"/>
    <w:rsid w:val="59DC4D28"/>
    <w:rsid w:val="59F13DF3"/>
    <w:rsid w:val="59F15185"/>
    <w:rsid w:val="5A0B013B"/>
    <w:rsid w:val="5A0F3EF2"/>
    <w:rsid w:val="5A100BEF"/>
    <w:rsid w:val="5A1C0358"/>
    <w:rsid w:val="5A2821DD"/>
    <w:rsid w:val="5A2842EB"/>
    <w:rsid w:val="5A294509"/>
    <w:rsid w:val="5A31193B"/>
    <w:rsid w:val="5A417645"/>
    <w:rsid w:val="5A445B28"/>
    <w:rsid w:val="5A4470DE"/>
    <w:rsid w:val="5A455A0D"/>
    <w:rsid w:val="5A471238"/>
    <w:rsid w:val="5A472CEE"/>
    <w:rsid w:val="5A492E25"/>
    <w:rsid w:val="5A5D195E"/>
    <w:rsid w:val="5A5D3D84"/>
    <w:rsid w:val="5A604145"/>
    <w:rsid w:val="5A781AE0"/>
    <w:rsid w:val="5A7A4CC8"/>
    <w:rsid w:val="5A7D3918"/>
    <w:rsid w:val="5A7E0321"/>
    <w:rsid w:val="5A823D49"/>
    <w:rsid w:val="5A891E3B"/>
    <w:rsid w:val="5A8E1FFA"/>
    <w:rsid w:val="5A977728"/>
    <w:rsid w:val="5A9A3E1E"/>
    <w:rsid w:val="5AA20E47"/>
    <w:rsid w:val="5AA71291"/>
    <w:rsid w:val="5AAB18B9"/>
    <w:rsid w:val="5ABC5914"/>
    <w:rsid w:val="5AC36E37"/>
    <w:rsid w:val="5ACC1E62"/>
    <w:rsid w:val="5AD652DD"/>
    <w:rsid w:val="5ADF7629"/>
    <w:rsid w:val="5AE06D6B"/>
    <w:rsid w:val="5AF2714C"/>
    <w:rsid w:val="5B0118A4"/>
    <w:rsid w:val="5B086256"/>
    <w:rsid w:val="5B123F08"/>
    <w:rsid w:val="5B17659A"/>
    <w:rsid w:val="5B2E62AE"/>
    <w:rsid w:val="5B336D14"/>
    <w:rsid w:val="5B3F52C0"/>
    <w:rsid w:val="5B4804C5"/>
    <w:rsid w:val="5B4D5239"/>
    <w:rsid w:val="5B4E7872"/>
    <w:rsid w:val="5B5244D1"/>
    <w:rsid w:val="5B5813C0"/>
    <w:rsid w:val="5B5850C4"/>
    <w:rsid w:val="5B594054"/>
    <w:rsid w:val="5B5E22EB"/>
    <w:rsid w:val="5B640377"/>
    <w:rsid w:val="5B677A4E"/>
    <w:rsid w:val="5B6D60FA"/>
    <w:rsid w:val="5B6F7EC5"/>
    <w:rsid w:val="5B7C5B57"/>
    <w:rsid w:val="5B852142"/>
    <w:rsid w:val="5B957166"/>
    <w:rsid w:val="5BAA7A36"/>
    <w:rsid w:val="5BAD5651"/>
    <w:rsid w:val="5BB01DBA"/>
    <w:rsid w:val="5BC07CDF"/>
    <w:rsid w:val="5BC63490"/>
    <w:rsid w:val="5BC824D4"/>
    <w:rsid w:val="5BCF3479"/>
    <w:rsid w:val="5BD632F9"/>
    <w:rsid w:val="5BE260AC"/>
    <w:rsid w:val="5BE70443"/>
    <w:rsid w:val="5BE851B1"/>
    <w:rsid w:val="5BFC06EB"/>
    <w:rsid w:val="5C0A1A30"/>
    <w:rsid w:val="5C0A2460"/>
    <w:rsid w:val="5C0B1C6E"/>
    <w:rsid w:val="5C0C09DE"/>
    <w:rsid w:val="5C121A0B"/>
    <w:rsid w:val="5C3177E0"/>
    <w:rsid w:val="5C332F56"/>
    <w:rsid w:val="5C336CDF"/>
    <w:rsid w:val="5C3B75A6"/>
    <w:rsid w:val="5C3E55C4"/>
    <w:rsid w:val="5C4C79BA"/>
    <w:rsid w:val="5C4F342C"/>
    <w:rsid w:val="5C506E89"/>
    <w:rsid w:val="5C54726C"/>
    <w:rsid w:val="5C5B5FC3"/>
    <w:rsid w:val="5C683319"/>
    <w:rsid w:val="5C6847D7"/>
    <w:rsid w:val="5C75755B"/>
    <w:rsid w:val="5C842029"/>
    <w:rsid w:val="5C8649FE"/>
    <w:rsid w:val="5CA153C9"/>
    <w:rsid w:val="5CA320C8"/>
    <w:rsid w:val="5CA614CB"/>
    <w:rsid w:val="5CB26CB6"/>
    <w:rsid w:val="5CBA3012"/>
    <w:rsid w:val="5CBE1FAF"/>
    <w:rsid w:val="5CC10070"/>
    <w:rsid w:val="5CC209B8"/>
    <w:rsid w:val="5CC864A6"/>
    <w:rsid w:val="5CCB094E"/>
    <w:rsid w:val="5CD22287"/>
    <w:rsid w:val="5CDD19D2"/>
    <w:rsid w:val="5CE04DF1"/>
    <w:rsid w:val="5CF960E1"/>
    <w:rsid w:val="5CFF39F3"/>
    <w:rsid w:val="5D0A0532"/>
    <w:rsid w:val="5D221CBA"/>
    <w:rsid w:val="5D227862"/>
    <w:rsid w:val="5D285DC4"/>
    <w:rsid w:val="5D3247BA"/>
    <w:rsid w:val="5D361CD5"/>
    <w:rsid w:val="5D404426"/>
    <w:rsid w:val="5D436F1D"/>
    <w:rsid w:val="5D4826C8"/>
    <w:rsid w:val="5D55691C"/>
    <w:rsid w:val="5D580633"/>
    <w:rsid w:val="5D5A38E9"/>
    <w:rsid w:val="5D691642"/>
    <w:rsid w:val="5D697422"/>
    <w:rsid w:val="5D6D3796"/>
    <w:rsid w:val="5D7B72A1"/>
    <w:rsid w:val="5D8040D6"/>
    <w:rsid w:val="5D8078FF"/>
    <w:rsid w:val="5D87043B"/>
    <w:rsid w:val="5D8753BA"/>
    <w:rsid w:val="5D890EF0"/>
    <w:rsid w:val="5D941287"/>
    <w:rsid w:val="5D9B423C"/>
    <w:rsid w:val="5DA215A8"/>
    <w:rsid w:val="5DAF0C96"/>
    <w:rsid w:val="5DB1450B"/>
    <w:rsid w:val="5DB37849"/>
    <w:rsid w:val="5DB432D9"/>
    <w:rsid w:val="5DBE32C6"/>
    <w:rsid w:val="5DC06AB7"/>
    <w:rsid w:val="5DCC64F6"/>
    <w:rsid w:val="5DD14080"/>
    <w:rsid w:val="5DEC7093"/>
    <w:rsid w:val="5DEE2A5B"/>
    <w:rsid w:val="5E0736C3"/>
    <w:rsid w:val="5E11684B"/>
    <w:rsid w:val="5E116EC7"/>
    <w:rsid w:val="5E1373C5"/>
    <w:rsid w:val="5E1E0273"/>
    <w:rsid w:val="5E23242C"/>
    <w:rsid w:val="5E236C79"/>
    <w:rsid w:val="5E244978"/>
    <w:rsid w:val="5E27201F"/>
    <w:rsid w:val="5E2D0D4B"/>
    <w:rsid w:val="5E49736C"/>
    <w:rsid w:val="5E4A7870"/>
    <w:rsid w:val="5E58177F"/>
    <w:rsid w:val="5E590EEB"/>
    <w:rsid w:val="5E5D3F0F"/>
    <w:rsid w:val="5E601682"/>
    <w:rsid w:val="5E6213D2"/>
    <w:rsid w:val="5E6C3881"/>
    <w:rsid w:val="5E777724"/>
    <w:rsid w:val="5E8B47A6"/>
    <w:rsid w:val="5E8B4CC4"/>
    <w:rsid w:val="5E8F5D0B"/>
    <w:rsid w:val="5E913B5B"/>
    <w:rsid w:val="5E9419FD"/>
    <w:rsid w:val="5E9A1F2B"/>
    <w:rsid w:val="5E9D3472"/>
    <w:rsid w:val="5EA418D1"/>
    <w:rsid w:val="5EA87F06"/>
    <w:rsid w:val="5EB03327"/>
    <w:rsid w:val="5EC159C3"/>
    <w:rsid w:val="5EC3631E"/>
    <w:rsid w:val="5EC41BFA"/>
    <w:rsid w:val="5EC6631C"/>
    <w:rsid w:val="5EC71A82"/>
    <w:rsid w:val="5EC94AB6"/>
    <w:rsid w:val="5EE96CC7"/>
    <w:rsid w:val="5EF01088"/>
    <w:rsid w:val="5EF26FD1"/>
    <w:rsid w:val="5EF309C5"/>
    <w:rsid w:val="5EF6505B"/>
    <w:rsid w:val="5F035062"/>
    <w:rsid w:val="5F0B6917"/>
    <w:rsid w:val="5F0E721B"/>
    <w:rsid w:val="5F0E7A2B"/>
    <w:rsid w:val="5F123A48"/>
    <w:rsid w:val="5F133879"/>
    <w:rsid w:val="5F1362BE"/>
    <w:rsid w:val="5F161DA2"/>
    <w:rsid w:val="5F16368F"/>
    <w:rsid w:val="5F18780A"/>
    <w:rsid w:val="5F1C2166"/>
    <w:rsid w:val="5F1C61A3"/>
    <w:rsid w:val="5F24383C"/>
    <w:rsid w:val="5F2B1717"/>
    <w:rsid w:val="5F2E0D62"/>
    <w:rsid w:val="5F2E6EAA"/>
    <w:rsid w:val="5F424EB3"/>
    <w:rsid w:val="5F4D5D6C"/>
    <w:rsid w:val="5F500111"/>
    <w:rsid w:val="5F525AB3"/>
    <w:rsid w:val="5F542E16"/>
    <w:rsid w:val="5F6044B1"/>
    <w:rsid w:val="5F662DCE"/>
    <w:rsid w:val="5F662F48"/>
    <w:rsid w:val="5F7467DB"/>
    <w:rsid w:val="5F7F5DA8"/>
    <w:rsid w:val="5F8372A9"/>
    <w:rsid w:val="5F9A4C6B"/>
    <w:rsid w:val="5F9C489A"/>
    <w:rsid w:val="5FA04C73"/>
    <w:rsid w:val="5FB3217D"/>
    <w:rsid w:val="5FBA2F6F"/>
    <w:rsid w:val="5FBA39C5"/>
    <w:rsid w:val="5FC76F50"/>
    <w:rsid w:val="5FC84F37"/>
    <w:rsid w:val="5FCD031A"/>
    <w:rsid w:val="5FD4513C"/>
    <w:rsid w:val="5FD528B7"/>
    <w:rsid w:val="5FD740F5"/>
    <w:rsid w:val="5FD852A8"/>
    <w:rsid w:val="5FD91209"/>
    <w:rsid w:val="5FE0714E"/>
    <w:rsid w:val="5FE27C12"/>
    <w:rsid w:val="5FE617B1"/>
    <w:rsid w:val="5FEB6155"/>
    <w:rsid w:val="5FEF3AF3"/>
    <w:rsid w:val="5FF404BC"/>
    <w:rsid w:val="5FFB7C36"/>
    <w:rsid w:val="601138CA"/>
    <w:rsid w:val="60233AFA"/>
    <w:rsid w:val="602B5C4E"/>
    <w:rsid w:val="603D36CA"/>
    <w:rsid w:val="6049646A"/>
    <w:rsid w:val="6053593B"/>
    <w:rsid w:val="60545404"/>
    <w:rsid w:val="6059719A"/>
    <w:rsid w:val="605A2AAA"/>
    <w:rsid w:val="60672647"/>
    <w:rsid w:val="60697276"/>
    <w:rsid w:val="6074717B"/>
    <w:rsid w:val="607A5C05"/>
    <w:rsid w:val="607C3578"/>
    <w:rsid w:val="607E42BF"/>
    <w:rsid w:val="609454EA"/>
    <w:rsid w:val="60967595"/>
    <w:rsid w:val="609675C5"/>
    <w:rsid w:val="60983433"/>
    <w:rsid w:val="60A84D25"/>
    <w:rsid w:val="60B03C59"/>
    <w:rsid w:val="60B10DE1"/>
    <w:rsid w:val="60B36A04"/>
    <w:rsid w:val="60BB3B53"/>
    <w:rsid w:val="60BD38C2"/>
    <w:rsid w:val="60C34D6E"/>
    <w:rsid w:val="60CB01EE"/>
    <w:rsid w:val="60CB21FF"/>
    <w:rsid w:val="60D17F9D"/>
    <w:rsid w:val="60D5304F"/>
    <w:rsid w:val="60D84BCC"/>
    <w:rsid w:val="60DF4BEE"/>
    <w:rsid w:val="60E77E19"/>
    <w:rsid w:val="60EA3009"/>
    <w:rsid w:val="60EB0B86"/>
    <w:rsid w:val="60EC3315"/>
    <w:rsid w:val="60F177BB"/>
    <w:rsid w:val="60F31780"/>
    <w:rsid w:val="60F4065A"/>
    <w:rsid w:val="60F8265C"/>
    <w:rsid w:val="60FE263F"/>
    <w:rsid w:val="6101123E"/>
    <w:rsid w:val="6105763B"/>
    <w:rsid w:val="61060581"/>
    <w:rsid w:val="610B4434"/>
    <w:rsid w:val="61174E35"/>
    <w:rsid w:val="61183AE0"/>
    <w:rsid w:val="612265C3"/>
    <w:rsid w:val="612658EF"/>
    <w:rsid w:val="612864F6"/>
    <w:rsid w:val="61351E27"/>
    <w:rsid w:val="61362F3C"/>
    <w:rsid w:val="61383D13"/>
    <w:rsid w:val="61471E39"/>
    <w:rsid w:val="6150455B"/>
    <w:rsid w:val="61542F22"/>
    <w:rsid w:val="61543594"/>
    <w:rsid w:val="61572DF8"/>
    <w:rsid w:val="61680E31"/>
    <w:rsid w:val="616C7217"/>
    <w:rsid w:val="616C7CDE"/>
    <w:rsid w:val="61765A7F"/>
    <w:rsid w:val="617B3D98"/>
    <w:rsid w:val="61844386"/>
    <w:rsid w:val="61857D5B"/>
    <w:rsid w:val="618D7CFC"/>
    <w:rsid w:val="619137DE"/>
    <w:rsid w:val="619B514D"/>
    <w:rsid w:val="61A03E66"/>
    <w:rsid w:val="61A22B4E"/>
    <w:rsid w:val="61A64000"/>
    <w:rsid w:val="61AC20BB"/>
    <w:rsid w:val="61AF6B50"/>
    <w:rsid w:val="61B223F2"/>
    <w:rsid w:val="61B40037"/>
    <w:rsid w:val="61BC3FBC"/>
    <w:rsid w:val="61BD207D"/>
    <w:rsid w:val="61C8696F"/>
    <w:rsid w:val="61E356A0"/>
    <w:rsid w:val="61E443BA"/>
    <w:rsid w:val="61EB1371"/>
    <w:rsid w:val="61EB6A77"/>
    <w:rsid w:val="61EF634A"/>
    <w:rsid w:val="61F33605"/>
    <w:rsid w:val="61F43346"/>
    <w:rsid w:val="61F65BC2"/>
    <w:rsid w:val="61FC5AAF"/>
    <w:rsid w:val="62026F2C"/>
    <w:rsid w:val="620B28CC"/>
    <w:rsid w:val="621124AF"/>
    <w:rsid w:val="621233A3"/>
    <w:rsid w:val="62180E83"/>
    <w:rsid w:val="621A3F12"/>
    <w:rsid w:val="621B22B5"/>
    <w:rsid w:val="621D6278"/>
    <w:rsid w:val="62283B7D"/>
    <w:rsid w:val="623E26E0"/>
    <w:rsid w:val="62431C70"/>
    <w:rsid w:val="62612D82"/>
    <w:rsid w:val="62686298"/>
    <w:rsid w:val="626F4622"/>
    <w:rsid w:val="626F5924"/>
    <w:rsid w:val="62727857"/>
    <w:rsid w:val="62763BE1"/>
    <w:rsid w:val="627D0950"/>
    <w:rsid w:val="627D25A8"/>
    <w:rsid w:val="628237A8"/>
    <w:rsid w:val="62883CDA"/>
    <w:rsid w:val="628925C1"/>
    <w:rsid w:val="628974FF"/>
    <w:rsid w:val="628C2F4F"/>
    <w:rsid w:val="629B33EF"/>
    <w:rsid w:val="62A615B0"/>
    <w:rsid w:val="62B42830"/>
    <w:rsid w:val="62B8044C"/>
    <w:rsid w:val="62B94AD3"/>
    <w:rsid w:val="62DE01C3"/>
    <w:rsid w:val="62ED025E"/>
    <w:rsid w:val="62FA7D6A"/>
    <w:rsid w:val="63152920"/>
    <w:rsid w:val="631B7062"/>
    <w:rsid w:val="63246102"/>
    <w:rsid w:val="63270372"/>
    <w:rsid w:val="632F42EC"/>
    <w:rsid w:val="633048DF"/>
    <w:rsid w:val="63323328"/>
    <w:rsid w:val="63344246"/>
    <w:rsid w:val="63485DD9"/>
    <w:rsid w:val="6350231A"/>
    <w:rsid w:val="635D2406"/>
    <w:rsid w:val="63647580"/>
    <w:rsid w:val="63666CD6"/>
    <w:rsid w:val="636C14C5"/>
    <w:rsid w:val="63703E51"/>
    <w:rsid w:val="6371773E"/>
    <w:rsid w:val="63730B2A"/>
    <w:rsid w:val="637A047B"/>
    <w:rsid w:val="637D1FBA"/>
    <w:rsid w:val="638B3CE0"/>
    <w:rsid w:val="6393240D"/>
    <w:rsid w:val="6397271E"/>
    <w:rsid w:val="63997D82"/>
    <w:rsid w:val="63A107B8"/>
    <w:rsid w:val="63A834FE"/>
    <w:rsid w:val="63A849C6"/>
    <w:rsid w:val="63A93392"/>
    <w:rsid w:val="63AA2C0D"/>
    <w:rsid w:val="63AC49A1"/>
    <w:rsid w:val="63AD3CF5"/>
    <w:rsid w:val="63BA15A2"/>
    <w:rsid w:val="63BD6767"/>
    <w:rsid w:val="63CB1A3B"/>
    <w:rsid w:val="63E46176"/>
    <w:rsid w:val="63E53DA4"/>
    <w:rsid w:val="63F60A19"/>
    <w:rsid w:val="63F657F6"/>
    <w:rsid w:val="63F81F84"/>
    <w:rsid w:val="64021120"/>
    <w:rsid w:val="640908C5"/>
    <w:rsid w:val="64124010"/>
    <w:rsid w:val="64210E58"/>
    <w:rsid w:val="642159E6"/>
    <w:rsid w:val="643901D9"/>
    <w:rsid w:val="643C15F8"/>
    <w:rsid w:val="644C4AB0"/>
    <w:rsid w:val="644E7031"/>
    <w:rsid w:val="64520042"/>
    <w:rsid w:val="645D5F3D"/>
    <w:rsid w:val="6467071B"/>
    <w:rsid w:val="64672B95"/>
    <w:rsid w:val="646F249C"/>
    <w:rsid w:val="64712CA3"/>
    <w:rsid w:val="647130DE"/>
    <w:rsid w:val="64724B1F"/>
    <w:rsid w:val="64737261"/>
    <w:rsid w:val="64760290"/>
    <w:rsid w:val="647F33E1"/>
    <w:rsid w:val="64832166"/>
    <w:rsid w:val="648826F6"/>
    <w:rsid w:val="648E486F"/>
    <w:rsid w:val="649526E0"/>
    <w:rsid w:val="64A57B21"/>
    <w:rsid w:val="64C67665"/>
    <w:rsid w:val="64D40DF7"/>
    <w:rsid w:val="64EA65A9"/>
    <w:rsid w:val="64EE7F66"/>
    <w:rsid w:val="64F40969"/>
    <w:rsid w:val="65035CD5"/>
    <w:rsid w:val="650B71DD"/>
    <w:rsid w:val="651C1A05"/>
    <w:rsid w:val="65345CA9"/>
    <w:rsid w:val="654450EF"/>
    <w:rsid w:val="655143B7"/>
    <w:rsid w:val="65563C02"/>
    <w:rsid w:val="65590FD0"/>
    <w:rsid w:val="65614150"/>
    <w:rsid w:val="65693924"/>
    <w:rsid w:val="656B28C3"/>
    <w:rsid w:val="656C4644"/>
    <w:rsid w:val="65886FC3"/>
    <w:rsid w:val="658A789B"/>
    <w:rsid w:val="658C66C3"/>
    <w:rsid w:val="65900108"/>
    <w:rsid w:val="65976A2F"/>
    <w:rsid w:val="65A21967"/>
    <w:rsid w:val="65AC7338"/>
    <w:rsid w:val="65AE19A6"/>
    <w:rsid w:val="65D05120"/>
    <w:rsid w:val="65D1242A"/>
    <w:rsid w:val="65D20338"/>
    <w:rsid w:val="65D741DA"/>
    <w:rsid w:val="65D923E4"/>
    <w:rsid w:val="65E307F8"/>
    <w:rsid w:val="65E37452"/>
    <w:rsid w:val="660E59BE"/>
    <w:rsid w:val="661079E6"/>
    <w:rsid w:val="662D0E6C"/>
    <w:rsid w:val="66326C5D"/>
    <w:rsid w:val="663306D1"/>
    <w:rsid w:val="66340186"/>
    <w:rsid w:val="663C7F99"/>
    <w:rsid w:val="663D3E8C"/>
    <w:rsid w:val="664231D0"/>
    <w:rsid w:val="666848FB"/>
    <w:rsid w:val="666D5D39"/>
    <w:rsid w:val="66704D74"/>
    <w:rsid w:val="667143FF"/>
    <w:rsid w:val="668A2885"/>
    <w:rsid w:val="668F2714"/>
    <w:rsid w:val="66963CD6"/>
    <w:rsid w:val="66A3519F"/>
    <w:rsid w:val="66A355FC"/>
    <w:rsid w:val="66B31CF9"/>
    <w:rsid w:val="66B76FE4"/>
    <w:rsid w:val="66C84F7E"/>
    <w:rsid w:val="66D05A00"/>
    <w:rsid w:val="66D23273"/>
    <w:rsid w:val="66D2779F"/>
    <w:rsid w:val="66D42FB0"/>
    <w:rsid w:val="66F06A73"/>
    <w:rsid w:val="66FC6DFA"/>
    <w:rsid w:val="671451C8"/>
    <w:rsid w:val="67214F62"/>
    <w:rsid w:val="67410604"/>
    <w:rsid w:val="67476F5A"/>
    <w:rsid w:val="674825C2"/>
    <w:rsid w:val="674C7B5B"/>
    <w:rsid w:val="674E0354"/>
    <w:rsid w:val="675F30C2"/>
    <w:rsid w:val="676561F1"/>
    <w:rsid w:val="67685DD9"/>
    <w:rsid w:val="67803670"/>
    <w:rsid w:val="678171F3"/>
    <w:rsid w:val="67890424"/>
    <w:rsid w:val="678A391C"/>
    <w:rsid w:val="678D001A"/>
    <w:rsid w:val="67922B47"/>
    <w:rsid w:val="67A41FA2"/>
    <w:rsid w:val="67A81ADA"/>
    <w:rsid w:val="67B53242"/>
    <w:rsid w:val="67B72FDF"/>
    <w:rsid w:val="67BC11A5"/>
    <w:rsid w:val="67BC1951"/>
    <w:rsid w:val="67BC4442"/>
    <w:rsid w:val="67BE20BB"/>
    <w:rsid w:val="67CE271A"/>
    <w:rsid w:val="67E97785"/>
    <w:rsid w:val="67F20C1A"/>
    <w:rsid w:val="67F228E2"/>
    <w:rsid w:val="67F44D53"/>
    <w:rsid w:val="67F670B5"/>
    <w:rsid w:val="67FE4F9B"/>
    <w:rsid w:val="67FF093A"/>
    <w:rsid w:val="67FF13E1"/>
    <w:rsid w:val="680E525B"/>
    <w:rsid w:val="680F108E"/>
    <w:rsid w:val="68140748"/>
    <w:rsid w:val="6815002A"/>
    <w:rsid w:val="68165306"/>
    <w:rsid w:val="68192675"/>
    <w:rsid w:val="681A4A41"/>
    <w:rsid w:val="681C63E3"/>
    <w:rsid w:val="68287D8A"/>
    <w:rsid w:val="68353D76"/>
    <w:rsid w:val="68425750"/>
    <w:rsid w:val="684471EA"/>
    <w:rsid w:val="685C35C7"/>
    <w:rsid w:val="685F6012"/>
    <w:rsid w:val="68702418"/>
    <w:rsid w:val="68750E4C"/>
    <w:rsid w:val="688E159B"/>
    <w:rsid w:val="688F19A5"/>
    <w:rsid w:val="68A51A4D"/>
    <w:rsid w:val="68A52E78"/>
    <w:rsid w:val="68AD43EB"/>
    <w:rsid w:val="68B32ADB"/>
    <w:rsid w:val="68BA76F6"/>
    <w:rsid w:val="68C27872"/>
    <w:rsid w:val="68C545D3"/>
    <w:rsid w:val="68CB5A9C"/>
    <w:rsid w:val="68D171E9"/>
    <w:rsid w:val="68DA33C5"/>
    <w:rsid w:val="68DB1C48"/>
    <w:rsid w:val="68DF0722"/>
    <w:rsid w:val="68E3441A"/>
    <w:rsid w:val="68E65250"/>
    <w:rsid w:val="68E851B6"/>
    <w:rsid w:val="68F30B50"/>
    <w:rsid w:val="69004233"/>
    <w:rsid w:val="69023540"/>
    <w:rsid w:val="69162670"/>
    <w:rsid w:val="691D18A7"/>
    <w:rsid w:val="69245A75"/>
    <w:rsid w:val="69264B75"/>
    <w:rsid w:val="692C4659"/>
    <w:rsid w:val="69330999"/>
    <w:rsid w:val="69336E02"/>
    <w:rsid w:val="693408C6"/>
    <w:rsid w:val="69397599"/>
    <w:rsid w:val="693D685B"/>
    <w:rsid w:val="694328EC"/>
    <w:rsid w:val="694A1A7C"/>
    <w:rsid w:val="69535D2A"/>
    <w:rsid w:val="695A4E4B"/>
    <w:rsid w:val="695E6C91"/>
    <w:rsid w:val="695F3AE1"/>
    <w:rsid w:val="69663ABA"/>
    <w:rsid w:val="696855FD"/>
    <w:rsid w:val="69692FE7"/>
    <w:rsid w:val="697A2F20"/>
    <w:rsid w:val="69810285"/>
    <w:rsid w:val="698807E2"/>
    <w:rsid w:val="698E66F3"/>
    <w:rsid w:val="69901298"/>
    <w:rsid w:val="69927898"/>
    <w:rsid w:val="6996747B"/>
    <w:rsid w:val="699A31F7"/>
    <w:rsid w:val="699B7094"/>
    <w:rsid w:val="69A24A3A"/>
    <w:rsid w:val="69A83C81"/>
    <w:rsid w:val="69AB3A9B"/>
    <w:rsid w:val="69BC1309"/>
    <w:rsid w:val="69BC4D63"/>
    <w:rsid w:val="69BD0539"/>
    <w:rsid w:val="69C61553"/>
    <w:rsid w:val="69CB71E2"/>
    <w:rsid w:val="69CE6AE9"/>
    <w:rsid w:val="69D93098"/>
    <w:rsid w:val="69F01B96"/>
    <w:rsid w:val="69F20C58"/>
    <w:rsid w:val="6A0A46A6"/>
    <w:rsid w:val="6A0F166E"/>
    <w:rsid w:val="6A143A6E"/>
    <w:rsid w:val="6A1852F5"/>
    <w:rsid w:val="6A22616B"/>
    <w:rsid w:val="6A304ED3"/>
    <w:rsid w:val="6A341E75"/>
    <w:rsid w:val="6A4126C2"/>
    <w:rsid w:val="6A4167FE"/>
    <w:rsid w:val="6A4875C2"/>
    <w:rsid w:val="6A4D29EF"/>
    <w:rsid w:val="6A4D5E0E"/>
    <w:rsid w:val="6A667733"/>
    <w:rsid w:val="6A6E59E2"/>
    <w:rsid w:val="6A717184"/>
    <w:rsid w:val="6A7A1081"/>
    <w:rsid w:val="6A7B6F42"/>
    <w:rsid w:val="6A7F0FF8"/>
    <w:rsid w:val="6A7F4C41"/>
    <w:rsid w:val="6A8C23DD"/>
    <w:rsid w:val="6A990E70"/>
    <w:rsid w:val="6A9B4181"/>
    <w:rsid w:val="6A9F0490"/>
    <w:rsid w:val="6AA81861"/>
    <w:rsid w:val="6AAE11EB"/>
    <w:rsid w:val="6AB865B9"/>
    <w:rsid w:val="6ABF43E9"/>
    <w:rsid w:val="6AC45482"/>
    <w:rsid w:val="6AC92C67"/>
    <w:rsid w:val="6AC9480E"/>
    <w:rsid w:val="6AD23C0F"/>
    <w:rsid w:val="6AE356D6"/>
    <w:rsid w:val="6B030FBC"/>
    <w:rsid w:val="6B0F50DB"/>
    <w:rsid w:val="6B187990"/>
    <w:rsid w:val="6B2A61A7"/>
    <w:rsid w:val="6B2E09AD"/>
    <w:rsid w:val="6B314AB4"/>
    <w:rsid w:val="6B356A4E"/>
    <w:rsid w:val="6B391FA9"/>
    <w:rsid w:val="6B466E95"/>
    <w:rsid w:val="6B56037C"/>
    <w:rsid w:val="6B61523F"/>
    <w:rsid w:val="6B6A4281"/>
    <w:rsid w:val="6B7D57A7"/>
    <w:rsid w:val="6B82113B"/>
    <w:rsid w:val="6B837741"/>
    <w:rsid w:val="6B863E47"/>
    <w:rsid w:val="6B886504"/>
    <w:rsid w:val="6B944C8B"/>
    <w:rsid w:val="6B9B1E27"/>
    <w:rsid w:val="6BA07D29"/>
    <w:rsid w:val="6BA177F6"/>
    <w:rsid w:val="6BAA7C4A"/>
    <w:rsid w:val="6BC1774F"/>
    <w:rsid w:val="6BC37A70"/>
    <w:rsid w:val="6BC57E58"/>
    <w:rsid w:val="6BCE746A"/>
    <w:rsid w:val="6BD916E5"/>
    <w:rsid w:val="6BDE7B3D"/>
    <w:rsid w:val="6BF112D7"/>
    <w:rsid w:val="6BF13F45"/>
    <w:rsid w:val="6BF621FB"/>
    <w:rsid w:val="6C047D2D"/>
    <w:rsid w:val="6C065FF3"/>
    <w:rsid w:val="6C0E5E0D"/>
    <w:rsid w:val="6C1906AC"/>
    <w:rsid w:val="6C1E085C"/>
    <w:rsid w:val="6C2814C5"/>
    <w:rsid w:val="6C2E1C37"/>
    <w:rsid w:val="6C2E62F7"/>
    <w:rsid w:val="6C4941C4"/>
    <w:rsid w:val="6C4C6381"/>
    <w:rsid w:val="6C593672"/>
    <w:rsid w:val="6C5F048D"/>
    <w:rsid w:val="6C5F21C0"/>
    <w:rsid w:val="6C5F5B4C"/>
    <w:rsid w:val="6C651F43"/>
    <w:rsid w:val="6C740660"/>
    <w:rsid w:val="6C745A07"/>
    <w:rsid w:val="6C866B75"/>
    <w:rsid w:val="6C88520F"/>
    <w:rsid w:val="6C885671"/>
    <w:rsid w:val="6C892A38"/>
    <w:rsid w:val="6C8B0BEA"/>
    <w:rsid w:val="6C8C388C"/>
    <w:rsid w:val="6C9C2E21"/>
    <w:rsid w:val="6CA453C4"/>
    <w:rsid w:val="6CA653D9"/>
    <w:rsid w:val="6CB923DB"/>
    <w:rsid w:val="6CC85D52"/>
    <w:rsid w:val="6CD01E0D"/>
    <w:rsid w:val="6CD51FA2"/>
    <w:rsid w:val="6CD7410E"/>
    <w:rsid w:val="6CDF2362"/>
    <w:rsid w:val="6CE22CED"/>
    <w:rsid w:val="6CE36466"/>
    <w:rsid w:val="6CE5428B"/>
    <w:rsid w:val="6CFA0E53"/>
    <w:rsid w:val="6D0C0152"/>
    <w:rsid w:val="6D0C3BB3"/>
    <w:rsid w:val="6D151A95"/>
    <w:rsid w:val="6D152649"/>
    <w:rsid w:val="6D1570D7"/>
    <w:rsid w:val="6D1C27CA"/>
    <w:rsid w:val="6D223119"/>
    <w:rsid w:val="6D2603B3"/>
    <w:rsid w:val="6D273897"/>
    <w:rsid w:val="6D274ABB"/>
    <w:rsid w:val="6D2B4A9C"/>
    <w:rsid w:val="6D4059CE"/>
    <w:rsid w:val="6D417A43"/>
    <w:rsid w:val="6D480A1E"/>
    <w:rsid w:val="6D4A1A9C"/>
    <w:rsid w:val="6D630DB7"/>
    <w:rsid w:val="6D64496D"/>
    <w:rsid w:val="6D692088"/>
    <w:rsid w:val="6D73643C"/>
    <w:rsid w:val="6D7C3665"/>
    <w:rsid w:val="6D7D6CCD"/>
    <w:rsid w:val="6D7E6AF1"/>
    <w:rsid w:val="6D831065"/>
    <w:rsid w:val="6D907CF0"/>
    <w:rsid w:val="6D9765FC"/>
    <w:rsid w:val="6DB03B25"/>
    <w:rsid w:val="6DB421AE"/>
    <w:rsid w:val="6DC31DD1"/>
    <w:rsid w:val="6DC4068F"/>
    <w:rsid w:val="6DCF68F1"/>
    <w:rsid w:val="6DD06E96"/>
    <w:rsid w:val="6DE85B68"/>
    <w:rsid w:val="6DF8205B"/>
    <w:rsid w:val="6DF94F36"/>
    <w:rsid w:val="6DFB398F"/>
    <w:rsid w:val="6DFE2E1A"/>
    <w:rsid w:val="6E022CDF"/>
    <w:rsid w:val="6E155290"/>
    <w:rsid w:val="6E195DE3"/>
    <w:rsid w:val="6E1D6DFE"/>
    <w:rsid w:val="6E314E89"/>
    <w:rsid w:val="6E391B55"/>
    <w:rsid w:val="6E3D2C2D"/>
    <w:rsid w:val="6E3D71E5"/>
    <w:rsid w:val="6E463C38"/>
    <w:rsid w:val="6E4B3B3C"/>
    <w:rsid w:val="6E4B71F9"/>
    <w:rsid w:val="6E4C1042"/>
    <w:rsid w:val="6E4C259D"/>
    <w:rsid w:val="6E533B68"/>
    <w:rsid w:val="6E541BC8"/>
    <w:rsid w:val="6E577E7B"/>
    <w:rsid w:val="6E672069"/>
    <w:rsid w:val="6E680BDB"/>
    <w:rsid w:val="6E684500"/>
    <w:rsid w:val="6E6975AF"/>
    <w:rsid w:val="6E6A3814"/>
    <w:rsid w:val="6E7B6D47"/>
    <w:rsid w:val="6E807DDF"/>
    <w:rsid w:val="6E825BBC"/>
    <w:rsid w:val="6E8428A5"/>
    <w:rsid w:val="6E8A1BCD"/>
    <w:rsid w:val="6E8C4573"/>
    <w:rsid w:val="6E9443E3"/>
    <w:rsid w:val="6E9C56BB"/>
    <w:rsid w:val="6EA939B9"/>
    <w:rsid w:val="6EAA528D"/>
    <w:rsid w:val="6EC23084"/>
    <w:rsid w:val="6EC80658"/>
    <w:rsid w:val="6EC80F6D"/>
    <w:rsid w:val="6ECC7EF1"/>
    <w:rsid w:val="6ED949C8"/>
    <w:rsid w:val="6EE1307E"/>
    <w:rsid w:val="6EFF58E8"/>
    <w:rsid w:val="6EFF6C4B"/>
    <w:rsid w:val="6F0017BA"/>
    <w:rsid w:val="6F0302C8"/>
    <w:rsid w:val="6F044BB7"/>
    <w:rsid w:val="6F1D5894"/>
    <w:rsid w:val="6F2E108A"/>
    <w:rsid w:val="6F5C1C74"/>
    <w:rsid w:val="6F62619C"/>
    <w:rsid w:val="6F7205FE"/>
    <w:rsid w:val="6F730A0D"/>
    <w:rsid w:val="6F74636C"/>
    <w:rsid w:val="6F7B125A"/>
    <w:rsid w:val="6F7F7C3A"/>
    <w:rsid w:val="6F830C05"/>
    <w:rsid w:val="6F900045"/>
    <w:rsid w:val="6F986A89"/>
    <w:rsid w:val="6FA25B38"/>
    <w:rsid w:val="6FAE78DD"/>
    <w:rsid w:val="6FC944B6"/>
    <w:rsid w:val="6FD05D0D"/>
    <w:rsid w:val="6FDF5FB6"/>
    <w:rsid w:val="6FDF6DE3"/>
    <w:rsid w:val="6FF33156"/>
    <w:rsid w:val="6FF646B5"/>
    <w:rsid w:val="6FFF1A1F"/>
    <w:rsid w:val="700F6C0F"/>
    <w:rsid w:val="701503B3"/>
    <w:rsid w:val="701764EF"/>
    <w:rsid w:val="702556D3"/>
    <w:rsid w:val="703248F4"/>
    <w:rsid w:val="70384E01"/>
    <w:rsid w:val="70394882"/>
    <w:rsid w:val="704A7459"/>
    <w:rsid w:val="704C7228"/>
    <w:rsid w:val="70522164"/>
    <w:rsid w:val="706238C5"/>
    <w:rsid w:val="70644CB0"/>
    <w:rsid w:val="706C5785"/>
    <w:rsid w:val="70707090"/>
    <w:rsid w:val="707437B5"/>
    <w:rsid w:val="707A1D0C"/>
    <w:rsid w:val="7088036C"/>
    <w:rsid w:val="708F22BC"/>
    <w:rsid w:val="70985C53"/>
    <w:rsid w:val="70B42AD6"/>
    <w:rsid w:val="70B54595"/>
    <w:rsid w:val="70B64D79"/>
    <w:rsid w:val="70B676B0"/>
    <w:rsid w:val="70B715F4"/>
    <w:rsid w:val="70C139E2"/>
    <w:rsid w:val="70CB4F6B"/>
    <w:rsid w:val="70CE6ACD"/>
    <w:rsid w:val="70D23586"/>
    <w:rsid w:val="70D80862"/>
    <w:rsid w:val="70E70BB7"/>
    <w:rsid w:val="70E979A6"/>
    <w:rsid w:val="70EA0BBA"/>
    <w:rsid w:val="70F42A2B"/>
    <w:rsid w:val="70F60844"/>
    <w:rsid w:val="7100766E"/>
    <w:rsid w:val="71062363"/>
    <w:rsid w:val="71073B9D"/>
    <w:rsid w:val="71137F20"/>
    <w:rsid w:val="711448C7"/>
    <w:rsid w:val="711D0A63"/>
    <w:rsid w:val="71214D89"/>
    <w:rsid w:val="71293276"/>
    <w:rsid w:val="712932AF"/>
    <w:rsid w:val="71316C67"/>
    <w:rsid w:val="71640CFA"/>
    <w:rsid w:val="716D266A"/>
    <w:rsid w:val="718A1070"/>
    <w:rsid w:val="719B538E"/>
    <w:rsid w:val="71A064B4"/>
    <w:rsid w:val="71A80F4D"/>
    <w:rsid w:val="71B872F9"/>
    <w:rsid w:val="71B97704"/>
    <w:rsid w:val="71BA1D77"/>
    <w:rsid w:val="71C63727"/>
    <w:rsid w:val="71C73361"/>
    <w:rsid w:val="71CB0D02"/>
    <w:rsid w:val="71CD0F7C"/>
    <w:rsid w:val="71CF3B70"/>
    <w:rsid w:val="71D558EB"/>
    <w:rsid w:val="71E51E35"/>
    <w:rsid w:val="71E81149"/>
    <w:rsid w:val="71EB0BB2"/>
    <w:rsid w:val="71F01ECB"/>
    <w:rsid w:val="71F60D26"/>
    <w:rsid w:val="72001F0D"/>
    <w:rsid w:val="720759FE"/>
    <w:rsid w:val="720A6C90"/>
    <w:rsid w:val="72102659"/>
    <w:rsid w:val="72103D04"/>
    <w:rsid w:val="72107FF3"/>
    <w:rsid w:val="72172C82"/>
    <w:rsid w:val="72172E07"/>
    <w:rsid w:val="721E0700"/>
    <w:rsid w:val="722E17EC"/>
    <w:rsid w:val="72380DF5"/>
    <w:rsid w:val="723A29BF"/>
    <w:rsid w:val="723E6F89"/>
    <w:rsid w:val="724419F7"/>
    <w:rsid w:val="72480677"/>
    <w:rsid w:val="724D263C"/>
    <w:rsid w:val="724D306F"/>
    <w:rsid w:val="724F0EF4"/>
    <w:rsid w:val="725041A7"/>
    <w:rsid w:val="726A66A6"/>
    <w:rsid w:val="72854588"/>
    <w:rsid w:val="728B1ED6"/>
    <w:rsid w:val="728E0874"/>
    <w:rsid w:val="728F10E8"/>
    <w:rsid w:val="7291424C"/>
    <w:rsid w:val="729954B1"/>
    <w:rsid w:val="72A2593C"/>
    <w:rsid w:val="72A654E4"/>
    <w:rsid w:val="72BC73D6"/>
    <w:rsid w:val="72C71AD7"/>
    <w:rsid w:val="72CF64F3"/>
    <w:rsid w:val="72D17B53"/>
    <w:rsid w:val="72D614CA"/>
    <w:rsid w:val="72DB0F03"/>
    <w:rsid w:val="72F442AC"/>
    <w:rsid w:val="72F5103F"/>
    <w:rsid w:val="72F73A66"/>
    <w:rsid w:val="73056126"/>
    <w:rsid w:val="730808CC"/>
    <w:rsid w:val="73092CDF"/>
    <w:rsid w:val="730E6368"/>
    <w:rsid w:val="731D588F"/>
    <w:rsid w:val="73204962"/>
    <w:rsid w:val="732A6DA6"/>
    <w:rsid w:val="732E7483"/>
    <w:rsid w:val="733450CE"/>
    <w:rsid w:val="73375AE4"/>
    <w:rsid w:val="7343557E"/>
    <w:rsid w:val="73505624"/>
    <w:rsid w:val="735149B3"/>
    <w:rsid w:val="73517E9A"/>
    <w:rsid w:val="73592E26"/>
    <w:rsid w:val="73612DDD"/>
    <w:rsid w:val="73654A9E"/>
    <w:rsid w:val="737546C5"/>
    <w:rsid w:val="737854F8"/>
    <w:rsid w:val="737B64D5"/>
    <w:rsid w:val="73825431"/>
    <w:rsid w:val="738D6301"/>
    <w:rsid w:val="738E43FC"/>
    <w:rsid w:val="739E59B3"/>
    <w:rsid w:val="73A70F97"/>
    <w:rsid w:val="73A930CD"/>
    <w:rsid w:val="73AA2165"/>
    <w:rsid w:val="73AD1E5E"/>
    <w:rsid w:val="73B94883"/>
    <w:rsid w:val="73C2729C"/>
    <w:rsid w:val="73C76E6D"/>
    <w:rsid w:val="73D61045"/>
    <w:rsid w:val="73DC65DE"/>
    <w:rsid w:val="73DC6892"/>
    <w:rsid w:val="73E44D2E"/>
    <w:rsid w:val="73E62E23"/>
    <w:rsid w:val="73E671B8"/>
    <w:rsid w:val="73E85FC0"/>
    <w:rsid w:val="73E86C4C"/>
    <w:rsid w:val="73F1381B"/>
    <w:rsid w:val="74002258"/>
    <w:rsid w:val="74007311"/>
    <w:rsid w:val="74035DE7"/>
    <w:rsid w:val="74041D7C"/>
    <w:rsid w:val="74044DB2"/>
    <w:rsid w:val="74102632"/>
    <w:rsid w:val="74107006"/>
    <w:rsid w:val="74133C2E"/>
    <w:rsid w:val="741B3ED8"/>
    <w:rsid w:val="741B56FD"/>
    <w:rsid w:val="741B7602"/>
    <w:rsid w:val="741D304C"/>
    <w:rsid w:val="74211AE5"/>
    <w:rsid w:val="74214B1F"/>
    <w:rsid w:val="742B35FA"/>
    <w:rsid w:val="742E22CB"/>
    <w:rsid w:val="742F3D47"/>
    <w:rsid w:val="743177C0"/>
    <w:rsid w:val="743508FE"/>
    <w:rsid w:val="74373221"/>
    <w:rsid w:val="743D0591"/>
    <w:rsid w:val="74446C8F"/>
    <w:rsid w:val="744544B5"/>
    <w:rsid w:val="744C69B4"/>
    <w:rsid w:val="74531F28"/>
    <w:rsid w:val="74552EFE"/>
    <w:rsid w:val="7458204B"/>
    <w:rsid w:val="745A71F6"/>
    <w:rsid w:val="745E6C7E"/>
    <w:rsid w:val="7468128C"/>
    <w:rsid w:val="74682F08"/>
    <w:rsid w:val="74683CEA"/>
    <w:rsid w:val="746B26C6"/>
    <w:rsid w:val="747F3797"/>
    <w:rsid w:val="74822B0C"/>
    <w:rsid w:val="74860CEE"/>
    <w:rsid w:val="74863613"/>
    <w:rsid w:val="748703AD"/>
    <w:rsid w:val="748D5F06"/>
    <w:rsid w:val="74952C21"/>
    <w:rsid w:val="749C4FCC"/>
    <w:rsid w:val="74A13C61"/>
    <w:rsid w:val="74AA72CE"/>
    <w:rsid w:val="74AD1A86"/>
    <w:rsid w:val="74AF2952"/>
    <w:rsid w:val="74B63A97"/>
    <w:rsid w:val="74B80406"/>
    <w:rsid w:val="74BB4BC0"/>
    <w:rsid w:val="74C35C28"/>
    <w:rsid w:val="74D06C54"/>
    <w:rsid w:val="74D220B8"/>
    <w:rsid w:val="74DC4C6D"/>
    <w:rsid w:val="74DE0E95"/>
    <w:rsid w:val="74E94E4B"/>
    <w:rsid w:val="74ED232C"/>
    <w:rsid w:val="74EE4009"/>
    <w:rsid w:val="74F66854"/>
    <w:rsid w:val="74FF49BE"/>
    <w:rsid w:val="75011321"/>
    <w:rsid w:val="75134D4C"/>
    <w:rsid w:val="752D67FF"/>
    <w:rsid w:val="75450DE4"/>
    <w:rsid w:val="754606BC"/>
    <w:rsid w:val="7547439C"/>
    <w:rsid w:val="754C3A6E"/>
    <w:rsid w:val="75512051"/>
    <w:rsid w:val="7551462D"/>
    <w:rsid w:val="755260F9"/>
    <w:rsid w:val="755571FF"/>
    <w:rsid w:val="755633CE"/>
    <w:rsid w:val="75565E8C"/>
    <w:rsid w:val="7557165D"/>
    <w:rsid w:val="755E07D2"/>
    <w:rsid w:val="755F20D5"/>
    <w:rsid w:val="75662AAB"/>
    <w:rsid w:val="7567205F"/>
    <w:rsid w:val="756D6209"/>
    <w:rsid w:val="757B3A39"/>
    <w:rsid w:val="757F16D3"/>
    <w:rsid w:val="75890921"/>
    <w:rsid w:val="758D3630"/>
    <w:rsid w:val="759165BA"/>
    <w:rsid w:val="75A83EAD"/>
    <w:rsid w:val="75A92334"/>
    <w:rsid w:val="75AA5398"/>
    <w:rsid w:val="75AE4DF6"/>
    <w:rsid w:val="75BC6BCA"/>
    <w:rsid w:val="75C02FA4"/>
    <w:rsid w:val="75C10F79"/>
    <w:rsid w:val="75C247F4"/>
    <w:rsid w:val="75C31131"/>
    <w:rsid w:val="75CF1A2C"/>
    <w:rsid w:val="75CF5F15"/>
    <w:rsid w:val="75D115F8"/>
    <w:rsid w:val="75E21ADF"/>
    <w:rsid w:val="75E62A45"/>
    <w:rsid w:val="75E82078"/>
    <w:rsid w:val="75EB65A9"/>
    <w:rsid w:val="75ED5166"/>
    <w:rsid w:val="75F12BB5"/>
    <w:rsid w:val="75F2502B"/>
    <w:rsid w:val="75F92254"/>
    <w:rsid w:val="75FB4DCC"/>
    <w:rsid w:val="75FC3DF6"/>
    <w:rsid w:val="75FE15EA"/>
    <w:rsid w:val="760024E7"/>
    <w:rsid w:val="760362A5"/>
    <w:rsid w:val="76132334"/>
    <w:rsid w:val="76152D4E"/>
    <w:rsid w:val="76223FDD"/>
    <w:rsid w:val="7635313E"/>
    <w:rsid w:val="76355447"/>
    <w:rsid w:val="763562A1"/>
    <w:rsid w:val="76375DCE"/>
    <w:rsid w:val="7642418C"/>
    <w:rsid w:val="764D21BF"/>
    <w:rsid w:val="76560B93"/>
    <w:rsid w:val="76563C45"/>
    <w:rsid w:val="76583FC9"/>
    <w:rsid w:val="765D3E2E"/>
    <w:rsid w:val="76697A0D"/>
    <w:rsid w:val="76750998"/>
    <w:rsid w:val="767B0482"/>
    <w:rsid w:val="767B131B"/>
    <w:rsid w:val="767B47A3"/>
    <w:rsid w:val="7685027C"/>
    <w:rsid w:val="768B61C3"/>
    <w:rsid w:val="768D2BE3"/>
    <w:rsid w:val="768E38DE"/>
    <w:rsid w:val="76936E6A"/>
    <w:rsid w:val="76942B2B"/>
    <w:rsid w:val="76970B73"/>
    <w:rsid w:val="769B0C8A"/>
    <w:rsid w:val="76AB6AC4"/>
    <w:rsid w:val="76AC20C7"/>
    <w:rsid w:val="76B37146"/>
    <w:rsid w:val="76BC2E8A"/>
    <w:rsid w:val="76BE6C74"/>
    <w:rsid w:val="76BF281A"/>
    <w:rsid w:val="76C52C39"/>
    <w:rsid w:val="76C6493F"/>
    <w:rsid w:val="76D63C6F"/>
    <w:rsid w:val="76DF2AEE"/>
    <w:rsid w:val="76E341D4"/>
    <w:rsid w:val="76EF06C9"/>
    <w:rsid w:val="77013C06"/>
    <w:rsid w:val="77242C6E"/>
    <w:rsid w:val="77266A93"/>
    <w:rsid w:val="7739759F"/>
    <w:rsid w:val="775A21A4"/>
    <w:rsid w:val="775C5E43"/>
    <w:rsid w:val="775F2A92"/>
    <w:rsid w:val="77640B4F"/>
    <w:rsid w:val="77690CC4"/>
    <w:rsid w:val="777013FC"/>
    <w:rsid w:val="777A17C4"/>
    <w:rsid w:val="777F549F"/>
    <w:rsid w:val="777F7722"/>
    <w:rsid w:val="77876692"/>
    <w:rsid w:val="778B3CD7"/>
    <w:rsid w:val="778D568D"/>
    <w:rsid w:val="77907509"/>
    <w:rsid w:val="77977A76"/>
    <w:rsid w:val="779B34BF"/>
    <w:rsid w:val="779C565C"/>
    <w:rsid w:val="77A06FDF"/>
    <w:rsid w:val="77A52C70"/>
    <w:rsid w:val="77A70660"/>
    <w:rsid w:val="77A90B67"/>
    <w:rsid w:val="77B9721C"/>
    <w:rsid w:val="77BA2B49"/>
    <w:rsid w:val="77C46B3F"/>
    <w:rsid w:val="77CC6800"/>
    <w:rsid w:val="77CD38B6"/>
    <w:rsid w:val="77CD4132"/>
    <w:rsid w:val="77D475D5"/>
    <w:rsid w:val="77D646DC"/>
    <w:rsid w:val="77DF4CA1"/>
    <w:rsid w:val="77E6115E"/>
    <w:rsid w:val="77E92F52"/>
    <w:rsid w:val="77EA0761"/>
    <w:rsid w:val="77F51819"/>
    <w:rsid w:val="77F57226"/>
    <w:rsid w:val="77FB1162"/>
    <w:rsid w:val="78062962"/>
    <w:rsid w:val="780A758A"/>
    <w:rsid w:val="78163CF6"/>
    <w:rsid w:val="781974B4"/>
    <w:rsid w:val="781C68EC"/>
    <w:rsid w:val="781F656B"/>
    <w:rsid w:val="782B1A9F"/>
    <w:rsid w:val="784316B0"/>
    <w:rsid w:val="78437B58"/>
    <w:rsid w:val="78546B78"/>
    <w:rsid w:val="786A611A"/>
    <w:rsid w:val="78754FDB"/>
    <w:rsid w:val="7877311F"/>
    <w:rsid w:val="7878200F"/>
    <w:rsid w:val="787C18B6"/>
    <w:rsid w:val="787D2732"/>
    <w:rsid w:val="787E2A09"/>
    <w:rsid w:val="788815A6"/>
    <w:rsid w:val="788857F8"/>
    <w:rsid w:val="78995CC1"/>
    <w:rsid w:val="78A6420F"/>
    <w:rsid w:val="78A67034"/>
    <w:rsid w:val="78AA3EB3"/>
    <w:rsid w:val="78AD5AB6"/>
    <w:rsid w:val="78BE3AEC"/>
    <w:rsid w:val="78C87E83"/>
    <w:rsid w:val="78CA047E"/>
    <w:rsid w:val="78D578DE"/>
    <w:rsid w:val="78DA099E"/>
    <w:rsid w:val="78DB1651"/>
    <w:rsid w:val="78DC0CFE"/>
    <w:rsid w:val="78E2025B"/>
    <w:rsid w:val="78EC06A8"/>
    <w:rsid w:val="78F3217F"/>
    <w:rsid w:val="79083D27"/>
    <w:rsid w:val="790E0C57"/>
    <w:rsid w:val="791022C8"/>
    <w:rsid w:val="79117935"/>
    <w:rsid w:val="792C1955"/>
    <w:rsid w:val="793226E5"/>
    <w:rsid w:val="79334590"/>
    <w:rsid w:val="79336BB2"/>
    <w:rsid w:val="79387C01"/>
    <w:rsid w:val="79525D4F"/>
    <w:rsid w:val="79747AA9"/>
    <w:rsid w:val="79793C23"/>
    <w:rsid w:val="797B58C1"/>
    <w:rsid w:val="798116BF"/>
    <w:rsid w:val="79811793"/>
    <w:rsid w:val="79833763"/>
    <w:rsid w:val="7984166B"/>
    <w:rsid w:val="798A4566"/>
    <w:rsid w:val="798E2859"/>
    <w:rsid w:val="79910FE7"/>
    <w:rsid w:val="79931116"/>
    <w:rsid w:val="79A63CE1"/>
    <w:rsid w:val="79B04359"/>
    <w:rsid w:val="79B94B6D"/>
    <w:rsid w:val="79CD5960"/>
    <w:rsid w:val="79D3228F"/>
    <w:rsid w:val="79DB3425"/>
    <w:rsid w:val="79DC3C4B"/>
    <w:rsid w:val="79E45078"/>
    <w:rsid w:val="79E468A5"/>
    <w:rsid w:val="79E819C3"/>
    <w:rsid w:val="79E95684"/>
    <w:rsid w:val="79FB43A0"/>
    <w:rsid w:val="7A090AB0"/>
    <w:rsid w:val="7A0A51A4"/>
    <w:rsid w:val="7A177FF4"/>
    <w:rsid w:val="7A1D6B76"/>
    <w:rsid w:val="7A300E19"/>
    <w:rsid w:val="7A352416"/>
    <w:rsid w:val="7A3611DA"/>
    <w:rsid w:val="7A3642CC"/>
    <w:rsid w:val="7A3E427D"/>
    <w:rsid w:val="7A3F149E"/>
    <w:rsid w:val="7A412848"/>
    <w:rsid w:val="7A504C49"/>
    <w:rsid w:val="7A5147F8"/>
    <w:rsid w:val="7A5B488E"/>
    <w:rsid w:val="7A5B5A37"/>
    <w:rsid w:val="7A5E7059"/>
    <w:rsid w:val="7A691A29"/>
    <w:rsid w:val="7A705A12"/>
    <w:rsid w:val="7A7E5B29"/>
    <w:rsid w:val="7A8C6007"/>
    <w:rsid w:val="7A90330B"/>
    <w:rsid w:val="7A9536C8"/>
    <w:rsid w:val="7A9562CF"/>
    <w:rsid w:val="7A9C1AE3"/>
    <w:rsid w:val="7AAE2F61"/>
    <w:rsid w:val="7AAF3AF5"/>
    <w:rsid w:val="7AB36F5E"/>
    <w:rsid w:val="7ABA0D29"/>
    <w:rsid w:val="7ABA1779"/>
    <w:rsid w:val="7ABB2DC5"/>
    <w:rsid w:val="7ACA0F92"/>
    <w:rsid w:val="7ACB7ED3"/>
    <w:rsid w:val="7AD01781"/>
    <w:rsid w:val="7AD3510C"/>
    <w:rsid w:val="7AD9617A"/>
    <w:rsid w:val="7AE03FED"/>
    <w:rsid w:val="7AE1089C"/>
    <w:rsid w:val="7AE16A71"/>
    <w:rsid w:val="7AE358C2"/>
    <w:rsid w:val="7AEE02CC"/>
    <w:rsid w:val="7B0D7550"/>
    <w:rsid w:val="7B0F2248"/>
    <w:rsid w:val="7B113833"/>
    <w:rsid w:val="7B1F26C6"/>
    <w:rsid w:val="7B207905"/>
    <w:rsid w:val="7B222BA5"/>
    <w:rsid w:val="7B254B5C"/>
    <w:rsid w:val="7B3B1848"/>
    <w:rsid w:val="7B484711"/>
    <w:rsid w:val="7B4934EA"/>
    <w:rsid w:val="7B4C543D"/>
    <w:rsid w:val="7B5177E1"/>
    <w:rsid w:val="7B531198"/>
    <w:rsid w:val="7B5409F5"/>
    <w:rsid w:val="7B8069AC"/>
    <w:rsid w:val="7B813709"/>
    <w:rsid w:val="7B8252A6"/>
    <w:rsid w:val="7B826B1D"/>
    <w:rsid w:val="7B8B5059"/>
    <w:rsid w:val="7B8E074C"/>
    <w:rsid w:val="7B995549"/>
    <w:rsid w:val="7B9D2D12"/>
    <w:rsid w:val="7BAD59D8"/>
    <w:rsid w:val="7BBA1913"/>
    <w:rsid w:val="7BBD5BDD"/>
    <w:rsid w:val="7BC56EC5"/>
    <w:rsid w:val="7BC57B7B"/>
    <w:rsid w:val="7BCC3BA6"/>
    <w:rsid w:val="7BD6242C"/>
    <w:rsid w:val="7BE2511E"/>
    <w:rsid w:val="7BFF1A10"/>
    <w:rsid w:val="7C01713F"/>
    <w:rsid w:val="7C084DBD"/>
    <w:rsid w:val="7C152F3F"/>
    <w:rsid w:val="7C187BDF"/>
    <w:rsid w:val="7C2A50D2"/>
    <w:rsid w:val="7C361436"/>
    <w:rsid w:val="7C376AF4"/>
    <w:rsid w:val="7C394112"/>
    <w:rsid w:val="7C3C41B9"/>
    <w:rsid w:val="7C4866A3"/>
    <w:rsid w:val="7C4B6DEB"/>
    <w:rsid w:val="7C4D00AA"/>
    <w:rsid w:val="7C4D018E"/>
    <w:rsid w:val="7C50565E"/>
    <w:rsid w:val="7C542D05"/>
    <w:rsid w:val="7C54336E"/>
    <w:rsid w:val="7C55461B"/>
    <w:rsid w:val="7C734DDB"/>
    <w:rsid w:val="7C781B6D"/>
    <w:rsid w:val="7C942660"/>
    <w:rsid w:val="7C9723C4"/>
    <w:rsid w:val="7C972888"/>
    <w:rsid w:val="7C9B04A3"/>
    <w:rsid w:val="7C9C3D85"/>
    <w:rsid w:val="7CA250E9"/>
    <w:rsid w:val="7CAD5982"/>
    <w:rsid w:val="7CAF75CF"/>
    <w:rsid w:val="7CBD617D"/>
    <w:rsid w:val="7CBE5B35"/>
    <w:rsid w:val="7CC72903"/>
    <w:rsid w:val="7CCA4471"/>
    <w:rsid w:val="7CCA7E10"/>
    <w:rsid w:val="7CCC327C"/>
    <w:rsid w:val="7CCC3C0B"/>
    <w:rsid w:val="7CCF2905"/>
    <w:rsid w:val="7CD7716E"/>
    <w:rsid w:val="7CE664B3"/>
    <w:rsid w:val="7CE737D3"/>
    <w:rsid w:val="7CE91D94"/>
    <w:rsid w:val="7CEC73C1"/>
    <w:rsid w:val="7CED3595"/>
    <w:rsid w:val="7CFF3644"/>
    <w:rsid w:val="7D0350E9"/>
    <w:rsid w:val="7D0B5A42"/>
    <w:rsid w:val="7D112B63"/>
    <w:rsid w:val="7D171AF6"/>
    <w:rsid w:val="7D1C42FF"/>
    <w:rsid w:val="7D1D2A44"/>
    <w:rsid w:val="7D1E4A2F"/>
    <w:rsid w:val="7D1F75E1"/>
    <w:rsid w:val="7D200D18"/>
    <w:rsid w:val="7D332CAF"/>
    <w:rsid w:val="7D545244"/>
    <w:rsid w:val="7D574788"/>
    <w:rsid w:val="7D5D0E47"/>
    <w:rsid w:val="7D615FB0"/>
    <w:rsid w:val="7D657DE7"/>
    <w:rsid w:val="7D741217"/>
    <w:rsid w:val="7D7E5D1D"/>
    <w:rsid w:val="7D837212"/>
    <w:rsid w:val="7D862374"/>
    <w:rsid w:val="7D9471D7"/>
    <w:rsid w:val="7D98563D"/>
    <w:rsid w:val="7D9A41F2"/>
    <w:rsid w:val="7DA3532B"/>
    <w:rsid w:val="7DA9264B"/>
    <w:rsid w:val="7DAA7696"/>
    <w:rsid w:val="7DB035FE"/>
    <w:rsid w:val="7DBF3A7F"/>
    <w:rsid w:val="7DC47B1D"/>
    <w:rsid w:val="7DCC22D9"/>
    <w:rsid w:val="7DCF6736"/>
    <w:rsid w:val="7DD82140"/>
    <w:rsid w:val="7DDE303F"/>
    <w:rsid w:val="7DE05FF6"/>
    <w:rsid w:val="7DE324DD"/>
    <w:rsid w:val="7DE3374E"/>
    <w:rsid w:val="7DE94A9F"/>
    <w:rsid w:val="7DF071CB"/>
    <w:rsid w:val="7DF1237C"/>
    <w:rsid w:val="7DF508B7"/>
    <w:rsid w:val="7DF80147"/>
    <w:rsid w:val="7E155916"/>
    <w:rsid w:val="7E1B13B3"/>
    <w:rsid w:val="7E1D7F38"/>
    <w:rsid w:val="7E21785F"/>
    <w:rsid w:val="7E2A6C1C"/>
    <w:rsid w:val="7E2D31E9"/>
    <w:rsid w:val="7E3B7530"/>
    <w:rsid w:val="7E3F0521"/>
    <w:rsid w:val="7E3F7E25"/>
    <w:rsid w:val="7E4450D7"/>
    <w:rsid w:val="7E466C4B"/>
    <w:rsid w:val="7E4B669B"/>
    <w:rsid w:val="7E511C4E"/>
    <w:rsid w:val="7E5569A3"/>
    <w:rsid w:val="7E753EA7"/>
    <w:rsid w:val="7E792CDD"/>
    <w:rsid w:val="7E7C2C78"/>
    <w:rsid w:val="7E8B30E2"/>
    <w:rsid w:val="7E8B61D1"/>
    <w:rsid w:val="7E90576B"/>
    <w:rsid w:val="7E9C6B36"/>
    <w:rsid w:val="7EBA3554"/>
    <w:rsid w:val="7EBC5802"/>
    <w:rsid w:val="7EC73EEB"/>
    <w:rsid w:val="7ECE36BE"/>
    <w:rsid w:val="7ED65596"/>
    <w:rsid w:val="7EDB4F72"/>
    <w:rsid w:val="7EE86293"/>
    <w:rsid w:val="7EF42E08"/>
    <w:rsid w:val="7EF47DD0"/>
    <w:rsid w:val="7F0C55EE"/>
    <w:rsid w:val="7F0F20EE"/>
    <w:rsid w:val="7F106C5D"/>
    <w:rsid w:val="7F161591"/>
    <w:rsid w:val="7F1A32A1"/>
    <w:rsid w:val="7F1B1CFB"/>
    <w:rsid w:val="7F1F64DB"/>
    <w:rsid w:val="7F232A78"/>
    <w:rsid w:val="7F255FDE"/>
    <w:rsid w:val="7F3376FE"/>
    <w:rsid w:val="7F53165F"/>
    <w:rsid w:val="7F550B61"/>
    <w:rsid w:val="7F563671"/>
    <w:rsid w:val="7F6279FE"/>
    <w:rsid w:val="7F6D4ECD"/>
    <w:rsid w:val="7F71113D"/>
    <w:rsid w:val="7F7206F0"/>
    <w:rsid w:val="7F8C5872"/>
    <w:rsid w:val="7F8E6F55"/>
    <w:rsid w:val="7F9E39F8"/>
    <w:rsid w:val="7FA34F1F"/>
    <w:rsid w:val="7FA469DC"/>
    <w:rsid w:val="7FB707E8"/>
    <w:rsid w:val="7FB92C9D"/>
    <w:rsid w:val="7FBC016D"/>
    <w:rsid w:val="7FC26B3C"/>
    <w:rsid w:val="7FC26D37"/>
    <w:rsid w:val="7FC71474"/>
    <w:rsid w:val="7FC8413B"/>
    <w:rsid w:val="7FD0623C"/>
    <w:rsid w:val="7FDE445B"/>
    <w:rsid w:val="7FE66E8C"/>
    <w:rsid w:val="7FE67B60"/>
    <w:rsid w:val="7FE903BF"/>
    <w:rsid w:val="7FF7422F"/>
    <w:rsid w:val="7FF9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qFormat/>
    <w:uiPriority w:val="0"/>
    <w:pPr>
      <w:keepNext/>
      <w:keepLines/>
      <w:spacing w:line="415" w:lineRule="auto"/>
      <w:outlineLvl w:val="1"/>
    </w:pPr>
    <w:rPr>
      <w:rFonts w:ascii="Arial" w:hAnsi="Arial" w:eastAsia="黑体"/>
      <w:b/>
      <w:bCs/>
      <w:sz w:val="32"/>
      <w:szCs w:val="32"/>
    </w:rPr>
  </w:style>
  <w:style w:type="paragraph" w:styleId="5">
    <w:name w:val="heading 3"/>
    <w:basedOn w:val="1"/>
    <w:next w:val="1"/>
    <w:qFormat/>
    <w:uiPriority w:val="0"/>
    <w:pPr>
      <w:keepNext/>
      <w:keepLines/>
      <w:widowControl/>
      <w:spacing w:line="415" w:lineRule="auto"/>
      <w:jc w:val="left"/>
      <w:outlineLvl w:val="2"/>
    </w:pPr>
    <w:rPr>
      <w:b/>
      <w:kern w:val="0"/>
      <w:sz w:val="32"/>
    </w:rPr>
  </w:style>
  <w:style w:type="character" w:default="1" w:styleId="35">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13" w:right="113" w:firstLine="555"/>
      <w:jc w:val="left"/>
    </w:pPr>
    <w:rPr>
      <w:sz w:val="28"/>
    </w:rPr>
  </w:style>
  <w:style w:type="paragraph" w:styleId="6">
    <w:name w:val="Normal Indent"/>
    <w:basedOn w:val="1"/>
    <w:link w:val="133"/>
    <w:qFormat/>
    <w:uiPriority w:val="0"/>
    <w:pPr>
      <w:ind w:firstLine="420"/>
    </w:pPr>
  </w:style>
  <w:style w:type="paragraph" w:styleId="7">
    <w:name w:val="caption"/>
    <w:basedOn w:val="1"/>
    <w:next w:val="1"/>
    <w:qFormat/>
    <w:uiPriority w:val="0"/>
    <w:pPr>
      <w:spacing w:line="288" w:lineRule="auto"/>
      <w:ind w:firstLine="510"/>
      <w:jc w:val="center"/>
    </w:pPr>
    <w:rPr>
      <w:rFonts w:ascii="黑体" w:hAnsi="Arial" w:eastAsia="黑体"/>
      <w:b/>
    </w:rPr>
  </w:style>
  <w:style w:type="paragraph" w:styleId="8">
    <w:name w:val="Document Map"/>
    <w:basedOn w:val="1"/>
    <w:qFormat/>
    <w:uiPriority w:val="0"/>
    <w:pPr>
      <w:shd w:val="clear" w:color="auto" w:fill="000080"/>
    </w:pPr>
  </w:style>
  <w:style w:type="paragraph" w:styleId="9">
    <w:name w:val="annotation text"/>
    <w:basedOn w:val="1"/>
    <w:semiHidden/>
    <w:qFormat/>
    <w:uiPriority w:val="0"/>
    <w:pPr>
      <w:jc w:val="left"/>
    </w:pPr>
  </w:style>
  <w:style w:type="paragraph" w:styleId="10">
    <w:name w:val="Body Text 3"/>
    <w:basedOn w:val="1"/>
    <w:qFormat/>
    <w:uiPriority w:val="0"/>
    <w:rPr>
      <w:sz w:val="16"/>
      <w:szCs w:val="16"/>
    </w:rPr>
  </w:style>
  <w:style w:type="paragraph" w:styleId="11">
    <w:name w:val="Body Text"/>
    <w:basedOn w:val="1"/>
    <w:qFormat/>
    <w:uiPriority w:val="0"/>
  </w:style>
  <w:style w:type="paragraph" w:styleId="12">
    <w:name w:val="Body Text Indent"/>
    <w:basedOn w:val="1"/>
    <w:qFormat/>
    <w:uiPriority w:val="0"/>
    <w:pPr>
      <w:ind w:firstLine="522" w:firstLineChars="200"/>
    </w:pPr>
    <w:rPr>
      <w:rFonts w:ascii="宋体" w:hAnsi="宋体"/>
      <w:sz w:val="28"/>
    </w:rPr>
  </w:style>
  <w:style w:type="paragraph" w:styleId="13">
    <w:name w:val="List 2"/>
    <w:basedOn w:val="1"/>
    <w:qFormat/>
    <w:uiPriority w:val="0"/>
    <w:pPr>
      <w:spacing w:line="320" w:lineRule="exact"/>
      <w:jc w:val="center"/>
    </w:pPr>
    <w:rPr>
      <w:b/>
      <w:szCs w:val="24"/>
    </w:rPr>
  </w:style>
  <w:style w:type="paragraph" w:styleId="14">
    <w:name w:val="Plain Text"/>
    <w:basedOn w:val="1"/>
    <w:link w:val="137"/>
    <w:qFormat/>
    <w:uiPriority w:val="0"/>
    <w:pPr>
      <w:spacing w:line="480" w:lineRule="exact"/>
    </w:pPr>
    <w:rPr>
      <w:rFonts w:ascii="宋体" w:hAnsi="Courier New" w:cs="Courier New"/>
      <w:sz w:val="28"/>
      <w:szCs w:val="21"/>
    </w:rPr>
  </w:style>
  <w:style w:type="paragraph" w:styleId="15">
    <w:name w:val="Body Text Indent 2"/>
    <w:basedOn w:val="1"/>
    <w:qFormat/>
    <w:uiPriority w:val="0"/>
    <w:pPr>
      <w:spacing w:line="360" w:lineRule="exact"/>
      <w:ind w:firstLine="522" w:firstLineChars="200"/>
      <w:jc w:val="left"/>
    </w:pPr>
    <w:rPr>
      <w:rFonts w:ascii="宋体" w:hAnsi="宋体"/>
      <w:sz w:val="28"/>
    </w:r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0"/>
    <w:pPr>
      <w:spacing w:line="240" w:lineRule="exact"/>
      <w:jc w:val="center"/>
    </w:pPr>
    <w:rPr>
      <w:kern w:val="0"/>
      <w:sz w:val="18"/>
      <w:szCs w:val="18"/>
    </w:rPr>
  </w:style>
  <w:style w:type="paragraph" w:styleId="20">
    <w:name w:val="List"/>
    <w:basedOn w:val="1"/>
    <w:qFormat/>
    <w:uiPriority w:val="0"/>
    <w:pPr>
      <w:ind w:left="200" w:hanging="200" w:hangingChars="200"/>
    </w:pPr>
  </w:style>
  <w:style w:type="paragraph" w:styleId="21">
    <w:name w:val="List 5"/>
    <w:basedOn w:val="1"/>
    <w:qFormat/>
    <w:uiPriority w:val="0"/>
    <w:pPr>
      <w:jc w:val="center"/>
    </w:pPr>
  </w:style>
  <w:style w:type="paragraph" w:styleId="22">
    <w:name w:val="Body Text Indent 3"/>
    <w:basedOn w:val="1"/>
    <w:qFormat/>
    <w:uiPriority w:val="0"/>
    <w:pPr>
      <w:ind w:left="420" w:leftChars="200"/>
    </w:pPr>
    <w:rPr>
      <w:sz w:val="16"/>
      <w:szCs w:val="16"/>
    </w:rPr>
  </w:style>
  <w:style w:type="paragraph" w:styleId="23">
    <w:name w:val="toc 2"/>
    <w:basedOn w:val="1"/>
    <w:next w:val="1"/>
    <w:qFormat/>
    <w:uiPriority w:val="0"/>
    <w:pPr>
      <w:tabs>
        <w:tab w:val="right" w:leader="dot" w:pos="8460"/>
      </w:tabs>
      <w:spacing w:line="400" w:lineRule="exact"/>
      <w:ind w:left="210"/>
      <w:jc w:val="left"/>
    </w:pPr>
    <w:rPr>
      <w:smallCaps/>
      <w:sz w:val="28"/>
    </w:rPr>
  </w:style>
  <w:style w:type="paragraph" w:styleId="24">
    <w:name w:val="Body Text 2"/>
    <w:basedOn w:val="1"/>
    <w:qFormat/>
    <w:uiPriority w:val="0"/>
    <w:pPr>
      <w:spacing w:line="480" w:lineRule="auto"/>
    </w:pPr>
  </w:style>
  <w:style w:type="paragraph" w:styleId="25">
    <w:name w:val="Normal (Web)"/>
    <w:basedOn w:val="1"/>
    <w:qFormat/>
    <w:uiPriority w:val="99"/>
    <w:pPr>
      <w:widowControl/>
      <w:spacing w:beforeAutospacing="1" w:afterAutospacing="1"/>
      <w:jc w:val="left"/>
    </w:pPr>
    <w:rPr>
      <w:rFonts w:ascii="宋体" w:hAnsi="宋体" w:cs="宋体"/>
      <w:kern w:val="0"/>
      <w:sz w:val="24"/>
      <w:szCs w:val="24"/>
    </w:rPr>
  </w:style>
  <w:style w:type="paragraph" w:styleId="26">
    <w:name w:val="index 1"/>
    <w:basedOn w:val="1"/>
    <w:next w:val="1"/>
    <w:qFormat/>
    <w:uiPriority w:val="0"/>
    <w:pPr>
      <w:spacing w:line="240" w:lineRule="atLeast"/>
      <w:jc w:val="center"/>
    </w:pPr>
    <w:rPr>
      <w:szCs w:val="21"/>
    </w:rPr>
  </w:style>
  <w:style w:type="paragraph" w:styleId="27">
    <w:name w:val="Title"/>
    <w:basedOn w:val="1"/>
    <w:qFormat/>
    <w:uiPriority w:val="0"/>
    <w:pPr>
      <w:spacing w:before="240" w:after="60"/>
      <w:jc w:val="center"/>
      <w:outlineLvl w:val="0"/>
    </w:pPr>
    <w:rPr>
      <w:rFonts w:ascii="Arial" w:hAnsi="Arial" w:cs="Arial"/>
      <w:b/>
      <w:bCs/>
      <w:sz w:val="32"/>
      <w:szCs w:val="32"/>
    </w:rPr>
  </w:style>
  <w:style w:type="paragraph" w:styleId="28">
    <w:name w:val="annotation subject"/>
    <w:basedOn w:val="9"/>
    <w:next w:val="9"/>
    <w:semiHidden/>
    <w:qFormat/>
    <w:uiPriority w:val="0"/>
    <w:rPr>
      <w:b/>
      <w:bCs/>
    </w:rPr>
  </w:style>
  <w:style w:type="paragraph" w:styleId="29">
    <w:name w:val="Body Text First Indent"/>
    <w:basedOn w:val="11"/>
    <w:qFormat/>
    <w:uiPriority w:val="0"/>
    <w:pPr>
      <w:ind w:firstLine="420" w:firstLineChars="100"/>
    </w:pPr>
    <w:rPr>
      <w:szCs w:val="24"/>
    </w:rPr>
  </w:style>
  <w:style w:type="paragraph" w:styleId="30">
    <w:name w:val="Body Text First Indent 2"/>
    <w:basedOn w:val="12"/>
    <w:qFormat/>
    <w:uiPriority w:val="0"/>
    <w:pPr>
      <w:spacing w:after="120"/>
      <w:ind w:left="420" w:leftChars="200" w:firstLine="420"/>
    </w:pPr>
    <w:rPr>
      <w:rFonts w:ascii="Times New Roman" w:hAnsi="Times New Roman"/>
      <w:sz w:val="21"/>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3">
    <w:name w:val="Table Classic 1"/>
    <w:basedOn w:val="31"/>
    <w:qFormat/>
    <w:uiPriority w:val="0"/>
    <w:pPr>
      <w:widowControl w:val="0"/>
      <w:jc w:val="both"/>
    </w:pPr>
    <w:rPr>
      <w:sz w:val="21"/>
    </w:rPr>
    <w:tblPr>
      <w:tblBorders>
        <w:top w:val="single" w:color="000000" w:sz="12" w:space="0"/>
        <w:bottom w:val="single" w:color="000000" w:sz="12" w:space="0"/>
        <w:insideH w:val="single" w:color="auto" w:sz="4" w:space="0"/>
        <w:insideV w:val="single" w:color="auto" w:sz="4" w:space="0"/>
      </w:tblBorders>
      <w:tblCellMar>
        <w:top w:w="0" w:type="dxa"/>
        <w:left w:w="108" w:type="dxa"/>
        <w:bottom w:w="0" w:type="dxa"/>
        <w:right w:w="108" w:type="dxa"/>
      </w:tblCellMar>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4">
    <w:name w:val="Table Simple 1"/>
    <w:basedOn w:val="31"/>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36">
    <w:name w:val="Strong"/>
    <w:qFormat/>
    <w:uiPriority w:val="0"/>
    <w:rPr>
      <w:b/>
    </w:rPr>
  </w:style>
  <w:style w:type="character" w:styleId="37">
    <w:name w:val="page number"/>
    <w:basedOn w:val="35"/>
    <w:qFormat/>
    <w:uiPriority w:val="0"/>
  </w:style>
  <w:style w:type="character" w:styleId="38">
    <w:name w:val="FollowedHyperlink"/>
    <w:qFormat/>
    <w:uiPriority w:val="0"/>
    <w:rPr>
      <w:color w:val="666666"/>
      <w:sz w:val="18"/>
      <w:szCs w:val="18"/>
      <w:u w:val="none"/>
    </w:rPr>
  </w:style>
  <w:style w:type="character" w:styleId="39">
    <w:name w:val="Emphasis"/>
    <w:qFormat/>
    <w:uiPriority w:val="0"/>
    <w:rPr>
      <w:color w:val="CC0000"/>
    </w:rPr>
  </w:style>
  <w:style w:type="character" w:styleId="40">
    <w:name w:val="HTML Definition"/>
    <w:qFormat/>
    <w:uiPriority w:val="0"/>
    <w:rPr>
      <w:i/>
    </w:rPr>
  </w:style>
  <w:style w:type="character" w:styleId="41">
    <w:name w:val="HTML Acronym"/>
    <w:basedOn w:val="35"/>
    <w:qFormat/>
    <w:uiPriority w:val="0"/>
  </w:style>
  <w:style w:type="character" w:styleId="42">
    <w:name w:val="HTML Variable"/>
    <w:qFormat/>
    <w:uiPriority w:val="0"/>
    <w:rPr>
      <w:i/>
    </w:rPr>
  </w:style>
  <w:style w:type="character" w:styleId="43">
    <w:name w:val="Hyperlink"/>
    <w:qFormat/>
    <w:uiPriority w:val="0"/>
    <w:rPr>
      <w:color w:val="136EC2"/>
      <w:u w:val="single"/>
    </w:rPr>
  </w:style>
  <w:style w:type="character" w:styleId="44">
    <w:name w:val="HTML Code"/>
    <w:qFormat/>
    <w:uiPriority w:val="0"/>
    <w:rPr>
      <w:rFonts w:ascii="Courier New" w:hAnsi="Courier New"/>
      <w:sz w:val="20"/>
    </w:rPr>
  </w:style>
  <w:style w:type="character" w:styleId="45">
    <w:name w:val="annotation reference"/>
    <w:semiHidden/>
    <w:qFormat/>
    <w:uiPriority w:val="0"/>
    <w:rPr>
      <w:sz w:val="21"/>
      <w:szCs w:val="21"/>
    </w:rPr>
  </w:style>
  <w:style w:type="character" w:styleId="46">
    <w:name w:val="HTML Cite"/>
    <w:qFormat/>
    <w:uiPriority w:val="0"/>
    <w:rPr>
      <w:i/>
    </w:rPr>
  </w:style>
  <w:style w:type="paragraph" w:customStyle="1" w:styleId="47">
    <w:name w:val="_Style 51"/>
    <w:basedOn w:val="5"/>
    <w:qFormat/>
    <w:uiPriority w:val="0"/>
    <w:pPr>
      <w:tabs>
        <w:tab w:val="left" w:pos="360"/>
        <w:tab w:val="left" w:pos="900"/>
      </w:tabs>
      <w:snapToGrid w:val="0"/>
      <w:spacing w:line="360" w:lineRule="auto"/>
      <w:ind w:left="542" w:leftChars="-12" w:firstLine="200" w:firstLineChars="200"/>
    </w:pPr>
    <w:rPr>
      <w:b w:val="0"/>
      <w:color w:val="000000"/>
      <w:sz w:val="21"/>
      <w:u w:color="000000"/>
    </w:rPr>
  </w:style>
  <w:style w:type="paragraph" w:customStyle="1" w:styleId="48">
    <w:name w:val="正文 首行缩进:  2 字符"/>
    <w:basedOn w:val="1"/>
    <w:semiHidden/>
    <w:qFormat/>
    <w:uiPriority w:val="0"/>
    <w:pPr>
      <w:spacing w:line="520" w:lineRule="exact"/>
      <w:ind w:firstLine="480" w:firstLineChars="200"/>
    </w:pPr>
    <w:rPr>
      <w:kern w:val="44"/>
      <w:sz w:val="24"/>
    </w:rPr>
  </w:style>
  <w:style w:type="paragraph" w:customStyle="1" w:styleId="49">
    <w:name w:val="样式2"/>
    <w:basedOn w:val="1"/>
    <w:qFormat/>
    <w:uiPriority w:val="0"/>
    <w:pPr>
      <w:spacing w:line="400" w:lineRule="exact"/>
      <w:ind w:firstLine="420"/>
    </w:pPr>
    <w:rPr>
      <w:kern w:val="0"/>
      <w:szCs w:val="21"/>
    </w:rPr>
  </w:style>
  <w:style w:type="paragraph" w:customStyle="1" w:styleId="50">
    <w:name w:val="表内容@"/>
    <w:basedOn w:val="1"/>
    <w:qFormat/>
    <w:uiPriority w:val="0"/>
    <w:pPr>
      <w:spacing w:line="0" w:lineRule="atLeast"/>
      <w:jc w:val="center"/>
    </w:pPr>
    <w:rPr>
      <w:rFonts w:ascii="宋体" w:hAnsi="宋体" w:cs="宋体"/>
    </w:rPr>
  </w:style>
  <w:style w:type="paragraph" w:customStyle="1" w:styleId="51">
    <w:name w:val="Char"/>
    <w:basedOn w:val="1"/>
    <w:qFormat/>
    <w:uiPriority w:val="0"/>
    <w:pPr>
      <w:widowControl/>
      <w:spacing w:after="160" w:line="240" w:lineRule="exact"/>
      <w:ind w:left="100" w:leftChars="-100" w:hanging="200" w:hangingChars="200"/>
      <w:jc w:val="left"/>
    </w:pPr>
  </w:style>
  <w:style w:type="paragraph" w:customStyle="1" w:styleId="52">
    <w:name w:val="样式 正文文字 + 首行缩进:  2 字符 行距: 最小值 24 磅"/>
    <w:basedOn w:val="1"/>
    <w:qFormat/>
    <w:uiPriority w:val="0"/>
    <w:pPr>
      <w:adjustRightInd w:val="0"/>
      <w:snapToGrid w:val="0"/>
      <w:spacing w:line="480" w:lineRule="atLeast"/>
      <w:ind w:firstLine="480" w:firstLineChars="200"/>
    </w:pPr>
    <w:rPr>
      <w:rFonts w:cs="宋体"/>
      <w:sz w:val="24"/>
    </w:rPr>
  </w:style>
  <w:style w:type="paragraph" w:customStyle="1" w:styleId="53">
    <w:name w:val="表格居中"/>
    <w:qFormat/>
    <w:uiPriority w:val="0"/>
    <w:pPr>
      <w:spacing w:line="440" w:lineRule="exact"/>
      <w:jc w:val="center"/>
    </w:pPr>
    <w:rPr>
      <w:rFonts w:ascii="Times New Roman" w:hAnsi="Times New Roman" w:eastAsia="宋体" w:cs="Times New Roman"/>
      <w:sz w:val="24"/>
      <w:szCs w:val="24"/>
      <w:lang w:val="en-US" w:eastAsia="zh-CN" w:bidi="ar-SA"/>
    </w:rPr>
  </w:style>
  <w:style w:type="paragraph" w:customStyle="1" w:styleId="54">
    <w:name w:val="正文正1"/>
    <w:basedOn w:val="1"/>
    <w:qFormat/>
    <w:uiPriority w:val="0"/>
    <w:pPr>
      <w:tabs>
        <w:tab w:val="left" w:pos="0"/>
      </w:tabs>
      <w:spacing w:line="260" w:lineRule="exact"/>
      <w:ind w:left="-105" w:leftChars="-50" w:right="-105" w:rightChars="-50"/>
      <w:jc w:val="center"/>
    </w:pPr>
    <w:rPr>
      <w:kern w:val="0"/>
    </w:rPr>
  </w:style>
  <w:style w:type="paragraph" w:customStyle="1" w:styleId="55">
    <w:name w:val="3级标题"/>
    <w:basedOn w:val="1"/>
    <w:qFormat/>
    <w:uiPriority w:val="0"/>
    <w:pPr>
      <w:spacing w:line="360" w:lineRule="auto"/>
      <w:jc w:val="left"/>
      <w:outlineLvl w:val="2"/>
    </w:pPr>
    <w:rPr>
      <w:b/>
      <w:bCs/>
      <w:szCs w:val="24"/>
    </w:rPr>
  </w:style>
  <w:style w:type="paragraph" w:customStyle="1" w:styleId="56">
    <w:name w:val="Char Char1 Char Char 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pPr>
    <w:rPr>
      <w:rFonts w:ascii="Verdana" w:hAnsi="Verdana" w:eastAsia="Times New Roman" w:cs="Arial"/>
      <w:kern w:val="0"/>
      <w:sz w:val="22"/>
      <w:lang w:eastAsia="en-US"/>
    </w:rPr>
  </w:style>
  <w:style w:type="paragraph" w:customStyle="1" w:styleId="57">
    <w:name w:val="样式 小四 首行缩进:  2 字符"/>
    <w:basedOn w:val="1"/>
    <w:next w:val="1"/>
    <w:qFormat/>
    <w:uiPriority w:val="0"/>
    <w:pPr>
      <w:adjustRightInd w:val="0"/>
      <w:spacing w:line="360" w:lineRule="auto"/>
      <w:ind w:firstLine="480" w:firstLineChars="200"/>
      <w:textAlignment w:val="baseline"/>
    </w:pPr>
    <w:rPr>
      <w:kern w:val="0"/>
      <w:sz w:val="24"/>
    </w:rPr>
  </w:style>
  <w:style w:type="paragraph" w:styleId="58">
    <w:name w:val="No Spacing"/>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样式 正文（首行缩进两字） + 宋体 小四 加粗 行距: 固定值 24 磅"/>
    <w:basedOn w:val="6"/>
    <w:qFormat/>
    <w:uiPriority w:val="0"/>
    <w:pPr>
      <w:adjustRightInd w:val="0"/>
      <w:spacing w:line="460" w:lineRule="exact"/>
      <w:ind w:firstLine="720" w:firstLineChars="300"/>
      <w:textAlignment w:val="baseline"/>
    </w:pPr>
    <w:rPr>
      <w:rFonts w:ascii="宋体" w:hAnsi="宋体"/>
      <w:bCs/>
      <w:kern w:val="0"/>
      <w:sz w:val="24"/>
      <w:szCs w:val="24"/>
    </w:rPr>
  </w:style>
  <w:style w:type="paragraph" w:customStyle="1" w:styleId="60">
    <w:name w:val="标准"/>
    <w:basedOn w:val="1"/>
    <w:qFormat/>
    <w:uiPriority w:val="0"/>
    <w:pPr>
      <w:adjustRightInd w:val="0"/>
      <w:spacing w:line="312" w:lineRule="atLeast"/>
      <w:textAlignment w:val="baseline"/>
    </w:pPr>
    <w:rPr>
      <w:rFonts w:ascii="楷体_GB2312" w:hAnsi="Script" w:eastAsia="楷体_GB2312"/>
      <w:kern w:val="0"/>
      <w:sz w:val="24"/>
    </w:rPr>
  </w:style>
  <w:style w:type="paragraph" w:customStyle="1" w:styleId="61">
    <w:name w:val="Char Char Char Char Char Char Char"/>
    <w:basedOn w:val="1"/>
    <w:qFormat/>
    <w:uiPriority w:val="0"/>
    <w:rPr>
      <w:szCs w:val="24"/>
    </w:rPr>
  </w:style>
  <w:style w:type="paragraph" w:customStyle="1" w:styleId="62">
    <w:name w:val="样式 四号 首行缩进:  2 字符"/>
    <w:basedOn w:val="1"/>
    <w:qFormat/>
    <w:uiPriority w:val="0"/>
    <w:pPr>
      <w:spacing w:line="480" w:lineRule="atLeast"/>
      <w:ind w:firstLine="200" w:firstLineChars="200"/>
    </w:pPr>
    <w:rPr>
      <w:sz w:val="24"/>
      <w:szCs w:val="24"/>
    </w:rPr>
  </w:style>
  <w:style w:type="paragraph" w:customStyle="1" w:styleId="63">
    <w:name w:val="表标"/>
    <w:basedOn w:val="1"/>
    <w:next w:val="1"/>
    <w:qFormat/>
    <w:uiPriority w:val="0"/>
    <w:pPr>
      <w:adjustRightInd w:val="0"/>
      <w:snapToGrid w:val="0"/>
      <w:spacing w:line="320" w:lineRule="exact"/>
      <w:jc w:val="center"/>
      <w:textAlignment w:val="baseline"/>
    </w:pPr>
    <w:rPr>
      <w:rFonts w:ascii="宋体" w:hAnsi="宋体"/>
      <w:bCs/>
      <w:sz w:val="24"/>
      <w:szCs w:val="24"/>
    </w:rPr>
  </w:style>
  <w:style w:type="paragraph" w:customStyle="1" w:styleId="64">
    <w:name w:val="默认段落字体 Para Char Char Char Char"/>
    <w:basedOn w:val="1"/>
    <w:qFormat/>
    <w:uiPriority w:val="0"/>
  </w:style>
  <w:style w:type="paragraph" w:customStyle="1" w:styleId="65">
    <w:name w:val="表格内文字"/>
    <w:basedOn w:val="11"/>
    <w:qFormat/>
    <w:uiPriority w:val="0"/>
    <w:pPr>
      <w:spacing w:line="320" w:lineRule="exact"/>
      <w:jc w:val="center"/>
    </w:pPr>
    <w:rPr>
      <w:spacing w:val="10"/>
    </w:rPr>
  </w:style>
  <w:style w:type="paragraph" w:customStyle="1" w:styleId="66">
    <w:name w:val="正文(首行缩进)"/>
    <w:basedOn w:val="1"/>
    <w:qFormat/>
    <w:uiPriority w:val="0"/>
    <w:pPr>
      <w:widowControl/>
      <w:spacing w:line="360" w:lineRule="auto"/>
      <w:ind w:firstLine="480" w:firstLineChars="200"/>
    </w:pPr>
    <w:rPr>
      <w:kern w:val="24"/>
      <w:sz w:val="24"/>
      <w:szCs w:val="24"/>
    </w:rPr>
  </w:style>
  <w:style w:type="paragraph" w:customStyle="1" w:styleId="67">
    <w:name w:val="样式 正文@ + 黑色 图案: 清除 (白色)"/>
    <w:basedOn w:val="1"/>
    <w:link w:val="116"/>
    <w:qFormat/>
    <w:uiPriority w:val="0"/>
    <w:pPr>
      <w:spacing w:line="360" w:lineRule="auto"/>
      <w:ind w:firstLine="200" w:firstLineChars="200"/>
    </w:pPr>
    <w:rPr>
      <w:rFonts w:ascii="宋体" w:hAnsi="宋体"/>
      <w:color w:val="000000"/>
      <w:sz w:val="24"/>
      <w:shd w:val="clear" w:color="auto" w:fill="FFFFFF"/>
    </w:rPr>
  </w:style>
  <w:style w:type="paragraph" w:customStyle="1" w:styleId="68">
    <w:name w:val="样式1"/>
    <w:basedOn w:val="1"/>
    <w:link w:val="95"/>
    <w:qFormat/>
    <w:uiPriority w:val="0"/>
    <w:pPr>
      <w:suppressAutoHyphens/>
      <w:spacing w:line="520" w:lineRule="atLeast"/>
      <w:ind w:firstLine="200" w:firstLineChars="200"/>
    </w:pPr>
    <w:rPr>
      <w:spacing w:val="18"/>
      <w:kern w:val="0"/>
      <w:sz w:val="32"/>
    </w:rPr>
  </w:style>
  <w:style w:type="paragraph" w:customStyle="1" w:styleId="69">
    <w:name w:val="表格1"/>
    <w:basedOn w:val="1"/>
    <w:qFormat/>
    <w:uiPriority w:val="0"/>
    <w:pPr>
      <w:adjustRightInd w:val="0"/>
      <w:spacing w:line="400" w:lineRule="atLeast"/>
      <w:jc w:val="center"/>
      <w:textAlignment w:val="baseline"/>
    </w:pPr>
    <w:rPr>
      <w:kern w:val="0"/>
      <w:sz w:val="24"/>
      <w:szCs w:val="24"/>
    </w:rPr>
  </w:style>
  <w:style w:type="paragraph" w:customStyle="1" w:styleId="70">
    <w:name w:val="2"/>
    <w:basedOn w:val="1"/>
    <w:next w:val="22"/>
    <w:qFormat/>
    <w:uiPriority w:val="0"/>
    <w:pPr>
      <w:ind w:firstLine="527" w:firstLineChars="200"/>
    </w:pPr>
    <w:rPr>
      <w:rFonts w:ascii="宋体"/>
      <w:spacing w:val="5"/>
      <w:sz w:val="25"/>
      <w:szCs w:val="25"/>
    </w:rPr>
  </w:style>
  <w:style w:type="paragraph" w:customStyle="1" w:styleId="71">
    <w:name w:val="样式 行距: 固定值 24 磅"/>
    <w:basedOn w:val="1"/>
    <w:qFormat/>
    <w:uiPriority w:val="0"/>
    <w:pPr>
      <w:spacing w:line="480" w:lineRule="exact"/>
      <w:ind w:firstLine="200" w:firstLineChars="200"/>
    </w:pPr>
    <w:rPr>
      <w:sz w:val="24"/>
    </w:rPr>
  </w:style>
  <w:style w:type="paragraph" w:customStyle="1" w:styleId="72">
    <w:name w:val="热电厂正文"/>
    <w:basedOn w:val="1"/>
    <w:link w:val="128"/>
    <w:qFormat/>
    <w:uiPriority w:val="0"/>
    <w:pPr>
      <w:spacing w:line="440" w:lineRule="exact"/>
      <w:ind w:firstLine="480" w:firstLineChars="200"/>
    </w:pPr>
    <w:rPr>
      <w:sz w:val="24"/>
      <w:szCs w:val="24"/>
    </w:rPr>
  </w:style>
  <w:style w:type="paragraph" w:customStyle="1" w:styleId="73">
    <w:name w:val="报告表格内中"/>
    <w:qFormat/>
    <w:uiPriority w:val="0"/>
    <w:pPr>
      <w:spacing w:before="100" w:beforeAutospacing="1"/>
      <w:jc w:val="center"/>
    </w:pPr>
    <w:rPr>
      <w:rFonts w:ascii="Times New Roman" w:hAnsi="Times New Roman" w:eastAsia="宋体" w:cs="Times New Roman"/>
      <w:sz w:val="24"/>
      <w:szCs w:val="24"/>
      <w:lang w:val="en-US" w:eastAsia="zh-CN" w:bidi="ar-SA"/>
    </w:rPr>
  </w:style>
  <w:style w:type="paragraph" w:customStyle="1" w:styleId="74">
    <w:name w:val="表头"/>
    <w:basedOn w:val="1"/>
    <w:next w:val="1"/>
    <w:qFormat/>
    <w:uiPriority w:val="0"/>
    <w:pPr>
      <w:keepNext/>
      <w:jc w:val="center"/>
    </w:pPr>
    <w:rPr>
      <w:rFonts w:ascii="Calibri" w:hAnsi="Calibri" w:eastAsia="黑体" w:cs="宋体"/>
      <w:snapToGrid w:val="0"/>
      <w:kern w:val="0"/>
      <w:sz w:val="24"/>
      <w:szCs w:val="24"/>
      <w:lang w:val="zh-CN"/>
    </w:rPr>
  </w:style>
  <w:style w:type="paragraph" w:customStyle="1" w:styleId="75">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76">
    <w:name w:val="表格2"/>
    <w:basedOn w:val="1"/>
    <w:qFormat/>
    <w:uiPriority w:val="0"/>
    <w:pPr>
      <w:adjustRightInd w:val="0"/>
      <w:spacing w:line="320" w:lineRule="atLeast"/>
      <w:jc w:val="center"/>
    </w:pPr>
    <w:rPr>
      <w:sz w:val="24"/>
    </w:rPr>
  </w:style>
  <w:style w:type="paragraph" w:customStyle="1" w:styleId="77">
    <w:name w:val="正文2"/>
    <w:basedOn w:val="1"/>
    <w:qFormat/>
    <w:uiPriority w:val="0"/>
    <w:pPr>
      <w:spacing w:line="360" w:lineRule="auto"/>
      <w:ind w:firstLine="480" w:firstLineChars="200"/>
    </w:pPr>
    <w:rPr>
      <w:rFonts w:ascii="宋体" w:hAnsi="宋体"/>
      <w:sz w:val="24"/>
    </w:rPr>
  </w:style>
  <w:style w:type="paragraph" w:customStyle="1" w:styleId="78">
    <w:name w:val="Re-正文"/>
    <w:basedOn w:val="1"/>
    <w:qFormat/>
    <w:uiPriority w:val="3"/>
    <w:pPr>
      <w:spacing w:line="360" w:lineRule="auto"/>
      <w:ind w:firstLine="200" w:firstLineChars="200"/>
    </w:pPr>
    <w:rPr>
      <w:kern w:val="0"/>
      <w:sz w:val="24"/>
      <w:szCs w:val="24"/>
    </w:rPr>
  </w:style>
  <w:style w:type="paragraph" w:customStyle="1" w:styleId="79">
    <w:name w:val="样式 小四 行距: 1.5 倍行距 首行缩进:  2 字符"/>
    <w:basedOn w:val="1"/>
    <w:qFormat/>
    <w:uiPriority w:val="0"/>
    <w:pPr>
      <w:spacing w:line="440" w:lineRule="exact"/>
    </w:pPr>
    <w:rPr>
      <w:sz w:val="24"/>
    </w:rPr>
  </w:style>
  <w:style w:type="paragraph" w:customStyle="1" w:styleId="80">
    <w:name w:val="表标题"/>
    <w:basedOn w:val="1"/>
    <w:qFormat/>
    <w:uiPriority w:val="0"/>
    <w:pPr>
      <w:jc w:val="center"/>
    </w:pPr>
    <w:rPr>
      <w:rFonts w:ascii="黑体" w:eastAsia="黑体"/>
      <w:sz w:val="24"/>
    </w:rPr>
  </w:style>
  <w:style w:type="paragraph" w:customStyle="1" w:styleId="81">
    <w:name w:val="表"/>
    <w:basedOn w:val="1"/>
    <w:qFormat/>
    <w:uiPriority w:val="0"/>
    <w:pPr>
      <w:keepNext/>
      <w:keepLines/>
      <w:autoSpaceDE w:val="0"/>
      <w:autoSpaceDN w:val="0"/>
      <w:adjustRightInd w:val="0"/>
      <w:spacing w:line="240" w:lineRule="exact"/>
      <w:jc w:val="center"/>
    </w:pPr>
    <w:rPr>
      <w:kern w:val="21"/>
    </w:rPr>
  </w:style>
  <w:style w:type="paragraph" w:customStyle="1" w:styleId="82">
    <w:name w:val="样式 表格样式"/>
    <w:basedOn w:val="1"/>
    <w:qFormat/>
    <w:uiPriority w:val="0"/>
    <w:pPr>
      <w:snapToGrid w:val="0"/>
      <w:spacing w:line="240" w:lineRule="atLeast"/>
    </w:pPr>
    <w:rPr>
      <w:rFonts w:cs="宋体"/>
    </w:rPr>
  </w:style>
  <w:style w:type="paragraph" w:customStyle="1" w:styleId="83">
    <w:name w:val="表格内容"/>
    <w:qFormat/>
    <w:uiPriority w:val="0"/>
    <w:pPr>
      <w:adjustRightInd w:val="0"/>
      <w:snapToGrid w:val="0"/>
      <w:spacing w:line="360" w:lineRule="exact"/>
      <w:jc w:val="center"/>
    </w:pPr>
    <w:rPr>
      <w:rFonts w:ascii="Times New Roman" w:hAnsi="Times New Roman" w:eastAsia="宋体" w:cs="Times New Roman"/>
      <w:color w:val="000000"/>
      <w:sz w:val="21"/>
      <w:szCs w:val="24"/>
      <w:lang w:val="en-US" w:eastAsia="zh-CN" w:bidi="ar-SA"/>
    </w:rPr>
  </w:style>
  <w:style w:type="paragraph" w:customStyle="1" w:styleId="84">
    <w:name w:val="正文小四"/>
    <w:basedOn w:val="1"/>
    <w:qFormat/>
    <w:uiPriority w:val="0"/>
    <w:pPr>
      <w:ind w:firstLine="200" w:firstLineChars="200"/>
    </w:pPr>
    <w:rPr>
      <w:sz w:val="24"/>
    </w:rPr>
  </w:style>
  <w:style w:type="paragraph" w:customStyle="1" w:styleId="85">
    <w:name w:val="中文报告书样式"/>
    <w:basedOn w:val="1"/>
    <w:qFormat/>
    <w:uiPriority w:val="0"/>
    <w:pPr>
      <w:adjustRightInd w:val="0"/>
      <w:spacing w:line="420" w:lineRule="atLeast"/>
      <w:textAlignment w:val="baseline"/>
    </w:pPr>
    <w:rPr>
      <w:kern w:val="24"/>
      <w:sz w:val="24"/>
    </w:rPr>
  </w:style>
  <w:style w:type="paragraph" w:customStyle="1" w:styleId="86">
    <w:name w:val="表格文字"/>
    <w:basedOn w:val="1"/>
    <w:qFormat/>
    <w:uiPriority w:val="0"/>
    <w:pPr>
      <w:overflowPunct w:val="0"/>
      <w:topLinePunct/>
      <w:autoSpaceDE w:val="0"/>
      <w:autoSpaceDN w:val="0"/>
      <w:adjustRightInd w:val="0"/>
      <w:snapToGrid w:val="0"/>
      <w:spacing w:line="360" w:lineRule="exact"/>
      <w:jc w:val="center"/>
      <w:textAlignment w:val="baseline"/>
    </w:pPr>
    <w:rPr>
      <w:spacing w:val="6"/>
      <w:kern w:val="0"/>
    </w:rPr>
  </w:style>
  <w:style w:type="paragraph" w:customStyle="1" w:styleId="87">
    <w:name w:val="1.1.1"/>
    <w:basedOn w:val="1"/>
    <w:qFormat/>
    <w:uiPriority w:val="0"/>
    <w:pPr>
      <w:jc w:val="left"/>
    </w:pPr>
    <w:rPr>
      <w:rFonts w:ascii="黑体"/>
      <w:sz w:val="24"/>
      <w:szCs w:val="24"/>
    </w:rPr>
  </w:style>
  <w:style w:type="paragraph" w:customStyle="1" w:styleId="88">
    <w:name w:val="表格"/>
    <w:basedOn w:val="11"/>
    <w:next w:val="1"/>
    <w:qFormat/>
    <w:uiPriority w:val="0"/>
    <w:pPr>
      <w:adjustRightInd w:val="0"/>
      <w:snapToGrid w:val="0"/>
      <w:jc w:val="center"/>
      <w:textAlignment w:val="baseline"/>
    </w:pPr>
    <w:rPr>
      <w:rFonts w:ascii="宋体" w:hAnsi="宋体"/>
      <w:snapToGrid w:val="0"/>
      <w:sz w:val="24"/>
      <w:szCs w:val="24"/>
    </w:rPr>
  </w:style>
  <w:style w:type="paragraph" w:customStyle="1" w:styleId="89">
    <w:name w:val="样式 普通文字 + 首行缩进:  2 字符"/>
    <w:basedOn w:val="14"/>
    <w:qFormat/>
    <w:uiPriority w:val="0"/>
    <w:pPr>
      <w:spacing w:line="240" w:lineRule="auto"/>
    </w:pPr>
    <w:rPr>
      <w:rFonts w:ascii="Times New Roman" w:hAnsi="Times New Roman" w:cs="Times New Roman"/>
      <w:b/>
      <w:bCs/>
      <w:sz w:val="21"/>
      <w:szCs w:val="24"/>
    </w:rPr>
  </w:style>
  <w:style w:type="paragraph" w:customStyle="1" w:styleId="90">
    <w:name w:val="表格标题"/>
    <w:basedOn w:val="1"/>
    <w:qFormat/>
    <w:uiPriority w:val="0"/>
    <w:pPr>
      <w:widowControl/>
      <w:autoSpaceDE w:val="0"/>
      <w:autoSpaceDN w:val="0"/>
      <w:adjustRightInd w:val="0"/>
      <w:snapToGrid w:val="0"/>
      <w:spacing w:after="200"/>
      <w:jc w:val="center"/>
    </w:pPr>
    <w:rPr>
      <w:rFonts w:ascii="Calibri" w:hAnsi="Calibri"/>
      <w:b/>
      <w:snapToGrid w:val="0"/>
      <w:color w:val="000000"/>
      <w:kern w:val="0"/>
      <w:szCs w:val="28"/>
      <w:lang w:val="zh-CN" w:eastAsia="en-US" w:bidi="en-US"/>
    </w:rPr>
  </w:style>
  <w:style w:type="character" w:customStyle="1" w:styleId="91">
    <w:name w:val="navtl"/>
    <w:basedOn w:val="35"/>
    <w:qFormat/>
    <w:uiPriority w:val="0"/>
  </w:style>
  <w:style w:type="character" w:customStyle="1" w:styleId="92">
    <w:name w:val="tsyw"/>
    <w:basedOn w:val="35"/>
    <w:qFormat/>
    <w:uiPriority w:val="0"/>
  </w:style>
  <w:style w:type="character" w:customStyle="1" w:styleId="93">
    <w:name w:val="iconup"/>
    <w:basedOn w:val="35"/>
    <w:qFormat/>
    <w:uiPriority w:val="0"/>
  </w:style>
  <w:style w:type="character" w:customStyle="1" w:styleId="94">
    <w:name w:val="short_text"/>
    <w:basedOn w:val="35"/>
    <w:qFormat/>
    <w:uiPriority w:val="0"/>
  </w:style>
  <w:style w:type="character" w:customStyle="1" w:styleId="95">
    <w:name w:val="样式1 Char"/>
    <w:link w:val="68"/>
    <w:qFormat/>
    <w:uiPriority w:val="0"/>
    <w:rPr>
      <w:rFonts w:eastAsia="宋体"/>
      <w:spacing w:val="18"/>
      <w:sz w:val="32"/>
      <w:lang w:val="en-US" w:eastAsia="zh-CN" w:bidi="ar-SA"/>
    </w:rPr>
  </w:style>
  <w:style w:type="character" w:customStyle="1" w:styleId="96">
    <w:name w:val="bds_nopic2"/>
    <w:basedOn w:val="35"/>
    <w:qFormat/>
    <w:uiPriority w:val="0"/>
  </w:style>
  <w:style w:type="character" w:customStyle="1" w:styleId="97">
    <w:name w:val="bds_more4"/>
    <w:qFormat/>
    <w:uiPriority w:val="0"/>
    <w:rPr>
      <w:rFonts w:hint="eastAsia" w:ascii="宋体" w:hAnsi="宋体" w:eastAsia="宋体" w:cs="宋体"/>
    </w:rPr>
  </w:style>
  <w:style w:type="character" w:customStyle="1" w:styleId="98">
    <w:name w:val="bds_more5"/>
    <w:basedOn w:val="35"/>
    <w:qFormat/>
    <w:uiPriority w:val="0"/>
  </w:style>
  <w:style w:type="character" w:customStyle="1" w:styleId="99">
    <w:name w:val="ztlnk12"/>
    <w:basedOn w:val="35"/>
    <w:qFormat/>
    <w:uiPriority w:val="0"/>
  </w:style>
  <w:style w:type="character" w:customStyle="1" w:styleId="100">
    <w:name w:val="firstspanwx"/>
    <w:basedOn w:val="35"/>
    <w:qFormat/>
    <w:uiPriority w:val="0"/>
  </w:style>
  <w:style w:type="character" w:customStyle="1" w:styleId="101">
    <w:name w:val="bds_more"/>
    <w:basedOn w:val="35"/>
    <w:qFormat/>
    <w:uiPriority w:val="0"/>
  </w:style>
  <w:style w:type="character" w:customStyle="1" w:styleId="102">
    <w:name w:val="style11"/>
    <w:qFormat/>
    <w:uiPriority w:val="0"/>
    <w:rPr>
      <w:sz w:val="22"/>
      <w:szCs w:val="22"/>
    </w:rPr>
  </w:style>
  <w:style w:type="character" w:customStyle="1" w:styleId="103">
    <w:name w:val="font41"/>
    <w:qFormat/>
    <w:uiPriority w:val="0"/>
    <w:rPr>
      <w:rFonts w:hint="default" w:ascii="Times New Roman" w:hAnsi="Times New Roman" w:cs="Times New Roman"/>
      <w:color w:val="000000"/>
      <w:sz w:val="21"/>
      <w:szCs w:val="21"/>
      <w:u w:val="none"/>
    </w:rPr>
  </w:style>
  <w:style w:type="character" w:customStyle="1" w:styleId="104">
    <w:name w:val="Char Char"/>
    <w:qFormat/>
    <w:uiPriority w:val="0"/>
    <w:rPr>
      <w:rFonts w:ascii="Consolas" w:hAnsi="Consolas"/>
      <w:sz w:val="21"/>
      <w:szCs w:val="21"/>
    </w:rPr>
  </w:style>
  <w:style w:type="character" w:customStyle="1" w:styleId="105">
    <w:name w:val="sub_sj"/>
    <w:basedOn w:val="35"/>
    <w:qFormat/>
    <w:uiPriority w:val="0"/>
  </w:style>
  <w:style w:type="character" w:customStyle="1" w:styleId="106">
    <w:name w:val="zju"/>
    <w:qFormat/>
    <w:uiPriority w:val="0"/>
    <w:rPr>
      <w:spacing w:val="15"/>
    </w:rPr>
  </w:style>
  <w:style w:type="character" w:customStyle="1" w:styleId="107">
    <w:name w:val="ztlnk1"/>
    <w:basedOn w:val="35"/>
    <w:qFormat/>
    <w:uiPriority w:val="0"/>
  </w:style>
  <w:style w:type="character" w:customStyle="1" w:styleId="108">
    <w:name w:val="正文首行缩进 Char"/>
    <w:semiHidden/>
    <w:qFormat/>
    <w:uiPriority w:val="0"/>
    <w:rPr>
      <w:rFonts w:ascii="Arial" w:hAnsi="Arial" w:eastAsia="宋体"/>
      <w:snapToGrid w:val="0"/>
      <w:kern w:val="28"/>
      <w:sz w:val="24"/>
      <w:szCs w:val="24"/>
      <w:lang w:val="en-US" w:eastAsia="zh-CN" w:bidi="ar-SA"/>
    </w:rPr>
  </w:style>
  <w:style w:type="character" w:customStyle="1" w:styleId="109">
    <w:name w:val="bds_more2"/>
    <w:basedOn w:val="35"/>
    <w:qFormat/>
    <w:uiPriority w:val="0"/>
  </w:style>
  <w:style w:type="character" w:customStyle="1" w:styleId="110">
    <w:name w:val="font01"/>
    <w:qFormat/>
    <w:uiPriority w:val="0"/>
    <w:rPr>
      <w:rFonts w:hint="default" w:ascii="Times New Roman" w:hAnsi="Times New Roman" w:cs="Times New Roman"/>
      <w:color w:val="000000"/>
      <w:sz w:val="24"/>
      <w:szCs w:val="24"/>
      <w:u w:val="none"/>
    </w:rPr>
  </w:style>
  <w:style w:type="character" w:customStyle="1" w:styleId="111">
    <w:name w:val="navtr"/>
    <w:basedOn w:val="35"/>
    <w:qFormat/>
    <w:uiPriority w:val="0"/>
  </w:style>
  <w:style w:type="character" w:customStyle="1" w:styleId="112">
    <w:name w:val="bds_nopic"/>
    <w:basedOn w:val="35"/>
    <w:qFormat/>
    <w:uiPriority w:val="0"/>
  </w:style>
  <w:style w:type="character" w:customStyle="1" w:styleId="113">
    <w:name w:val="font21"/>
    <w:qFormat/>
    <w:uiPriority w:val="0"/>
    <w:rPr>
      <w:rFonts w:hint="eastAsia" w:ascii="宋体" w:hAnsi="宋体" w:eastAsia="宋体" w:cs="宋体"/>
      <w:color w:val="000000"/>
      <w:sz w:val="21"/>
      <w:szCs w:val="21"/>
      <w:u w:val="none"/>
    </w:rPr>
  </w:style>
  <w:style w:type="character" w:customStyle="1" w:styleId="114">
    <w:name w:val="font31"/>
    <w:qFormat/>
    <w:uiPriority w:val="0"/>
    <w:rPr>
      <w:rFonts w:hint="eastAsia" w:ascii="宋体" w:hAnsi="宋体" w:eastAsia="宋体" w:cs="宋体"/>
      <w:color w:val="000000"/>
      <w:sz w:val="24"/>
      <w:szCs w:val="24"/>
      <w:u w:val="none"/>
      <w:vertAlign w:val="superscript"/>
    </w:rPr>
  </w:style>
  <w:style w:type="character" w:customStyle="1" w:styleId="115">
    <w:name w:val="t_tag"/>
    <w:basedOn w:val="35"/>
    <w:qFormat/>
    <w:uiPriority w:val="0"/>
  </w:style>
  <w:style w:type="character" w:customStyle="1" w:styleId="116">
    <w:name w:val="样式 正文@ + 黑色 图案: 清除 (白色) Char"/>
    <w:link w:val="67"/>
    <w:qFormat/>
    <w:uiPriority w:val="0"/>
    <w:rPr>
      <w:rFonts w:ascii="宋体" w:hAnsi="宋体" w:cs="宋体"/>
      <w:color w:val="000000"/>
      <w:kern w:val="2"/>
      <w:sz w:val="24"/>
      <w:shd w:val="clear" w:color="auto" w:fill="FFFFFF"/>
    </w:rPr>
  </w:style>
  <w:style w:type="character" w:customStyle="1" w:styleId="117">
    <w:name w:val="longw"/>
    <w:basedOn w:val="35"/>
    <w:qFormat/>
    <w:uiPriority w:val="0"/>
  </w:style>
  <w:style w:type="character" w:customStyle="1" w:styleId="118">
    <w:name w:val="font11"/>
    <w:qFormat/>
    <w:uiPriority w:val="0"/>
    <w:rPr>
      <w:rFonts w:hint="eastAsia" w:ascii="宋体" w:hAnsi="宋体" w:eastAsia="宋体" w:cs="宋体"/>
      <w:color w:val="000000"/>
      <w:sz w:val="24"/>
      <w:szCs w:val="24"/>
      <w:u w:val="none"/>
    </w:rPr>
  </w:style>
  <w:style w:type="character" w:customStyle="1" w:styleId="119">
    <w:name w:val="wdlg"/>
    <w:qFormat/>
    <w:uiPriority w:val="0"/>
    <w:rPr>
      <w:rFonts w:hint="eastAsia" w:ascii="宋体" w:hAnsi="宋体" w:eastAsia="宋体" w:cs="宋体"/>
      <w:b/>
      <w:color w:val="000000"/>
      <w:sz w:val="21"/>
      <w:szCs w:val="21"/>
      <w:u w:val="none"/>
    </w:rPr>
  </w:style>
  <w:style w:type="character" w:customStyle="1" w:styleId="120">
    <w:name w:val="纯文本 Char1 Char2"/>
    <w:qFormat/>
    <w:uiPriority w:val="0"/>
    <w:rPr>
      <w:rFonts w:ascii="宋体" w:hAnsi="Courier New" w:eastAsia="宋体"/>
      <w:kern w:val="2"/>
      <w:sz w:val="21"/>
      <w:lang w:val="en-US" w:eastAsia="zh-CN" w:bidi="ar-SA"/>
    </w:rPr>
  </w:style>
  <w:style w:type="character" w:customStyle="1" w:styleId="121">
    <w:name w:val="bds_more1"/>
    <w:qFormat/>
    <w:uiPriority w:val="0"/>
    <w:rPr>
      <w:rFonts w:hint="eastAsia" w:ascii="宋体" w:hAnsi="宋体" w:eastAsia="宋体" w:cs="宋体"/>
    </w:rPr>
  </w:style>
  <w:style w:type="character" w:customStyle="1" w:styleId="122">
    <w:name w:val="sub_cplistnr"/>
    <w:basedOn w:val="35"/>
    <w:qFormat/>
    <w:uiPriority w:val="0"/>
  </w:style>
  <w:style w:type="character" w:customStyle="1" w:styleId="123">
    <w:name w:val="正文文本缩进 3 Char Char"/>
    <w:qFormat/>
    <w:uiPriority w:val="0"/>
    <w:rPr>
      <w:rFonts w:ascii="宋体" w:hAnsi="宋体" w:eastAsia="宋体"/>
      <w:b/>
      <w:bCs/>
      <w:kern w:val="2"/>
      <w:sz w:val="24"/>
      <w:lang w:val="en-US" w:eastAsia="zh-CN" w:bidi="ar-SA"/>
    </w:rPr>
  </w:style>
  <w:style w:type="character" w:customStyle="1" w:styleId="124">
    <w:name w:val="sub_bt"/>
    <w:basedOn w:val="35"/>
    <w:qFormat/>
    <w:uiPriority w:val="0"/>
  </w:style>
  <w:style w:type="character" w:customStyle="1" w:styleId="125">
    <w:name w:val="bds_more6"/>
    <w:basedOn w:val="35"/>
    <w:qFormat/>
    <w:uiPriority w:val="0"/>
  </w:style>
  <w:style w:type="character" w:customStyle="1" w:styleId="126">
    <w:name w:val="navadr"/>
    <w:basedOn w:val="35"/>
    <w:qFormat/>
    <w:uiPriority w:val="0"/>
  </w:style>
  <w:style w:type="character" w:customStyle="1" w:styleId="127">
    <w:name w:val="纯文本 Char"/>
    <w:qFormat/>
    <w:uiPriority w:val="0"/>
    <w:rPr>
      <w:rFonts w:ascii="宋体" w:hAnsi="Courier New" w:eastAsia="宋体" w:cs="Courier New"/>
      <w:kern w:val="2"/>
      <w:sz w:val="21"/>
      <w:szCs w:val="21"/>
      <w:lang w:val="en-US" w:eastAsia="zh-CN" w:bidi="ar-SA"/>
    </w:rPr>
  </w:style>
  <w:style w:type="character" w:customStyle="1" w:styleId="128">
    <w:name w:val="热电厂正文 Char"/>
    <w:link w:val="72"/>
    <w:qFormat/>
    <w:uiPriority w:val="0"/>
    <w:rPr>
      <w:rFonts w:eastAsia="宋体"/>
      <w:kern w:val="2"/>
      <w:sz w:val="24"/>
      <w:szCs w:val="24"/>
      <w:lang w:val="en-US" w:eastAsia="zh-CN" w:bidi="ar-SA"/>
    </w:rPr>
  </w:style>
  <w:style w:type="character" w:customStyle="1" w:styleId="129">
    <w:name w:val="glpdz_top_nm"/>
    <w:qFormat/>
    <w:uiPriority w:val="0"/>
    <w:rPr>
      <w:b/>
      <w:sz w:val="21"/>
      <w:szCs w:val="21"/>
    </w:rPr>
  </w:style>
  <w:style w:type="character" w:customStyle="1" w:styleId="130">
    <w:name w:val="current2"/>
    <w:qFormat/>
    <w:uiPriority w:val="0"/>
    <w:rPr>
      <w:color w:val="FFFFFF"/>
      <w:shd w:val="clear" w:color="auto" w:fill="FF0000"/>
    </w:rPr>
  </w:style>
  <w:style w:type="character" w:customStyle="1" w:styleId="131">
    <w:name w:val="正文缩进 Char"/>
    <w:qFormat/>
    <w:uiPriority w:val="0"/>
    <w:rPr>
      <w:rFonts w:eastAsia="宋体"/>
      <w:kern w:val="2"/>
      <w:sz w:val="21"/>
      <w:lang w:val="en-US" w:eastAsia="zh-CN" w:bidi="ar-SA"/>
    </w:rPr>
  </w:style>
  <w:style w:type="character" w:customStyle="1" w:styleId="132">
    <w:name w:val="sub_nr"/>
    <w:basedOn w:val="35"/>
    <w:qFormat/>
    <w:uiPriority w:val="0"/>
  </w:style>
  <w:style w:type="character" w:customStyle="1" w:styleId="133">
    <w:name w:val="正文缩进 Char1"/>
    <w:link w:val="6"/>
    <w:qFormat/>
    <w:uiPriority w:val="0"/>
    <w:rPr>
      <w:rFonts w:eastAsia="宋体"/>
      <w:kern w:val="2"/>
      <w:sz w:val="21"/>
      <w:lang w:val="en-US" w:eastAsia="zh-CN" w:bidi="ar-SA"/>
    </w:rPr>
  </w:style>
  <w:style w:type="character" w:customStyle="1" w:styleId="134">
    <w:name w:val="red2"/>
    <w:qFormat/>
    <w:uiPriority w:val="0"/>
    <w:rPr>
      <w:b/>
      <w:color w:val="DA2F27"/>
      <w:sz w:val="21"/>
      <w:szCs w:val="21"/>
    </w:rPr>
  </w:style>
  <w:style w:type="character" w:customStyle="1" w:styleId="135">
    <w:name w:val="sub_lx"/>
    <w:basedOn w:val="35"/>
    <w:qFormat/>
    <w:uiPriority w:val="0"/>
  </w:style>
  <w:style w:type="character" w:customStyle="1" w:styleId="136">
    <w:name w:val="bds_nopic1"/>
    <w:basedOn w:val="35"/>
    <w:qFormat/>
    <w:uiPriority w:val="0"/>
  </w:style>
  <w:style w:type="character" w:customStyle="1" w:styleId="137">
    <w:name w:val="纯文本 Char1"/>
    <w:link w:val="14"/>
    <w:qFormat/>
    <w:uiPriority w:val="0"/>
    <w:rPr>
      <w:rFonts w:ascii="宋体" w:hAnsi="Courier New" w:eastAsia="宋体" w:cs="Courier New"/>
      <w:kern w:val="2"/>
      <w:sz w:val="28"/>
      <w:szCs w:val="21"/>
      <w:lang w:val="en-US" w:eastAsia="zh-CN" w:bidi="ar-SA"/>
    </w:rPr>
  </w:style>
  <w:style w:type="character" w:customStyle="1" w:styleId="138">
    <w:name w:val="jiezhi"/>
    <w:basedOn w:val="35"/>
    <w:qFormat/>
    <w:uiPriority w:val="0"/>
  </w:style>
  <w:style w:type="character" w:customStyle="1" w:styleId="139">
    <w:name w:val="more"/>
    <w:qFormat/>
    <w:uiPriority w:val="0"/>
    <w:rPr>
      <w:sz w:val="18"/>
      <w:szCs w:val="18"/>
    </w:rPr>
  </w:style>
  <w:style w:type="character" w:customStyle="1" w:styleId="140">
    <w:name w:val="fclose"/>
    <w:basedOn w:val="35"/>
    <w:qFormat/>
    <w:uiPriority w:val="0"/>
  </w:style>
  <w:style w:type="character" w:customStyle="1" w:styleId="141">
    <w:name w:val="sub_yd"/>
    <w:basedOn w:val="35"/>
    <w:qFormat/>
    <w:uiPriority w:val="0"/>
  </w:style>
  <w:style w:type="table" w:customStyle="1" w:styleId="142">
    <w:name w:val="默认"/>
    <w:basedOn w:val="31"/>
    <w:qFormat/>
    <w:uiPriority w:val="99"/>
    <w:tblPr>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
    <w:trPr>
      <w:jc w:val="center"/>
    </w:trPr>
    <w:tcPr>
      <w:vAlign w:val="center"/>
    </w:tcPr>
  </w:style>
  <w:style w:type="table" w:customStyle="1" w:styleId="143">
    <w:name w:val="表格样式2"/>
    <w:basedOn w:val="32"/>
    <w:qFormat/>
    <w:uiPriority w:val="0"/>
    <w:tblP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
  </w:style>
  <w:style w:type="table" w:customStyle="1" w:styleId="144">
    <w:name w:val="表格样式1"/>
    <w:basedOn w:val="32"/>
    <w:qFormat/>
    <w:uiPriority w:val="0"/>
    <w:pPr>
      <w:spacing w:line="360" w:lineRule="exact"/>
    </w:pPr>
    <w:tblP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32474</Words>
  <Characters>29368</Characters>
  <Lines>244</Lines>
  <Paragraphs>123</Paragraphs>
  <TotalTime>3</TotalTime>
  <ScaleCrop>false</ScaleCrop>
  <LinksUpToDate>false</LinksUpToDate>
  <CharactersWithSpaces>61719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2008-06-02T19:53:00Z</dcterms:created>
  <dc:creator>sy</dc:creator>
  <cp:keywords>廊坊 环评</cp:keywords>
  <cp:lastModifiedBy>AA   筱楠</cp:lastModifiedBy>
  <cp:lastPrinted>2016-08-11T01:27:00Z</cp:lastPrinted>
  <dcterms:modified xsi:type="dcterms:W3CDTF">2020-03-22T07:51:02Z</dcterms:modified>
  <dc:subject>环评</dc:subject>
  <dc:title>建设项目环境影响报告表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