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outlineLvl w:val="0"/>
        <w:rPr>
          <w:rFonts w:eastAsia="华文仿宋"/>
          <w:kern w:val="44"/>
          <w:sz w:val="44"/>
          <w:szCs w:val="44"/>
        </w:rPr>
      </w:pPr>
    </w:p>
    <w:p>
      <w:pPr>
        <w:jc w:val="center"/>
        <w:rPr>
          <w:rFonts w:eastAsia="仿宋"/>
          <w:sz w:val="52"/>
          <w:szCs w:val="52"/>
        </w:rPr>
      </w:pPr>
    </w:p>
    <w:p>
      <w:pPr>
        <w:jc w:val="center"/>
        <w:rPr>
          <w:rFonts w:eastAsia="仿宋"/>
          <w:sz w:val="52"/>
          <w:szCs w:val="52"/>
        </w:rPr>
      </w:pPr>
    </w:p>
    <w:p>
      <w:pPr>
        <w:pStyle w:val="16"/>
        <w:ind w:left="420" w:firstLine="1040"/>
        <w:rPr>
          <w:rFonts w:ascii="Times New Roman" w:hAnsi="Times New Roman" w:eastAsia="仿宋"/>
          <w:sz w:val="52"/>
          <w:szCs w:val="52"/>
        </w:rPr>
      </w:pPr>
    </w:p>
    <w:p>
      <w:pPr>
        <w:rPr>
          <w:rFonts w:eastAsia="仿宋"/>
          <w:sz w:val="52"/>
          <w:szCs w:val="52"/>
        </w:rPr>
      </w:pPr>
    </w:p>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eastAsia="仿宋_GB2312"/>
          <w:sz w:val="36"/>
          <w:szCs w:val="36"/>
          <w:u w:val="single"/>
        </w:rPr>
      </w:pPr>
      <w:r>
        <w:rPr>
          <w:rFonts w:eastAsia="仿宋_GB2312"/>
          <w:sz w:val="36"/>
          <w:szCs w:val="36"/>
        </w:rPr>
        <w:t xml:space="preserve">项目名称： </w:t>
      </w:r>
      <w:r>
        <w:rPr>
          <w:rFonts w:eastAsia="仿宋_GB2312"/>
          <w:sz w:val="36"/>
          <w:szCs w:val="36"/>
          <w:u w:val="single"/>
        </w:rPr>
        <w:t xml:space="preserve"> </w:t>
      </w:r>
      <w:r>
        <w:rPr>
          <w:rFonts w:hint="eastAsia" w:eastAsia="仿宋_GB2312"/>
          <w:sz w:val="36"/>
          <w:szCs w:val="36"/>
          <w:u w:val="single"/>
        </w:rPr>
        <w:t>高</w:t>
      </w:r>
      <w:r>
        <w:rPr>
          <w:rFonts w:eastAsia="仿宋_GB2312"/>
          <w:sz w:val="36"/>
          <w:szCs w:val="36"/>
          <w:u w:val="single"/>
        </w:rPr>
        <w:t>低压成套开关设备、自动化控制设</w:t>
      </w:r>
    </w:p>
    <w:p>
      <w:pPr>
        <w:adjustRightInd w:val="0"/>
        <w:snapToGrid w:val="0"/>
        <w:spacing w:line="288" w:lineRule="auto"/>
        <w:ind w:firstLine="2880" w:firstLineChars="800"/>
        <w:jc w:val="center"/>
        <w:rPr>
          <w:rFonts w:eastAsia="仿宋_GB2312"/>
          <w:sz w:val="36"/>
          <w:szCs w:val="36"/>
        </w:rPr>
      </w:pPr>
      <w:r>
        <w:rPr>
          <w:rFonts w:eastAsia="仿宋_GB2312"/>
          <w:sz w:val="36"/>
          <w:szCs w:val="36"/>
          <w:u w:val="single"/>
        </w:rPr>
        <w:t>备的生产研发、销售项目</w:t>
      </w:r>
    </w:p>
    <w:p>
      <w:pPr>
        <w:adjustRightInd w:val="0"/>
        <w:snapToGrid w:val="0"/>
        <w:spacing w:line="288" w:lineRule="auto"/>
        <w:jc w:val="center"/>
        <w:rPr>
          <w:rFonts w:eastAsia="仿宋_GB2312"/>
          <w:sz w:val="36"/>
          <w:szCs w:val="36"/>
          <w:u w:val="single"/>
        </w:rPr>
      </w:pPr>
      <w:r>
        <w:rPr>
          <w:rFonts w:eastAsia="仿宋_GB2312"/>
          <w:sz w:val="36"/>
          <w:szCs w:val="36"/>
        </w:rPr>
        <w:t>建设单位（盖章）：</w:t>
      </w:r>
      <w:r>
        <w:rPr>
          <w:rFonts w:hint="eastAsia" w:eastAsia="仿宋_GB2312"/>
          <w:sz w:val="36"/>
          <w:szCs w:val="36"/>
          <w:u w:val="single"/>
        </w:rPr>
        <w:t>河北求实电气设备制造有限公司</w:t>
      </w:r>
    </w:p>
    <w:p>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2022年</w:t>
      </w:r>
      <w:r>
        <w:rPr>
          <w:rFonts w:hint="eastAsia" w:eastAsia="仿宋_GB2312"/>
          <w:sz w:val="36"/>
          <w:szCs w:val="36"/>
          <w:u w:val="single"/>
        </w:rPr>
        <w:t>11</w:t>
      </w:r>
      <w:r>
        <w:rPr>
          <w:rFonts w:eastAsia="仿宋_GB2312"/>
          <w:sz w:val="36"/>
          <w:szCs w:val="36"/>
          <w:u w:val="single"/>
        </w:rPr>
        <w:t xml:space="preserve">月          </w:t>
      </w:r>
      <w:r>
        <w:rPr>
          <w:rFonts w:eastAsia="仿宋_GB2312"/>
          <w:sz w:val="36"/>
          <w:szCs w:val="36"/>
        </w:rPr>
        <w:t xml:space="preserve">      </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pStyle w:val="16"/>
        <w:ind w:left="420" w:firstLine="720"/>
        <w:rPr>
          <w:rFonts w:ascii="Times New Roman" w:hAnsi="Times New Roman" w:eastAsia="仿宋_GB2312"/>
          <w:sz w:val="36"/>
          <w:szCs w:val="36"/>
        </w:rPr>
      </w:pPr>
    </w:p>
    <w:p>
      <w:p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rPr>
          <w:rFonts w:ascii="Times New Roman" w:hAnsi="Times New Roman" w:eastAsia="黑体"/>
          <w:snapToGrid w:val="0"/>
          <w:sz w:val="30"/>
          <w:szCs w:val="30"/>
        </w:rPr>
      </w:pPr>
      <w:r>
        <w:rPr>
          <w:rFonts w:ascii="Times New Roman" w:hAnsi="Times New Roman" w:eastAsia="黑体"/>
          <w:snapToGrid w:val="0"/>
          <w:sz w:val="30"/>
          <w:szCs w:val="30"/>
        </w:rPr>
        <w:br w:type="page"/>
      </w: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49"/>
        <w:gridCol w:w="2660"/>
        <w:gridCol w:w="587"/>
        <w:gridCol w:w="940"/>
        <w:gridCol w:w="35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建设项目名称</w:t>
            </w:r>
          </w:p>
        </w:tc>
        <w:tc>
          <w:tcPr>
            <w:tcW w:w="7721" w:type="dxa"/>
            <w:gridSpan w:val="4"/>
            <w:vAlign w:val="center"/>
          </w:tcPr>
          <w:p>
            <w:pPr>
              <w:adjustRightInd w:val="0"/>
              <w:snapToGrid w:val="0"/>
              <w:jc w:val="center"/>
              <w:rPr>
                <w:sz w:val="24"/>
                <w:szCs w:val="21"/>
              </w:rPr>
            </w:pPr>
            <w:r>
              <w:rPr>
                <w:rFonts w:hint="eastAsia"/>
                <w:sz w:val="24"/>
                <w:szCs w:val="21"/>
              </w:rPr>
              <w:t>高低压成套开关设备、自动化控制设备的生产研发、销售项目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项目代码</w:t>
            </w:r>
          </w:p>
        </w:tc>
        <w:tc>
          <w:tcPr>
            <w:tcW w:w="3247" w:type="dxa"/>
            <w:gridSpan w:val="2"/>
            <w:vAlign w:val="center"/>
          </w:tcPr>
          <w:p>
            <w:pPr>
              <w:adjustRightInd w:val="0"/>
              <w:snapToGrid w:val="0"/>
              <w:jc w:val="center"/>
              <w:rPr>
                <w:sz w:val="24"/>
                <w:szCs w:val="21"/>
              </w:rPr>
            </w:pPr>
            <w:r>
              <w:rPr>
                <w:rFonts w:hint="eastAsia"/>
                <w:sz w:val="24"/>
                <w:szCs w:val="21"/>
              </w:rPr>
              <w:t>2108-130530-89-01-621475</w:t>
            </w:r>
          </w:p>
        </w:tc>
        <w:tc>
          <w:tcPr>
            <w:tcW w:w="940" w:type="dxa"/>
            <w:vAlign w:val="center"/>
          </w:tcPr>
          <w:p>
            <w:pPr>
              <w:adjustRightInd w:val="0"/>
              <w:snapToGrid w:val="0"/>
              <w:jc w:val="center"/>
              <w:rPr>
                <w:sz w:val="24"/>
                <w:szCs w:val="21"/>
              </w:rPr>
            </w:pPr>
            <w:r>
              <w:rPr>
                <w:sz w:val="24"/>
                <w:szCs w:val="21"/>
              </w:rPr>
              <w:t>组织信用代码</w:t>
            </w:r>
          </w:p>
        </w:tc>
        <w:tc>
          <w:tcPr>
            <w:tcW w:w="3534" w:type="dxa"/>
            <w:vAlign w:val="center"/>
          </w:tcPr>
          <w:p>
            <w:pPr>
              <w:adjustRightInd w:val="0"/>
              <w:snapToGrid w:val="0"/>
              <w:jc w:val="center"/>
              <w:rPr>
                <w:sz w:val="24"/>
                <w:szCs w:val="21"/>
              </w:rPr>
            </w:pPr>
            <w:r>
              <w:rPr>
                <w:sz w:val="24"/>
                <w:szCs w:val="21"/>
              </w:rPr>
              <w:t>91130500MA0GANFC21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建设单位联系人</w:t>
            </w:r>
          </w:p>
        </w:tc>
        <w:tc>
          <w:tcPr>
            <w:tcW w:w="2660" w:type="dxa"/>
            <w:vAlign w:val="center"/>
          </w:tcPr>
          <w:p>
            <w:pPr>
              <w:adjustRightInd w:val="0"/>
              <w:snapToGrid w:val="0"/>
              <w:jc w:val="center"/>
              <w:rPr>
                <w:sz w:val="24"/>
                <w:szCs w:val="21"/>
              </w:rPr>
            </w:pPr>
            <w:r>
              <w:rPr>
                <w:rFonts w:hint="eastAsia"/>
                <w:sz w:val="24"/>
                <w:szCs w:val="21"/>
              </w:rPr>
              <w:t>韩一雄</w:t>
            </w:r>
          </w:p>
        </w:tc>
        <w:tc>
          <w:tcPr>
            <w:tcW w:w="1527" w:type="dxa"/>
            <w:gridSpan w:val="2"/>
            <w:vAlign w:val="center"/>
          </w:tcPr>
          <w:p>
            <w:pPr>
              <w:adjustRightInd w:val="0"/>
              <w:snapToGrid w:val="0"/>
              <w:jc w:val="center"/>
              <w:rPr>
                <w:sz w:val="24"/>
                <w:szCs w:val="21"/>
              </w:rPr>
            </w:pPr>
            <w:r>
              <w:rPr>
                <w:sz w:val="24"/>
                <w:szCs w:val="21"/>
              </w:rPr>
              <w:t>联系方式</w:t>
            </w:r>
          </w:p>
        </w:tc>
        <w:tc>
          <w:tcPr>
            <w:tcW w:w="3534" w:type="dxa"/>
            <w:vAlign w:val="center"/>
          </w:tcPr>
          <w:p>
            <w:pPr>
              <w:adjustRightInd w:val="0"/>
              <w:snapToGrid w:val="0"/>
              <w:jc w:val="center"/>
              <w:rPr>
                <w:sz w:val="24"/>
                <w:szCs w:val="21"/>
              </w:rPr>
            </w:pPr>
            <w:r>
              <w:rPr>
                <w:rFonts w:hint="eastAsia"/>
                <w:sz w:val="24"/>
                <w:szCs w:val="21"/>
              </w:rPr>
              <w:t>15831946592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建设地点</w:t>
            </w:r>
          </w:p>
        </w:tc>
        <w:tc>
          <w:tcPr>
            <w:tcW w:w="7721" w:type="dxa"/>
            <w:gridSpan w:val="4"/>
            <w:vAlign w:val="center"/>
          </w:tcPr>
          <w:p>
            <w:pPr>
              <w:adjustRightInd w:val="0"/>
              <w:snapToGrid w:val="0"/>
              <w:jc w:val="center"/>
              <w:rPr>
                <w:sz w:val="24"/>
                <w:szCs w:val="21"/>
              </w:rPr>
            </w:pPr>
            <w:r>
              <w:rPr>
                <w:szCs w:val="21"/>
                <w:u w:val="single"/>
              </w:rPr>
              <w:t xml:space="preserve"> </w:t>
            </w:r>
            <w:r>
              <w:rPr>
                <w:sz w:val="24"/>
                <w:u w:val="single"/>
              </w:rPr>
              <w:t xml:space="preserve">河北 </w:t>
            </w:r>
            <w:r>
              <w:rPr>
                <w:sz w:val="24"/>
              </w:rPr>
              <w:t>省（自治区）</w:t>
            </w:r>
            <w:r>
              <w:rPr>
                <w:sz w:val="24"/>
                <w:u w:val="single"/>
              </w:rPr>
              <w:t xml:space="preserve"> 邢台 </w:t>
            </w:r>
            <w:r>
              <w:rPr>
                <w:sz w:val="24"/>
              </w:rPr>
              <w:t>市</w:t>
            </w:r>
            <w:r>
              <w:rPr>
                <w:sz w:val="24"/>
                <w:u w:val="single"/>
              </w:rPr>
              <w:t xml:space="preserve"> </w:t>
            </w:r>
            <w:r>
              <w:rPr>
                <w:rFonts w:hint="eastAsia"/>
                <w:sz w:val="24"/>
                <w:u w:val="single"/>
              </w:rPr>
              <w:t>新河</w:t>
            </w:r>
            <w:r>
              <w:rPr>
                <w:sz w:val="24"/>
                <w:u w:val="single"/>
              </w:rPr>
              <w:t xml:space="preserve"> </w:t>
            </w:r>
            <w:r>
              <w:rPr>
                <w:sz w:val="24"/>
              </w:rPr>
              <w:t>县（区）</w:t>
            </w:r>
            <w:r>
              <w:rPr>
                <w:rFonts w:hint="eastAsia"/>
                <w:sz w:val="24"/>
                <w:u w:val="single"/>
              </w:rPr>
              <w:t>经济开发区东区经五路东侧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地理坐标</w:t>
            </w:r>
          </w:p>
        </w:tc>
        <w:tc>
          <w:tcPr>
            <w:tcW w:w="7721" w:type="dxa"/>
            <w:gridSpan w:val="4"/>
            <w:vAlign w:val="center"/>
          </w:tcPr>
          <w:p>
            <w:pPr>
              <w:jc w:val="center"/>
              <w:rPr>
                <w:sz w:val="24"/>
                <w:szCs w:val="21"/>
              </w:rPr>
            </w:pPr>
            <w:r>
              <w:rPr>
                <w:sz w:val="24"/>
                <w:szCs w:val="21"/>
              </w:rPr>
              <w:t>东经</w:t>
            </w:r>
            <w:r>
              <w:rPr>
                <w:sz w:val="24"/>
                <w:szCs w:val="21"/>
                <w:u w:val="single"/>
              </w:rPr>
              <w:t>11</w:t>
            </w:r>
            <w:r>
              <w:rPr>
                <w:rFonts w:hint="eastAsia"/>
                <w:sz w:val="24"/>
                <w:szCs w:val="21"/>
                <w:u w:val="single"/>
              </w:rPr>
              <w:t>5</w:t>
            </w:r>
            <w:r>
              <w:rPr>
                <w:spacing w:val="-6"/>
                <w:sz w:val="24"/>
                <w:szCs w:val="28"/>
              </w:rPr>
              <w:t>°</w:t>
            </w:r>
            <w:r>
              <w:rPr>
                <w:rFonts w:hint="eastAsia"/>
                <w:spacing w:val="-6"/>
                <w:sz w:val="24"/>
                <w:szCs w:val="28"/>
                <w:u w:val="single"/>
              </w:rPr>
              <w:t>17</w:t>
            </w:r>
            <w:r>
              <w:rPr>
                <w:spacing w:val="-6"/>
                <w:sz w:val="24"/>
                <w:szCs w:val="28"/>
              </w:rPr>
              <w:t>'</w:t>
            </w:r>
            <w:r>
              <w:rPr>
                <w:rFonts w:hint="eastAsia"/>
                <w:spacing w:val="-6"/>
                <w:sz w:val="24"/>
                <w:szCs w:val="28"/>
                <w:u w:val="single"/>
              </w:rPr>
              <w:t>30.401</w:t>
            </w:r>
            <w:r>
              <w:rPr>
                <w:spacing w:val="-6"/>
                <w:sz w:val="24"/>
                <w:szCs w:val="28"/>
              </w:rPr>
              <w:t>"</w:t>
            </w:r>
            <w:r>
              <w:rPr>
                <w:sz w:val="24"/>
                <w:szCs w:val="21"/>
              </w:rPr>
              <w:t>，北纬</w:t>
            </w:r>
            <w:r>
              <w:rPr>
                <w:sz w:val="24"/>
                <w:szCs w:val="21"/>
                <w:u w:val="single"/>
              </w:rPr>
              <w:t>37</w:t>
            </w:r>
            <w:r>
              <w:rPr>
                <w:spacing w:val="-6"/>
                <w:sz w:val="24"/>
                <w:szCs w:val="28"/>
              </w:rPr>
              <w:t>°</w:t>
            </w:r>
            <w:r>
              <w:rPr>
                <w:rFonts w:hint="eastAsia"/>
                <w:sz w:val="24"/>
                <w:szCs w:val="21"/>
                <w:u w:val="single"/>
              </w:rPr>
              <w:t>3</w:t>
            </w:r>
            <w:r>
              <w:rPr>
                <w:sz w:val="24"/>
                <w:szCs w:val="21"/>
                <w:u w:val="single"/>
              </w:rPr>
              <w:t>0</w:t>
            </w:r>
            <w:r>
              <w:rPr>
                <w:spacing w:val="-6"/>
                <w:sz w:val="24"/>
                <w:szCs w:val="28"/>
              </w:rPr>
              <w:t>'</w:t>
            </w:r>
            <w:r>
              <w:rPr>
                <w:rFonts w:hint="eastAsia"/>
                <w:sz w:val="24"/>
                <w:szCs w:val="21"/>
                <w:u w:val="single"/>
              </w:rPr>
              <w:t>33.141</w:t>
            </w:r>
            <w:r>
              <w:rPr>
                <w:spacing w:val="-6"/>
                <w:sz w:val="24"/>
                <w:szCs w:val="2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国民经济</w:t>
            </w:r>
          </w:p>
          <w:p>
            <w:pPr>
              <w:adjustRightInd w:val="0"/>
              <w:snapToGrid w:val="0"/>
              <w:jc w:val="center"/>
              <w:rPr>
                <w:sz w:val="24"/>
                <w:szCs w:val="21"/>
              </w:rPr>
            </w:pPr>
            <w:r>
              <w:rPr>
                <w:sz w:val="24"/>
                <w:szCs w:val="21"/>
              </w:rPr>
              <w:t>行业类别</w:t>
            </w:r>
          </w:p>
        </w:tc>
        <w:tc>
          <w:tcPr>
            <w:tcW w:w="2660" w:type="dxa"/>
            <w:vAlign w:val="center"/>
          </w:tcPr>
          <w:p>
            <w:pPr>
              <w:adjustRightInd w:val="0"/>
              <w:snapToGrid w:val="0"/>
              <w:jc w:val="center"/>
              <w:rPr>
                <w:sz w:val="24"/>
                <w:szCs w:val="21"/>
              </w:rPr>
            </w:pPr>
            <w:r>
              <w:rPr>
                <w:rFonts w:hint="eastAsia"/>
                <w:sz w:val="24"/>
                <w:szCs w:val="21"/>
              </w:rPr>
              <w:t>C3823配电开关控制设备制造</w:t>
            </w:r>
          </w:p>
        </w:tc>
        <w:tc>
          <w:tcPr>
            <w:tcW w:w="1527" w:type="dxa"/>
            <w:gridSpan w:val="2"/>
            <w:vAlign w:val="center"/>
          </w:tcPr>
          <w:p>
            <w:pPr>
              <w:adjustRightInd w:val="0"/>
              <w:snapToGrid w:val="0"/>
              <w:jc w:val="center"/>
              <w:rPr>
                <w:sz w:val="24"/>
                <w:szCs w:val="21"/>
              </w:rPr>
            </w:pPr>
            <w:bookmarkStart w:id="1" w:name="_Hlk49843745"/>
            <w:r>
              <w:rPr>
                <w:sz w:val="24"/>
                <w:szCs w:val="21"/>
              </w:rPr>
              <w:t>建设项目</w:t>
            </w:r>
          </w:p>
          <w:p>
            <w:pPr>
              <w:adjustRightInd w:val="0"/>
              <w:snapToGrid w:val="0"/>
              <w:jc w:val="center"/>
              <w:rPr>
                <w:sz w:val="24"/>
                <w:szCs w:val="21"/>
              </w:rPr>
            </w:pPr>
            <w:r>
              <w:rPr>
                <w:sz w:val="24"/>
                <w:szCs w:val="21"/>
              </w:rPr>
              <w:t>行业类别</w:t>
            </w:r>
            <w:bookmarkEnd w:id="1"/>
          </w:p>
        </w:tc>
        <w:tc>
          <w:tcPr>
            <w:tcW w:w="3534" w:type="dxa"/>
            <w:vAlign w:val="center"/>
          </w:tcPr>
          <w:p>
            <w:pPr>
              <w:adjustRightInd w:val="0"/>
              <w:snapToGrid w:val="0"/>
              <w:rPr>
                <w:sz w:val="24"/>
                <w:szCs w:val="21"/>
              </w:rPr>
            </w:pPr>
            <w:r>
              <w:rPr>
                <w:sz w:val="24"/>
              </w:rPr>
              <w:t>三十</w:t>
            </w:r>
            <w:r>
              <w:rPr>
                <w:rFonts w:hint="eastAsia"/>
                <w:sz w:val="24"/>
              </w:rPr>
              <w:t>五</w:t>
            </w:r>
            <w:r>
              <w:rPr>
                <w:sz w:val="24"/>
              </w:rPr>
              <w:t>、</w:t>
            </w:r>
            <w:r>
              <w:rPr>
                <w:rFonts w:hint="eastAsia"/>
                <w:sz w:val="24"/>
              </w:rPr>
              <w:t>电气机械和器材制造业38</w:t>
            </w:r>
            <w:r>
              <w:rPr>
                <w:sz w:val="24"/>
              </w:rPr>
              <w:t>；</w:t>
            </w:r>
            <w:r>
              <w:rPr>
                <w:rFonts w:hint="eastAsia"/>
                <w:sz w:val="24"/>
              </w:rPr>
              <w:t>77</w:t>
            </w:r>
            <w:r>
              <w:rPr>
                <w:sz w:val="24"/>
              </w:rPr>
              <w:t>.</w:t>
            </w:r>
            <w:r>
              <w:rPr>
                <w:rFonts w:hint="eastAsia"/>
                <w:sz w:val="24"/>
              </w:rPr>
              <w:t>输配电及控制设备制造382 “其他”</w:t>
            </w:r>
            <w:r>
              <w:rPr>
                <w:sz w:val="24"/>
              </w:rPr>
              <w:t>（仅分割、焊接、组装的除外；年用非溶剂型低VOC</w:t>
            </w:r>
            <w:r>
              <w:rPr>
                <w:sz w:val="24"/>
                <w:vertAlign w:val="subscript"/>
              </w:rPr>
              <w:t>S</w:t>
            </w:r>
            <w:r>
              <w:rPr>
                <w:sz w:val="24"/>
              </w:rPr>
              <w:t>含量涂料10以下的除外）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建设性质</w:t>
            </w:r>
          </w:p>
        </w:tc>
        <w:tc>
          <w:tcPr>
            <w:tcW w:w="2660" w:type="dxa"/>
            <w:vAlign w:val="center"/>
          </w:tcPr>
          <w:p>
            <w:pPr>
              <w:jc w:val="left"/>
              <w:rPr>
                <w:sz w:val="24"/>
                <w:szCs w:val="21"/>
              </w:rPr>
            </w:pPr>
            <w:r>
              <w:rPr>
                <w:sz w:val="24"/>
                <w:szCs w:val="21"/>
              </w:rPr>
              <w:sym w:font="Wingdings 2" w:char="F052"/>
            </w:r>
            <w:r>
              <w:rPr>
                <w:sz w:val="24"/>
                <w:szCs w:val="21"/>
              </w:rPr>
              <w:t>新建（迁建）</w:t>
            </w:r>
          </w:p>
          <w:p>
            <w:pPr>
              <w:jc w:val="left"/>
              <w:rPr>
                <w:sz w:val="24"/>
                <w:szCs w:val="21"/>
              </w:rPr>
            </w:pPr>
            <w:r>
              <w:rPr>
                <w:sz w:val="24"/>
                <w:szCs w:val="21"/>
              </w:rPr>
              <w:t>□改建</w:t>
            </w:r>
          </w:p>
          <w:p>
            <w:pPr>
              <w:jc w:val="left"/>
              <w:rPr>
                <w:sz w:val="24"/>
                <w:szCs w:val="21"/>
              </w:rPr>
            </w:pPr>
            <w:r>
              <w:rPr>
                <w:sz w:val="24"/>
                <w:szCs w:val="21"/>
              </w:rPr>
              <w:t>□扩建</w:t>
            </w:r>
          </w:p>
          <w:p>
            <w:pPr>
              <w:jc w:val="left"/>
              <w:rPr>
                <w:sz w:val="24"/>
                <w:szCs w:val="21"/>
              </w:rPr>
            </w:pPr>
            <w:r>
              <w:rPr>
                <w:sz w:val="24"/>
                <w:szCs w:val="21"/>
              </w:rPr>
              <w:t>□技术改造</w:t>
            </w:r>
          </w:p>
        </w:tc>
        <w:tc>
          <w:tcPr>
            <w:tcW w:w="1527" w:type="dxa"/>
            <w:gridSpan w:val="2"/>
            <w:vAlign w:val="center"/>
          </w:tcPr>
          <w:p>
            <w:pPr>
              <w:adjustRightInd w:val="0"/>
              <w:snapToGrid w:val="0"/>
              <w:jc w:val="center"/>
              <w:rPr>
                <w:sz w:val="24"/>
                <w:szCs w:val="21"/>
              </w:rPr>
            </w:pPr>
            <w:r>
              <w:rPr>
                <w:sz w:val="24"/>
                <w:szCs w:val="21"/>
              </w:rPr>
              <w:t>建设项目</w:t>
            </w:r>
          </w:p>
          <w:p>
            <w:pPr>
              <w:adjustRightInd w:val="0"/>
              <w:snapToGrid w:val="0"/>
              <w:jc w:val="center"/>
              <w:rPr>
                <w:sz w:val="24"/>
                <w:szCs w:val="21"/>
              </w:rPr>
            </w:pPr>
            <w:r>
              <w:rPr>
                <w:sz w:val="24"/>
                <w:szCs w:val="21"/>
              </w:rPr>
              <w:t>申报情形</w:t>
            </w:r>
          </w:p>
        </w:tc>
        <w:tc>
          <w:tcPr>
            <w:tcW w:w="3534" w:type="dxa"/>
            <w:vAlign w:val="center"/>
          </w:tcPr>
          <w:p>
            <w:pPr>
              <w:jc w:val="left"/>
              <w:rPr>
                <w:sz w:val="24"/>
                <w:szCs w:val="21"/>
              </w:rPr>
            </w:pPr>
            <w:r>
              <w:rPr>
                <w:sz w:val="24"/>
                <w:szCs w:val="21"/>
              </w:rPr>
              <w:sym w:font="Wingdings 2" w:char="F052"/>
            </w:r>
            <w:r>
              <w:rPr>
                <w:sz w:val="24"/>
                <w:szCs w:val="21"/>
              </w:rPr>
              <w:t xml:space="preserve">首次申报项目 </w:t>
            </w:r>
          </w:p>
          <w:p>
            <w:pPr>
              <w:jc w:val="left"/>
              <w:rPr>
                <w:sz w:val="24"/>
                <w:szCs w:val="21"/>
              </w:rPr>
            </w:pPr>
            <w:r>
              <w:rPr>
                <w:sz w:val="24"/>
                <w:szCs w:val="21"/>
              </w:rPr>
              <w:t>□不予批准后再次申报项目</w:t>
            </w:r>
          </w:p>
          <w:p>
            <w:pPr>
              <w:jc w:val="left"/>
              <w:rPr>
                <w:sz w:val="24"/>
                <w:szCs w:val="21"/>
              </w:rPr>
            </w:pPr>
            <w:r>
              <w:rPr>
                <w:sz w:val="24"/>
                <w:szCs w:val="21"/>
              </w:rPr>
              <w:t xml:space="preserve">□超五年重新审核项目     </w:t>
            </w:r>
          </w:p>
          <w:p>
            <w:pPr>
              <w:jc w:val="left"/>
              <w:rPr>
                <w:sz w:val="24"/>
                <w:szCs w:val="21"/>
              </w:rPr>
            </w:pPr>
            <w:r>
              <w:rPr>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项目审批（核准/</w:t>
            </w:r>
          </w:p>
          <w:p>
            <w:pPr>
              <w:adjustRightInd w:val="0"/>
              <w:snapToGrid w:val="0"/>
              <w:jc w:val="center"/>
              <w:rPr>
                <w:sz w:val="24"/>
                <w:szCs w:val="21"/>
              </w:rPr>
            </w:pPr>
            <w:r>
              <w:rPr>
                <w:sz w:val="24"/>
                <w:szCs w:val="21"/>
              </w:rPr>
              <w:t>备案）部门（选填）</w:t>
            </w:r>
          </w:p>
        </w:tc>
        <w:tc>
          <w:tcPr>
            <w:tcW w:w="2660" w:type="dxa"/>
            <w:vAlign w:val="center"/>
          </w:tcPr>
          <w:p>
            <w:pPr>
              <w:adjustRightInd w:val="0"/>
              <w:snapToGrid w:val="0"/>
              <w:jc w:val="center"/>
              <w:rPr>
                <w:sz w:val="24"/>
                <w:szCs w:val="21"/>
              </w:rPr>
            </w:pPr>
            <w:r>
              <w:rPr>
                <w:rFonts w:hint="eastAsia"/>
                <w:sz w:val="24"/>
                <w:szCs w:val="21"/>
              </w:rPr>
              <w:t>新河县行政审批局</w:t>
            </w:r>
          </w:p>
        </w:tc>
        <w:tc>
          <w:tcPr>
            <w:tcW w:w="1527" w:type="dxa"/>
            <w:gridSpan w:val="2"/>
            <w:vAlign w:val="center"/>
          </w:tcPr>
          <w:p>
            <w:pPr>
              <w:adjustRightInd w:val="0"/>
              <w:snapToGrid w:val="0"/>
              <w:jc w:val="center"/>
              <w:rPr>
                <w:sz w:val="24"/>
                <w:szCs w:val="21"/>
              </w:rPr>
            </w:pPr>
            <w:r>
              <w:rPr>
                <w:sz w:val="24"/>
                <w:szCs w:val="21"/>
              </w:rPr>
              <w:t>项目审批（核准/</w:t>
            </w:r>
          </w:p>
          <w:p>
            <w:pPr>
              <w:adjustRightInd w:val="0"/>
              <w:snapToGrid w:val="0"/>
              <w:jc w:val="center"/>
              <w:rPr>
                <w:sz w:val="24"/>
                <w:szCs w:val="21"/>
              </w:rPr>
            </w:pPr>
            <w:r>
              <w:rPr>
                <w:sz w:val="24"/>
                <w:szCs w:val="21"/>
              </w:rPr>
              <w:t>备案）文号（选填）</w:t>
            </w:r>
          </w:p>
        </w:tc>
        <w:tc>
          <w:tcPr>
            <w:tcW w:w="3534" w:type="dxa"/>
            <w:vAlign w:val="center"/>
          </w:tcPr>
          <w:p>
            <w:pPr>
              <w:adjustRightInd w:val="0"/>
              <w:snapToGrid w:val="0"/>
              <w:jc w:val="center"/>
              <w:rPr>
                <w:sz w:val="24"/>
                <w:szCs w:val="21"/>
              </w:rPr>
            </w:pPr>
            <w:r>
              <w:rPr>
                <w:rFonts w:hint="eastAsia"/>
                <w:sz w:val="24"/>
              </w:rPr>
              <w:t>新批投资〔2021〕148号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总投资（万元）</w:t>
            </w:r>
          </w:p>
        </w:tc>
        <w:tc>
          <w:tcPr>
            <w:tcW w:w="2660" w:type="dxa"/>
            <w:vAlign w:val="center"/>
          </w:tcPr>
          <w:p>
            <w:pPr>
              <w:adjustRightInd w:val="0"/>
              <w:snapToGrid w:val="0"/>
              <w:jc w:val="center"/>
              <w:rPr>
                <w:sz w:val="24"/>
                <w:szCs w:val="21"/>
              </w:rPr>
            </w:pPr>
            <w:r>
              <w:rPr>
                <w:rFonts w:hint="eastAsia"/>
                <w:sz w:val="24"/>
                <w:szCs w:val="21"/>
              </w:rPr>
              <w:t>20</w:t>
            </w:r>
            <w:r>
              <w:rPr>
                <w:sz w:val="24"/>
                <w:szCs w:val="21"/>
              </w:rPr>
              <w:t>000</w:t>
            </w:r>
          </w:p>
        </w:tc>
        <w:tc>
          <w:tcPr>
            <w:tcW w:w="1527" w:type="dxa"/>
            <w:gridSpan w:val="2"/>
            <w:tcMar>
              <w:top w:w="16" w:type="dxa"/>
              <w:left w:w="16" w:type="dxa"/>
              <w:right w:w="16" w:type="dxa"/>
            </w:tcMar>
            <w:vAlign w:val="center"/>
          </w:tcPr>
          <w:p>
            <w:pPr>
              <w:adjustRightInd w:val="0"/>
              <w:snapToGrid w:val="0"/>
              <w:jc w:val="center"/>
              <w:rPr>
                <w:sz w:val="24"/>
                <w:szCs w:val="21"/>
              </w:rPr>
            </w:pPr>
            <w:r>
              <w:rPr>
                <w:sz w:val="24"/>
                <w:szCs w:val="21"/>
              </w:rPr>
              <w:t>环保投资（万元）</w:t>
            </w:r>
          </w:p>
        </w:tc>
        <w:tc>
          <w:tcPr>
            <w:tcW w:w="3534" w:type="dxa"/>
            <w:vAlign w:val="center"/>
          </w:tcPr>
          <w:p>
            <w:pPr>
              <w:adjustRightInd w:val="0"/>
              <w:snapToGrid w:val="0"/>
              <w:jc w:val="center"/>
              <w:rPr>
                <w:sz w:val="24"/>
                <w:szCs w:val="21"/>
              </w:rPr>
            </w:pPr>
            <w:r>
              <w:rPr>
                <w:rFonts w:hint="eastAsia"/>
                <w:sz w:val="24"/>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环保投资占比（%）</w:t>
            </w:r>
          </w:p>
        </w:tc>
        <w:tc>
          <w:tcPr>
            <w:tcW w:w="2660" w:type="dxa"/>
            <w:vAlign w:val="center"/>
          </w:tcPr>
          <w:p>
            <w:pPr>
              <w:adjustRightInd w:val="0"/>
              <w:snapToGrid w:val="0"/>
              <w:jc w:val="center"/>
              <w:rPr>
                <w:sz w:val="24"/>
                <w:szCs w:val="21"/>
              </w:rPr>
            </w:pPr>
            <w:r>
              <w:rPr>
                <w:rFonts w:hint="eastAsia"/>
                <w:sz w:val="24"/>
                <w:szCs w:val="21"/>
              </w:rPr>
              <w:t>0.25</w:t>
            </w:r>
          </w:p>
        </w:tc>
        <w:tc>
          <w:tcPr>
            <w:tcW w:w="1527" w:type="dxa"/>
            <w:gridSpan w:val="2"/>
            <w:tcMar>
              <w:top w:w="16" w:type="dxa"/>
              <w:left w:w="16" w:type="dxa"/>
              <w:right w:w="16" w:type="dxa"/>
            </w:tcMar>
            <w:vAlign w:val="center"/>
          </w:tcPr>
          <w:p>
            <w:pPr>
              <w:adjustRightInd w:val="0"/>
              <w:snapToGrid w:val="0"/>
              <w:jc w:val="center"/>
              <w:rPr>
                <w:sz w:val="24"/>
                <w:szCs w:val="21"/>
              </w:rPr>
            </w:pPr>
            <w:r>
              <w:rPr>
                <w:sz w:val="24"/>
                <w:szCs w:val="21"/>
              </w:rPr>
              <w:t>施工工期</w:t>
            </w:r>
          </w:p>
        </w:tc>
        <w:tc>
          <w:tcPr>
            <w:tcW w:w="3534" w:type="dxa"/>
            <w:vAlign w:val="center"/>
          </w:tcPr>
          <w:p>
            <w:pPr>
              <w:adjustRightInd w:val="0"/>
              <w:snapToGrid w:val="0"/>
              <w:jc w:val="center"/>
              <w:rPr>
                <w:sz w:val="24"/>
                <w:szCs w:val="21"/>
              </w:rPr>
            </w:pPr>
            <w:r>
              <w:rPr>
                <w:sz w:val="24"/>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149" w:type="dxa"/>
            <w:tcMar>
              <w:top w:w="16" w:type="dxa"/>
              <w:left w:w="16" w:type="dxa"/>
              <w:right w:w="16" w:type="dxa"/>
            </w:tcMar>
            <w:vAlign w:val="center"/>
          </w:tcPr>
          <w:p>
            <w:pPr>
              <w:adjustRightInd w:val="0"/>
              <w:snapToGrid w:val="0"/>
              <w:jc w:val="center"/>
              <w:rPr>
                <w:sz w:val="24"/>
                <w:szCs w:val="21"/>
              </w:rPr>
            </w:pPr>
            <w:r>
              <w:rPr>
                <w:sz w:val="24"/>
                <w:szCs w:val="21"/>
              </w:rPr>
              <w:t>是否开工建设</w:t>
            </w:r>
          </w:p>
        </w:tc>
        <w:tc>
          <w:tcPr>
            <w:tcW w:w="2660" w:type="dxa"/>
            <w:vAlign w:val="center"/>
          </w:tcPr>
          <w:p>
            <w:pPr>
              <w:adjustRightInd w:val="0"/>
              <w:snapToGrid w:val="0"/>
              <w:rPr>
                <w:sz w:val="24"/>
                <w:szCs w:val="21"/>
              </w:rPr>
            </w:pPr>
            <w:r>
              <w:rPr>
                <w:sz w:val="24"/>
                <w:szCs w:val="21"/>
              </w:rPr>
              <w:sym w:font="Wingdings 2" w:char="F052"/>
            </w:r>
            <w:r>
              <w:rPr>
                <w:sz w:val="24"/>
                <w:szCs w:val="21"/>
              </w:rPr>
              <w:t>否</w:t>
            </w:r>
          </w:p>
          <w:p>
            <w:pPr>
              <w:adjustRightInd w:val="0"/>
              <w:snapToGrid w:val="0"/>
              <w:rPr>
                <w:sz w:val="24"/>
                <w:szCs w:val="21"/>
              </w:rPr>
            </w:pPr>
            <w:r>
              <w:rPr>
                <w:sz w:val="24"/>
                <w:szCs w:val="21"/>
              </w:rPr>
              <w:sym w:font="Wingdings 2" w:char="00A3"/>
            </w:r>
            <w:r>
              <w:rPr>
                <w:sz w:val="24"/>
                <w:szCs w:val="21"/>
              </w:rPr>
              <w:t>是：</w:t>
            </w:r>
            <w:r>
              <w:rPr>
                <w:sz w:val="24"/>
                <w:szCs w:val="21"/>
                <w:u w:val="single"/>
              </w:rPr>
              <w:t xml:space="preserve">             </w:t>
            </w:r>
          </w:p>
        </w:tc>
        <w:tc>
          <w:tcPr>
            <w:tcW w:w="1527" w:type="dxa"/>
            <w:gridSpan w:val="2"/>
            <w:tcMar>
              <w:top w:w="16" w:type="dxa"/>
              <w:left w:w="16" w:type="dxa"/>
              <w:right w:w="16" w:type="dxa"/>
            </w:tcMar>
            <w:vAlign w:val="center"/>
          </w:tcPr>
          <w:p>
            <w:pPr>
              <w:adjustRightInd w:val="0"/>
              <w:snapToGrid w:val="0"/>
              <w:jc w:val="center"/>
              <w:rPr>
                <w:spacing w:val="-6"/>
                <w:sz w:val="24"/>
                <w:szCs w:val="21"/>
              </w:rPr>
            </w:pPr>
            <w:r>
              <w:rPr>
                <w:spacing w:val="-6"/>
                <w:sz w:val="24"/>
                <w:szCs w:val="21"/>
              </w:rPr>
              <w:t>用地（用海）</w:t>
            </w:r>
          </w:p>
          <w:p>
            <w:pPr>
              <w:adjustRightInd w:val="0"/>
              <w:snapToGrid w:val="0"/>
              <w:jc w:val="center"/>
              <w:rPr>
                <w:sz w:val="24"/>
                <w:szCs w:val="21"/>
              </w:rPr>
            </w:pPr>
            <w:r>
              <w:rPr>
                <w:spacing w:val="-6"/>
                <w:sz w:val="24"/>
                <w:szCs w:val="21"/>
              </w:rPr>
              <w:t>面积（m</w:t>
            </w:r>
            <w:r>
              <w:rPr>
                <w:spacing w:val="-6"/>
                <w:sz w:val="24"/>
                <w:szCs w:val="21"/>
                <w:vertAlign w:val="superscript"/>
              </w:rPr>
              <w:t>2</w:t>
            </w:r>
            <w:r>
              <w:rPr>
                <w:spacing w:val="-6"/>
                <w:sz w:val="24"/>
                <w:szCs w:val="21"/>
              </w:rPr>
              <w:t>）</w:t>
            </w:r>
          </w:p>
        </w:tc>
        <w:tc>
          <w:tcPr>
            <w:tcW w:w="3534" w:type="dxa"/>
            <w:vAlign w:val="center"/>
          </w:tcPr>
          <w:p>
            <w:pPr>
              <w:adjustRightInd w:val="0"/>
              <w:snapToGrid w:val="0"/>
              <w:jc w:val="center"/>
              <w:rPr>
                <w:sz w:val="24"/>
                <w:szCs w:val="21"/>
              </w:rPr>
            </w:pPr>
            <w:r>
              <w:rPr>
                <w:rFonts w:hint="eastAsia"/>
                <w:sz w:val="24"/>
                <w:szCs w:val="21"/>
              </w:rPr>
              <w:t>17599.0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49" w:type="dxa"/>
            <w:vAlign w:val="center"/>
          </w:tcPr>
          <w:p>
            <w:pPr>
              <w:autoSpaceDE w:val="0"/>
              <w:autoSpaceDN w:val="0"/>
              <w:adjustRightInd w:val="0"/>
              <w:snapToGrid w:val="0"/>
              <w:jc w:val="center"/>
              <w:rPr>
                <w:kern w:val="0"/>
                <w:sz w:val="24"/>
                <w:szCs w:val="21"/>
              </w:rPr>
            </w:pPr>
            <w:r>
              <w:rPr>
                <w:kern w:val="0"/>
                <w:sz w:val="24"/>
                <w:szCs w:val="21"/>
              </w:rPr>
              <w:t>专项评价设置</w:t>
            </w:r>
          </w:p>
          <w:p>
            <w:pPr>
              <w:autoSpaceDE w:val="0"/>
              <w:autoSpaceDN w:val="0"/>
              <w:adjustRightInd w:val="0"/>
              <w:snapToGrid w:val="0"/>
              <w:jc w:val="center"/>
              <w:rPr>
                <w:kern w:val="0"/>
                <w:sz w:val="24"/>
                <w:szCs w:val="21"/>
              </w:rPr>
            </w:pPr>
            <w:r>
              <w:rPr>
                <w:kern w:val="0"/>
                <w:sz w:val="24"/>
                <w:szCs w:val="21"/>
              </w:rPr>
              <w:t>情况</w:t>
            </w:r>
          </w:p>
        </w:tc>
        <w:tc>
          <w:tcPr>
            <w:tcW w:w="7721" w:type="dxa"/>
            <w:gridSpan w:val="4"/>
            <w:vAlign w:val="center"/>
          </w:tcPr>
          <w:p>
            <w:pPr>
              <w:autoSpaceDE w:val="0"/>
              <w:autoSpaceDN w:val="0"/>
              <w:adjustRightInd w:val="0"/>
              <w:snapToGrid w:val="0"/>
              <w:jc w:val="center"/>
              <w:rPr>
                <w:kern w:val="0"/>
                <w:sz w:val="24"/>
                <w:szCs w:val="21"/>
              </w:rPr>
            </w:pPr>
            <w:r>
              <w:rPr>
                <w:kern w:val="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49" w:type="dxa"/>
            <w:vAlign w:val="center"/>
          </w:tcPr>
          <w:p>
            <w:pPr>
              <w:autoSpaceDE w:val="0"/>
              <w:autoSpaceDN w:val="0"/>
              <w:adjustRightInd w:val="0"/>
              <w:snapToGrid w:val="0"/>
              <w:jc w:val="center"/>
              <w:rPr>
                <w:kern w:val="0"/>
                <w:sz w:val="24"/>
                <w:szCs w:val="21"/>
              </w:rPr>
            </w:pPr>
            <w:r>
              <w:rPr>
                <w:sz w:val="24"/>
                <w:szCs w:val="21"/>
              </w:rPr>
              <w:t>规划情况</w:t>
            </w:r>
          </w:p>
        </w:tc>
        <w:tc>
          <w:tcPr>
            <w:tcW w:w="7721" w:type="dxa"/>
            <w:gridSpan w:val="4"/>
            <w:vAlign w:val="center"/>
          </w:tcPr>
          <w:p>
            <w:pPr>
              <w:autoSpaceDE w:val="0"/>
              <w:autoSpaceDN w:val="0"/>
              <w:adjustRightInd w:val="0"/>
              <w:snapToGrid w:val="0"/>
              <w:spacing w:line="360" w:lineRule="auto"/>
              <w:ind w:firstLine="480" w:firstLineChars="200"/>
              <w:rPr>
                <w:sz w:val="24"/>
                <w:szCs w:val="32"/>
              </w:rPr>
            </w:pPr>
            <w:r>
              <w:rPr>
                <w:sz w:val="24"/>
                <w:szCs w:val="32"/>
              </w:rPr>
              <w:t>规划名称：《河北省新河县城乡总体规划(2018-2035)》</w:t>
            </w:r>
          </w:p>
          <w:p>
            <w:pPr>
              <w:autoSpaceDE w:val="0"/>
              <w:autoSpaceDN w:val="0"/>
              <w:adjustRightInd w:val="0"/>
              <w:snapToGrid w:val="0"/>
              <w:spacing w:line="360" w:lineRule="auto"/>
              <w:ind w:firstLine="480" w:firstLineChars="200"/>
              <w:rPr>
                <w:sz w:val="24"/>
                <w:szCs w:val="32"/>
              </w:rPr>
            </w:pPr>
            <w:r>
              <w:rPr>
                <w:sz w:val="24"/>
                <w:szCs w:val="32"/>
              </w:rPr>
              <w:t>审批机关：邢台市人民政府</w:t>
            </w:r>
          </w:p>
          <w:p>
            <w:pPr>
              <w:autoSpaceDE w:val="0"/>
              <w:autoSpaceDN w:val="0"/>
              <w:adjustRightInd w:val="0"/>
              <w:snapToGrid w:val="0"/>
              <w:spacing w:line="360" w:lineRule="auto"/>
              <w:ind w:firstLine="480" w:firstLineChars="200"/>
              <w:rPr>
                <w:sz w:val="24"/>
                <w:szCs w:val="32"/>
              </w:rPr>
            </w:pPr>
            <w:r>
              <w:rPr>
                <w:sz w:val="24"/>
                <w:szCs w:val="32"/>
              </w:rPr>
              <w:t>审批文件名称：邢台市人民政府关于新河县城乡总体规划（2018-2035年）的批复</w:t>
            </w:r>
          </w:p>
          <w:p>
            <w:pPr>
              <w:autoSpaceDE w:val="0"/>
              <w:autoSpaceDN w:val="0"/>
              <w:adjustRightInd w:val="0"/>
              <w:snapToGrid w:val="0"/>
              <w:spacing w:line="360" w:lineRule="auto"/>
              <w:ind w:firstLine="480" w:firstLineChars="200"/>
              <w:rPr>
                <w:sz w:val="24"/>
                <w:szCs w:val="32"/>
              </w:rPr>
            </w:pPr>
            <w:r>
              <w:rPr>
                <w:sz w:val="24"/>
                <w:szCs w:val="32"/>
              </w:rPr>
              <w:t>审批文件文号：邢政函[2019]10号</w:t>
            </w:r>
          </w:p>
          <w:p>
            <w:pPr>
              <w:autoSpaceDE w:val="0"/>
              <w:autoSpaceDN w:val="0"/>
              <w:adjustRightInd w:val="0"/>
              <w:snapToGrid w:val="0"/>
              <w:spacing w:line="360" w:lineRule="auto"/>
              <w:ind w:firstLine="480" w:firstLineChars="200"/>
              <w:rPr>
                <w:kern w:val="0"/>
                <w:sz w:val="24"/>
              </w:rPr>
            </w:pPr>
            <w:r>
              <w:rPr>
                <w:sz w:val="24"/>
                <w:szCs w:val="32"/>
              </w:rPr>
              <w:t>河北新河经济开发区</w:t>
            </w:r>
            <w:r>
              <w:rPr>
                <w:rFonts w:hint="eastAsia"/>
                <w:sz w:val="24"/>
                <w:szCs w:val="32"/>
              </w:rPr>
              <w:t>发展概况：</w:t>
            </w:r>
            <w:r>
              <w:rPr>
                <w:sz w:val="24"/>
                <w:szCs w:val="32"/>
              </w:rPr>
              <w:t>2012年4月5日，经河北省人民政府同意，将新河县城工业区纳入省级开发区（园区）管理序列，并更名为</w:t>
            </w:r>
            <w:r>
              <w:rPr>
                <w:rFonts w:hint="eastAsia"/>
                <w:sz w:val="24"/>
                <w:szCs w:val="32"/>
              </w:rPr>
              <w:t>“</w:t>
            </w:r>
            <w:r>
              <w:rPr>
                <w:sz w:val="24"/>
                <w:szCs w:val="32"/>
              </w:rPr>
              <w:t>河北新河经济开发区</w:t>
            </w:r>
            <w:r>
              <w:rPr>
                <w:rFonts w:hint="eastAsia"/>
                <w:sz w:val="24"/>
                <w:szCs w:val="32"/>
              </w:rPr>
              <w:t>”</w:t>
            </w:r>
            <w:r>
              <w:rPr>
                <w:sz w:val="24"/>
                <w:szCs w:val="32"/>
              </w:rPr>
              <w:t>，批准总规划面积5.64km</w:t>
            </w:r>
            <w:r>
              <w:rPr>
                <w:sz w:val="24"/>
                <w:szCs w:val="32"/>
                <w:vertAlign w:val="superscript"/>
              </w:rPr>
              <w:t>2</w:t>
            </w:r>
            <w:r>
              <w:rPr>
                <w:sz w:val="24"/>
                <w:szCs w:val="32"/>
              </w:rPr>
              <w:t>(冀政函[2012]39号)</w:t>
            </w:r>
            <w:r>
              <w:rPr>
                <w:rFonts w:hint="eastAsia"/>
                <w:sz w:val="24"/>
                <w:szCs w:val="32"/>
              </w:rPr>
              <w:t>。《河北省新河县城乡总体规划(2018-2035)》已通过邢台市人民政府批复(邢政函[2019]10号)，根据审批后的城乡总体规划，本次规划调整后，开发区总规划面积为21.27km</w:t>
            </w:r>
            <w:r>
              <w:rPr>
                <w:rFonts w:hint="eastAsia"/>
                <w:sz w:val="24"/>
                <w:szCs w:val="32"/>
                <w:vertAlign w:val="superscript"/>
              </w:rPr>
              <w:t>2</w:t>
            </w:r>
            <w:r>
              <w:rPr>
                <w:kern w:val="0"/>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49" w:type="dxa"/>
            <w:vAlign w:val="center"/>
          </w:tcPr>
          <w:p>
            <w:pPr>
              <w:adjustRightInd w:val="0"/>
              <w:snapToGrid w:val="0"/>
              <w:jc w:val="center"/>
              <w:rPr>
                <w:sz w:val="24"/>
                <w:szCs w:val="21"/>
              </w:rPr>
            </w:pPr>
            <w:r>
              <w:rPr>
                <w:sz w:val="24"/>
                <w:szCs w:val="21"/>
              </w:rPr>
              <w:t>规划环境影响</w:t>
            </w:r>
          </w:p>
          <w:p>
            <w:pPr>
              <w:adjustRightInd w:val="0"/>
              <w:snapToGrid w:val="0"/>
              <w:jc w:val="center"/>
              <w:rPr>
                <w:kern w:val="0"/>
                <w:sz w:val="24"/>
                <w:szCs w:val="21"/>
              </w:rPr>
            </w:pPr>
            <w:r>
              <w:rPr>
                <w:sz w:val="24"/>
                <w:szCs w:val="21"/>
              </w:rPr>
              <w:t>评价情况</w:t>
            </w:r>
          </w:p>
        </w:tc>
        <w:tc>
          <w:tcPr>
            <w:tcW w:w="7721" w:type="dxa"/>
            <w:gridSpan w:val="4"/>
            <w:vAlign w:val="center"/>
          </w:tcPr>
          <w:p>
            <w:pPr>
              <w:autoSpaceDE w:val="0"/>
              <w:autoSpaceDN w:val="0"/>
              <w:adjustRightInd w:val="0"/>
              <w:snapToGrid w:val="0"/>
              <w:spacing w:line="360" w:lineRule="auto"/>
              <w:ind w:firstLine="480" w:firstLineChars="200"/>
              <w:rPr>
                <w:kern w:val="0"/>
                <w:sz w:val="24"/>
              </w:rPr>
            </w:pPr>
            <w:r>
              <w:rPr>
                <w:rFonts w:hint="eastAsia"/>
                <w:kern w:val="0"/>
                <w:sz w:val="24"/>
              </w:rPr>
              <w:t>规划环境影响评价文件名称：</w:t>
            </w:r>
            <w:r>
              <w:rPr>
                <w:kern w:val="0"/>
                <w:sz w:val="24"/>
              </w:rPr>
              <w:t>《河北新河经济开发区总体规划(调整)环境影响报告书》、《河北新河经济开发区总体规划(调整)环境影响补充报告》</w:t>
            </w:r>
          </w:p>
          <w:p>
            <w:pPr>
              <w:autoSpaceDE w:val="0"/>
              <w:autoSpaceDN w:val="0"/>
              <w:adjustRightInd w:val="0"/>
              <w:snapToGrid w:val="0"/>
              <w:spacing w:line="360" w:lineRule="auto"/>
              <w:ind w:firstLine="480" w:firstLineChars="200"/>
              <w:rPr>
                <w:kern w:val="0"/>
                <w:sz w:val="24"/>
              </w:rPr>
            </w:pPr>
            <w:r>
              <w:rPr>
                <w:rFonts w:hint="eastAsia"/>
                <w:kern w:val="0"/>
                <w:sz w:val="24"/>
              </w:rPr>
              <w:t>召集审查机关：</w:t>
            </w:r>
            <w:r>
              <w:rPr>
                <w:kern w:val="0"/>
                <w:sz w:val="24"/>
              </w:rPr>
              <w:t>河北省生态环境厅</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审查文件名称：《关于转送河北新河经济开发区总体规划(调整)环境影响报告书审查意见的函》、《关于转送河北新河经济开发区总体规划（调整）环境影响补充报告审查意见的函》</w:t>
            </w:r>
          </w:p>
          <w:p>
            <w:pPr>
              <w:autoSpaceDE w:val="0"/>
              <w:autoSpaceDN w:val="0"/>
              <w:adjustRightInd w:val="0"/>
              <w:snapToGrid w:val="0"/>
              <w:spacing w:line="360" w:lineRule="auto"/>
              <w:ind w:firstLine="480" w:firstLineChars="200"/>
              <w:rPr>
                <w:kern w:val="0"/>
                <w:sz w:val="24"/>
              </w:rPr>
            </w:pPr>
            <w:r>
              <w:rPr>
                <w:rFonts w:hint="eastAsia"/>
                <w:kern w:val="0"/>
                <w:sz w:val="24"/>
              </w:rPr>
              <w:t>审查文件文号：</w:t>
            </w:r>
            <w:r>
              <w:rPr>
                <w:kern w:val="0"/>
                <w:sz w:val="24"/>
              </w:rPr>
              <w:t>冀环环评函[2019</w:t>
            </w:r>
            <w:r>
              <w:rPr>
                <w:rFonts w:hint="eastAsia"/>
                <w:kern w:val="0"/>
                <w:sz w:val="24"/>
              </w:rPr>
              <w:t>]691号、冀环环评函〔2019〕1159号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149" w:type="dxa"/>
            <w:vAlign w:val="center"/>
          </w:tcPr>
          <w:p>
            <w:pPr>
              <w:autoSpaceDE w:val="0"/>
              <w:autoSpaceDN w:val="0"/>
              <w:adjustRightInd w:val="0"/>
              <w:snapToGrid w:val="0"/>
              <w:jc w:val="center"/>
              <w:rPr>
                <w:kern w:val="0"/>
                <w:sz w:val="24"/>
                <w:szCs w:val="21"/>
              </w:rPr>
            </w:pPr>
            <w:r>
              <w:rPr>
                <w:kern w:val="0"/>
                <w:sz w:val="24"/>
                <w:szCs w:val="21"/>
              </w:rPr>
              <w:t>规划及规划环境影响评价符合性分析</w:t>
            </w:r>
          </w:p>
        </w:tc>
        <w:tc>
          <w:tcPr>
            <w:tcW w:w="7721" w:type="dxa"/>
            <w:gridSpan w:val="4"/>
            <w:vAlign w:val="center"/>
          </w:tcPr>
          <w:p>
            <w:pPr>
              <w:autoSpaceDE w:val="0"/>
              <w:autoSpaceDN w:val="0"/>
              <w:spacing w:line="360" w:lineRule="auto"/>
              <w:ind w:firstLine="480" w:firstLineChars="200"/>
              <w:rPr>
                <w:sz w:val="24"/>
              </w:rPr>
            </w:pPr>
            <w:r>
              <w:rPr>
                <w:sz w:val="24"/>
                <w:szCs w:val="32"/>
              </w:rPr>
              <w:t>河北新河经济开发区</w:t>
            </w:r>
            <w:r>
              <w:rPr>
                <w:rFonts w:hint="eastAsia"/>
                <w:sz w:val="24"/>
                <w:szCs w:val="32"/>
              </w:rPr>
              <w:t>总规划面积为21.27km</w:t>
            </w:r>
            <w:r>
              <w:rPr>
                <w:rFonts w:hint="eastAsia"/>
                <w:sz w:val="24"/>
                <w:szCs w:val="32"/>
                <w:vertAlign w:val="superscript"/>
              </w:rPr>
              <w:t>2</w:t>
            </w:r>
            <w:r>
              <w:rPr>
                <w:rFonts w:hint="eastAsia"/>
                <w:sz w:val="24"/>
                <w:szCs w:val="32"/>
              </w:rPr>
              <w:t>，</w:t>
            </w:r>
            <w:r>
              <w:rPr>
                <w:rFonts w:hint="eastAsia"/>
                <w:sz w:val="24"/>
              </w:rPr>
              <w:t>规划期限为2018～2035 年，其中2018～2025 年为规划近期，2026～2035 年为规划远期。</w:t>
            </w:r>
          </w:p>
          <w:p>
            <w:pPr>
              <w:autoSpaceDE w:val="0"/>
              <w:autoSpaceDN w:val="0"/>
              <w:spacing w:line="360" w:lineRule="auto"/>
              <w:ind w:firstLine="480" w:firstLineChars="200"/>
              <w:rPr>
                <w:kern w:val="0"/>
                <w:sz w:val="24"/>
              </w:rPr>
            </w:pPr>
            <w:r>
              <w:rPr>
                <w:rFonts w:hint="eastAsia"/>
                <w:kern w:val="0"/>
                <w:sz w:val="24"/>
              </w:rPr>
              <w:t>1、与规划的符合性分析</w:t>
            </w:r>
          </w:p>
          <w:p>
            <w:pPr>
              <w:autoSpaceDE w:val="0"/>
              <w:autoSpaceDN w:val="0"/>
              <w:spacing w:line="360" w:lineRule="auto"/>
              <w:ind w:firstLine="480" w:firstLineChars="200"/>
              <w:rPr>
                <w:sz w:val="24"/>
                <w:szCs w:val="32"/>
              </w:rPr>
            </w:pPr>
            <w:r>
              <w:rPr>
                <w:rFonts w:hint="eastAsia"/>
                <w:sz w:val="24"/>
                <w:szCs w:val="32"/>
              </w:rPr>
              <w:t>（1）规划范围</w:t>
            </w:r>
          </w:p>
          <w:p>
            <w:pPr>
              <w:autoSpaceDE w:val="0"/>
              <w:autoSpaceDN w:val="0"/>
              <w:spacing w:line="360" w:lineRule="auto"/>
              <w:ind w:firstLine="480" w:firstLineChars="200"/>
              <w:rPr>
                <w:sz w:val="24"/>
                <w:szCs w:val="32"/>
              </w:rPr>
            </w:pPr>
            <w:r>
              <w:rPr>
                <w:sz w:val="24"/>
                <w:szCs w:val="32"/>
              </w:rPr>
              <w:t>河北新河经济开发区</w:t>
            </w:r>
            <w:r>
              <w:rPr>
                <w:rFonts w:hint="eastAsia"/>
                <w:sz w:val="24"/>
                <w:szCs w:val="32"/>
              </w:rPr>
              <w:t>总规划面积为21.27km</w:t>
            </w:r>
            <w:r>
              <w:rPr>
                <w:rFonts w:hint="eastAsia"/>
                <w:sz w:val="24"/>
                <w:szCs w:val="32"/>
                <w:vertAlign w:val="superscript"/>
              </w:rPr>
              <w:t>2</w:t>
            </w:r>
            <w:r>
              <w:rPr>
                <w:rFonts w:hint="eastAsia"/>
                <w:sz w:val="24"/>
                <w:szCs w:val="32"/>
              </w:rPr>
              <w:t>，其中开发区西区规划范围西至西外环路、东至利新街、北至北环路、南至滨河南路南，规划面积5.72km</w:t>
            </w:r>
            <w:r>
              <w:rPr>
                <w:rFonts w:hint="eastAsia"/>
                <w:sz w:val="24"/>
                <w:szCs w:val="32"/>
                <w:vertAlign w:val="superscript"/>
              </w:rPr>
              <w:t>2</w:t>
            </w:r>
            <w:r>
              <w:rPr>
                <w:rFonts w:hint="eastAsia"/>
                <w:sz w:val="24"/>
                <w:szCs w:val="32"/>
              </w:rPr>
              <w:t>；开发区东区规划范围西至308国道、东至仁东线、北至新冀线、南至春秋路及邯黄铁路，规划面积为15.55km</w:t>
            </w:r>
            <w:r>
              <w:rPr>
                <w:rFonts w:hint="eastAsia"/>
                <w:sz w:val="24"/>
                <w:szCs w:val="32"/>
                <w:vertAlign w:val="superscript"/>
              </w:rPr>
              <w:t>2</w:t>
            </w:r>
            <w:r>
              <w:rPr>
                <w:rFonts w:hint="eastAsia"/>
                <w:sz w:val="24"/>
                <w:szCs w:val="32"/>
              </w:rPr>
              <w:t>。</w:t>
            </w:r>
          </w:p>
          <w:p>
            <w:pPr>
              <w:autoSpaceDE w:val="0"/>
              <w:autoSpaceDN w:val="0"/>
              <w:spacing w:line="360" w:lineRule="auto"/>
              <w:ind w:firstLine="482" w:firstLineChars="200"/>
              <w:rPr>
                <w:sz w:val="24"/>
                <w:szCs w:val="32"/>
              </w:rPr>
            </w:pPr>
            <w:r>
              <w:rPr>
                <w:rFonts w:hint="eastAsia"/>
                <w:b/>
                <w:bCs/>
                <w:sz w:val="24"/>
                <w:szCs w:val="32"/>
              </w:rPr>
              <w:t>本项目位于邢台市新河县（区）经济开发区东区经五路东侧，属</w:t>
            </w:r>
            <w:r>
              <w:rPr>
                <w:b/>
                <w:bCs/>
                <w:sz w:val="24"/>
                <w:szCs w:val="32"/>
              </w:rPr>
              <w:t>河北新河经济开发区</w:t>
            </w:r>
            <w:r>
              <w:rPr>
                <w:rFonts w:hint="eastAsia"/>
                <w:b/>
                <w:bCs/>
                <w:sz w:val="24"/>
                <w:szCs w:val="32"/>
              </w:rPr>
              <w:t>东区规划范围内。</w:t>
            </w:r>
          </w:p>
          <w:p>
            <w:pPr>
              <w:autoSpaceDE w:val="0"/>
              <w:autoSpaceDN w:val="0"/>
              <w:spacing w:line="360" w:lineRule="auto"/>
              <w:ind w:firstLine="480" w:firstLineChars="200"/>
              <w:rPr>
                <w:sz w:val="24"/>
                <w:szCs w:val="32"/>
              </w:rPr>
            </w:pPr>
            <w:r>
              <w:rPr>
                <w:rFonts w:hint="eastAsia"/>
                <w:sz w:val="24"/>
                <w:szCs w:val="32"/>
              </w:rPr>
              <w:t>（2）产业定位及产业布局</w:t>
            </w:r>
          </w:p>
          <w:p>
            <w:pPr>
              <w:autoSpaceDE w:val="0"/>
              <w:autoSpaceDN w:val="0"/>
              <w:spacing w:line="360" w:lineRule="auto"/>
              <w:ind w:firstLine="480" w:firstLineChars="200"/>
              <w:rPr>
                <w:sz w:val="24"/>
                <w:szCs w:val="32"/>
              </w:rPr>
            </w:pPr>
            <w:r>
              <w:rPr>
                <w:sz w:val="24"/>
                <w:szCs w:val="32"/>
              </w:rPr>
              <w:t>河北新河经济开发区</w:t>
            </w:r>
            <w:r>
              <w:rPr>
                <w:rFonts w:hint="eastAsia"/>
                <w:sz w:val="24"/>
                <w:szCs w:val="32"/>
              </w:rPr>
              <w:t>东区规划产业为钢铁及相关产业、炼焦及化工产业、新能源及其配套循环经济产业、现代装备制造产业、新材料产业；西区规划产业为轻工产业、电子工业。其各产业发展方向见表1。</w:t>
            </w:r>
          </w:p>
          <w:p>
            <w:pPr>
              <w:autoSpaceDE w:val="0"/>
              <w:autoSpaceDN w:val="0"/>
              <w:jc w:val="center"/>
              <w:rPr>
                <w:b/>
                <w:bCs/>
                <w:sz w:val="24"/>
                <w:szCs w:val="32"/>
              </w:rPr>
            </w:pPr>
            <w:r>
              <w:rPr>
                <w:rFonts w:hint="eastAsia"/>
                <w:b/>
                <w:bCs/>
                <w:sz w:val="24"/>
                <w:szCs w:val="32"/>
              </w:rPr>
              <w:t>表1  开发区规划产业发展方向一览表</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90"/>
              <w:gridCol w:w="356"/>
              <w:gridCol w:w="1338"/>
              <w:gridCol w:w="53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序号</w:t>
                  </w:r>
                </w:p>
              </w:tc>
              <w:tc>
                <w:tcPr>
                  <w:tcW w:w="1132" w:type="pct"/>
                  <w:gridSpan w:val="2"/>
                  <w:vAlign w:val="center"/>
                </w:tcPr>
                <w:p>
                  <w:pPr>
                    <w:adjustRightInd w:val="0"/>
                    <w:snapToGrid w:val="0"/>
                    <w:spacing w:line="0" w:lineRule="atLeast"/>
                    <w:jc w:val="center"/>
                    <w:rPr>
                      <w:rFonts w:hAnsi="宋体"/>
                      <w:spacing w:val="-10"/>
                      <w:sz w:val="23"/>
                    </w:rPr>
                  </w:pPr>
                  <w:r>
                    <w:rPr>
                      <w:rFonts w:hint="eastAsia" w:hAnsi="宋体"/>
                      <w:spacing w:val="-10"/>
                      <w:sz w:val="23"/>
                    </w:rPr>
                    <w:t>规划产业</w:t>
                  </w:r>
                </w:p>
              </w:tc>
              <w:tc>
                <w:tcPr>
                  <w:tcW w:w="3540" w:type="pct"/>
                  <w:vAlign w:val="center"/>
                </w:tcPr>
                <w:p>
                  <w:pPr>
                    <w:adjustRightInd w:val="0"/>
                    <w:snapToGrid w:val="0"/>
                    <w:spacing w:line="0" w:lineRule="atLeast"/>
                    <w:jc w:val="center"/>
                    <w:rPr>
                      <w:rFonts w:hAnsi="宋体"/>
                      <w:spacing w:val="-10"/>
                      <w:sz w:val="23"/>
                    </w:rPr>
                  </w:pPr>
                  <w:r>
                    <w:rPr>
                      <w:rFonts w:hint="eastAsia" w:hAnsi="宋体"/>
                      <w:spacing w:val="-10"/>
                      <w:sz w:val="23"/>
                    </w:rPr>
                    <w:t>主 要 发</w:t>
                  </w:r>
                  <w:r>
                    <w:rPr>
                      <w:rFonts w:hAnsi="宋体"/>
                      <w:spacing w:val="-10"/>
                      <w:sz w:val="23"/>
                    </w:rPr>
                    <w:t xml:space="preserve"> </w:t>
                  </w:r>
                  <w:r>
                    <w:rPr>
                      <w:rFonts w:hint="eastAsia" w:hAnsi="宋体"/>
                      <w:spacing w:val="-10"/>
                      <w:sz w:val="23"/>
                    </w:rPr>
                    <w:t>展</w:t>
                  </w:r>
                  <w:r>
                    <w:rPr>
                      <w:rFonts w:hAnsi="宋体"/>
                      <w:spacing w:val="-10"/>
                      <w:sz w:val="23"/>
                    </w:rPr>
                    <w:t xml:space="preserve"> </w:t>
                  </w:r>
                  <w:r>
                    <w:rPr>
                      <w:rFonts w:hint="eastAsia" w:hAnsi="宋体"/>
                      <w:spacing w:val="-10"/>
                      <w:sz w:val="23"/>
                    </w:rPr>
                    <w:t>方</w:t>
                  </w:r>
                  <w:r>
                    <w:rPr>
                      <w:rFonts w:hAnsi="宋体"/>
                      <w:spacing w:val="-10"/>
                      <w:sz w:val="23"/>
                    </w:rPr>
                    <w:t xml:space="preserve"> </w:t>
                  </w:r>
                  <w:r>
                    <w:rPr>
                      <w:rFonts w:hint="eastAsia" w:hAnsi="宋体"/>
                      <w:spacing w:val="-10"/>
                      <w:sz w:val="23"/>
                    </w:rPr>
                    <w:t>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1</w:t>
                  </w:r>
                </w:p>
              </w:tc>
              <w:tc>
                <w:tcPr>
                  <w:tcW w:w="238" w:type="pct"/>
                  <w:vMerge w:val="restar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西区</w:t>
                  </w: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轻工产业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依托现有食品制造与镜盒包装产业基础，优先发展眼镜盒包装、纺织工业、制糖业等，加大科技创新力度，打造产学研紧密结合、产供销一体的轻工生产流通基地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2</w:t>
                  </w:r>
                </w:p>
              </w:tc>
              <w:tc>
                <w:tcPr>
                  <w:tcW w:w="238" w:type="pct"/>
                  <w:vMerge w:val="continue"/>
                  <w:vAlign w:val="center"/>
                </w:tcPr>
                <w:p>
                  <w:pPr>
                    <w:adjustRightInd w:val="0"/>
                    <w:snapToGrid w:val="0"/>
                    <w:spacing w:line="0" w:lineRule="atLeast"/>
                    <w:jc w:val="center"/>
                    <w:rPr>
                      <w:rFonts w:hAnsi="宋体"/>
                      <w:spacing w:val="-10"/>
                      <w:sz w:val="23"/>
                      <w:szCs w:val="23"/>
                    </w:rPr>
                  </w:pP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电子工业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主要发展电器装备制造业电子设备、电子元件、电子器件及其专用原材料制造业等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3</w:t>
                  </w:r>
                </w:p>
              </w:tc>
              <w:tc>
                <w:tcPr>
                  <w:tcW w:w="238" w:type="pct"/>
                  <w:vMerge w:val="restar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东区</w:t>
                  </w: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钢铁及相关产业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炼铁、炼钢、钢压延加工业(生铁产能不突破226万t/a、粗钢产能不突破230万t/a)、有色金属压延加工业、线材精制、紧固件行业、轴承行业、高铁桥梁家电用钢行业、光伏发电系统及关键零部件等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3"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4</w:t>
                  </w:r>
                </w:p>
              </w:tc>
              <w:tc>
                <w:tcPr>
                  <w:tcW w:w="238" w:type="pct"/>
                  <w:vMerge w:val="continue"/>
                  <w:vAlign w:val="center"/>
                </w:tcPr>
                <w:p>
                  <w:pPr>
                    <w:adjustRightInd w:val="0"/>
                    <w:snapToGrid w:val="0"/>
                    <w:spacing w:line="0" w:lineRule="atLeast"/>
                    <w:jc w:val="center"/>
                    <w:rPr>
                      <w:rFonts w:hAnsi="宋体"/>
                      <w:spacing w:val="-10"/>
                      <w:sz w:val="23"/>
                      <w:szCs w:val="23"/>
                    </w:rPr>
                  </w:pP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炼焦及化工产业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7"/>
                      <w:sz w:val="23"/>
                      <w:szCs w:val="23"/>
                    </w:rPr>
                    <w:t>冶金焦生产以及后续煤气深加工产业（焦炭产能不突破216万t/a）、化学纤维制造、日用化学品、生物基化工材料等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5</w:t>
                  </w:r>
                </w:p>
              </w:tc>
              <w:tc>
                <w:tcPr>
                  <w:tcW w:w="238" w:type="pct"/>
                  <w:vMerge w:val="continue"/>
                  <w:vAlign w:val="center"/>
                </w:tcPr>
                <w:p>
                  <w:pPr>
                    <w:adjustRightInd w:val="0"/>
                    <w:snapToGrid w:val="0"/>
                    <w:spacing w:line="0" w:lineRule="atLeast"/>
                    <w:jc w:val="center"/>
                    <w:rPr>
                      <w:rFonts w:hAnsi="宋体"/>
                      <w:spacing w:val="-10"/>
                      <w:sz w:val="23"/>
                      <w:szCs w:val="23"/>
                    </w:rPr>
                  </w:pP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新能源及其配套循环产业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节能电源、地热发电、高性能储电产品（包括铅蓄电池、锂电池等）生产及其回收处置综合利用等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6</w:t>
                  </w:r>
                </w:p>
              </w:tc>
              <w:tc>
                <w:tcPr>
                  <w:tcW w:w="238" w:type="pct"/>
                  <w:vMerge w:val="continue"/>
                  <w:vAlign w:val="center"/>
                </w:tcPr>
                <w:p>
                  <w:pPr>
                    <w:adjustRightInd w:val="0"/>
                    <w:snapToGrid w:val="0"/>
                    <w:spacing w:line="0" w:lineRule="atLeast"/>
                    <w:jc w:val="center"/>
                    <w:rPr>
                      <w:rFonts w:hAnsi="宋体"/>
                      <w:spacing w:val="-10"/>
                      <w:sz w:val="23"/>
                      <w:szCs w:val="23"/>
                    </w:rPr>
                  </w:pP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现代装备制造产业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铁路设备制造、电子设备制造、汽车零部件及配件制造、专用设备制造等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327" w:type="pct"/>
                  <w:vAlign w:val="center"/>
                </w:tcPr>
                <w:p>
                  <w:pPr>
                    <w:adjustRightInd w:val="0"/>
                    <w:snapToGrid w:val="0"/>
                    <w:spacing w:line="0" w:lineRule="atLeast"/>
                    <w:jc w:val="center"/>
                    <w:rPr>
                      <w:rFonts w:hAnsi="宋体"/>
                      <w:spacing w:val="-10"/>
                      <w:sz w:val="23"/>
                    </w:rPr>
                  </w:pPr>
                  <w:r>
                    <w:rPr>
                      <w:rFonts w:hint="eastAsia" w:hAnsi="宋体"/>
                      <w:spacing w:val="-10"/>
                      <w:sz w:val="23"/>
                    </w:rPr>
                    <w:t>7</w:t>
                  </w:r>
                </w:p>
              </w:tc>
              <w:tc>
                <w:tcPr>
                  <w:tcW w:w="238" w:type="pct"/>
                  <w:vMerge w:val="continue"/>
                  <w:vAlign w:val="center"/>
                </w:tcPr>
                <w:p>
                  <w:pPr>
                    <w:adjustRightInd w:val="0"/>
                    <w:snapToGrid w:val="0"/>
                    <w:spacing w:line="0" w:lineRule="atLeast"/>
                    <w:jc w:val="center"/>
                    <w:rPr>
                      <w:rFonts w:hAnsi="宋体"/>
                      <w:spacing w:val="-10"/>
                      <w:sz w:val="23"/>
                      <w:szCs w:val="23"/>
                    </w:rPr>
                  </w:pPr>
                </w:p>
              </w:tc>
              <w:tc>
                <w:tcPr>
                  <w:tcW w:w="893" w:type="pct"/>
                  <w:vAlign w:val="center"/>
                </w:tcPr>
                <w:p>
                  <w:pPr>
                    <w:adjustRightInd w:val="0"/>
                    <w:snapToGrid w:val="0"/>
                    <w:spacing w:line="0" w:lineRule="atLeast"/>
                    <w:jc w:val="center"/>
                    <w:rPr>
                      <w:rFonts w:hAnsi="宋体"/>
                      <w:spacing w:val="-10"/>
                      <w:sz w:val="23"/>
                      <w:szCs w:val="23"/>
                    </w:rPr>
                  </w:pPr>
                  <w:r>
                    <w:rPr>
                      <w:rFonts w:hint="eastAsia" w:hAnsi="宋体"/>
                      <w:spacing w:val="-10"/>
                      <w:sz w:val="23"/>
                      <w:szCs w:val="23"/>
                    </w:rPr>
                    <w:t>新材料产业</w:t>
                  </w:r>
                </w:p>
              </w:tc>
              <w:tc>
                <w:tcPr>
                  <w:tcW w:w="3540" w:type="pct"/>
                  <w:vAlign w:val="center"/>
                </w:tcPr>
                <w:p>
                  <w:pPr>
                    <w:adjustRightInd w:val="0"/>
                    <w:snapToGrid w:val="0"/>
                    <w:spacing w:line="0" w:lineRule="atLeast"/>
                    <w:rPr>
                      <w:rFonts w:hAnsi="宋体"/>
                      <w:spacing w:val="-10"/>
                      <w:sz w:val="23"/>
                      <w:szCs w:val="23"/>
                    </w:rPr>
                  </w:pPr>
                  <w:r>
                    <w:rPr>
                      <w:rFonts w:hint="eastAsia" w:hAnsi="宋体"/>
                      <w:spacing w:val="-10"/>
                      <w:sz w:val="23"/>
                      <w:szCs w:val="23"/>
                    </w:rPr>
                    <w:t>新型功能材料、先进结构材料、高性能复合材料等研发及相关轻工纺织应用生产等</w:t>
                  </w:r>
                </w:p>
              </w:tc>
            </w:tr>
          </w:tbl>
          <w:p>
            <w:pPr>
              <w:autoSpaceDE w:val="0"/>
              <w:autoSpaceDN w:val="0"/>
              <w:spacing w:line="360" w:lineRule="auto"/>
              <w:ind w:firstLine="480" w:firstLineChars="200"/>
              <w:rPr>
                <w:rFonts w:hAnsi="宋体"/>
                <w:spacing w:val="-10"/>
                <w:sz w:val="23"/>
                <w:szCs w:val="23"/>
              </w:rPr>
            </w:pPr>
            <w:r>
              <w:rPr>
                <w:rFonts w:hint="eastAsia"/>
                <w:sz w:val="24"/>
                <w:szCs w:val="32"/>
              </w:rPr>
              <w:t>本项目位于</w:t>
            </w:r>
            <w:r>
              <w:rPr>
                <w:sz w:val="24"/>
                <w:szCs w:val="32"/>
              </w:rPr>
              <w:t>河北新河经济开发区</w:t>
            </w:r>
            <w:r>
              <w:rPr>
                <w:rFonts w:hint="eastAsia"/>
                <w:sz w:val="24"/>
                <w:szCs w:val="32"/>
              </w:rPr>
              <w:t>东区，行业类别为C3823配电开关控制设备制造</w:t>
            </w:r>
            <w:r>
              <w:rPr>
                <w:rFonts w:hint="eastAsia"/>
                <w:sz w:val="24"/>
                <w:szCs w:val="21"/>
              </w:rPr>
              <w:t>，</w:t>
            </w:r>
            <w:r>
              <w:rPr>
                <w:rFonts w:hint="eastAsia"/>
                <w:sz w:val="24"/>
                <w:szCs w:val="32"/>
              </w:rPr>
              <w:t>生产产品为</w:t>
            </w:r>
            <w:r>
              <w:rPr>
                <w:rFonts w:hint="eastAsia"/>
                <w:kern w:val="0"/>
                <w:sz w:val="24"/>
              </w:rPr>
              <w:t>配电箱（柜），</w:t>
            </w:r>
            <w:r>
              <w:rPr>
                <w:rFonts w:hint="eastAsia"/>
                <w:sz w:val="24"/>
                <w:szCs w:val="21"/>
              </w:rPr>
              <w:t>属于园区规划的现代装备制造产业</w:t>
            </w:r>
            <w:r>
              <w:rPr>
                <w:rFonts w:hint="eastAsia" w:hAnsi="宋体"/>
                <w:spacing w:val="-10"/>
                <w:sz w:val="23"/>
                <w:szCs w:val="23"/>
              </w:rPr>
              <w:t>。因此符合园区产业定位。</w:t>
            </w:r>
          </w:p>
          <w:p>
            <w:pPr>
              <w:autoSpaceDE w:val="0"/>
              <w:autoSpaceDN w:val="0"/>
              <w:spacing w:line="360" w:lineRule="auto"/>
              <w:ind w:firstLine="420" w:firstLineChars="200"/>
              <w:rPr>
                <w:sz w:val="24"/>
                <w:szCs w:val="32"/>
                <w:highlight w:val="yellow"/>
              </w:rPr>
            </w:pPr>
            <w:r>
              <w:rPr>
                <w:rFonts w:hint="eastAsia" w:hAnsi="宋体"/>
                <w:spacing w:val="-10"/>
                <w:sz w:val="23"/>
                <w:szCs w:val="23"/>
              </w:rPr>
              <w:t>对照园区产业布局图，项目所在厂区位于</w:t>
            </w:r>
            <w:r>
              <w:rPr>
                <w:sz w:val="24"/>
                <w:szCs w:val="32"/>
              </w:rPr>
              <w:t>河北新河经济开发区</w:t>
            </w:r>
            <w:r>
              <w:rPr>
                <w:rFonts w:hint="eastAsia"/>
                <w:sz w:val="24"/>
                <w:szCs w:val="32"/>
              </w:rPr>
              <w:t>东区中的新能源及其配套循环产业园区内，不符合园区产业布局。根据园区环境准入负面清单，本项目既</w:t>
            </w:r>
            <w:r>
              <w:rPr>
                <w:rFonts w:hint="eastAsia"/>
                <w:bCs/>
              </w:rPr>
              <w:t>不属于鼓励进入该产业片区的范畴、也不属于禁止和限制入区的范畴，与园区准入负面清单不冲突。</w:t>
            </w:r>
            <w:r>
              <w:rPr>
                <w:rFonts w:hint="eastAsia"/>
                <w:kern w:val="0"/>
                <w:sz w:val="24"/>
              </w:rPr>
              <w:t>河北新河经济开发区管理委员会于2021年8月17日为本项目出具了选址意见书，同意本项目建设；且项目用地已取得土地证。</w:t>
            </w:r>
          </w:p>
          <w:p>
            <w:pPr>
              <w:autoSpaceDE w:val="0"/>
              <w:autoSpaceDN w:val="0"/>
              <w:spacing w:line="360" w:lineRule="auto"/>
              <w:ind w:firstLine="480" w:firstLineChars="200"/>
              <w:rPr>
                <w:kern w:val="0"/>
                <w:sz w:val="24"/>
              </w:rPr>
            </w:pPr>
            <w:r>
              <w:rPr>
                <w:rFonts w:hint="eastAsia"/>
                <w:kern w:val="0"/>
                <w:sz w:val="24"/>
              </w:rPr>
              <w:t>（2）用地布局</w:t>
            </w:r>
          </w:p>
          <w:p>
            <w:pPr>
              <w:autoSpaceDE w:val="0"/>
              <w:autoSpaceDN w:val="0"/>
              <w:spacing w:line="360" w:lineRule="auto"/>
              <w:ind w:firstLine="480" w:firstLineChars="200"/>
              <w:rPr>
                <w:kern w:val="0"/>
                <w:sz w:val="24"/>
                <w:highlight w:val="yellow"/>
              </w:rPr>
            </w:pPr>
            <w:r>
              <w:rPr>
                <w:rFonts w:hint="eastAsia"/>
                <w:kern w:val="0"/>
                <w:sz w:val="24"/>
              </w:rPr>
              <w:t>根据</w:t>
            </w:r>
            <w:r>
              <w:rPr>
                <w:kern w:val="0"/>
                <w:sz w:val="24"/>
              </w:rPr>
              <w:t>河北新河经济开发区</w:t>
            </w:r>
            <w:r>
              <w:rPr>
                <w:rFonts w:hint="eastAsia"/>
                <w:kern w:val="0"/>
                <w:sz w:val="24"/>
              </w:rPr>
              <w:t>用地布局图，本项目用地属于二类工业用地，河北新河经济开发区管理委员会于2021年8月17日为本项目出具了选址意见书；本项目于2022年2月21日取得了土地证，编号为：冀（2022）新河县不动产权第</w:t>
            </w:r>
            <w:r>
              <w:rPr>
                <w:rFonts w:hint="eastAsia"/>
                <w:kern w:val="0"/>
                <w:sz w:val="24"/>
                <w:u w:val="single"/>
              </w:rPr>
              <w:t>0001196</w:t>
            </w:r>
            <w:r>
              <w:rPr>
                <w:rFonts w:hint="eastAsia"/>
                <w:kern w:val="0"/>
                <w:sz w:val="24"/>
              </w:rPr>
              <w:t>号，因此，本项目建设符合园区用地布局要求。</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（3）与园区基础设施建设符合性分析</w:t>
            </w:r>
          </w:p>
          <w:p>
            <w:pPr>
              <w:autoSpaceDE w:val="0"/>
              <w:autoSpaceDN w:val="0"/>
              <w:adjustRightInd w:val="0"/>
              <w:snapToGrid w:val="0"/>
              <w:ind w:firstLine="482" w:firstLineChars="200"/>
              <w:jc w:val="center"/>
              <w:rPr>
                <w:b/>
                <w:bCs/>
                <w:kern w:val="0"/>
                <w:sz w:val="24"/>
                <w:szCs w:val="21"/>
              </w:rPr>
            </w:pPr>
            <w:r>
              <w:rPr>
                <w:rFonts w:hint="eastAsia"/>
                <w:b/>
                <w:bCs/>
                <w:kern w:val="0"/>
                <w:sz w:val="24"/>
                <w:szCs w:val="21"/>
              </w:rPr>
              <w:t>表2  本项目与开发区基础设施现状符合性一览表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97"/>
              <w:gridCol w:w="517"/>
              <w:gridCol w:w="4036"/>
              <w:gridCol w:w="170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autoSpaceDE w:val="0"/>
                    <w:autoSpaceDN w:val="0"/>
                    <w:spacing w:line="0" w:lineRule="atLeast"/>
                    <w:jc w:val="center"/>
                    <w:rPr>
                      <w:rFonts w:hAnsi="宋体"/>
                      <w:b/>
                      <w:bCs/>
                      <w:szCs w:val="21"/>
                    </w:rPr>
                  </w:pPr>
                  <w:r>
                    <w:rPr>
                      <w:rFonts w:hint="eastAsia" w:hAnsi="宋体"/>
                      <w:b/>
                      <w:bCs/>
                      <w:szCs w:val="21"/>
                    </w:rPr>
                    <w:t>序号</w:t>
                  </w:r>
                </w:p>
              </w:tc>
              <w:tc>
                <w:tcPr>
                  <w:tcW w:w="517" w:type="dxa"/>
                  <w:vAlign w:val="center"/>
                </w:tcPr>
                <w:p>
                  <w:pPr>
                    <w:autoSpaceDE w:val="0"/>
                    <w:autoSpaceDN w:val="0"/>
                    <w:spacing w:line="0" w:lineRule="atLeast"/>
                    <w:jc w:val="center"/>
                    <w:rPr>
                      <w:rFonts w:hAnsi="宋体"/>
                      <w:b/>
                      <w:bCs/>
                      <w:szCs w:val="21"/>
                    </w:rPr>
                  </w:pPr>
                  <w:r>
                    <w:rPr>
                      <w:rFonts w:hint="eastAsia" w:hAnsi="宋体"/>
                      <w:b/>
                      <w:bCs/>
                      <w:szCs w:val="21"/>
                    </w:rPr>
                    <w:t>基础设施</w:t>
                  </w:r>
                </w:p>
              </w:tc>
              <w:tc>
                <w:tcPr>
                  <w:tcW w:w="4036" w:type="dxa"/>
                  <w:vAlign w:val="center"/>
                </w:tcPr>
                <w:p>
                  <w:pPr>
                    <w:autoSpaceDE w:val="0"/>
                    <w:autoSpaceDN w:val="0"/>
                    <w:spacing w:line="0" w:lineRule="atLeast"/>
                    <w:jc w:val="center"/>
                    <w:rPr>
                      <w:rFonts w:hAnsi="宋体"/>
                      <w:b/>
                      <w:bCs/>
                      <w:szCs w:val="21"/>
                    </w:rPr>
                  </w:pPr>
                  <w:r>
                    <w:rPr>
                      <w:rFonts w:hint="eastAsia" w:hAnsi="宋体"/>
                      <w:b/>
                      <w:bCs/>
                      <w:szCs w:val="21"/>
                    </w:rPr>
                    <w:t>规划内容</w:t>
                  </w:r>
                </w:p>
              </w:tc>
              <w:tc>
                <w:tcPr>
                  <w:tcW w:w="1709" w:type="dxa"/>
                  <w:vAlign w:val="center"/>
                </w:tcPr>
                <w:p>
                  <w:pPr>
                    <w:autoSpaceDE w:val="0"/>
                    <w:autoSpaceDN w:val="0"/>
                    <w:spacing w:line="0" w:lineRule="atLeast"/>
                    <w:jc w:val="center"/>
                    <w:rPr>
                      <w:rFonts w:hAnsi="宋体"/>
                      <w:b/>
                      <w:bCs/>
                      <w:szCs w:val="21"/>
                    </w:rPr>
                  </w:pPr>
                  <w:r>
                    <w:rPr>
                      <w:rFonts w:hint="eastAsia" w:hAnsi="宋体"/>
                      <w:b/>
                      <w:bCs/>
                      <w:szCs w:val="21"/>
                    </w:rPr>
                    <w:t>企业基本情况</w:t>
                  </w:r>
                </w:p>
              </w:tc>
              <w:tc>
                <w:tcPr>
                  <w:tcW w:w="826" w:type="dxa"/>
                  <w:vAlign w:val="center"/>
                </w:tcPr>
                <w:p>
                  <w:pPr>
                    <w:autoSpaceDE w:val="0"/>
                    <w:autoSpaceDN w:val="0"/>
                    <w:spacing w:line="0" w:lineRule="atLeast"/>
                    <w:jc w:val="center"/>
                    <w:rPr>
                      <w:rFonts w:hAnsi="宋体"/>
                      <w:b/>
                      <w:bCs/>
                      <w:szCs w:val="21"/>
                    </w:rPr>
                  </w:pPr>
                  <w:r>
                    <w:rPr>
                      <w:rFonts w:hint="eastAsia" w:hAnsi="宋体"/>
                      <w:b/>
                      <w:bCs/>
                      <w:szCs w:val="21"/>
                    </w:rPr>
                    <w:t>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spacing w:line="0" w:lineRule="atLeast"/>
                    <w:jc w:val="center"/>
                    <w:rPr>
                      <w:rFonts w:hAnsi="宋体"/>
                      <w:szCs w:val="21"/>
                    </w:rPr>
                  </w:pPr>
                  <w:r>
                    <w:rPr>
                      <w:rFonts w:hint="eastAsia" w:hAnsi="宋体"/>
                      <w:szCs w:val="21"/>
                    </w:rPr>
                    <w:t>1</w:t>
                  </w:r>
                </w:p>
              </w:tc>
              <w:tc>
                <w:tcPr>
                  <w:tcW w:w="517" w:type="dxa"/>
                  <w:vAlign w:val="center"/>
                </w:tcPr>
                <w:p>
                  <w:pPr>
                    <w:spacing w:line="0" w:lineRule="atLeast"/>
                    <w:jc w:val="center"/>
                    <w:rPr>
                      <w:rFonts w:hAnsi="宋体"/>
                      <w:szCs w:val="21"/>
                    </w:rPr>
                  </w:pPr>
                  <w:r>
                    <w:rPr>
                      <w:rFonts w:hint="eastAsia" w:hAnsi="宋体"/>
                      <w:szCs w:val="21"/>
                    </w:rPr>
                    <w:t>供水工程</w:t>
                  </w:r>
                </w:p>
              </w:tc>
              <w:tc>
                <w:tcPr>
                  <w:tcW w:w="4036" w:type="dxa"/>
                  <w:vAlign w:val="center"/>
                </w:tcPr>
                <w:p>
                  <w:pPr>
                    <w:adjustRightInd w:val="0"/>
                    <w:spacing w:line="0" w:lineRule="atLeast"/>
                    <w:jc w:val="center"/>
                    <w:rPr>
                      <w:rFonts w:hAnsi="宋体"/>
                      <w:szCs w:val="21"/>
                    </w:rPr>
                  </w:pPr>
                  <w:r>
                    <w:rPr>
                      <w:rFonts w:hint="eastAsia" w:hAnsi="宋体"/>
                      <w:szCs w:val="21"/>
                    </w:rPr>
                    <w:t>规划开发区近期和远期均以南水北调水和污水处理厂再生水联合供给。开发区不建设集中供水厂，规划近期和远期新水由新河县集中供水厂和县城南水北调地表水厂联合供给，再生水由开发区各区污水处理站配建的再生水厂供给。其中，南水北调地表水厂目前供水能力为1万m</w:t>
                  </w:r>
                  <w:r>
                    <w:rPr>
                      <w:rFonts w:hint="eastAsia" w:hAnsi="宋体"/>
                      <w:szCs w:val="21"/>
                      <w:vertAlign w:val="superscript"/>
                    </w:rPr>
                    <w:t>3</w:t>
                  </w:r>
                  <w:r>
                    <w:rPr>
                      <w:rFonts w:hint="eastAsia" w:hAnsi="宋体"/>
                      <w:szCs w:val="21"/>
                    </w:rPr>
                    <w:t>/d，规划近期(2025年)扩建至6万m</w:t>
                  </w:r>
                  <w:r>
                    <w:rPr>
                      <w:rFonts w:hint="eastAsia" w:hAnsi="宋体"/>
                      <w:szCs w:val="21"/>
                      <w:vertAlign w:val="superscript"/>
                    </w:rPr>
                    <w:t>3</w:t>
                  </w:r>
                  <w:r>
                    <w:rPr>
                      <w:rFonts w:hint="eastAsia" w:hAnsi="宋体"/>
                      <w:szCs w:val="21"/>
                    </w:rPr>
                    <w:t>/d。</w:t>
                  </w:r>
                </w:p>
              </w:tc>
              <w:tc>
                <w:tcPr>
                  <w:tcW w:w="1709" w:type="dxa"/>
                  <w:vAlign w:val="center"/>
                </w:tcPr>
                <w:p>
                  <w:pPr>
                    <w:adjustRightInd w:val="0"/>
                    <w:spacing w:line="0" w:lineRule="atLeast"/>
                    <w:jc w:val="center"/>
                    <w:rPr>
                      <w:rFonts w:hAnsi="宋体"/>
                      <w:szCs w:val="21"/>
                    </w:rPr>
                  </w:pPr>
                  <w:r>
                    <w:rPr>
                      <w:rFonts w:hint="eastAsia" w:hAnsi="宋体"/>
                      <w:szCs w:val="21"/>
                    </w:rPr>
                    <w:t>园区供水管网已铺设至本项目所在区域。本项目用水由园区集中供水管网供给，用水量较小，园区供水系统能够满足本项目用水</w:t>
                  </w:r>
                </w:p>
              </w:tc>
              <w:tc>
                <w:tcPr>
                  <w:tcW w:w="826" w:type="dxa"/>
                  <w:vAlign w:val="center"/>
                </w:tcPr>
                <w:p>
                  <w:pPr>
                    <w:adjustRightInd w:val="0"/>
                    <w:spacing w:line="0" w:lineRule="atLeast"/>
                    <w:jc w:val="center"/>
                    <w:rPr>
                      <w:rFonts w:hAnsi="宋体"/>
                      <w:szCs w:val="21"/>
                    </w:rPr>
                  </w:pPr>
                  <w:r>
                    <w:rPr>
                      <w:rFonts w:hint="eastAsia" w:hAnsi="宋体"/>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spacing w:line="0" w:lineRule="atLeast"/>
                    <w:jc w:val="center"/>
                    <w:rPr>
                      <w:rFonts w:hAnsi="宋体"/>
                      <w:szCs w:val="21"/>
                    </w:rPr>
                  </w:pPr>
                  <w:r>
                    <w:rPr>
                      <w:rFonts w:hint="eastAsia" w:hAnsi="宋体"/>
                      <w:szCs w:val="21"/>
                    </w:rPr>
                    <w:t>2</w:t>
                  </w:r>
                </w:p>
              </w:tc>
              <w:tc>
                <w:tcPr>
                  <w:tcW w:w="517" w:type="dxa"/>
                  <w:vAlign w:val="center"/>
                </w:tcPr>
                <w:p>
                  <w:pPr>
                    <w:spacing w:line="0" w:lineRule="atLeast"/>
                    <w:jc w:val="center"/>
                    <w:rPr>
                      <w:rFonts w:hAnsi="宋体"/>
                      <w:szCs w:val="21"/>
                    </w:rPr>
                  </w:pPr>
                  <w:r>
                    <w:rPr>
                      <w:rFonts w:hint="eastAsia" w:hAnsi="宋体"/>
                      <w:szCs w:val="21"/>
                    </w:rPr>
                    <w:t>排水工程</w:t>
                  </w:r>
                </w:p>
              </w:tc>
              <w:tc>
                <w:tcPr>
                  <w:tcW w:w="4036" w:type="dxa"/>
                  <w:vAlign w:val="center"/>
                </w:tcPr>
                <w:p>
                  <w:pPr>
                    <w:adjustRightInd w:val="0"/>
                    <w:spacing w:line="0" w:lineRule="atLeast"/>
                    <w:jc w:val="center"/>
                    <w:rPr>
                      <w:rFonts w:hAnsi="宋体"/>
                      <w:szCs w:val="21"/>
                    </w:rPr>
                  </w:pPr>
                  <w:r>
                    <w:rPr>
                      <w:rFonts w:hint="eastAsia" w:hAnsi="宋体"/>
                      <w:szCs w:val="21"/>
                    </w:rPr>
                    <w:t>规划采用雨污分流式排水体制。规划近期(现状)西区污水处理厂规模为0.7万立方米/日，规划远期扩大规模为1.5万立方米/日；新建东区污水处理厂，规划近期建设规模为2.0万立方米/日，规划远期规模为3.3万立方米/日。污水厂与再生水厂合建，出水回用于开发区各用水单元，少量尾水排入周边沟渠。</w:t>
                  </w:r>
                </w:p>
              </w:tc>
              <w:tc>
                <w:tcPr>
                  <w:tcW w:w="1709" w:type="dxa"/>
                  <w:vAlign w:val="center"/>
                </w:tcPr>
                <w:p>
                  <w:pPr>
                    <w:adjustRightInd w:val="0"/>
                    <w:spacing w:line="0" w:lineRule="atLeast"/>
                    <w:jc w:val="center"/>
                    <w:rPr>
                      <w:rFonts w:hAnsi="宋体"/>
                      <w:szCs w:val="21"/>
                    </w:rPr>
                  </w:pPr>
                  <w:r>
                    <w:rPr>
                      <w:rFonts w:hint="eastAsia"/>
                    </w:rPr>
                    <w:t>园区污水管网已铺设至项目所在厂区；项目</w:t>
                  </w:r>
                  <w:r>
                    <w:rPr>
                      <w:rFonts w:hint="eastAsia" w:hAnsi="宋体"/>
                      <w:szCs w:val="21"/>
                    </w:rPr>
                    <w:t>生活污水经市政污水管网排入新河县城东污水处理厂进行处理</w:t>
                  </w:r>
                </w:p>
              </w:tc>
              <w:tc>
                <w:tcPr>
                  <w:tcW w:w="826" w:type="dxa"/>
                  <w:vAlign w:val="center"/>
                </w:tcPr>
                <w:p>
                  <w:pPr>
                    <w:adjustRightInd w:val="0"/>
                    <w:spacing w:line="0" w:lineRule="atLeast"/>
                    <w:jc w:val="center"/>
                    <w:rPr>
                      <w:rFonts w:hAnsi="宋体"/>
                      <w:szCs w:val="21"/>
                    </w:rPr>
                  </w:pPr>
                  <w:r>
                    <w:rPr>
                      <w:rFonts w:hint="eastAsia" w:hAnsi="宋体"/>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spacing w:line="0" w:lineRule="atLeast"/>
                    <w:jc w:val="center"/>
                    <w:rPr>
                      <w:rFonts w:hAnsi="宋体"/>
                      <w:szCs w:val="21"/>
                    </w:rPr>
                  </w:pPr>
                  <w:r>
                    <w:rPr>
                      <w:rFonts w:hint="eastAsia" w:hAnsi="宋体"/>
                      <w:szCs w:val="21"/>
                    </w:rPr>
                    <w:t>3</w:t>
                  </w:r>
                </w:p>
              </w:tc>
              <w:tc>
                <w:tcPr>
                  <w:tcW w:w="517" w:type="dxa"/>
                  <w:vAlign w:val="center"/>
                </w:tcPr>
                <w:p>
                  <w:pPr>
                    <w:spacing w:line="0" w:lineRule="atLeast"/>
                    <w:jc w:val="center"/>
                    <w:rPr>
                      <w:rFonts w:hAnsi="宋体"/>
                      <w:szCs w:val="21"/>
                    </w:rPr>
                  </w:pPr>
                  <w:r>
                    <w:rPr>
                      <w:rFonts w:hint="eastAsia" w:hAnsi="宋体"/>
                      <w:szCs w:val="21"/>
                    </w:rPr>
                    <w:t>供电工程</w:t>
                  </w:r>
                </w:p>
              </w:tc>
              <w:tc>
                <w:tcPr>
                  <w:tcW w:w="4036" w:type="dxa"/>
                  <w:vAlign w:val="center"/>
                </w:tcPr>
                <w:p>
                  <w:pPr>
                    <w:adjustRightInd w:val="0"/>
                    <w:spacing w:line="0" w:lineRule="atLeast"/>
                    <w:jc w:val="center"/>
                    <w:rPr>
                      <w:rFonts w:hAnsi="宋体"/>
                      <w:szCs w:val="21"/>
                    </w:rPr>
                  </w:pPr>
                  <w:r>
                    <w:rPr>
                      <w:rFonts w:hint="eastAsia" w:hAnsi="宋体"/>
                      <w:szCs w:val="21"/>
                    </w:rPr>
                    <w:t>规划区内的电力由开发区现有西区110KV变电站和35KV变电站供给，并另增加1座110KV玉树变电站和1座110KV和谐变电站为开发区各区及中心城区供电。新增1座220千伏专用变电站，新河县县域规划220千伏变电站装机容量。</w:t>
                  </w:r>
                </w:p>
              </w:tc>
              <w:tc>
                <w:tcPr>
                  <w:tcW w:w="1709" w:type="dxa"/>
                  <w:vAlign w:val="center"/>
                </w:tcPr>
                <w:p>
                  <w:pPr>
                    <w:adjustRightInd w:val="0"/>
                    <w:spacing w:line="0" w:lineRule="atLeast"/>
                    <w:jc w:val="center"/>
                    <w:rPr>
                      <w:rFonts w:hAnsi="宋体"/>
                      <w:szCs w:val="21"/>
                    </w:rPr>
                  </w:pPr>
                  <w:r>
                    <w:rPr>
                      <w:rFonts w:hint="eastAsia" w:hAnsi="宋体"/>
                      <w:szCs w:val="21"/>
                    </w:rPr>
                    <w:t>本项目由园区供电系统进行供电</w:t>
                  </w:r>
                </w:p>
              </w:tc>
              <w:tc>
                <w:tcPr>
                  <w:tcW w:w="826" w:type="dxa"/>
                  <w:vAlign w:val="center"/>
                </w:tcPr>
                <w:p>
                  <w:pPr>
                    <w:adjustRightInd w:val="0"/>
                    <w:spacing w:line="0" w:lineRule="atLeast"/>
                    <w:jc w:val="center"/>
                    <w:rPr>
                      <w:rFonts w:hAnsi="宋体"/>
                      <w:szCs w:val="21"/>
                    </w:rPr>
                  </w:pPr>
                  <w:r>
                    <w:rPr>
                      <w:rFonts w:hint="eastAsia" w:hAnsi="宋体"/>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spacing w:line="0" w:lineRule="atLeast"/>
                    <w:jc w:val="center"/>
                    <w:rPr>
                      <w:rFonts w:hAnsi="宋体"/>
                      <w:szCs w:val="21"/>
                    </w:rPr>
                  </w:pPr>
                  <w:r>
                    <w:rPr>
                      <w:rFonts w:hint="eastAsia" w:hAnsi="宋体"/>
                      <w:szCs w:val="21"/>
                    </w:rPr>
                    <w:t>4</w:t>
                  </w:r>
                </w:p>
              </w:tc>
              <w:tc>
                <w:tcPr>
                  <w:tcW w:w="517" w:type="dxa"/>
                  <w:vAlign w:val="center"/>
                </w:tcPr>
                <w:p>
                  <w:pPr>
                    <w:spacing w:line="0" w:lineRule="atLeast"/>
                    <w:jc w:val="center"/>
                    <w:rPr>
                      <w:rFonts w:hAnsi="宋体"/>
                      <w:szCs w:val="21"/>
                    </w:rPr>
                  </w:pPr>
                  <w:r>
                    <w:rPr>
                      <w:rFonts w:hint="eastAsia" w:hAnsi="宋体"/>
                      <w:szCs w:val="21"/>
                    </w:rPr>
                    <w:t>供热工程</w:t>
                  </w:r>
                </w:p>
              </w:tc>
              <w:tc>
                <w:tcPr>
                  <w:tcW w:w="4036" w:type="dxa"/>
                  <w:vAlign w:val="center"/>
                </w:tcPr>
                <w:p>
                  <w:pPr>
                    <w:adjustRightInd w:val="0"/>
                    <w:spacing w:line="0" w:lineRule="atLeast"/>
                    <w:jc w:val="center"/>
                    <w:rPr>
                      <w:rFonts w:hAnsi="宋体"/>
                      <w:szCs w:val="21"/>
                    </w:rPr>
                  </w:pPr>
                  <w:r>
                    <w:rPr>
                      <w:rFonts w:hint="eastAsia" w:hAnsi="宋体"/>
                      <w:szCs w:val="21"/>
                    </w:rPr>
                    <w:t>开发区东区供热依托开发区规划的东区集中供热站，西区供热依托开发区规划的西区集中供热站。但目前项目所在区域集中供热设施尚未建设完毕。</w:t>
                  </w:r>
                </w:p>
              </w:tc>
              <w:tc>
                <w:tcPr>
                  <w:tcW w:w="1709" w:type="dxa"/>
                  <w:vAlign w:val="center"/>
                </w:tcPr>
                <w:p>
                  <w:pPr>
                    <w:adjustRightInd w:val="0"/>
                    <w:spacing w:line="0" w:lineRule="atLeast"/>
                    <w:jc w:val="center"/>
                    <w:rPr>
                      <w:rFonts w:hAnsi="宋体"/>
                      <w:szCs w:val="21"/>
                    </w:rPr>
                  </w:pPr>
                  <w:r>
                    <w:rPr>
                      <w:rFonts w:hint="eastAsia" w:hAnsi="宋体"/>
                      <w:szCs w:val="21"/>
                    </w:rPr>
                    <w:t>项目所在区域目前尚未实现集中供热，因此本项目生产用热使用天然气热风炉供给</w:t>
                  </w:r>
                </w:p>
              </w:tc>
              <w:tc>
                <w:tcPr>
                  <w:tcW w:w="826" w:type="dxa"/>
                  <w:vAlign w:val="center"/>
                </w:tcPr>
                <w:p>
                  <w:pPr>
                    <w:adjustRightInd w:val="0"/>
                    <w:spacing w:line="0" w:lineRule="atLeast"/>
                    <w:jc w:val="center"/>
                    <w:rPr>
                      <w:rFonts w:hAnsi="宋体"/>
                      <w:szCs w:val="21"/>
                    </w:rPr>
                  </w:pPr>
                  <w:r>
                    <w:rPr>
                      <w:rFonts w:hint="eastAsia" w:hAnsi="宋体"/>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7" w:type="dxa"/>
                  <w:vAlign w:val="center"/>
                </w:tcPr>
                <w:p>
                  <w:pPr>
                    <w:spacing w:line="0" w:lineRule="atLeast"/>
                    <w:jc w:val="center"/>
                    <w:rPr>
                      <w:rFonts w:hAnsi="宋体"/>
                      <w:szCs w:val="21"/>
                    </w:rPr>
                  </w:pPr>
                  <w:r>
                    <w:rPr>
                      <w:rFonts w:hint="eastAsia" w:hAnsi="宋体"/>
                      <w:szCs w:val="21"/>
                    </w:rPr>
                    <w:t>5</w:t>
                  </w:r>
                </w:p>
              </w:tc>
              <w:tc>
                <w:tcPr>
                  <w:tcW w:w="517" w:type="dxa"/>
                  <w:vAlign w:val="center"/>
                </w:tcPr>
                <w:p>
                  <w:pPr>
                    <w:spacing w:line="0" w:lineRule="atLeast"/>
                    <w:jc w:val="center"/>
                    <w:rPr>
                      <w:rFonts w:hAnsi="宋体"/>
                      <w:szCs w:val="21"/>
                    </w:rPr>
                  </w:pPr>
                  <w:r>
                    <w:rPr>
                      <w:rFonts w:hint="eastAsia" w:hAnsi="宋体"/>
                      <w:szCs w:val="21"/>
                    </w:rPr>
                    <w:t>供气工程</w:t>
                  </w:r>
                </w:p>
              </w:tc>
              <w:tc>
                <w:tcPr>
                  <w:tcW w:w="4036" w:type="dxa"/>
                  <w:vAlign w:val="center"/>
                </w:tcPr>
                <w:p>
                  <w:pPr>
                    <w:adjustRightInd w:val="0"/>
                    <w:spacing w:line="0" w:lineRule="atLeast"/>
                    <w:jc w:val="center"/>
                    <w:rPr>
                      <w:rFonts w:hAnsi="宋体"/>
                      <w:szCs w:val="21"/>
                    </w:rPr>
                  </w:pPr>
                  <w:r>
                    <w:rPr>
                      <w:rFonts w:hint="eastAsia" w:hAnsi="宋体"/>
                      <w:szCs w:val="21"/>
                    </w:rPr>
                    <w:t>规划燃气气源以天然气为主，石油气为辅。管道天然气主要来自上游天然气长输管道，由区内的规划调压站及区外的现状门站联合供气，规划在西区北侧和县城城南均建设1座天然气储配站，储量分别为200立方米；目前，区内沿主要交通道路两侧铺设的天然气管道基本覆盖开发区现有企业，主要由新河县绿源天然气有限公司和新河县中裕燃气有限公司供给。</w:t>
                  </w:r>
                </w:p>
              </w:tc>
              <w:tc>
                <w:tcPr>
                  <w:tcW w:w="1709" w:type="dxa"/>
                  <w:vAlign w:val="center"/>
                </w:tcPr>
                <w:p>
                  <w:pPr>
                    <w:adjustRightInd w:val="0"/>
                    <w:spacing w:line="0" w:lineRule="atLeast"/>
                    <w:jc w:val="center"/>
                    <w:rPr>
                      <w:rFonts w:hAnsi="宋体"/>
                      <w:szCs w:val="21"/>
                    </w:rPr>
                  </w:pPr>
                  <w:r>
                    <w:rPr>
                      <w:rFonts w:hint="eastAsia" w:hAnsi="宋体"/>
                      <w:szCs w:val="21"/>
                    </w:rPr>
                    <w:t>本项目天然气由新河县中裕燃气有限公司供给</w:t>
                  </w:r>
                </w:p>
              </w:tc>
              <w:tc>
                <w:tcPr>
                  <w:tcW w:w="826" w:type="dxa"/>
                  <w:vAlign w:val="center"/>
                </w:tcPr>
                <w:p>
                  <w:pPr>
                    <w:adjustRightInd w:val="0"/>
                    <w:spacing w:line="0" w:lineRule="atLeast"/>
                    <w:jc w:val="center"/>
                    <w:rPr>
                      <w:rFonts w:hAnsi="宋体"/>
                      <w:szCs w:val="21"/>
                    </w:rPr>
                  </w:pPr>
                  <w:r>
                    <w:rPr>
                      <w:rFonts w:hint="eastAsia" w:hAnsi="宋体"/>
                      <w:szCs w:val="21"/>
                    </w:rPr>
                    <w:t>符合</w:t>
                  </w:r>
                </w:p>
              </w:tc>
            </w:tr>
          </w:tbl>
          <w:p>
            <w:pPr>
              <w:autoSpaceDE w:val="0"/>
              <w:autoSpaceDN w:val="0"/>
              <w:spacing w:line="360" w:lineRule="auto"/>
              <w:ind w:firstLine="482" w:firstLineChars="200"/>
              <w:rPr>
                <w:b/>
                <w:bCs/>
                <w:kern w:val="0"/>
                <w:sz w:val="24"/>
              </w:rPr>
            </w:pPr>
            <w:r>
              <w:rPr>
                <w:rFonts w:hint="eastAsia"/>
                <w:b/>
                <w:bCs/>
                <w:kern w:val="0"/>
                <w:sz w:val="24"/>
              </w:rPr>
              <w:t>综上，本项目与园区</w:t>
            </w:r>
            <w:r>
              <w:rPr>
                <w:rFonts w:hint="eastAsia"/>
                <w:b/>
                <w:bCs/>
                <w:kern w:val="0"/>
                <w:sz w:val="24"/>
                <w:szCs w:val="21"/>
              </w:rPr>
              <w:t>基础设施建设相符。</w:t>
            </w:r>
          </w:p>
          <w:p>
            <w:pPr>
              <w:autoSpaceDE w:val="0"/>
              <w:autoSpaceDN w:val="0"/>
              <w:spacing w:line="360" w:lineRule="auto"/>
              <w:ind w:firstLine="480" w:firstLineChars="200"/>
              <w:rPr>
                <w:kern w:val="0"/>
                <w:sz w:val="24"/>
              </w:rPr>
            </w:pPr>
            <w:r>
              <w:rPr>
                <w:kern w:val="0"/>
                <w:sz w:val="24"/>
              </w:rPr>
              <w:t>2</w:t>
            </w:r>
            <w:r>
              <w:rPr>
                <w:rFonts w:hint="eastAsia"/>
                <w:kern w:val="0"/>
                <w:sz w:val="24"/>
              </w:rPr>
              <w:t>、与规划环境影响评价结论符合性分析</w:t>
            </w:r>
          </w:p>
          <w:p>
            <w:pPr>
              <w:autoSpaceDE w:val="0"/>
              <w:autoSpaceDN w:val="0"/>
              <w:spacing w:line="360" w:lineRule="auto"/>
              <w:ind w:firstLine="480" w:firstLineChars="200"/>
              <w:jc w:val="left"/>
              <w:rPr>
                <w:kern w:val="0"/>
                <w:sz w:val="24"/>
              </w:rPr>
            </w:pPr>
            <w:r>
              <w:rPr>
                <w:rFonts w:hint="eastAsia"/>
                <w:kern w:val="0"/>
                <w:sz w:val="24"/>
              </w:rPr>
              <w:t>规划环境影响评价结论：根据环境影响预测结果，河北新河经济开发区的实施会对规划周边环境质量产生一定的不利影响，但通过对区域农村散煤燃烧面源污染进行煤改电或重点项目余热替代，并对区域相关污染源进行削减，入区企业采取完善的污染预防措施的情况下，规划的实施有利于促进区域环境质量的改善，可满足环境质量底线要求；在充分利用污水处理厂再生水以及加强环保管理的前提下，区域资源环境可以承载规划的实施，不突破水资源、土地资源利用上线；开发区规划范围内不涉及生态保护红线区；规划产业空间布局和能源结构相对合理，可以达到相应的环境保护目标。</w:t>
            </w:r>
          </w:p>
          <w:p>
            <w:pPr>
              <w:autoSpaceDE w:val="0"/>
              <w:autoSpaceDN w:val="0"/>
              <w:spacing w:line="360" w:lineRule="auto"/>
              <w:ind w:firstLine="480" w:firstLineChars="200"/>
              <w:rPr>
                <w:kern w:val="0"/>
                <w:sz w:val="24"/>
              </w:rPr>
            </w:pPr>
            <w:r>
              <w:rPr>
                <w:rFonts w:hint="eastAsia"/>
                <w:kern w:val="0"/>
                <w:sz w:val="24"/>
              </w:rPr>
              <w:t>规划环境影响补充报告评价结论：变更后的河北新河经济开发区总体规划在产业布局、用地布局和经济目标等方面更趋合理；通过对钢铁、焦化产业压减产能，提高清洁生产水平，使资源、能源消耗降低，变更后对区域具有一定的减排作用；同时，通过设置环区防护水系，实现开发区东区废水不外排，进一步降低水环境风险影响。在采取本评价提出的预防和治理措施后，对区域环境影响是减轻的。根据本评价要求，规划应加强节水措施、提高再生水利用率，产业发展规模“量水而行”，同时优化规划布局，加强环境保护预防和治理措施，并根据本评价提出的三线一单约束体系，在加强开发区生态空间管控，严格控制污染物排放总量的前提下，河北新河经济开发区总体规划的实施具有环境合理性和可行性。</w:t>
            </w:r>
          </w:p>
          <w:p>
            <w:pPr>
              <w:autoSpaceDE w:val="0"/>
              <w:autoSpaceDN w:val="0"/>
              <w:spacing w:line="360" w:lineRule="auto"/>
              <w:ind w:firstLine="480" w:firstLineChars="200"/>
              <w:rPr>
                <w:kern w:val="0"/>
                <w:sz w:val="24"/>
              </w:rPr>
            </w:pPr>
            <w:r>
              <w:rPr>
                <w:rFonts w:hint="eastAsia"/>
                <w:kern w:val="0"/>
                <w:sz w:val="24"/>
              </w:rPr>
              <w:t>本项目为配电箱（柜）</w:t>
            </w:r>
            <w:r>
              <w:rPr>
                <w:rFonts w:hint="eastAsia"/>
                <w:sz w:val="24"/>
              </w:rPr>
              <w:t>生产</w:t>
            </w:r>
            <w:r>
              <w:rPr>
                <w:rFonts w:hint="eastAsia"/>
                <w:kern w:val="0"/>
                <w:sz w:val="24"/>
              </w:rPr>
              <w:t>项目，</w:t>
            </w:r>
            <w:r>
              <w:rPr>
                <w:rFonts w:hint="eastAsia"/>
                <w:bCs/>
                <w:sz w:val="24"/>
              </w:rPr>
              <w:t>项目对产生的废气、废水、噪声、固废等污染物均采取了严格的治理和处置措施，污染物均能得到合理处置并达标排放；</w:t>
            </w:r>
            <w:r>
              <w:rPr>
                <w:rFonts w:hint="eastAsia"/>
                <w:sz w:val="24"/>
                <w:lang w:bidi="ar"/>
              </w:rPr>
              <w:t>项目</w:t>
            </w:r>
            <w:r>
              <w:rPr>
                <w:rFonts w:hint="eastAsia"/>
                <w:kern w:val="0"/>
                <w:sz w:val="24"/>
              </w:rPr>
              <w:t>水资源、土地资源、天然气资源</w:t>
            </w:r>
            <w:r>
              <w:rPr>
                <w:kern w:val="0"/>
                <w:sz w:val="24"/>
              </w:rPr>
              <w:t>消耗量较少</w:t>
            </w:r>
            <w:r>
              <w:rPr>
                <w:rFonts w:hint="eastAsia"/>
                <w:kern w:val="0"/>
                <w:sz w:val="24"/>
              </w:rPr>
              <w:t>，不会突破水资源、土地资源利用上线；项目位置不在生态红线范围内；项目符合园区产业定位，河北新河经济开发区管理委员会于2021年8月17日为本项目出具了选址意见书，同意本项目建设。</w:t>
            </w:r>
          </w:p>
          <w:p>
            <w:pPr>
              <w:autoSpaceDE w:val="0"/>
              <w:autoSpaceDN w:val="0"/>
              <w:spacing w:line="360" w:lineRule="auto"/>
              <w:ind w:firstLine="482" w:firstLineChars="200"/>
              <w:rPr>
                <w:b/>
                <w:sz w:val="24"/>
              </w:rPr>
            </w:pPr>
            <w:r>
              <w:rPr>
                <w:rFonts w:hint="eastAsia"/>
                <w:b/>
                <w:sz w:val="24"/>
              </w:rPr>
              <w:t>综上，本项目建设符合</w:t>
            </w:r>
            <w:r>
              <w:rPr>
                <w:rFonts w:hint="eastAsia"/>
                <w:b/>
                <w:kern w:val="0"/>
                <w:sz w:val="24"/>
              </w:rPr>
              <w:t>规划环境影响评价报告及规划环境影响补充报告中的结论要求</w:t>
            </w:r>
            <w:r>
              <w:rPr>
                <w:rFonts w:hint="eastAsia"/>
                <w:b/>
                <w:sz w:val="24"/>
              </w:rPr>
              <w:t>。</w:t>
            </w:r>
          </w:p>
          <w:p>
            <w:pPr>
              <w:autoSpaceDE w:val="0"/>
              <w:autoSpaceDN w:val="0"/>
              <w:spacing w:line="360" w:lineRule="auto"/>
              <w:ind w:firstLine="480" w:firstLineChars="200"/>
              <w:jc w:val="left"/>
              <w:rPr>
                <w:bCs/>
                <w:sz w:val="24"/>
              </w:rPr>
            </w:pPr>
            <w:r>
              <w:rPr>
                <w:bCs/>
                <w:sz w:val="24"/>
              </w:rPr>
              <w:t>3</w:t>
            </w:r>
            <w:r>
              <w:rPr>
                <w:rFonts w:hint="eastAsia"/>
                <w:bCs/>
                <w:sz w:val="24"/>
              </w:rPr>
              <w:t>、与规划环评审查意见的符合性分析</w:t>
            </w:r>
          </w:p>
          <w:p>
            <w:pPr>
              <w:autoSpaceDE w:val="0"/>
              <w:autoSpaceDN w:val="0"/>
              <w:adjustRightInd w:val="0"/>
              <w:snapToGrid w:val="0"/>
              <w:spacing w:line="360" w:lineRule="auto"/>
              <w:ind w:firstLine="480" w:firstLineChars="200"/>
              <w:rPr>
                <w:kern w:val="0"/>
                <w:sz w:val="24"/>
                <w:szCs w:val="21"/>
              </w:rPr>
            </w:pPr>
            <w:r>
              <w:rPr>
                <w:rFonts w:hint="eastAsia"/>
                <w:sz w:val="24"/>
                <w:szCs w:val="32"/>
              </w:rPr>
              <w:t>本项目与规划环评审查意见的符合性分析情况见表3，与规划环评补充报告审查意见的符合性分析见表4</w:t>
            </w:r>
            <w:r>
              <w:rPr>
                <w:kern w:val="0"/>
                <w:sz w:val="24"/>
                <w:szCs w:val="21"/>
              </w:rPr>
              <w:t>。</w:t>
            </w:r>
          </w:p>
          <w:p>
            <w:pPr>
              <w:pStyle w:val="21"/>
              <w:snapToGrid w:val="0"/>
              <w:spacing w:line="240" w:lineRule="atLeast"/>
              <w:jc w:val="center"/>
              <w:rPr>
                <w:rFonts w:ascii="Times New Roman" w:hAnsi="Times New Roman" w:cs="Times New Roman"/>
                <w:b/>
                <w:bCs/>
                <w:color w:val="auto"/>
              </w:rPr>
            </w:pPr>
          </w:p>
          <w:p>
            <w:pPr>
              <w:pStyle w:val="21"/>
              <w:snapToGrid w:val="0"/>
              <w:spacing w:line="240" w:lineRule="atLeast"/>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3  本项目与规划环评审查意见符合性分析一览表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3709"/>
              <w:gridCol w:w="2408"/>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jc w:val="center"/>
                    <w:rPr>
                      <w:b/>
                      <w:szCs w:val="21"/>
                    </w:rPr>
                  </w:pPr>
                  <w:r>
                    <w:rPr>
                      <w:b/>
                      <w:szCs w:val="21"/>
                      <w:lang w:bidi="ar"/>
                    </w:rPr>
                    <w:t>序号</w:t>
                  </w:r>
                </w:p>
              </w:tc>
              <w:tc>
                <w:tcPr>
                  <w:tcW w:w="2473" w:type="pct"/>
                  <w:vAlign w:val="center"/>
                </w:tcPr>
                <w:p>
                  <w:pPr>
                    <w:autoSpaceDE w:val="0"/>
                    <w:autoSpaceDN w:val="0"/>
                    <w:jc w:val="center"/>
                    <w:rPr>
                      <w:b/>
                      <w:kern w:val="0"/>
                      <w:szCs w:val="21"/>
                      <w:lang w:bidi="ar"/>
                    </w:rPr>
                  </w:pPr>
                  <w:r>
                    <w:rPr>
                      <w:rFonts w:hint="eastAsia"/>
                      <w:b/>
                      <w:kern w:val="0"/>
                      <w:szCs w:val="21"/>
                      <w:lang w:bidi="ar"/>
                    </w:rPr>
                    <w:t>规划环评审查意见</w:t>
                  </w:r>
                  <w:r>
                    <w:rPr>
                      <w:b/>
                      <w:kern w:val="0"/>
                      <w:szCs w:val="21"/>
                      <w:lang w:bidi="ar"/>
                    </w:rPr>
                    <w:t>要求</w:t>
                  </w:r>
                </w:p>
              </w:tc>
              <w:tc>
                <w:tcPr>
                  <w:tcW w:w="1606" w:type="pct"/>
                  <w:vAlign w:val="center"/>
                </w:tcPr>
                <w:p>
                  <w:pPr>
                    <w:autoSpaceDE w:val="0"/>
                    <w:autoSpaceDN w:val="0"/>
                    <w:jc w:val="center"/>
                    <w:rPr>
                      <w:b/>
                      <w:kern w:val="0"/>
                      <w:szCs w:val="21"/>
                      <w:lang w:bidi="ar"/>
                    </w:rPr>
                  </w:pPr>
                  <w:r>
                    <w:rPr>
                      <w:b/>
                      <w:kern w:val="0"/>
                      <w:szCs w:val="21"/>
                      <w:lang w:bidi="ar"/>
                    </w:rPr>
                    <w:t>本项目</w:t>
                  </w:r>
                </w:p>
              </w:tc>
              <w:tc>
                <w:tcPr>
                  <w:tcW w:w="528" w:type="pct"/>
                  <w:vAlign w:val="center"/>
                </w:tcPr>
                <w:p>
                  <w:pPr>
                    <w:jc w:val="center"/>
                    <w:rPr>
                      <w:b/>
                      <w:szCs w:val="21"/>
                    </w:rPr>
                  </w:pPr>
                  <w:r>
                    <w:rPr>
                      <w:b/>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jc w:val="center"/>
                    <w:rPr>
                      <w:bCs/>
                      <w:szCs w:val="21"/>
                      <w:lang w:bidi="ar"/>
                    </w:rPr>
                  </w:pPr>
                  <w:r>
                    <w:rPr>
                      <w:rFonts w:hint="eastAsia"/>
                      <w:bCs/>
                      <w:szCs w:val="21"/>
                      <w:lang w:bidi="ar"/>
                    </w:rPr>
                    <w:t>1</w:t>
                  </w:r>
                </w:p>
              </w:tc>
              <w:tc>
                <w:tcPr>
                  <w:tcW w:w="2473" w:type="pct"/>
                  <w:vAlign w:val="center"/>
                </w:tcPr>
                <w:p>
                  <w:pPr>
                    <w:autoSpaceDE w:val="0"/>
                    <w:autoSpaceDN w:val="0"/>
                    <w:jc w:val="center"/>
                    <w:rPr>
                      <w:szCs w:val="21"/>
                    </w:rPr>
                  </w:pPr>
                  <w:r>
                    <w:rPr>
                      <w:rFonts w:hint="eastAsia"/>
                      <w:szCs w:val="21"/>
                    </w:rPr>
                    <w:t>加强环境准入，推动产业转型升级和绿色发展。入区企业应符合《关于促进京津冀地区经济社会与生态环境保护协调发展的指导意见》（环办环评[2018]24号）、《产业结构调整指导目录(2011年本）》(2013年修订）、《河北省新增限制和淘汰类产业目录(2015年版）》（冀政办发[2015]7号）等文件规定要求，焦化项目应满足《焦化行业准入条件(2014年修订）》（中华人民共和国工业和信息化部公告2014年第14号）等要求。严格落实环评报告中空间管控和生态环境准入清单的要求。</w:t>
                  </w:r>
                </w:p>
              </w:tc>
              <w:tc>
                <w:tcPr>
                  <w:tcW w:w="1606" w:type="pct"/>
                  <w:vAlign w:val="center"/>
                </w:tcPr>
                <w:p>
                  <w:pPr>
                    <w:autoSpaceDE w:val="0"/>
                    <w:autoSpaceDN w:val="0"/>
                    <w:jc w:val="center"/>
                    <w:rPr>
                      <w:kern w:val="0"/>
                      <w:szCs w:val="21"/>
                    </w:rPr>
                  </w:pPr>
                  <w:r>
                    <w:rPr>
                      <w:rFonts w:hint="eastAsia"/>
                      <w:kern w:val="0"/>
                      <w:szCs w:val="21"/>
                      <w:lang w:bidi="ar"/>
                    </w:rPr>
                    <w:t>本项目符合《关于促进京津冀地区经济社会与生态环境保护协调发展的指导意见》（环办环评[2018]24号）、</w:t>
                  </w:r>
                  <w:r>
                    <w:rPr>
                      <w:rFonts w:hint="eastAsia"/>
                      <w:kern w:val="0"/>
                      <w:szCs w:val="21"/>
                    </w:rPr>
                    <w:t>《产业结构调整指导目录（2019年）》</w:t>
                  </w:r>
                  <w:r>
                    <w:rPr>
                      <w:rFonts w:hint="eastAsia"/>
                      <w:kern w:val="0"/>
                      <w:szCs w:val="21"/>
                      <w:lang w:bidi="ar"/>
                    </w:rPr>
                    <w:t>、《河北省新增限制和淘汰类产业目录(2015年版）》（冀政办发[2015]7号）等文件规定要求，项目建设符合规划环评报告中空间管控和生态环境准入清单的要求</w:t>
                  </w:r>
                  <w:r>
                    <w:rPr>
                      <w:szCs w:val="21"/>
                    </w:rPr>
                    <w:t>。</w:t>
                  </w:r>
                </w:p>
              </w:tc>
              <w:tc>
                <w:tcPr>
                  <w:tcW w:w="528" w:type="pct"/>
                  <w:vAlign w:val="center"/>
                </w:tcPr>
                <w:p>
                  <w:pPr>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jc w:val="center"/>
                    <w:rPr>
                      <w:bCs/>
                      <w:szCs w:val="21"/>
                      <w:lang w:bidi="ar"/>
                    </w:rPr>
                  </w:pPr>
                  <w:r>
                    <w:rPr>
                      <w:bCs/>
                      <w:szCs w:val="21"/>
                      <w:lang w:bidi="ar"/>
                    </w:rPr>
                    <w:t>2</w:t>
                  </w:r>
                </w:p>
              </w:tc>
              <w:tc>
                <w:tcPr>
                  <w:tcW w:w="2473" w:type="pct"/>
                  <w:vAlign w:val="center"/>
                </w:tcPr>
                <w:p>
                  <w:pPr>
                    <w:autoSpaceDE w:val="0"/>
                    <w:autoSpaceDN w:val="0"/>
                    <w:jc w:val="center"/>
                    <w:rPr>
                      <w:szCs w:val="21"/>
                    </w:rPr>
                  </w:pPr>
                  <w:r>
                    <w:rPr>
                      <w:rFonts w:hint="eastAsia"/>
                      <w:szCs w:val="21"/>
                    </w:rPr>
                    <w:t>加强空间管制，优化生产空间和生活空间。控制开发区边界外居民点向开发区方向发展，确保开发区内企业与敏感点保持足够的防护距离，减少突发事件可能对居民区产生的影响。合理控制开发区发展规模和开发强度，同时加强与新河县城乡总体规划的协调与衔接。</w:t>
                  </w:r>
                </w:p>
              </w:tc>
              <w:tc>
                <w:tcPr>
                  <w:tcW w:w="1606" w:type="pct"/>
                  <w:vAlign w:val="center"/>
                </w:tcPr>
                <w:p>
                  <w:pPr>
                    <w:autoSpaceDE w:val="0"/>
                    <w:autoSpaceDN w:val="0"/>
                    <w:jc w:val="center"/>
                    <w:rPr>
                      <w:kern w:val="0"/>
                      <w:szCs w:val="21"/>
                      <w:lang w:bidi="ar"/>
                    </w:rPr>
                  </w:pPr>
                  <w:r>
                    <w:rPr>
                      <w:rFonts w:hint="eastAsia"/>
                      <w:szCs w:val="21"/>
                    </w:rPr>
                    <w:t>本项目位于</w:t>
                  </w:r>
                  <w:r>
                    <w:rPr>
                      <w:snapToGrid w:val="0"/>
                      <w:szCs w:val="21"/>
                    </w:rPr>
                    <w:t>河北新河经济开发区</w:t>
                  </w:r>
                  <w:r>
                    <w:rPr>
                      <w:rFonts w:hint="eastAsia"/>
                      <w:snapToGrid w:val="0"/>
                      <w:szCs w:val="21"/>
                    </w:rPr>
                    <w:t>东区</w:t>
                  </w:r>
                  <w:r>
                    <w:rPr>
                      <w:rFonts w:hint="eastAsia"/>
                      <w:sz w:val="24"/>
                      <w:szCs w:val="32"/>
                    </w:rPr>
                    <w:t>新能源及其配套循环产业园区</w:t>
                  </w:r>
                  <w:r>
                    <w:rPr>
                      <w:rFonts w:hint="eastAsia"/>
                      <w:szCs w:val="21"/>
                    </w:rPr>
                    <w:t>，符合</w:t>
                  </w:r>
                  <w:r>
                    <w:rPr>
                      <w:rFonts w:hint="eastAsia"/>
                      <w:kern w:val="0"/>
                      <w:szCs w:val="21"/>
                    </w:rPr>
                    <w:t>新河县城乡总体规划要求</w:t>
                  </w:r>
                  <w:r>
                    <w:rPr>
                      <w:rFonts w:hint="eastAsia"/>
                      <w:kern w:val="0"/>
                      <w:szCs w:val="21"/>
                      <w:lang w:bidi="ar"/>
                    </w:rPr>
                    <w:t>；且企业与敏感点</w:t>
                  </w:r>
                  <w:r>
                    <w:rPr>
                      <w:rFonts w:hint="eastAsia"/>
                      <w:szCs w:val="21"/>
                    </w:rPr>
                    <w:t>保持足够的防护距离</w:t>
                  </w:r>
                </w:p>
              </w:tc>
              <w:tc>
                <w:tcPr>
                  <w:tcW w:w="528" w:type="pct"/>
                  <w:vAlign w:val="center"/>
                </w:tcPr>
                <w:p>
                  <w:pPr>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jc w:val="center"/>
                    <w:rPr>
                      <w:bCs/>
                      <w:szCs w:val="21"/>
                      <w:lang w:bidi="ar"/>
                    </w:rPr>
                  </w:pPr>
                  <w:r>
                    <w:rPr>
                      <w:bCs/>
                      <w:szCs w:val="21"/>
                      <w:lang w:bidi="ar"/>
                    </w:rPr>
                    <w:t>3</w:t>
                  </w:r>
                </w:p>
              </w:tc>
              <w:tc>
                <w:tcPr>
                  <w:tcW w:w="2473" w:type="pct"/>
                  <w:vAlign w:val="center"/>
                </w:tcPr>
                <w:p>
                  <w:pPr>
                    <w:autoSpaceDE w:val="0"/>
                    <w:autoSpaceDN w:val="0"/>
                    <w:jc w:val="center"/>
                    <w:rPr>
                      <w:szCs w:val="21"/>
                    </w:rPr>
                  </w:pPr>
                  <w:r>
                    <w:rPr>
                      <w:rFonts w:hint="eastAsia"/>
                      <w:szCs w:val="21"/>
                    </w:rPr>
                    <w:t>加强总量管控，推进环境质量改善。按照最不利条件并预留一定安全余量的原则，提出污染物排放总量控制上线作为开发区污染物排放总量管控限值。结合区域污染物减排规划实施情况，不断提升技术工艺及节能节水控污水平，推动环境质量改善。</w:t>
                  </w:r>
                </w:p>
              </w:tc>
              <w:tc>
                <w:tcPr>
                  <w:tcW w:w="1606" w:type="pct"/>
                  <w:vAlign w:val="center"/>
                </w:tcPr>
                <w:p>
                  <w:pPr>
                    <w:autoSpaceDE w:val="0"/>
                    <w:autoSpaceDN w:val="0"/>
                    <w:jc w:val="center"/>
                    <w:rPr>
                      <w:kern w:val="0"/>
                      <w:szCs w:val="21"/>
                      <w:lang w:bidi="ar"/>
                    </w:rPr>
                  </w:pPr>
                  <w:r>
                    <w:rPr>
                      <w:rFonts w:hint="eastAsia"/>
                      <w:bCs/>
                      <w:szCs w:val="21"/>
                    </w:rPr>
                    <w:t>本项目按照要求进行总量交易，总量需满足</w:t>
                  </w:r>
                  <w:r>
                    <w:rPr>
                      <w:rFonts w:hint="eastAsia"/>
                    </w:rPr>
                    <w:t>开发区污染物排放总量管控限值要求</w:t>
                  </w:r>
                  <w:r>
                    <w:rPr>
                      <w:rFonts w:hint="eastAsia"/>
                      <w:szCs w:val="21"/>
                    </w:rPr>
                    <w:t>；</w:t>
                  </w:r>
                  <w:r>
                    <w:rPr>
                      <w:rFonts w:hint="eastAsia"/>
                      <w:bCs/>
                      <w:szCs w:val="21"/>
                    </w:rPr>
                    <w:t>废水经</w:t>
                  </w:r>
                  <w:r>
                    <w:rPr>
                      <w:bCs/>
                      <w:szCs w:val="21"/>
                    </w:rPr>
                    <w:t>化粪池处理后排入园区污水管网</w:t>
                  </w:r>
                  <w:r>
                    <w:rPr>
                      <w:rFonts w:hint="eastAsia"/>
                      <w:szCs w:val="21"/>
                      <w:lang w:bidi="ar"/>
                    </w:rPr>
                    <w:t>；</w:t>
                  </w:r>
                  <w:r>
                    <w:rPr>
                      <w:rFonts w:hint="eastAsia"/>
                      <w:bCs/>
                      <w:szCs w:val="21"/>
                    </w:rPr>
                    <w:t>各污染物均采取了严格的治理和处置措施，均能达标排放，对周围环境影响较小</w:t>
                  </w:r>
                  <w:r>
                    <w:rPr>
                      <w:rFonts w:hint="eastAsia"/>
                      <w:kern w:val="0"/>
                      <w:szCs w:val="21"/>
                      <w:lang w:bidi="ar"/>
                    </w:rPr>
                    <w:t>。</w:t>
                  </w:r>
                </w:p>
              </w:tc>
              <w:tc>
                <w:tcPr>
                  <w:tcW w:w="528" w:type="pct"/>
                  <w:vAlign w:val="center"/>
                </w:tcPr>
                <w:p>
                  <w:pPr>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ind w:left="-105" w:leftChars="-50" w:right="-105" w:rightChars="-50"/>
                    <w:jc w:val="center"/>
                    <w:rPr>
                      <w:bCs/>
                      <w:szCs w:val="21"/>
                      <w:lang w:bidi="ar"/>
                    </w:rPr>
                  </w:pPr>
                  <w:r>
                    <w:rPr>
                      <w:rFonts w:hint="eastAsia"/>
                    </w:rPr>
                    <w:t>4</w:t>
                  </w:r>
                </w:p>
              </w:tc>
              <w:tc>
                <w:tcPr>
                  <w:tcW w:w="2473" w:type="pct"/>
                  <w:vAlign w:val="center"/>
                </w:tcPr>
                <w:p>
                  <w:pPr>
                    <w:ind w:left="-105" w:leftChars="-50" w:right="-105" w:rightChars="-50"/>
                    <w:jc w:val="center"/>
                    <w:rPr>
                      <w:szCs w:val="21"/>
                    </w:rPr>
                  </w:pPr>
                  <w:r>
                    <w:rPr>
                      <w:rFonts w:hint="eastAsia"/>
                      <w:spacing w:val="-6"/>
                    </w:rPr>
                    <w:t>加强规划环评与项目环评联动，切实发挥规划和项目环评预防环境污染和生态破坏的作用。项目环评文件应落实规划环评提出的各项要求，区域环境概况、选址符合性分析、环境影响预测与评价、环境管理与环境质量监测内容可适当简化；重点开展工程分析、环保措施的可行性论证，并关注开发区基础设施及应急体系保障能力，强化环境监测和环境保护相关措施的落实</w:t>
                  </w:r>
                </w:p>
              </w:tc>
              <w:tc>
                <w:tcPr>
                  <w:tcW w:w="1606" w:type="pct"/>
                  <w:vAlign w:val="center"/>
                </w:tcPr>
                <w:p>
                  <w:pPr>
                    <w:ind w:left="-105" w:leftChars="-50" w:right="-105" w:rightChars="-50"/>
                    <w:jc w:val="center"/>
                    <w:rPr>
                      <w:bCs/>
                      <w:szCs w:val="21"/>
                    </w:rPr>
                  </w:pPr>
                  <w:r>
                    <w:rPr>
                      <w:rFonts w:hint="eastAsia"/>
                    </w:rPr>
                    <w:t>本项目在落实报告提出的各项环保政策的前提下，对环境的影响可以接受；运行过程中严格落实环</w:t>
                  </w:r>
                  <w:r>
                    <w:rPr>
                      <w:rFonts w:hint="eastAsia"/>
                      <w:spacing w:val="-6"/>
                    </w:rPr>
                    <w:t>境监测和环境保护相关措施</w:t>
                  </w:r>
                </w:p>
              </w:tc>
              <w:tc>
                <w:tcPr>
                  <w:tcW w:w="528" w:type="pct"/>
                  <w:vAlign w:val="center"/>
                </w:tcPr>
                <w:p>
                  <w:pPr>
                    <w:ind w:left="-105" w:leftChars="-50" w:right="-105" w:rightChars="-50"/>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ind w:left="-105" w:leftChars="-50" w:right="-105" w:rightChars="-50"/>
                    <w:jc w:val="center"/>
                    <w:rPr>
                      <w:bCs/>
                      <w:szCs w:val="21"/>
                      <w:lang w:bidi="ar"/>
                    </w:rPr>
                  </w:pPr>
                  <w:r>
                    <w:rPr>
                      <w:rFonts w:hint="eastAsia"/>
                    </w:rPr>
                    <w:t>5</w:t>
                  </w:r>
                </w:p>
              </w:tc>
              <w:tc>
                <w:tcPr>
                  <w:tcW w:w="2473" w:type="pct"/>
                  <w:vAlign w:val="center"/>
                </w:tcPr>
                <w:p>
                  <w:pPr>
                    <w:ind w:left="-105" w:leftChars="-50" w:right="-105" w:rightChars="-50"/>
                    <w:jc w:val="center"/>
                    <w:rPr>
                      <w:szCs w:val="21"/>
                    </w:rPr>
                  </w:pPr>
                  <w:r>
                    <w:rPr>
                      <w:rFonts w:hint="eastAsia"/>
                      <w:spacing w:val="-6"/>
                    </w:rPr>
                    <w:t>注重开发区发展与区域资源承载力相协调，统筹规划建设开发区配套的基础设施。开发区供水由新河县南水北调(800万立方米/年）和引黄水工程（600万立方米/年)供应，预计于2020年12月前建成投运；开发区西区污水处理厂再生水回用设施（0.5万立方米/年）于2020年12月底前建设完成；东区污水处理厂（2万立方米/年）于2020年12月底建成投运，并同步建设再生水回用设施；邢钢热电厂及开发区供热管网工程应与邢钢、建滔搬迁项目同步建设，总供热能力245兆瓦，预计2021年12月底建成投运；同步规划和建设相应管网工程，满足开发区近、远期的供水、供热、排水等需求</w:t>
                  </w:r>
                </w:p>
              </w:tc>
              <w:tc>
                <w:tcPr>
                  <w:tcW w:w="1606" w:type="pct"/>
                  <w:vAlign w:val="center"/>
                </w:tcPr>
                <w:p>
                  <w:pPr>
                    <w:ind w:left="-105" w:leftChars="-50" w:right="-105" w:rightChars="-50"/>
                    <w:jc w:val="center"/>
                    <w:rPr>
                      <w:bCs/>
                      <w:szCs w:val="21"/>
                    </w:rPr>
                  </w:pPr>
                  <w:r>
                    <w:rPr>
                      <w:rFonts w:hint="eastAsia"/>
                    </w:rPr>
                    <w:t>本项目用电、用水及排水依托开发区配套设施</w:t>
                  </w:r>
                </w:p>
              </w:tc>
              <w:tc>
                <w:tcPr>
                  <w:tcW w:w="528" w:type="pct"/>
                  <w:vAlign w:val="center"/>
                </w:tcPr>
                <w:p>
                  <w:pPr>
                    <w:ind w:left="-105" w:leftChars="-50" w:right="-105" w:rightChars="-50"/>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ind w:left="-105" w:leftChars="-50" w:right="-105" w:rightChars="-50"/>
                    <w:jc w:val="center"/>
                  </w:pPr>
                  <w:r>
                    <w:rPr>
                      <w:rFonts w:hint="eastAsia"/>
                    </w:rPr>
                    <w:t>6</w:t>
                  </w:r>
                </w:p>
              </w:tc>
              <w:tc>
                <w:tcPr>
                  <w:tcW w:w="2473" w:type="pct"/>
                  <w:vAlign w:val="center"/>
                </w:tcPr>
                <w:p>
                  <w:pPr>
                    <w:ind w:left="-105" w:leftChars="-50" w:right="-105" w:rightChars="-50"/>
                    <w:jc w:val="center"/>
                    <w:rPr>
                      <w:spacing w:val="-6"/>
                    </w:rPr>
                  </w:pPr>
                  <w:r>
                    <w:rPr>
                      <w:rFonts w:hint="eastAsia"/>
                    </w:rPr>
                    <w:t>加强区域环境污染防治和应急措施。严格落实各项环境风险防范措施，加强风险事故情况下的环境污染防范措施和应急处置，防止对周边环境敏感点造成影响</w:t>
                  </w:r>
                </w:p>
              </w:tc>
              <w:tc>
                <w:tcPr>
                  <w:tcW w:w="1606" w:type="pct"/>
                  <w:vAlign w:val="center"/>
                </w:tcPr>
                <w:p>
                  <w:pPr>
                    <w:ind w:left="-105" w:leftChars="-50" w:right="-105" w:rightChars="-50"/>
                    <w:jc w:val="center"/>
                  </w:pPr>
                  <w:r>
                    <w:rPr>
                      <w:rFonts w:hint="eastAsia"/>
                    </w:rPr>
                    <w:t>本项目制定了环境风险防范措施，并应按规定制定环境风险应急预案，同时加强与园区等联动</w:t>
                  </w:r>
                </w:p>
              </w:tc>
              <w:tc>
                <w:tcPr>
                  <w:tcW w:w="528" w:type="pct"/>
                  <w:vAlign w:val="center"/>
                </w:tcPr>
                <w:p>
                  <w:pPr>
                    <w:ind w:left="-105" w:leftChars="-50" w:right="-105" w:rightChars="-50"/>
                    <w:jc w:val="center"/>
                    <w:rPr>
                      <w:bCs/>
                      <w:szCs w:val="21"/>
                      <w:lang w:bidi="ar"/>
                    </w:rPr>
                  </w:pPr>
                  <w:r>
                    <w:rPr>
                      <w:rFonts w:hint="eastAsia"/>
                      <w:bCs/>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pPr>
                    <w:ind w:left="-105" w:leftChars="-50" w:right="-105" w:rightChars="-50"/>
                    <w:jc w:val="center"/>
                  </w:pPr>
                  <w:r>
                    <w:rPr>
                      <w:rFonts w:hint="eastAsia"/>
                    </w:rPr>
                    <w:t>7</w:t>
                  </w:r>
                </w:p>
              </w:tc>
              <w:tc>
                <w:tcPr>
                  <w:tcW w:w="2473" w:type="pct"/>
                  <w:vAlign w:val="center"/>
                </w:tcPr>
                <w:p>
                  <w:pPr>
                    <w:ind w:left="-105" w:leftChars="-50" w:right="-105" w:rightChars="-50"/>
                    <w:jc w:val="center"/>
                    <w:rPr>
                      <w:spacing w:val="-6"/>
                    </w:rPr>
                  </w:pPr>
                  <w:r>
                    <w:rPr>
                      <w:rFonts w:hint="eastAsia"/>
                    </w:rPr>
                    <w:t>切实落实环评报告书中环境管理、环境监测计划、清洁生产有关措施。充分落实公众参与期间各项公众意见，切实保障公众对环境保护的参与权与监督权.规划实施过程中，按照要求每五年组织开展规划环境影响的跟踪评价工作。对已经批准的规划在实施范围、适用期限、规模、结构和布局等方面发生重大调整或修订的，应及时重新或者补充环境影响评价</w:t>
                  </w:r>
                </w:p>
              </w:tc>
              <w:tc>
                <w:tcPr>
                  <w:tcW w:w="1606" w:type="pct"/>
                  <w:vAlign w:val="center"/>
                </w:tcPr>
                <w:p>
                  <w:pPr>
                    <w:ind w:left="-105" w:leftChars="-50" w:right="-105" w:rightChars="-50"/>
                    <w:jc w:val="center"/>
                  </w:pPr>
                  <w:r>
                    <w:rPr>
                      <w:rFonts w:hint="eastAsia"/>
                    </w:rPr>
                    <w:t>本项目需落实本报告中提出的环境管理、环境监测计划</w:t>
                  </w:r>
                </w:p>
              </w:tc>
              <w:tc>
                <w:tcPr>
                  <w:tcW w:w="528" w:type="pct"/>
                  <w:vAlign w:val="center"/>
                </w:tcPr>
                <w:p>
                  <w:pPr>
                    <w:ind w:left="-105" w:leftChars="-50" w:right="-105" w:rightChars="-50"/>
                    <w:jc w:val="center"/>
                    <w:rPr>
                      <w:bCs/>
                      <w:szCs w:val="21"/>
                      <w:lang w:bidi="ar"/>
                    </w:rPr>
                  </w:pPr>
                  <w:r>
                    <w:rPr>
                      <w:rFonts w:hint="eastAsia"/>
                      <w:bCs/>
                      <w:szCs w:val="21"/>
                      <w:lang w:bidi="ar"/>
                    </w:rPr>
                    <w:t>符合</w:t>
                  </w:r>
                </w:p>
              </w:tc>
            </w:tr>
          </w:tbl>
          <w:p>
            <w:pPr>
              <w:pStyle w:val="21"/>
              <w:snapToGrid w:val="0"/>
              <w:spacing w:before="120" w:beforeLines="5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rPr>
              <w:t>4</w:t>
            </w:r>
            <w:r>
              <w:rPr>
                <w:rFonts w:ascii="Times New Roman" w:hAnsi="Times New Roman"/>
                <w:b/>
                <w:bCs/>
                <w:color w:val="auto"/>
                <w:sz w:val="21"/>
                <w:szCs w:val="21"/>
              </w:rPr>
              <w:t xml:space="preserve">  本项目与规划环评</w:t>
            </w:r>
            <w:r>
              <w:rPr>
                <w:rFonts w:hint="eastAsia" w:ascii="Times New Roman" w:hAnsi="Times New Roman"/>
                <w:b/>
                <w:bCs/>
                <w:color w:val="auto"/>
                <w:sz w:val="21"/>
                <w:szCs w:val="21"/>
              </w:rPr>
              <w:t>补充报告</w:t>
            </w:r>
            <w:r>
              <w:rPr>
                <w:rFonts w:ascii="Times New Roman" w:hAnsi="Times New Roman"/>
                <w:b/>
                <w:bCs/>
                <w:color w:val="auto"/>
                <w:sz w:val="21"/>
                <w:szCs w:val="21"/>
              </w:rPr>
              <w:t>审查意见对比结果一览表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4019"/>
              <w:gridCol w:w="2104"/>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90" w:type="pct"/>
                  <w:vAlign w:val="center"/>
                </w:tcPr>
                <w:p>
                  <w:pPr>
                    <w:spacing w:before="24" w:after="24" w:line="280" w:lineRule="exact"/>
                    <w:ind w:left="-105" w:leftChars="-50" w:right="-105" w:rightChars="-50"/>
                    <w:jc w:val="center"/>
                    <w:rPr>
                      <w:b/>
                      <w:bCs/>
                    </w:rPr>
                  </w:pPr>
                  <w:r>
                    <w:rPr>
                      <w:rFonts w:hint="eastAsia"/>
                      <w:b/>
                      <w:bCs/>
                    </w:rPr>
                    <w:t>序号</w:t>
                  </w:r>
                </w:p>
              </w:tc>
              <w:tc>
                <w:tcPr>
                  <w:tcW w:w="2683" w:type="pct"/>
                  <w:vAlign w:val="center"/>
                </w:tcPr>
                <w:p>
                  <w:pPr>
                    <w:spacing w:before="24" w:after="24" w:line="280" w:lineRule="exact"/>
                    <w:jc w:val="center"/>
                    <w:rPr>
                      <w:b/>
                      <w:bCs/>
                    </w:rPr>
                  </w:pPr>
                  <w:r>
                    <w:rPr>
                      <w:rFonts w:hint="eastAsia"/>
                      <w:b/>
                      <w:bCs/>
                    </w:rPr>
                    <w:t>开发区规划环评补充报告审查意见内容</w:t>
                  </w:r>
                </w:p>
              </w:tc>
              <w:tc>
                <w:tcPr>
                  <w:tcW w:w="1405" w:type="pct"/>
                  <w:vAlign w:val="center"/>
                </w:tcPr>
                <w:p>
                  <w:pPr>
                    <w:spacing w:before="24" w:after="24" w:line="280" w:lineRule="exact"/>
                    <w:jc w:val="center"/>
                    <w:rPr>
                      <w:b/>
                      <w:bCs/>
                    </w:rPr>
                  </w:pPr>
                  <w:r>
                    <w:rPr>
                      <w:rFonts w:hint="eastAsia"/>
                      <w:b/>
                      <w:bCs/>
                    </w:rPr>
                    <w:t>本项目</w:t>
                  </w:r>
                </w:p>
              </w:tc>
              <w:tc>
                <w:tcPr>
                  <w:tcW w:w="521" w:type="pct"/>
                  <w:vAlign w:val="center"/>
                </w:tcPr>
                <w:p>
                  <w:pPr>
                    <w:spacing w:before="24" w:after="24" w:line="280" w:lineRule="exact"/>
                    <w:ind w:left="-105" w:leftChars="-50" w:right="-105" w:rightChars="-50"/>
                    <w:jc w:val="center"/>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90" w:type="pct"/>
                  <w:vAlign w:val="center"/>
                </w:tcPr>
                <w:p>
                  <w:pPr>
                    <w:spacing w:line="280" w:lineRule="exact"/>
                    <w:ind w:left="-105" w:leftChars="-50" w:right="-105" w:rightChars="-50"/>
                    <w:jc w:val="center"/>
                  </w:pPr>
                  <w:r>
                    <w:rPr>
                      <w:rFonts w:hint="eastAsia"/>
                    </w:rPr>
                    <w:t>1</w:t>
                  </w:r>
                </w:p>
              </w:tc>
              <w:tc>
                <w:tcPr>
                  <w:tcW w:w="2683" w:type="pct"/>
                  <w:vAlign w:val="center"/>
                </w:tcPr>
                <w:p>
                  <w:pPr>
                    <w:spacing w:line="280" w:lineRule="exact"/>
                    <w:ind w:left="-53" w:leftChars="-25" w:right="-53" w:rightChars="-25"/>
                    <w:jc w:val="center"/>
                  </w:pPr>
                  <w:r>
                    <w:rPr>
                      <w:rFonts w:hint="eastAsia"/>
                    </w:rPr>
                    <w:t>（一）加强空间管制，优化生产空间和生活空间。控制开发区边界外居民点向开发区方向发展，建议新河县主城区未来主要向西、南、北部发展，确保开发区内企业与敏感点保持足够的环境防护距离</w:t>
                  </w:r>
                </w:p>
              </w:tc>
              <w:tc>
                <w:tcPr>
                  <w:tcW w:w="1405" w:type="pct"/>
                  <w:vAlign w:val="center"/>
                </w:tcPr>
                <w:p>
                  <w:pPr>
                    <w:spacing w:line="280" w:lineRule="exact"/>
                    <w:ind w:left="-53" w:leftChars="-25" w:right="-53" w:rightChars="-25"/>
                    <w:jc w:val="center"/>
                  </w:pPr>
                  <w:r>
                    <w:rPr>
                      <w:kern w:val="0"/>
                      <w:szCs w:val="21"/>
                    </w:rPr>
                    <w:t>本项目位于河北新河经济开发区东区经五路东侧，距离项目最近的敏感点为东南侧230m处的西边仙庄村</w:t>
                  </w:r>
                </w:p>
              </w:tc>
              <w:tc>
                <w:tcPr>
                  <w:tcW w:w="521" w:type="pct"/>
                  <w:vAlign w:val="center"/>
                </w:tcPr>
                <w:p>
                  <w:pPr>
                    <w:spacing w:before="24" w:after="24" w:line="280" w:lineRule="exact"/>
                    <w:ind w:left="-105" w:leftChars="-50" w:right="-105" w:rightChars="-50"/>
                    <w:jc w:val="center"/>
                    <w:rPr>
                      <w:spacing w:val="-10"/>
                    </w:rPr>
                  </w:pPr>
                  <w:r>
                    <w:rPr>
                      <w:rFonts w:hint="eastAsia"/>
                      <w:spacing w:val="-1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90" w:type="pct"/>
                  <w:vAlign w:val="center"/>
                </w:tcPr>
                <w:p>
                  <w:pPr>
                    <w:spacing w:line="280" w:lineRule="exact"/>
                    <w:ind w:left="-105" w:leftChars="-50" w:right="-105" w:rightChars="-50"/>
                    <w:jc w:val="center"/>
                  </w:pPr>
                  <w:r>
                    <w:rPr>
                      <w:rFonts w:hint="eastAsia"/>
                    </w:rPr>
                    <w:t>2</w:t>
                  </w:r>
                </w:p>
              </w:tc>
              <w:tc>
                <w:tcPr>
                  <w:tcW w:w="2683" w:type="pct"/>
                  <w:vAlign w:val="center"/>
                </w:tcPr>
                <w:p>
                  <w:pPr>
                    <w:spacing w:line="280" w:lineRule="exact"/>
                    <w:ind w:left="-53" w:leftChars="-25" w:right="-53" w:rightChars="-25"/>
                    <w:jc w:val="center"/>
                  </w:pPr>
                  <w:r>
                    <w:rPr>
                      <w:rFonts w:hint="eastAsia"/>
                    </w:rPr>
                    <w:t>(二）加强总量管控，推进环境质量改善。结合区域污染物减排规划实施情况，不断提升技术工艺及节能节水控污水平。严格控制开发区钢铁、焦化产业发展规模，入区钢铁、焦化企业应严格执行超低排放标准。进一步推动“公转铁”，大宗物料和产品采用铁路、管道或管状带式输送机等清洁方式运输比例不低于80%，汽车运输部分应采用新能源汽车或达到国六排放标准的汽车，禁止使用柴油车及国五标准以下汽车。</w:t>
                  </w:r>
                </w:p>
              </w:tc>
              <w:tc>
                <w:tcPr>
                  <w:tcW w:w="1405" w:type="pct"/>
                  <w:vAlign w:val="center"/>
                </w:tcPr>
                <w:p>
                  <w:pPr>
                    <w:spacing w:line="280" w:lineRule="exact"/>
                    <w:ind w:left="-53" w:leftChars="-25" w:right="-53" w:rightChars="-25"/>
                    <w:jc w:val="center"/>
                  </w:pPr>
                  <w:r>
                    <w:rPr>
                      <w:rFonts w:hint="eastAsia"/>
                    </w:rPr>
                    <w:t>本项目依法办理总量手续，运营后结合企业实际，不断提升节能节水控污水平；物料采用汽车运输，本报告要求物料运输车不得使用柴油车及国五标准以下汽车</w:t>
                  </w:r>
                </w:p>
              </w:tc>
              <w:tc>
                <w:tcPr>
                  <w:tcW w:w="521" w:type="pct"/>
                  <w:vAlign w:val="center"/>
                </w:tcPr>
                <w:p>
                  <w:pPr>
                    <w:spacing w:before="24" w:after="24" w:line="280" w:lineRule="exact"/>
                    <w:ind w:left="-105" w:leftChars="-50" w:right="-105" w:rightChars="-50"/>
                    <w:jc w:val="center"/>
                    <w:rPr>
                      <w:spacing w:val="-10"/>
                    </w:rPr>
                  </w:pPr>
                  <w:r>
                    <w:rPr>
                      <w:rFonts w:hint="eastAsia"/>
                      <w:spacing w:val="-1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90" w:type="pct"/>
                  <w:vAlign w:val="center"/>
                </w:tcPr>
                <w:p>
                  <w:pPr>
                    <w:spacing w:line="280" w:lineRule="exact"/>
                    <w:ind w:left="-105" w:leftChars="-50" w:right="-105" w:rightChars="-50"/>
                    <w:jc w:val="center"/>
                  </w:pPr>
                  <w:r>
                    <w:rPr>
                      <w:rFonts w:hint="eastAsia"/>
                    </w:rPr>
                    <w:t>3</w:t>
                  </w:r>
                </w:p>
              </w:tc>
              <w:tc>
                <w:tcPr>
                  <w:tcW w:w="2683" w:type="pct"/>
                  <w:vAlign w:val="center"/>
                </w:tcPr>
                <w:p>
                  <w:pPr>
                    <w:spacing w:line="280" w:lineRule="exact"/>
                    <w:ind w:left="-53" w:leftChars="-25" w:right="-53" w:rightChars="-25"/>
                    <w:jc w:val="center"/>
                  </w:pPr>
                  <w:r>
                    <w:rPr>
                      <w:rFonts w:hint="eastAsia"/>
                    </w:rPr>
                    <w:t>（三）加强区域环境污染防治和应急措施。严格落实环境影响补充报告及开发区突发环境事件应急预案中提出的各项环境风险防范措施，加强风险事故情况下的环境污染防范、应急响应和协同处置；进一步强化水环境风险防控，加快实施开发区东区防护水系建设，确保开发区企业事故状态下废水有效处置。</w:t>
                  </w:r>
                </w:p>
              </w:tc>
              <w:tc>
                <w:tcPr>
                  <w:tcW w:w="1405" w:type="pct"/>
                  <w:vAlign w:val="center"/>
                </w:tcPr>
                <w:p>
                  <w:pPr>
                    <w:spacing w:line="280" w:lineRule="exact"/>
                    <w:ind w:left="-53" w:leftChars="-25" w:right="-53" w:rightChars="-25"/>
                    <w:jc w:val="center"/>
                  </w:pPr>
                  <w:r>
                    <w:rPr>
                      <w:rFonts w:hint="eastAsia"/>
                    </w:rPr>
                    <w:t>本项目应严格落实报告中风险防范措施，并加强与园区及区域联动</w:t>
                  </w:r>
                </w:p>
              </w:tc>
              <w:tc>
                <w:tcPr>
                  <w:tcW w:w="521" w:type="pct"/>
                  <w:vAlign w:val="center"/>
                </w:tcPr>
                <w:p>
                  <w:pPr>
                    <w:spacing w:before="24" w:after="24" w:line="280" w:lineRule="exact"/>
                    <w:ind w:left="-105" w:leftChars="-50" w:right="-105" w:rightChars="-50"/>
                    <w:jc w:val="center"/>
                    <w:rPr>
                      <w:spacing w:val="-10"/>
                    </w:rPr>
                  </w:pPr>
                  <w:r>
                    <w:rPr>
                      <w:rFonts w:hint="eastAsia"/>
                      <w:spacing w:val="-10"/>
                    </w:rPr>
                    <w:t>符合</w:t>
                  </w:r>
                </w:p>
              </w:tc>
            </w:tr>
          </w:tbl>
          <w:p>
            <w:pPr>
              <w:autoSpaceDE w:val="0"/>
              <w:autoSpaceDN w:val="0"/>
              <w:adjustRightInd w:val="0"/>
              <w:snapToGrid w:val="0"/>
              <w:spacing w:line="360" w:lineRule="auto"/>
              <w:ind w:firstLine="482" w:firstLineChars="200"/>
              <w:rPr>
                <w:kern w:val="0"/>
                <w:sz w:val="24"/>
              </w:rPr>
            </w:pPr>
            <w:r>
              <w:rPr>
                <w:b/>
                <w:bCs/>
                <w:kern w:val="0"/>
                <w:sz w:val="24"/>
                <w:szCs w:val="21"/>
              </w:rPr>
              <w:t>综上，本项目与河北新河经济开发区规划环境影响报告书、</w:t>
            </w:r>
            <w:r>
              <w:rPr>
                <w:b/>
                <w:bCs/>
                <w:szCs w:val="21"/>
              </w:rPr>
              <w:t>规划环评</w:t>
            </w:r>
            <w:r>
              <w:rPr>
                <w:rFonts w:hint="eastAsia"/>
                <w:b/>
                <w:bCs/>
                <w:szCs w:val="21"/>
              </w:rPr>
              <w:t>补充报告</w:t>
            </w:r>
            <w:r>
              <w:rPr>
                <w:b/>
                <w:bCs/>
                <w:kern w:val="0"/>
                <w:sz w:val="24"/>
                <w:szCs w:val="21"/>
              </w:rPr>
              <w:t>审查意见均相符。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9" w:type="dxa"/>
            <w:vAlign w:val="center"/>
          </w:tcPr>
          <w:p>
            <w:pPr>
              <w:autoSpaceDE w:val="0"/>
              <w:autoSpaceDN w:val="0"/>
              <w:adjustRightInd w:val="0"/>
              <w:snapToGrid w:val="0"/>
              <w:jc w:val="center"/>
              <w:rPr>
                <w:kern w:val="0"/>
                <w:sz w:val="24"/>
                <w:szCs w:val="21"/>
              </w:rPr>
            </w:pPr>
            <w:r>
              <w:rPr>
                <w:kern w:val="0"/>
                <w:sz w:val="24"/>
                <w:szCs w:val="21"/>
              </w:rPr>
              <w:t>其他符合性分析</w:t>
            </w:r>
          </w:p>
        </w:tc>
        <w:tc>
          <w:tcPr>
            <w:tcW w:w="7721" w:type="dxa"/>
            <w:gridSpan w:val="4"/>
            <w:vAlign w:val="center"/>
          </w:tcPr>
          <w:p>
            <w:pPr>
              <w:autoSpaceDE w:val="0"/>
              <w:autoSpaceDN w:val="0"/>
              <w:spacing w:line="360" w:lineRule="auto"/>
              <w:ind w:firstLine="482" w:firstLineChars="200"/>
              <w:rPr>
                <w:b/>
                <w:bCs/>
                <w:kern w:val="0"/>
                <w:sz w:val="24"/>
                <w:szCs w:val="21"/>
              </w:rPr>
            </w:pPr>
            <w:r>
              <w:rPr>
                <w:b/>
                <w:bCs/>
                <w:kern w:val="0"/>
                <w:sz w:val="24"/>
                <w:szCs w:val="21"/>
              </w:rPr>
              <w:t>1、产业政策符合性</w:t>
            </w:r>
          </w:p>
          <w:p>
            <w:pPr>
              <w:autoSpaceDE w:val="0"/>
              <w:autoSpaceDN w:val="0"/>
              <w:adjustRightInd w:val="0"/>
              <w:snapToGrid w:val="0"/>
              <w:spacing w:line="360" w:lineRule="auto"/>
              <w:ind w:firstLine="480" w:firstLineChars="200"/>
              <w:rPr>
                <w:kern w:val="0"/>
                <w:sz w:val="24"/>
              </w:rPr>
            </w:pPr>
            <w:r>
              <w:rPr>
                <w:kern w:val="0"/>
                <w:sz w:val="24"/>
              </w:rPr>
              <w:t>根据中华人民共和国国家发展和改革委员会令第9号《产业结构调整指导目录（2019年）》，本项目不属于鼓励类、限制类和淘汰类项目，属于允许类建设项目</w:t>
            </w:r>
            <w:r>
              <w:rPr>
                <w:rFonts w:hint="eastAsia"/>
                <w:kern w:val="0"/>
                <w:sz w:val="24"/>
              </w:rPr>
              <w:t>；</w:t>
            </w:r>
            <w:r>
              <w:rPr>
                <w:kern w:val="0"/>
                <w:sz w:val="24"/>
              </w:rPr>
              <w:t>根据《市场准入负面清单（202</w:t>
            </w:r>
            <w:r>
              <w:rPr>
                <w:rFonts w:hint="eastAsia"/>
                <w:kern w:val="0"/>
                <w:sz w:val="24"/>
              </w:rPr>
              <w:t>2</w:t>
            </w:r>
            <w:r>
              <w:rPr>
                <w:kern w:val="0"/>
                <w:sz w:val="24"/>
              </w:rPr>
              <w:t>年版）》，本项目不属于市场准入负面清单及与市场准入相关的禁止性规定中的项目</w:t>
            </w:r>
            <w:r>
              <w:rPr>
                <w:rFonts w:hint="eastAsia"/>
                <w:kern w:val="0"/>
                <w:sz w:val="24"/>
              </w:rPr>
              <w:t>；</w:t>
            </w:r>
            <w:r>
              <w:rPr>
                <w:kern w:val="0"/>
                <w:sz w:val="24"/>
              </w:rPr>
              <w:t>经查阅《河北省新增限制和淘汰类产业目录（2015年版）》，该项目不属于</w:t>
            </w:r>
            <w:r>
              <w:rPr>
                <w:rFonts w:hint="eastAsia"/>
                <w:kern w:val="0"/>
                <w:sz w:val="24"/>
              </w:rPr>
              <w:t>其</w:t>
            </w:r>
            <w:r>
              <w:rPr>
                <w:kern w:val="0"/>
                <w:sz w:val="24"/>
              </w:rPr>
              <w:t>中的限制和淘汰类项目</w:t>
            </w:r>
            <w:r>
              <w:rPr>
                <w:rFonts w:hint="eastAsia"/>
                <w:kern w:val="0"/>
                <w:sz w:val="24"/>
              </w:rPr>
              <w:t>；</w:t>
            </w:r>
            <w:r>
              <w:rPr>
                <w:kern w:val="0"/>
                <w:sz w:val="24"/>
              </w:rPr>
              <w:t>经查阅《邢台市禁止投资的产业目录（2015年版）》，本项目不属于禁止投资项目。</w:t>
            </w:r>
          </w:p>
          <w:p>
            <w:pPr>
              <w:autoSpaceDE w:val="0"/>
              <w:autoSpaceDN w:val="0"/>
              <w:adjustRightInd w:val="0"/>
              <w:snapToGrid w:val="0"/>
              <w:spacing w:line="360" w:lineRule="auto"/>
              <w:ind w:firstLine="480" w:firstLineChars="200"/>
              <w:rPr>
                <w:kern w:val="0"/>
                <w:sz w:val="24"/>
              </w:rPr>
            </w:pPr>
            <w:r>
              <w:rPr>
                <w:rFonts w:hint="eastAsia"/>
                <w:kern w:val="0"/>
                <w:sz w:val="24"/>
              </w:rPr>
              <w:t>新河县行政审批</w:t>
            </w:r>
            <w:r>
              <w:rPr>
                <w:kern w:val="0"/>
                <w:sz w:val="24"/>
              </w:rPr>
              <w:t>局</w:t>
            </w:r>
            <w:r>
              <w:rPr>
                <w:rFonts w:hint="eastAsia"/>
                <w:kern w:val="0"/>
                <w:sz w:val="24"/>
              </w:rPr>
              <w:t>于</w:t>
            </w:r>
            <w:r>
              <w:rPr>
                <w:kern w:val="0"/>
                <w:sz w:val="24"/>
              </w:rPr>
              <w:t>202</w:t>
            </w:r>
            <w:r>
              <w:rPr>
                <w:rFonts w:hint="eastAsia"/>
                <w:kern w:val="0"/>
                <w:sz w:val="24"/>
              </w:rPr>
              <w:t>1</w:t>
            </w:r>
            <w:r>
              <w:rPr>
                <w:kern w:val="0"/>
                <w:sz w:val="24"/>
              </w:rPr>
              <w:t>年</w:t>
            </w:r>
            <w:r>
              <w:rPr>
                <w:rFonts w:hint="eastAsia"/>
                <w:kern w:val="0"/>
                <w:sz w:val="24"/>
              </w:rPr>
              <w:t>8</w:t>
            </w:r>
            <w:r>
              <w:rPr>
                <w:kern w:val="0"/>
                <w:sz w:val="24"/>
              </w:rPr>
              <w:t>月</w:t>
            </w:r>
            <w:r>
              <w:rPr>
                <w:rFonts w:hint="eastAsia"/>
                <w:kern w:val="0"/>
                <w:sz w:val="24"/>
              </w:rPr>
              <w:t>18</w:t>
            </w:r>
            <w:r>
              <w:rPr>
                <w:kern w:val="0"/>
                <w:sz w:val="24"/>
              </w:rPr>
              <w:t>日出具了本项目备案信息</w:t>
            </w:r>
            <w:r>
              <w:rPr>
                <w:rFonts w:hint="eastAsia"/>
                <w:kern w:val="0"/>
                <w:sz w:val="24"/>
              </w:rPr>
              <w:t>（见附件）</w:t>
            </w:r>
            <w:r>
              <w:rPr>
                <w:kern w:val="0"/>
                <w:sz w:val="24"/>
              </w:rPr>
              <w:t>，备案编号：</w:t>
            </w:r>
            <w:r>
              <w:rPr>
                <w:rFonts w:hint="eastAsia"/>
                <w:kern w:val="0"/>
                <w:sz w:val="24"/>
              </w:rPr>
              <w:t>新批投资</w:t>
            </w:r>
            <w:r>
              <w:rPr>
                <w:kern w:val="0"/>
                <w:sz w:val="24"/>
              </w:rPr>
              <w:t>﹝202</w:t>
            </w:r>
            <w:r>
              <w:rPr>
                <w:rFonts w:hint="eastAsia"/>
                <w:kern w:val="0"/>
                <w:sz w:val="24"/>
              </w:rPr>
              <w:t>1</w:t>
            </w:r>
            <w:r>
              <w:rPr>
                <w:kern w:val="0"/>
                <w:sz w:val="24"/>
              </w:rPr>
              <w:t>﹞</w:t>
            </w:r>
            <w:r>
              <w:rPr>
                <w:rFonts w:hint="eastAsia"/>
                <w:kern w:val="0"/>
                <w:sz w:val="24"/>
              </w:rPr>
              <w:t>148号</w:t>
            </w:r>
            <w:r>
              <w:rPr>
                <w:kern w:val="0"/>
                <w:sz w:val="24"/>
              </w:rPr>
              <w:t>。</w:t>
            </w:r>
          </w:p>
          <w:p>
            <w:pPr>
              <w:autoSpaceDE w:val="0"/>
              <w:autoSpaceDN w:val="0"/>
              <w:adjustRightInd w:val="0"/>
              <w:snapToGrid w:val="0"/>
              <w:spacing w:line="360" w:lineRule="auto"/>
              <w:ind w:firstLine="482" w:firstLineChars="200"/>
              <w:rPr>
                <w:b/>
                <w:bCs/>
                <w:kern w:val="0"/>
                <w:sz w:val="24"/>
                <w:highlight w:val="yellow"/>
              </w:rPr>
            </w:pPr>
            <w:r>
              <w:rPr>
                <w:b/>
                <w:bCs/>
                <w:kern w:val="0"/>
                <w:sz w:val="24"/>
              </w:rPr>
              <w:t>因此，</w:t>
            </w:r>
            <w:r>
              <w:rPr>
                <w:rFonts w:hint="eastAsia"/>
                <w:b/>
                <w:bCs/>
                <w:kern w:val="0"/>
                <w:sz w:val="24"/>
              </w:rPr>
              <w:t>本</w:t>
            </w:r>
            <w:r>
              <w:rPr>
                <w:b/>
                <w:bCs/>
                <w:kern w:val="0"/>
                <w:sz w:val="24"/>
              </w:rPr>
              <w:t>项目符合国家及地方产业政策。</w:t>
            </w:r>
          </w:p>
          <w:p>
            <w:pPr>
              <w:autoSpaceDE w:val="0"/>
              <w:autoSpaceDN w:val="0"/>
              <w:spacing w:line="360" w:lineRule="auto"/>
              <w:ind w:firstLine="482" w:firstLineChars="200"/>
              <w:rPr>
                <w:b/>
                <w:bCs/>
                <w:kern w:val="0"/>
                <w:sz w:val="24"/>
                <w:szCs w:val="21"/>
              </w:rPr>
            </w:pPr>
            <w:r>
              <w:rPr>
                <w:b/>
                <w:bCs/>
                <w:kern w:val="0"/>
                <w:sz w:val="24"/>
                <w:szCs w:val="21"/>
              </w:rPr>
              <w:t>2、选址合理性分析</w:t>
            </w:r>
          </w:p>
          <w:p>
            <w:pPr>
              <w:autoSpaceDE w:val="0"/>
              <w:autoSpaceDN w:val="0"/>
              <w:spacing w:line="360" w:lineRule="auto"/>
              <w:ind w:firstLine="480" w:firstLineChars="200"/>
              <w:rPr>
                <w:kern w:val="0"/>
                <w:sz w:val="24"/>
                <w:szCs w:val="21"/>
              </w:rPr>
            </w:pPr>
            <w:r>
              <w:rPr>
                <w:kern w:val="0"/>
                <w:sz w:val="24"/>
                <w:szCs w:val="21"/>
              </w:rPr>
              <w:t>拟建项目位于</w:t>
            </w:r>
            <w:r>
              <w:rPr>
                <w:rFonts w:hint="eastAsia"/>
                <w:kern w:val="0"/>
                <w:sz w:val="24"/>
                <w:szCs w:val="21"/>
              </w:rPr>
              <w:t>新河县经济开发区东区经五路东侧</w:t>
            </w:r>
            <w:r>
              <w:rPr>
                <w:kern w:val="0"/>
                <w:sz w:val="24"/>
                <w:szCs w:val="21"/>
              </w:rPr>
              <w:t>，</w:t>
            </w:r>
            <w:r>
              <w:rPr>
                <w:rFonts w:hint="eastAsia"/>
                <w:kern w:val="0"/>
                <w:sz w:val="24"/>
                <w:szCs w:val="21"/>
              </w:rPr>
              <w:t>项目西侧为新河县申安防护用品厂、北侧为邢台创耀机械有限公司、东侧为规划的经二路、南侧为和谐路</w:t>
            </w:r>
            <w:r>
              <w:rPr>
                <w:kern w:val="0"/>
                <w:sz w:val="24"/>
                <w:szCs w:val="21"/>
              </w:rPr>
              <w:t>。距离项目最近的敏感点为</w:t>
            </w:r>
            <w:r>
              <w:rPr>
                <w:rFonts w:hint="eastAsia"/>
                <w:kern w:val="0"/>
                <w:sz w:val="24"/>
                <w:szCs w:val="21"/>
              </w:rPr>
              <w:t>东南</w:t>
            </w:r>
            <w:r>
              <w:rPr>
                <w:kern w:val="0"/>
                <w:sz w:val="24"/>
                <w:szCs w:val="21"/>
              </w:rPr>
              <w:t>侧</w:t>
            </w:r>
            <w:r>
              <w:rPr>
                <w:rFonts w:hint="eastAsia"/>
                <w:kern w:val="0"/>
                <w:sz w:val="24"/>
                <w:szCs w:val="21"/>
              </w:rPr>
              <w:t>230</w:t>
            </w:r>
            <w:r>
              <w:rPr>
                <w:kern w:val="0"/>
                <w:sz w:val="24"/>
                <w:szCs w:val="21"/>
              </w:rPr>
              <w:t>m处的</w:t>
            </w:r>
            <w:r>
              <w:rPr>
                <w:rFonts w:hint="eastAsia"/>
                <w:kern w:val="0"/>
                <w:sz w:val="24"/>
                <w:szCs w:val="21"/>
              </w:rPr>
              <w:t>西边仙庄村</w:t>
            </w:r>
            <w:r>
              <w:rPr>
                <w:kern w:val="0"/>
                <w:sz w:val="24"/>
                <w:szCs w:val="21"/>
              </w:rPr>
              <w:t>。</w:t>
            </w:r>
          </w:p>
          <w:p>
            <w:pPr>
              <w:autoSpaceDE w:val="0"/>
              <w:autoSpaceDN w:val="0"/>
              <w:spacing w:line="360" w:lineRule="auto"/>
              <w:ind w:firstLine="480" w:firstLineChars="200"/>
              <w:rPr>
                <w:kern w:val="0"/>
                <w:sz w:val="24"/>
                <w:szCs w:val="21"/>
              </w:rPr>
            </w:pPr>
            <w:r>
              <w:rPr>
                <w:rFonts w:hint="eastAsia"/>
                <w:kern w:val="0"/>
                <w:sz w:val="24"/>
              </w:rPr>
              <w:t>对照</w:t>
            </w:r>
            <w:r>
              <w:rPr>
                <w:kern w:val="0"/>
                <w:sz w:val="24"/>
              </w:rPr>
              <w:t>河北新河经济开发区</w:t>
            </w:r>
            <w:r>
              <w:rPr>
                <w:rFonts w:hint="eastAsia"/>
                <w:kern w:val="0"/>
                <w:sz w:val="24"/>
              </w:rPr>
              <w:t>用地布局图，项目用地属于二类工业用地，河北新河经济开发区管理委员会于2021年8月17日为本项目出具了选址意见书，同意本项目进行建设；且企业于2022年2月21日取得了该项目土地证，编号为：冀（2022）新河县不动产权第</w:t>
            </w:r>
            <w:r>
              <w:rPr>
                <w:rFonts w:hint="eastAsia"/>
                <w:kern w:val="0"/>
                <w:sz w:val="24"/>
                <w:u w:val="single"/>
              </w:rPr>
              <w:t>0001196</w:t>
            </w:r>
            <w:r>
              <w:rPr>
                <w:rFonts w:hint="eastAsia"/>
                <w:kern w:val="0"/>
                <w:sz w:val="24"/>
              </w:rPr>
              <w:t>号。因此，</w:t>
            </w:r>
            <w:r>
              <w:rPr>
                <w:kern w:val="0"/>
                <w:sz w:val="24"/>
                <w:szCs w:val="21"/>
              </w:rPr>
              <w:t>项目选址符合</w:t>
            </w:r>
            <w:r>
              <w:rPr>
                <w:rFonts w:hint="eastAsia"/>
                <w:kern w:val="0"/>
                <w:sz w:val="24"/>
                <w:szCs w:val="21"/>
              </w:rPr>
              <w:t>新河县经济开发区</w:t>
            </w:r>
            <w:r>
              <w:rPr>
                <w:kern w:val="0"/>
                <w:sz w:val="24"/>
                <w:szCs w:val="21"/>
              </w:rPr>
              <w:t>用地布局规划。项目区域环境较好，本项目针对污染源采取了有效的污染防治措施，均可稳定达标排放，对环境影响小。因此从环境角度分析合理。</w:t>
            </w:r>
          </w:p>
          <w:p>
            <w:pPr>
              <w:autoSpaceDE w:val="0"/>
              <w:autoSpaceDN w:val="0"/>
              <w:spacing w:line="360" w:lineRule="auto"/>
              <w:ind w:firstLine="480" w:firstLineChars="200"/>
              <w:rPr>
                <w:kern w:val="0"/>
                <w:sz w:val="24"/>
                <w:szCs w:val="21"/>
              </w:rPr>
            </w:pPr>
            <w:r>
              <w:rPr>
                <w:kern w:val="0"/>
                <w:sz w:val="24"/>
                <w:szCs w:val="21"/>
              </w:rPr>
              <w:t>拟建项目</w:t>
            </w:r>
            <w:r>
              <w:rPr>
                <w:rFonts w:hint="eastAsia"/>
                <w:kern w:val="0"/>
                <w:sz w:val="24"/>
                <w:szCs w:val="21"/>
              </w:rPr>
              <w:t>南</w:t>
            </w:r>
            <w:r>
              <w:rPr>
                <w:kern w:val="0"/>
                <w:sz w:val="24"/>
                <w:szCs w:val="21"/>
              </w:rPr>
              <w:t>侧临近</w:t>
            </w:r>
            <w:r>
              <w:rPr>
                <w:rFonts w:hint="eastAsia"/>
                <w:kern w:val="0"/>
                <w:sz w:val="24"/>
                <w:szCs w:val="21"/>
              </w:rPr>
              <w:t>和谐路</w:t>
            </w:r>
            <w:r>
              <w:rPr>
                <w:kern w:val="0"/>
                <w:sz w:val="24"/>
                <w:szCs w:val="21"/>
              </w:rPr>
              <w:t>，交通便利运输方便。项目所在地周围无国家、省、市自然保护区、风景名胜区、生活饮用水水源地等敏感目标。</w:t>
            </w:r>
          </w:p>
          <w:p>
            <w:pPr>
              <w:autoSpaceDE w:val="0"/>
              <w:autoSpaceDN w:val="0"/>
              <w:spacing w:line="360" w:lineRule="auto"/>
              <w:ind w:firstLine="482" w:firstLineChars="200"/>
              <w:rPr>
                <w:b/>
                <w:bCs/>
                <w:kern w:val="0"/>
                <w:sz w:val="24"/>
                <w:szCs w:val="21"/>
              </w:rPr>
            </w:pPr>
            <w:r>
              <w:rPr>
                <w:b/>
                <w:bCs/>
                <w:kern w:val="0"/>
                <w:sz w:val="24"/>
                <w:szCs w:val="21"/>
              </w:rPr>
              <w:t>综上所述，本项目选址合理可行。</w:t>
            </w:r>
          </w:p>
          <w:p>
            <w:pPr>
              <w:autoSpaceDE w:val="0"/>
              <w:autoSpaceDN w:val="0"/>
              <w:spacing w:line="360" w:lineRule="auto"/>
              <w:ind w:firstLine="482" w:firstLineChars="200"/>
              <w:rPr>
                <w:b/>
                <w:bCs/>
                <w:kern w:val="0"/>
                <w:sz w:val="24"/>
                <w:szCs w:val="21"/>
              </w:rPr>
            </w:pPr>
            <w:r>
              <w:rPr>
                <w:b/>
                <w:bCs/>
                <w:kern w:val="0"/>
                <w:sz w:val="24"/>
                <w:szCs w:val="21"/>
              </w:rPr>
              <w:t>3、“三线一单”符合性分析</w:t>
            </w:r>
          </w:p>
          <w:p>
            <w:pPr>
              <w:autoSpaceDE w:val="0"/>
              <w:autoSpaceDN w:val="0"/>
              <w:spacing w:line="360" w:lineRule="auto"/>
              <w:ind w:firstLine="480" w:firstLineChars="200"/>
              <w:rPr>
                <w:kern w:val="0"/>
                <w:sz w:val="24"/>
                <w:szCs w:val="21"/>
              </w:rPr>
            </w:pPr>
            <w:r>
              <w:rPr>
                <w:kern w:val="0"/>
                <w:sz w:val="24"/>
                <w:szCs w:val="21"/>
              </w:rPr>
              <w:t>（1）与环境保护部环环评[2016]150号《关于以改善环境质量为核心加强环境影响评价管理的通知》符合性分析</w:t>
            </w:r>
          </w:p>
          <w:p>
            <w:pPr>
              <w:autoSpaceDE w:val="0"/>
              <w:autoSpaceDN w:val="0"/>
              <w:spacing w:line="360" w:lineRule="auto"/>
              <w:ind w:firstLine="480" w:firstLineChars="200"/>
              <w:rPr>
                <w:kern w:val="0"/>
                <w:sz w:val="24"/>
                <w:szCs w:val="21"/>
              </w:rPr>
            </w:pPr>
            <w:r>
              <w:rPr>
                <w:kern w:val="0"/>
                <w:sz w:val="24"/>
                <w:szCs w:val="21"/>
              </w:rPr>
              <w:fldChar w:fldCharType="begin"/>
            </w:r>
            <w:r>
              <w:rPr>
                <w:kern w:val="0"/>
                <w:sz w:val="24"/>
                <w:szCs w:val="21"/>
              </w:rPr>
              <w:instrText xml:space="preserve"> = 1 \* GB3 </w:instrText>
            </w:r>
            <w:r>
              <w:rPr>
                <w:kern w:val="0"/>
                <w:sz w:val="24"/>
                <w:szCs w:val="21"/>
              </w:rPr>
              <w:fldChar w:fldCharType="separate"/>
            </w:r>
            <w:r>
              <w:rPr>
                <w:kern w:val="0"/>
                <w:sz w:val="24"/>
                <w:szCs w:val="21"/>
              </w:rPr>
              <w:t>①</w:t>
            </w:r>
            <w:r>
              <w:rPr>
                <w:kern w:val="0"/>
                <w:sz w:val="24"/>
                <w:szCs w:val="21"/>
              </w:rPr>
              <w:fldChar w:fldCharType="end"/>
            </w:r>
            <w:r>
              <w:rPr>
                <w:kern w:val="0"/>
                <w:sz w:val="24"/>
                <w:szCs w:val="21"/>
              </w:rPr>
              <w:t>生态保护红线</w:t>
            </w:r>
          </w:p>
          <w:p>
            <w:pPr>
              <w:autoSpaceDE w:val="0"/>
              <w:autoSpaceDN w:val="0"/>
              <w:spacing w:line="360" w:lineRule="auto"/>
              <w:ind w:firstLine="480" w:firstLineChars="200"/>
              <w:rPr>
                <w:kern w:val="0"/>
                <w:sz w:val="24"/>
                <w:szCs w:val="21"/>
              </w:rPr>
            </w:pPr>
            <w:r>
              <w:rPr>
                <w:kern w:val="0"/>
                <w:sz w:val="24"/>
                <w:szCs w:val="21"/>
              </w:rPr>
              <w:t>根据《河北省生态保护红线》，河北省全省生态保护红线总面积4.05万平方公里，占全省国土面积的20.07%。其中，陆域生态保护红线面积3.86万平方公里，占全省陆域国土面积的20.49%，海洋生态保护红线面积1880平方公里，占全省管辖海域面积的26.02%。共涉及坝上高原防风固沙生态保护红线，燕山水源涵养—生物多样性维护生态保护红线，太行山水土保持—生物多样性维护生态保护红线，河北平原河湖滨岸带生态保护红线，海岸海域生态保护红线五大类。</w:t>
            </w:r>
          </w:p>
          <w:p>
            <w:pPr>
              <w:autoSpaceDE w:val="0"/>
              <w:autoSpaceDN w:val="0"/>
              <w:spacing w:line="360" w:lineRule="auto"/>
              <w:ind w:firstLine="480" w:firstLineChars="200"/>
              <w:rPr>
                <w:kern w:val="0"/>
                <w:sz w:val="24"/>
                <w:szCs w:val="21"/>
              </w:rPr>
            </w:pPr>
            <w:r>
              <w:rPr>
                <w:kern w:val="0"/>
                <w:sz w:val="24"/>
                <w:szCs w:val="21"/>
              </w:rPr>
              <w:t>根据邢台市生态环境局2018年10月8日发布的《邢台市新河县生态保护红线》，新河县生态保护红线总面积为3.97km</w:t>
            </w:r>
            <w:r>
              <w:rPr>
                <w:kern w:val="0"/>
                <w:sz w:val="24"/>
                <w:szCs w:val="21"/>
                <w:vertAlign w:val="superscript"/>
              </w:rPr>
              <w:t>2</w:t>
            </w:r>
            <w:r>
              <w:rPr>
                <w:kern w:val="0"/>
                <w:sz w:val="24"/>
                <w:szCs w:val="21"/>
              </w:rPr>
              <w:t>，占全县国土面积的1.11%。本区域生态保护红线类型为河湖滨岸带敏感脆弱区。新河县生态保护红线主要集中县的西北部，沿滏阳河、滏阳新河、滏东排河分布，呈东西走向。</w:t>
            </w:r>
          </w:p>
          <w:p>
            <w:pPr>
              <w:autoSpaceDE w:val="0"/>
              <w:autoSpaceDN w:val="0"/>
              <w:spacing w:line="360" w:lineRule="auto"/>
              <w:ind w:firstLine="482" w:firstLineChars="200"/>
              <w:rPr>
                <w:b/>
                <w:kern w:val="0"/>
                <w:sz w:val="24"/>
                <w:szCs w:val="21"/>
              </w:rPr>
            </w:pPr>
            <w:r>
              <w:rPr>
                <w:rFonts w:hint="eastAsia"/>
                <w:b/>
                <w:bCs/>
                <w:kern w:val="0"/>
                <w:sz w:val="24"/>
              </w:rPr>
              <w:t>本</w:t>
            </w:r>
            <w:r>
              <w:rPr>
                <w:b/>
                <w:bCs/>
                <w:kern w:val="0"/>
                <w:sz w:val="24"/>
              </w:rPr>
              <w:t>项目位于</w:t>
            </w:r>
            <w:r>
              <w:rPr>
                <w:rFonts w:hint="eastAsia"/>
                <w:b/>
                <w:bCs/>
                <w:kern w:val="0"/>
                <w:sz w:val="24"/>
              </w:rPr>
              <w:t>河北省邢台市新河县经五路东侧</w:t>
            </w:r>
            <w:r>
              <w:rPr>
                <w:b/>
                <w:bCs/>
                <w:kern w:val="0"/>
                <w:sz w:val="24"/>
              </w:rPr>
              <w:t>，</w:t>
            </w:r>
            <w:r>
              <w:rPr>
                <w:rFonts w:hint="eastAsia"/>
                <w:b/>
                <w:bCs/>
                <w:kern w:val="0"/>
                <w:sz w:val="24"/>
              </w:rPr>
              <w:t>新河县生态保护红线</w:t>
            </w:r>
            <w:r>
              <w:rPr>
                <w:b/>
                <w:bCs/>
                <w:kern w:val="0"/>
                <w:sz w:val="24"/>
              </w:rPr>
              <w:t>直线距离为</w:t>
            </w:r>
            <w:r>
              <w:rPr>
                <w:rFonts w:hint="eastAsia"/>
                <w:b/>
                <w:bCs/>
                <w:kern w:val="0"/>
                <w:sz w:val="24"/>
              </w:rPr>
              <w:t>4800</w:t>
            </w:r>
            <w:r>
              <w:rPr>
                <w:b/>
                <w:bCs/>
                <w:kern w:val="0"/>
                <w:sz w:val="24"/>
              </w:rPr>
              <w:t>m，不在</w:t>
            </w:r>
            <w:r>
              <w:rPr>
                <w:rFonts w:hint="eastAsia"/>
                <w:b/>
                <w:bCs/>
                <w:kern w:val="0"/>
                <w:sz w:val="24"/>
              </w:rPr>
              <w:t>新河县</w:t>
            </w:r>
            <w:r>
              <w:rPr>
                <w:b/>
                <w:bCs/>
                <w:kern w:val="0"/>
                <w:sz w:val="24"/>
              </w:rPr>
              <w:t>生态红线范围内。</w:t>
            </w:r>
            <w:r>
              <w:rPr>
                <w:rFonts w:hint="eastAsia"/>
                <w:b/>
                <w:bCs/>
                <w:kern w:val="0"/>
                <w:sz w:val="24"/>
              </w:rPr>
              <w:t>新河县</w:t>
            </w:r>
            <w:r>
              <w:rPr>
                <w:b/>
                <w:bCs/>
                <w:kern w:val="0"/>
                <w:sz w:val="24"/>
              </w:rPr>
              <w:t>生态保护红线分布图见图1</w:t>
            </w:r>
            <w:r>
              <w:rPr>
                <w:b/>
                <w:kern w:val="0"/>
                <w:sz w:val="24"/>
                <w:szCs w:val="21"/>
              </w:rPr>
              <w:t>。</w:t>
            </w:r>
          </w:p>
          <w:p>
            <w:pPr>
              <w:autoSpaceDE w:val="0"/>
              <w:autoSpaceDN w:val="0"/>
              <w:spacing w:line="360" w:lineRule="auto"/>
              <w:ind w:firstLine="420" w:firstLineChars="200"/>
              <w:rPr>
                <w:kern w:val="0"/>
                <w:sz w:val="24"/>
                <w:szCs w:val="21"/>
              </w:rPr>
            </w:pPr>
            <w:r>
              <mc:AlternateContent>
                <mc:Choice Requires="wps">
                  <w:drawing>
                    <wp:anchor distT="0" distB="0" distL="114300" distR="114300" simplePos="0" relativeHeight="251661312" behindDoc="0" locked="0" layoutInCell="1" allowOverlap="1">
                      <wp:simplePos x="0" y="0"/>
                      <wp:positionH relativeFrom="column">
                        <wp:posOffset>2009140</wp:posOffset>
                      </wp:positionH>
                      <wp:positionV relativeFrom="paragraph">
                        <wp:posOffset>694055</wp:posOffset>
                      </wp:positionV>
                      <wp:extent cx="561340" cy="254000"/>
                      <wp:effectExtent l="0" t="0" r="1270" b="4445"/>
                      <wp:wrapNone/>
                      <wp:docPr id="8" name="矩形 1043"/>
                      <wp:cNvGraphicFramePr/>
                      <a:graphic xmlns:a="http://schemas.openxmlformats.org/drawingml/2006/main">
                        <a:graphicData uri="http://schemas.microsoft.com/office/word/2010/wordprocessingShape">
                          <wps:wsp>
                            <wps:cNvSpPr>
                              <a:spLocks noChangeArrowheads="1"/>
                            </wps:cNvSpPr>
                            <wps:spPr bwMode="auto">
                              <a:xfrm>
                                <a:off x="0" y="0"/>
                                <a:ext cx="561340" cy="254000"/>
                              </a:xfrm>
                              <a:prstGeom prst="rect">
                                <a:avLst/>
                              </a:prstGeom>
                              <a:noFill/>
                              <a:ln>
                                <a:noFill/>
                              </a:ln>
                            </wps:spPr>
                            <wps:txbx>
                              <w:txbxContent>
                                <w:p>
                                  <w:pPr>
                                    <w:rPr>
                                      <w:color w:val="000000"/>
                                      <w:sz w:val="18"/>
                                      <w:szCs w:val="18"/>
                                    </w:rPr>
                                  </w:pPr>
                                  <w:r>
                                    <w:rPr>
                                      <w:rFonts w:hint="eastAsia"/>
                                      <w:color w:val="000000"/>
                                      <w:sz w:val="18"/>
                                      <w:szCs w:val="18"/>
                                    </w:rPr>
                                    <w:t>4800m</w:t>
                                  </w:r>
                                </w:p>
                              </w:txbxContent>
                            </wps:txbx>
                            <wps:bodyPr rot="0" vert="horz" wrap="square" lIns="91440" tIns="45720" rIns="91440" bIns="45720" anchor="t" anchorCtr="0" upright="1">
                              <a:noAutofit/>
                            </wps:bodyPr>
                          </wps:wsp>
                        </a:graphicData>
                      </a:graphic>
                    </wp:anchor>
                  </w:drawing>
                </mc:Choice>
                <mc:Fallback>
                  <w:pict>
                    <v:rect id="矩形 1043" o:spid="_x0000_s1026" o:spt="1" style="position:absolute;left:0pt;margin-left:158.2pt;margin-top:54.65pt;height:20pt;width:44.2pt;z-index:251661312;mso-width-relative:page;mso-height-relative:page;" filled="f" stroked="f" coordsize="21600,21600" o:gfxdata="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QQp1toAAAALAQAADwAAAAAAAAAB&#10;ACAAAAAiAAAAZHJzL2Rvd25yZXYueG1sUEsBAhQAFAAAAAgAh07iQFgY6xcOAgAACgQAAA4AAAAA&#10;AAAAAQAgAAAAKQEAAGRycy9lMm9Eb2MueG1sUEsFBgAAAAAGAAYAWQEAAKkFAAAAAA==&#10;">
                      <v:fill on="f" focussize="0,0"/>
                      <v:stroke on="f"/>
                      <v:imagedata o:title=""/>
                      <o:lock v:ext="edit" aspectratio="f"/>
                      <v:textbox>
                        <w:txbxContent>
                          <w:p>
                            <w:pPr>
                              <w:rPr>
                                <w:color w:val="000000"/>
                                <w:sz w:val="18"/>
                                <w:szCs w:val="18"/>
                              </w:rPr>
                            </w:pPr>
                            <w:r>
                              <w:rPr>
                                <w:rFonts w:hint="eastAsia"/>
                                <w:color w:val="000000"/>
                                <w:sz w:val="18"/>
                                <w:szCs w:val="18"/>
                              </w:rPr>
                              <w:t>4800m</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2346960</wp:posOffset>
                      </wp:positionH>
                      <wp:positionV relativeFrom="paragraph">
                        <wp:posOffset>581025</wp:posOffset>
                      </wp:positionV>
                      <wp:extent cx="155575" cy="358140"/>
                      <wp:effectExtent l="70485" t="47625" r="12065" b="13335"/>
                      <wp:wrapNone/>
                      <wp:docPr id="6" name="直线 1042"/>
                      <wp:cNvGraphicFramePr/>
                      <a:graphic xmlns:a="http://schemas.openxmlformats.org/drawingml/2006/main">
                        <a:graphicData uri="http://schemas.microsoft.com/office/word/2010/wordprocessingShape">
                          <wps:wsp>
                            <wps:cNvCnPr>
                              <a:cxnSpLocks noChangeShapeType="1"/>
                            </wps:cNvCnPr>
                            <wps:spPr bwMode="auto">
                              <a:xfrm flipH="1" flipV="1">
                                <a:off x="0" y="0"/>
                                <a:ext cx="155575" cy="358140"/>
                              </a:xfrm>
                              <a:prstGeom prst="line">
                                <a:avLst/>
                              </a:prstGeom>
                              <a:noFill/>
                              <a:ln w="9525">
                                <a:solidFill>
                                  <a:srgbClr val="000000"/>
                                </a:solidFill>
                                <a:round/>
                                <a:tailEnd type="arrow" w="med" len="med"/>
                              </a:ln>
                              <a:effectLst/>
                            </wps:spPr>
                            <wps:bodyPr/>
                          </wps:wsp>
                        </a:graphicData>
                      </a:graphic>
                    </wp:anchor>
                  </w:drawing>
                </mc:Choice>
                <mc:Fallback>
                  <w:pict>
                    <v:line id="直线 1042" o:spid="_x0000_s1026" o:spt="20" style="position:absolute;left:0pt;flip:x y;margin-left:184.8pt;margin-top:45.75pt;height:28.2pt;width:12.25pt;z-index:251662336;mso-width-relative:page;mso-height-relative:page;" filled="f" stroked="t" coordsize="21600,21600" o:gfxdata="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usDF2gAAAAoBAAAPAAAAAAAAAAEAIAAAACIA&#10;AABkcnMvZG93bnJldi54bWxQSwECFAAUAAAACACHTuJAS08r3gcCAAD1AwAADgAAAAAAAAABACAA&#10;AAApAQAAZHJzL2Uyb0RvYy54bWxQSwUGAAAAAAYABgBZAQAAo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2703195</wp:posOffset>
                      </wp:positionH>
                      <wp:positionV relativeFrom="paragraph">
                        <wp:posOffset>578485</wp:posOffset>
                      </wp:positionV>
                      <wp:extent cx="801370" cy="269875"/>
                      <wp:effectExtent l="179070" t="6985" r="10160" b="142240"/>
                      <wp:wrapNone/>
                      <wp:docPr id="5" name="圆角矩形标注 43"/>
                      <wp:cNvGraphicFramePr/>
                      <a:graphic xmlns:a="http://schemas.openxmlformats.org/drawingml/2006/main">
                        <a:graphicData uri="http://schemas.microsoft.com/office/word/2010/wordprocessingShape">
                          <wps:wsp>
                            <wps:cNvSpPr>
                              <a:spLocks noChangeArrowheads="1"/>
                            </wps:cNvSpPr>
                            <wps:spPr bwMode="auto">
                              <a:xfrm>
                                <a:off x="0" y="0"/>
                                <a:ext cx="801370" cy="269875"/>
                              </a:xfrm>
                              <a:prstGeom prst="wedgeRoundRectCallout">
                                <a:avLst>
                                  <a:gd name="adj1" fmla="val -64574"/>
                                  <a:gd name="adj2" fmla="val 91648"/>
                                  <a:gd name="adj3" fmla="val 16667"/>
                                </a:avLst>
                              </a:prstGeom>
                              <a:noFill/>
                              <a:ln w="9525">
                                <a:solidFill>
                                  <a:srgbClr val="000000"/>
                                </a:solidFill>
                                <a:miter lim="800000"/>
                              </a:ln>
                              <a:effectLst/>
                            </wps:spPr>
                            <wps:txbx>
                              <w:txbxContent>
                                <w:p>
                                  <w:pPr>
                                    <w:jc w:val="center"/>
                                    <w:rPr>
                                      <w:color w:val="FF0000"/>
                                    </w:rPr>
                                  </w:pPr>
                                  <w:r>
                                    <w:rPr>
                                      <w:rFonts w:hint="eastAsia"/>
                                      <w:color w:val="FF0000"/>
                                    </w:rPr>
                                    <w:t>项目位置</w:t>
                                  </w:r>
                                </w:p>
                              </w:txbxContent>
                            </wps:txbx>
                            <wps:bodyPr rot="0" vert="horz" wrap="square" lIns="91440" tIns="45720" rIns="91440" bIns="45720" anchor="ctr" anchorCtr="0" upright="1">
                              <a:noAutofit/>
                            </wps:bodyPr>
                          </wps:wsp>
                        </a:graphicData>
                      </a:graphic>
                    </wp:anchor>
                  </w:drawing>
                </mc:Choice>
                <mc:Fallback>
                  <w:pict>
                    <v:shape id="圆角矩形标注 43" o:spid="_x0000_s1026" o:spt="62" type="#_x0000_t62" style="position:absolute;left:0pt;margin-left:212.85pt;margin-top:45.55pt;height:21.25pt;width:63.1pt;z-index:251660288;v-text-anchor:middle;mso-width-relative:page;mso-height-relative:page;" filled="f" stroked="t" coordsize="21600,21600" o:gfxdata="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iVu69gAAAAKAQAADwAA&#10;AAAAAAABACAAAAAiAAAAZHJzL2Rvd25yZXYueG1sUEsBAhQAFAAAAAgAh07iQNHUB4aIAgAA9AQA&#10;AA4AAAAAAAAAAQAgAAAAJwEAAGRycy9lMm9Eb2MueG1sUEsFBgAAAAAGAAYAWQEAACEGAAAAAA==&#10;" adj="-3148,30596,14400">
                      <v:fill on="f" focussize="0,0"/>
                      <v:stroke color="#000000" miterlimit="8" joinstyle="miter"/>
                      <v:imagedata o:title=""/>
                      <o:lock v:ext="edit" aspectratio="f"/>
                      <v:textbox>
                        <w:txbxContent>
                          <w:p>
                            <w:pPr>
                              <w:jc w:val="center"/>
                              <w:rPr>
                                <w:color w:val="FF0000"/>
                              </w:rPr>
                            </w:pPr>
                            <w:r>
                              <w:rPr>
                                <w:rFonts w:hint="eastAsia"/>
                                <w:color w:val="FF0000"/>
                              </w:rPr>
                              <w:t>项目位置</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2461260</wp:posOffset>
                      </wp:positionH>
                      <wp:positionV relativeFrom="paragraph">
                        <wp:posOffset>934085</wp:posOffset>
                      </wp:positionV>
                      <wp:extent cx="93980" cy="88900"/>
                      <wp:effectExtent l="3810" t="635" r="6985" b="5715"/>
                      <wp:wrapNone/>
                      <wp:docPr id="4" name="五角星 107"/>
                      <wp:cNvGraphicFramePr/>
                      <a:graphic xmlns:a="http://schemas.openxmlformats.org/drawingml/2006/main">
                        <a:graphicData uri="http://schemas.microsoft.com/office/word/2010/wordprocessingShape">
                          <wps:wsp>
                            <wps:cNvSpPr/>
                            <wps:spPr bwMode="auto">
                              <a:xfrm>
                                <a:off x="0" y="0"/>
                                <a:ext cx="93980" cy="88900"/>
                              </a:xfrm>
                              <a:custGeom>
                                <a:avLst/>
                                <a:gdLst>
                                  <a:gd name="T0" fmla="*/ 0 w 76200"/>
                                  <a:gd name="T1" fmla="*/ 29106 h 76200"/>
                                  <a:gd name="T2" fmla="*/ 29106 w 76200"/>
                                  <a:gd name="T3" fmla="*/ 29106 h 76200"/>
                                  <a:gd name="T4" fmla="*/ 38100 w 76200"/>
                                  <a:gd name="T5" fmla="*/ 0 h 76200"/>
                                  <a:gd name="T6" fmla="*/ 47094 w 76200"/>
                                  <a:gd name="T7" fmla="*/ 29106 h 76200"/>
                                  <a:gd name="T8" fmla="*/ 76200 w 76200"/>
                                  <a:gd name="T9" fmla="*/ 29106 h 76200"/>
                                  <a:gd name="T10" fmla="*/ 52653 w 76200"/>
                                  <a:gd name="T11" fmla="*/ 47094 h 76200"/>
                                  <a:gd name="T12" fmla="*/ 61647 w 76200"/>
                                  <a:gd name="T13" fmla="*/ 76200 h 76200"/>
                                  <a:gd name="T14" fmla="*/ 38100 w 76200"/>
                                  <a:gd name="T15" fmla="*/ 58211 h 76200"/>
                                  <a:gd name="T16" fmla="*/ 14553 w 76200"/>
                                  <a:gd name="T17" fmla="*/ 76200 h 76200"/>
                                  <a:gd name="T18" fmla="*/ 23547 w 76200"/>
                                  <a:gd name="T19" fmla="*/ 47094 h 76200"/>
                                  <a:gd name="T20" fmla="*/ 0 w 76200"/>
                                  <a:gd name="T21" fmla="*/ 29106 h 76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200"/>
                                  <a:gd name="T34" fmla="*/ 0 h 76200"/>
                                  <a:gd name="T35" fmla="*/ 76200 w 76200"/>
                                  <a:gd name="T36" fmla="*/ 76200 h 762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200" h="76200">
                                    <a:moveTo>
                                      <a:pt x="0" y="29106"/>
                                    </a:moveTo>
                                    <a:lnTo>
                                      <a:pt x="29106" y="29106"/>
                                    </a:lnTo>
                                    <a:lnTo>
                                      <a:pt x="38100" y="0"/>
                                    </a:lnTo>
                                    <a:lnTo>
                                      <a:pt x="47094" y="29106"/>
                                    </a:lnTo>
                                    <a:lnTo>
                                      <a:pt x="76200" y="29106"/>
                                    </a:lnTo>
                                    <a:lnTo>
                                      <a:pt x="52653" y="47094"/>
                                    </a:lnTo>
                                    <a:lnTo>
                                      <a:pt x="61647" y="76200"/>
                                    </a:lnTo>
                                    <a:lnTo>
                                      <a:pt x="38100" y="58211"/>
                                    </a:lnTo>
                                    <a:lnTo>
                                      <a:pt x="14553" y="76200"/>
                                    </a:lnTo>
                                    <a:lnTo>
                                      <a:pt x="23547" y="47094"/>
                                    </a:lnTo>
                                    <a:lnTo>
                                      <a:pt x="0" y="29106"/>
                                    </a:lnTo>
                                    <a:close/>
                                  </a:path>
                                </a:pathLst>
                              </a:custGeom>
                              <a:solidFill>
                                <a:srgbClr val="FF0000"/>
                              </a:solidFill>
                              <a:ln>
                                <a:noFill/>
                              </a:ln>
                              <a:effectLst/>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五角星 107" o:spid="_x0000_s1026" o:spt="100" style="position:absolute;left:0pt;margin-left:193.8pt;margin-top:73.55pt;height:7pt;width:7.4pt;z-index:251659264;v-text-anchor:middle;mso-width-relative:page;mso-height-relative:page;" fillcolor="#FF0000" filled="t" stroked="f" coordsize="76200,76200" o:gfxdata="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Nq1rCbYAAAACwEAAA8AAAAAAAAAAQAgAAAA&#10;IgAAAGRycy9kb3ducmV2LnhtbFBLAQIUABQAAAAIAIdO4kCLv0USRQQAAIkOAAAOAAAAAAAAAAEA&#10;IAAAACcBAABkcnMvZTJvRG9jLnhtbFBLBQYAAAAABgAGAFkBAADeBwAAAAA=&#10;" path="m0,29106l29106,29106,38100,0,47094,29106,76200,29106,52653,47094,61647,76200,38100,58211,14553,76200,23547,47094,0,29106xe">
                      <v:path textboxrect="0,0,76200,76200" o:connectlocs="0,33957;35897,33957;46990,0;58082,33957;93980,33957;64938,54943;76031,88900;46990,67912;17948,88900;29041,54943;0,33957" o:connectangles="0,0,0,0,0,0,0,0,0,0,0"/>
                      <v:fill on="t" focussize="0,0"/>
                      <v:stroke on="f"/>
                      <v:imagedata o:title=""/>
                      <o:lock v:ext="edit" aspectratio="f"/>
                      <v:textbox>
                        <w:txbxContent>
                          <w:p>
                            <w:pPr>
                              <w:jc w:val="center"/>
                            </w:pPr>
                          </w:p>
                        </w:txbxContent>
                      </v:textbox>
                    </v:shape>
                  </w:pict>
                </mc:Fallback>
              </mc:AlternateContent>
            </w:r>
            <w:r>
              <w:drawing>
                <wp:inline distT="0" distB="0" distL="0" distR="0">
                  <wp:extent cx="3790950" cy="2552700"/>
                  <wp:effectExtent l="0" t="0" r="0" b="0"/>
                  <wp:docPr id="1" name="图片 5" descr="新河县工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新河县工程图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90950" cy="2552700"/>
                          </a:xfrm>
                          <a:prstGeom prst="rect">
                            <a:avLst/>
                          </a:prstGeom>
                          <a:noFill/>
                          <a:ln>
                            <a:noFill/>
                          </a:ln>
                          <a:effectLst/>
                        </pic:spPr>
                      </pic:pic>
                    </a:graphicData>
                  </a:graphic>
                </wp:inline>
              </w:drawing>
            </w:r>
          </w:p>
          <w:p>
            <w:pPr>
              <w:autoSpaceDE w:val="0"/>
              <w:autoSpaceDN w:val="0"/>
              <w:jc w:val="center"/>
              <w:rPr>
                <w:b/>
                <w:bCs/>
                <w:kern w:val="0"/>
                <w:sz w:val="24"/>
                <w:szCs w:val="21"/>
              </w:rPr>
            </w:pPr>
            <w:r>
              <w:rPr>
                <w:rFonts w:hint="eastAsia"/>
                <w:b/>
                <w:bCs/>
                <w:kern w:val="0"/>
                <w:sz w:val="24"/>
                <w:szCs w:val="21"/>
              </w:rPr>
              <w:t>图1  新河县生态保护红线分布图</w:t>
            </w:r>
          </w:p>
          <w:p>
            <w:pPr>
              <w:autoSpaceDE w:val="0"/>
              <w:autoSpaceDN w:val="0"/>
              <w:spacing w:line="360" w:lineRule="auto"/>
              <w:ind w:firstLine="480" w:firstLineChars="200"/>
              <w:rPr>
                <w:kern w:val="0"/>
                <w:sz w:val="24"/>
                <w:szCs w:val="21"/>
              </w:rPr>
            </w:pPr>
            <w:r>
              <w:rPr>
                <w:kern w:val="0"/>
                <w:sz w:val="24"/>
                <w:szCs w:val="21"/>
              </w:rPr>
              <w:fldChar w:fldCharType="begin"/>
            </w:r>
            <w:r>
              <w:rPr>
                <w:kern w:val="0"/>
                <w:sz w:val="24"/>
                <w:szCs w:val="21"/>
              </w:rPr>
              <w:instrText xml:space="preserve"> = 2 \* GB3 </w:instrText>
            </w:r>
            <w:r>
              <w:rPr>
                <w:kern w:val="0"/>
                <w:sz w:val="24"/>
                <w:szCs w:val="21"/>
              </w:rPr>
              <w:fldChar w:fldCharType="separate"/>
            </w:r>
            <w:r>
              <w:rPr>
                <w:kern w:val="0"/>
                <w:sz w:val="24"/>
                <w:szCs w:val="21"/>
              </w:rPr>
              <w:t>②</w:t>
            </w:r>
            <w:r>
              <w:rPr>
                <w:kern w:val="0"/>
                <w:sz w:val="24"/>
                <w:szCs w:val="21"/>
              </w:rPr>
              <w:fldChar w:fldCharType="end"/>
            </w:r>
            <w:r>
              <w:rPr>
                <w:kern w:val="0"/>
                <w:sz w:val="24"/>
                <w:szCs w:val="21"/>
              </w:rPr>
              <w:t>环境质量底线</w:t>
            </w:r>
          </w:p>
          <w:p>
            <w:pPr>
              <w:autoSpaceDE w:val="0"/>
              <w:autoSpaceDN w:val="0"/>
              <w:adjustRightInd w:val="0"/>
              <w:snapToGrid w:val="0"/>
              <w:spacing w:line="360" w:lineRule="auto"/>
              <w:ind w:firstLine="480" w:firstLineChars="200"/>
              <w:jc w:val="left"/>
              <w:rPr>
                <w:kern w:val="0"/>
                <w:sz w:val="24"/>
              </w:rPr>
            </w:pPr>
            <w:r>
              <w:rPr>
                <w:rFonts w:hint="eastAsia"/>
                <w:kern w:val="0"/>
                <w:sz w:val="24"/>
              </w:rPr>
              <w:t>A、</w:t>
            </w:r>
            <w:r>
              <w:rPr>
                <w:kern w:val="0"/>
                <w:sz w:val="24"/>
              </w:rPr>
              <w:t>大气环境质量</w:t>
            </w:r>
          </w:p>
          <w:p>
            <w:pPr>
              <w:autoSpaceDE w:val="0"/>
              <w:autoSpaceDN w:val="0"/>
              <w:adjustRightInd w:val="0"/>
              <w:snapToGrid w:val="0"/>
              <w:spacing w:line="360" w:lineRule="auto"/>
              <w:ind w:firstLine="480" w:firstLineChars="200"/>
              <w:rPr>
                <w:kern w:val="0"/>
                <w:sz w:val="24"/>
              </w:rPr>
            </w:pPr>
            <w:r>
              <w:rPr>
                <w:kern w:val="0"/>
                <w:sz w:val="24"/>
              </w:rPr>
              <w:t>根据《</w:t>
            </w:r>
            <w:r>
              <w:rPr>
                <w:rFonts w:hint="eastAsia"/>
                <w:kern w:val="0"/>
                <w:sz w:val="24"/>
              </w:rPr>
              <w:t>2021年邢台市生态环境状况公报</w:t>
            </w:r>
            <w:r>
              <w:rPr>
                <w:kern w:val="0"/>
                <w:sz w:val="24"/>
              </w:rPr>
              <w:t>》，项目区域为环境空气质量不达标区，不达标因子为PM</w:t>
            </w:r>
            <w:r>
              <w:rPr>
                <w:kern w:val="0"/>
                <w:sz w:val="24"/>
                <w:vertAlign w:val="subscript"/>
              </w:rPr>
              <w:t>10</w:t>
            </w:r>
            <w:r>
              <w:rPr>
                <w:kern w:val="0"/>
                <w:sz w:val="24"/>
              </w:rPr>
              <w:t>、PM</w:t>
            </w:r>
            <w:r>
              <w:rPr>
                <w:kern w:val="0"/>
                <w:sz w:val="24"/>
                <w:vertAlign w:val="subscript"/>
              </w:rPr>
              <w:t>2.5</w:t>
            </w:r>
            <w:r>
              <w:rPr>
                <w:rFonts w:hint="eastAsia"/>
                <w:kern w:val="0"/>
                <w:sz w:val="24"/>
              </w:rPr>
              <w:t>、O</w:t>
            </w:r>
            <w:r>
              <w:rPr>
                <w:rFonts w:hint="eastAsia"/>
                <w:kern w:val="0"/>
                <w:sz w:val="24"/>
                <w:vertAlign w:val="subscript"/>
              </w:rPr>
              <w:t>3</w:t>
            </w:r>
            <w:r>
              <w:rPr>
                <w:kern w:val="0"/>
                <w:sz w:val="24"/>
              </w:rPr>
              <w:t>，随着《邢台市空气质量综合指数“退后十”攻坚行动方案》</w:t>
            </w:r>
            <w:r>
              <w:rPr>
                <w:sz w:val="24"/>
              </w:rPr>
              <w:t>（邢字〔2021〕3号）</w:t>
            </w:r>
            <w:r>
              <w:rPr>
                <w:rFonts w:hint="eastAsia"/>
                <w:kern w:val="0"/>
                <w:sz w:val="24"/>
              </w:rPr>
              <w:t>、《邢台市2022年大气污染综合治理工作方案》</w:t>
            </w:r>
            <w:r>
              <w:rPr>
                <w:kern w:val="0"/>
                <w:sz w:val="24"/>
              </w:rPr>
              <w:t>的实施，邢台市环境质量正逐步好转。</w:t>
            </w:r>
          </w:p>
          <w:p>
            <w:pPr>
              <w:autoSpaceDE w:val="0"/>
              <w:autoSpaceDN w:val="0"/>
              <w:adjustRightInd w:val="0"/>
              <w:snapToGrid w:val="0"/>
              <w:spacing w:line="360" w:lineRule="auto"/>
              <w:ind w:firstLine="480" w:firstLineChars="200"/>
              <w:rPr>
                <w:kern w:val="0"/>
                <w:sz w:val="24"/>
              </w:rPr>
            </w:pPr>
            <w:r>
              <w:rPr>
                <w:kern w:val="0"/>
                <w:sz w:val="24"/>
              </w:rPr>
              <w:t>本项目对工程产生的废气采取了严格的治理和处理措施，在一定程度上减少了污染物的排放，污染物均能达标排放。本项目主要废气污染物非甲烷总烃</w:t>
            </w:r>
            <w:r>
              <w:rPr>
                <w:rFonts w:hint="eastAsia"/>
                <w:kern w:val="0"/>
                <w:sz w:val="24"/>
              </w:rPr>
              <w:t>、颗粒物、SO</w:t>
            </w:r>
            <w:r>
              <w:rPr>
                <w:rFonts w:hint="eastAsia"/>
                <w:kern w:val="0"/>
                <w:sz w:val="24"/>
                <w:vertAlign w:val="subscript"/>
              </w:rPr>
              <w:t>2</w:t>
            </w:r>
            <w:r>
              <w:rPr>
                <w:rFonts w:hint="eastAsia"/>
                <w:kern w:val="0"/>
                <w:sz w:val="24"/>
              </w:rPr>
              <w:t>、NO</w:t>
            </w:r>
            <w:r>
              <w:rPr>
                <w:rFonts w:hint="eastAsia"/>
                <w:kern w:val="0"/>
                <w:sz w:val="24"/>
                <w:vertAlign w:val="subscript"/>
              </w:rPr>
              <w:t>X</w:t>
            </w:r>
            <w:r>
              <w:rPr>
                <w:kern w:val="0"/>
                <w:sz w:val="24"/>
              </w:rPr>
              <w:t>排放</w:t>
            </w:r>
            <w:r>
              <w:rPr>
                <w:rFonts w:hint="eastAsia"/>
                <w:kern w:val="0"/>
                <w:sz w:val="24"/>
              </w:rPr>
              <w:t>均</w:t>
            </w:r>
            <w:r>
              <w:rPr>
                <w:kern w:val="0"/>
                <w:sz w:val="24"/>
              </w:rPr>
              <w:t>符合相关排放标准，不会对区域环境空气质量产生明显影响，符合环境质量底线要求</w:t>
            </w:r>
            <w:r>
              <w:rPr>
                <w:rFonts w:hint="eastAsia"/>
                <w:kern w:val="0"/>
                <w:sz w:val="24"/>
              </w:rPr>
              <w:t>。</w:t>
            </w:r>
          </w:p>
          <w:p>
            <w:pPr>
              <w:autoSpaceDE w:val="0"/>
              <w:autoSpaceDN w:val="0"/>
              <w:adjustRightInd w:val="0"/>
              <w:snapToGrid w:val="0"/>
              <w:spacing w:line="360" w:lineRule="auto"/>
              <w:ind w:firstLine="480" w:firstLineChars="200"/>
              <w:jc w:val="left"/>
              <w:rPr>
                <w:kern w:val="0"/>
                <w:sz w:val="24"/>
              </w:rPr>
            </w:pPr>
            <w:r>
              <w:rPr>
                <w:rFonts w:hint="eastAsia"/>
                <w:kern w:val="0"/>
                <w:sz w:val="24"/>
              </w:rPr>
              <w:t>B、水环境质量</w:t>
            </w:r>
          </w:p>
          <w:p>
            <w:pPr>
              <w:autoSpaceDE w:val="0"/>
              <w:autoSpaceDN w:val="0"/>
              <w:adjustRightInd w:val="0"/>
              <w:snapToGrid w:val="0"/>
              <w:spacing w:line="360" w:lineRule="auto"/>
              <w:ind w:firstLine="480" w:firstLineChars="200"/>
              <w:rPr>
                <w:sz w:val="24"/>
              </w:rPr>
            </w:pPr>
            <w:r>
              <w:rPr>
                <w:kern w:val="0"/>
                <w:sz w:val="24"/>
              </w:rPr>
              <w:t>根据</w:t>
            </w:r>
            <w:r>
              <w:rPr>
                <w:sz w:val="24"/>
              </w:rPr>
              <w:t>《</w:t>
            </w:r>
            <w:r>
              <w:rPr>
                <w:rFonts w:hint="eastAsia"/>
                <w:sz w:val="24"/>
              </w:rPr>
              <w:t>2021年邢台市生态环境状况公报</w:t>
            </w:r>
            <w:r>
              <w:rPr>
                <w:sz w:val="24"/>
              </w:rPr>
              <w:t>》可知，</w:t>
            </w:r>
            <w:r>
              <w:rPr>
                <w:rFonts w:hint="eastAsia"/>
                <w:sz w:val="24"/>
              </w:rPr>
              <w:t>滏阳河、滏阳新河、滏东排河达到</w:t>
            </w:r>
            <w:r>
              <w:rPr>
                <w:sz w:val="24"/>
              </w:rPr>
              <w:t>《地表水质量标准》(GB3838-2002)</w:t>
            </w:r>
            <w:r>
              <w:rPr>
                <w:rFonts w:hint="eastAsia"/>
                <w:sz w:val="24"/>
              </w:rPr>
              <w:t>IV类标准。西沙河达到</w:t>
            </w:r>
            <w:r>
              <w:rPr>
                <w:sz w:val="24"/>
              </w:rPr>
              <w:t>《地表水质量标准》(GB3838-2002)</w:t>
            </w:r>
            <w:r>
              <w:rPr>
                <w:rFonts w:hint="eastAsia"/>
                <w:sz w:val="24"/>
              </w:rPr>
              <w:t>劣V类</w:t>
            </w:r>
            <w:r>
              <w:rPr>
                <w:sz w:val="24"/>
              </w:rPr>
              <w:t>标准</w:t>
            </w:r>
            <w:r>
              <w:rPr>
                <w:rFonts w:hint="eastAsia"/>
                <w:sz w:val="24"/>
              </w:rPr>
              <w:t>。</w:t>
            </w:r>
          </w:p>
          <w:p>
            <w:pPr>
              <w:autoSpaceDE w:val="0"/>
              <w:autoSpaceDN w:val="0"/>
              <w:adjustRightInd w:val="0"/>
              <w:snapToGrid w:val="0"/>
              <w:spacing w:line="360" w:lineRule="auto"/>
              <w:ind w:firstLine="480" w:firstLineChars="200"/>
              <w:rPr>
                <w:kern w:val="0"/>
                <w:sz w:val="24"/>
              </w:rPr>
            </w:pPr>
            <w:r>
              <w:rPr>
                <w:rFonts w:hint="eastAsia"/>
                <w:sz w:val="24"/>
              </w:rPr>
              <w:t>本</w:t>
            </w:r>
            <w:r>
              <w:rPr>
                <w:bCs/>
                <w:sz w:val="24"/>
              </w:rPr>
              <w:t>项目产生的废水全部为职工生活</w:t>
            </w:r>
            <w:r>
              <w:rPr>
                <w:rFonts w:hint="eastAsia"/>
                <w:bCs/>
                <w:sz w:val="24"/>
              </w:rPr>
              <w:t>污水</w:t>
            </w:r>
            <w:r>
              <w:rPr>
                <w:bCs/>
                <w:sz w:val="24"/>
              </w:rPr>
              <w:t>，</w:t>
            </w:r>
            <w:r>
              <w:rPr>
                <w:rFonts w:hint="eastAsia"/>
                <w:bCs/>
                <w:sz w:val="24"/>
              </w:rPr>
              <w:t>经</w:t>
            </w:r>
            <w:r>
              <w:rPr>
                <w:bCs/>
                <w:sz w:val="24"/>
              </w:rPr>
              <w:t>化粪池处理后排入园区污水管网</w:t>
            </w:r>
            <w:r>
              <w:rPr>
                <w:rFonts w:hint="eastAsia"/>
                <w:bCs/>
                <w:sz w:val="24"/>
              </w:rPr>
              <w:t>，</w:t>
            </w:r>
            <w:r>
              <w:rPr>
                <w:bCs/>
                <w:sz w:val="24"/>
              </w:rPr>
              <w:t>最终进入</w:t>
            </w:r>
            <w:r>
              <w:rPr>
                <w:rFonts w:hint="eastAsia"/>
                <w:sz w:val="24"/>
              </w:rPr>
              <w:t>新河县城东污水处理厂</w:t>
            </w:r>
            <w:r>
              <w:rPr>
                <w:kern w:val="0"/>
                <w:sz w:val="24"/>
              </w:rPr>
              <w:t>；不会对</w:t>
            </w:r>
            <w:r>
              <w:rPr>
                <w:rFonts w:hint="eastAsia"/>
                <w:kern w:val="0"/>
                <w:sz w:val="24"/>
              </w:rPr>
              <w:t>区域水</w:t>
            </w:r>
            <w:r>
              <w:rPr>
                <w:kern w:val="0"/>
                <w:sz w:val="24"/>
              </w:rPr>
              <w:t>环境质量底线产生冲击，满足区域环境质量标准，符合</w:t>
            </w:r>
            <w:r>
              <w:rPr>
                <w:rFonts w:hint="eastAsia"/>
                <w:kern w:val="0"/>
                <w:sz w:val="24"/>
              </w:rPr>
              <w:t>水</w:t>
            </w:r>
            <w:r>
              <w:rPr>
                <w:kern w:val="0"/>
                <w:sz w:val="24"/>
              </w:rPr>
              <w:t>环境质量底线的要求。在现有的环境状况下，项目的建设不会使区域水环境质量进一步恶化，项目的实施不会对周围</w:t>
            </w:r>
            <w:r>
              <w:rPr>
                <w:rFonts w:hint="eastAsia"/>
                <w:kern w:val="0"/>
                <w:sz w:val="24"/>
              </w:rPr>
              <w:t>水</w:t>
            </w:r>
            <w:r>
              <w:rPr>
                <w:kern w:val="0"/>
                <w:sz w:val="24"/>
              </w:rPr>
              <w:t>环境产生明显影响。</w:t>
            </w:r>
          </w:p>
          <w:p>
            <w:pPr>
              <w:autoSpaceDE w:val="0"/>
              <w:autoSpaceDN w:val="0"/>
              <w:adjustRightInd w:val="0"/>
              <w:snapToGrid w:val="0"/>
              <w:spacing w:line="360" w:lineRule="auto"/>
              <w:ind w:firstLine="480" w:firstLineChars="200"/>
              <w:jc w:val="left"/>
              <w:rPr>
                <w:kern w:val="0"/>
                <w:sz w:val="24"/>
              </w:rPr>
            </w:pPr>
            <w:r>
              <w:rPr>
                <w:rFonts w:hint="eastAsia"/>
                <w:kern w:val="0"/>
                <w:sz w:val="24"/>
              </w:rPr>
              <w:t>C、声环境质量</w:t>
            </w:r>
          </w:p>
          <w:p>
            <w:pPr>
              <w:autoSpaceDE w:val="0"/>
              <w:autoSpaceDN w:val="0"/>
              <w:adjustRightInd w:val="0"/>
              <w:snapToGrid w:val="0"/>
              <w:spacing w:line="360" w:lineRule="auto"/>
              <w:ind w:firstLine="480" w:firstLineChars="200"/>
              <w:jc w:val="left"/>
              <w:rPr>
                <w:kern w:val="0"/>
                <w:sz w:val="24"/>
              </w:rPr>
            </w:pPr>
            <w:r>
              <w:rPr>
                <w:rFonts w:hint="eastAsia"/>
                <w:kern w:val="0"/>
                <w:sz w:val="24"/>
              </w:rPr>
              <w:t>项目区域声环境质量达到《声环境质量标准》（GB3096-2008）3类，说明区域声环境质量较好，在采取相应的噪声治理措施后，项目运营期噪声对周围</w:t>
            </w:r>
            <w:r>
              <w:rPr>
                <w:rFonts w:hint="eastAsia"/>
                <w:sz w:val="24"/>
                <w:szCs w:val="32"/>
              </w:rPr>
              <w:t>声</w:t>
            </w:r>
            <w:r>
              <w:rPr>
                <w:rFonts w:hint="eastAsia"/>
                <w:kern w:val="0"/>
                <w:sz w:val="24"/>
              </w:rPr>
              <w:t>环境影响较小。</w:t>
            </w:r>
          </w:p>
          <w:p>
            <w:pPr>
              <w:autoSpaceDE w:val="0"/>
              <w:autoSpaceDN w:val="0"/>
              <w:adjustRightInd w:val="0"/>
              <w:snapToGrid w:val="0"/>
              <w:spacing w:line="360" w:lineRule="auto"/>
              <w:ind w:firstLine="480" w:firstLineChars="200"/>
              <w:jc w:val="left"/>
              <w:rPr>
                <w:kern w:val="0"/>
                <w:sz w:val="24"/>
              </w:rPr>
            </w:pPr>
            <w:r>
              <w:rPr>
                <w:rFonts w:hint="eastAsia"/>
                <w:kern w:val="0"/>
                <w:sz w:val="24"/>
              </w:rPr>
              <w:t>D、土壤环境质量</w:t>
            </w:r>
          </w:p>
          <w:p>
            <w:pPr>
              <w:autoSpaceDE w:val="0"/>
              <w:autoSpaceDN w:val="0"/>
              <w:spacing w:line="360" w:lineRule="auto"/>
              <w:ind w:firstLine="480" w:firstLineChars="200"/>
              <w:rPr>
                <w:b/>
                <w:kern w:val="0"/>
                <w:sz w:val="24"/>
              </w:rPr>
            </w:pPr>
            <w:r>
              <w:rPr>
                <w:rFonts w:hint="eastAsia"/>
                <w:kern w:val="0"/>
                <w:sz w:val="24"/>
              </w:rPr>
              <w:t>项目区域建设用地土壤环境质量满足《土壤环境质量 建设用地土壤污染风险管控标准（试行）》（GB36600-2018）第二类用地筛选值，在采取相应治理措施后，项目营运期对周围土壤环境影响较小。因此，本项目满足环境质量底线要求。</w:t>
            </w:r>
          </w:p>
          <w:p>
            <w:pPr>
              <w:autoSpaceDE w:val="0"/>
              <w:autoSpaceDN w:val="0"/>
              <w:spacing w:line="360" w:lineRule="auto"/>
              <w:ind w:firstLine="482" w:firstLineChars="200"/>
              <w:rPr>
                <w:b/>
                <w:kern w:val="0"/>
                <w:sz w:val="24"/>
                <w:szCs w:val="21"/>
              </w:rPr>
            </w:pPr>
            <w:r>
              <w:rPr>
                <w:b/>
                <w:kern w:val="0"/>
                <w:sz w:val="24"/>
                <w:szCs w:val="21"/>
              </w:rPr>
              <w:t>综上，本项目符合环境质量底线要求。</w:t>
            </w:r>
          </w:p>
          <w:p>
            <w:pPr>
              <w:autoSpaceDE w:val="0"/>
              <w:autoSpaceDN w:val="0"/>
              <w:spacing w:line="360" w:lineRule="auto"/>
              <w:ind w:firstLine="480" w:firstLineChars="200"/>
              <w:rPr>
                <w:kern w:val="0"/>
                <w:sz w:val="24"/>
                <w:szCs w:val="21"/>
              </w:rPr>
            </w:pPr>
            <w:r>
              <w:rPr>
                <w:kern w:val="0"/>
                <w:sz w:val="24"/>
                <w:szCs w:val="21"/>
              </w:rPr>
              <w:fldChar w:fldCharType="begin"/>
            </w:r>
            <w:r>
              <w:rPr>
                <w:kern w:val="0"/>
                <w:sz w:val="24"/>
                <w:szCs w:val="21"/>
              </w:rPr>
              <w:instrText xml:space="preserve"> = 3 \* GB3 </w:instrText>
            </w:r>
            <w:r>
              <w:rPr>
                <w:kern w:val="0"/>
                <w:sz w:val="24"/>
                <w:szCs w:val="21"/>
              </w:rPr>
              <w:fldChar w:fldCharType="separate"/>
            </w:r>
            <w:r>
              <w:rPr>
                <w:kern w:val="0"/>
                <w:sz w:val="24"/>
                <w:szCs w:val="21"/>
              </w:rPr>
              <w:t>③</w:t>
            </w:r>
            <w:r>
              <w:rPr>
                <w:kern w:val="0"/>
                <w:sz w:val="24"/>
                <w:szCs w:val="21"/>
              </w:rPr>
              <w:fldChar w:fldCharType="end"/>
            </w:r>
            <w:r>
              <w:rPr>
                <w:kern w:val="0"/>
                <w:sz w:val="24"/>
                <w:szCs w:val="21"/>
              </w:rPr>
              <w:t>资源利用上线</w:t>
            </w:r>
          </w:p>
          <w:p>
            <w:pPr>
              <w:autoSpaceDE w:val="0"/>
              <w:autoSpaceDN w:val="0"/>
              <w:spacing w:line="360" w:lineRule="auto"/>
              <w:ind w:firstLine="480" w:firstLineChars="200"/>
              <w:rPr>
                <w:kern w:val="0"/>
                <w:sz w:val="24"/>
                <w:szCs w:val="21"/>
              </w:rPr>
            </w:pPr>
            <w:r>
              <w:rPr>
                <w:kern w:val="0"/>
                <w:sz w:val="24"/>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autoSpaceDE w:val="0"/>
              <w:autoSpaceDN w:val="0"/>
              <w:spacing w:line="360" w:lineRule="auto"/>
              <w:ind w:firstLine="482" w:firstLineChars="200"/>
              <w:rPr>
                <w:b/>
                <w:kern w:val="0"/>
                <w:sz w:val="24"/>
                <w:szCs w:val="21"/>
              </w:rPr>
            </w:pPr>
            <w:r>
              <w:rPr>
                <w:b/>
                <w:kern w:val="0"/>
                <w:sz w:val="24"/>
                <w:szCs w:val="21"/>
              </w:rPr>
              <w:t>本项目在生产过程中会消耗一定电</w:t>
            </w:r>
            <w:r>
              <w:rPr>
                <w:rFonts w:hint="eastAsia"/>
                <w:b/>
                <w:kern w:val="0"/>
                <w:sz w:val="24"/>
                <w:szCs w:val="21"/>
              </w:rPr>
              <w:t>、天然气</w:t>
            </w:r>
            <w:r>
              <w:rPr>
                <w:b/>
                <w:kern w:val="0"/>
                <w:sz w:val="24"/>
                <w:szCs w:val="21"/>
              </w:rPr>
              <w:t>和水资源；本项目占地为园区二类工业用地，不占用农用地等。项目资源消耗量相对于区域资源利用总量较少，符合资源利用上线要求。</w:t>
            </w:r>
          </w:p>
          <w:p>
            <w:pPr>
              <w:autoSpaceDE w:val="0"/>
              <w:autoSpaceDN w:val="0"/>
              <w:spacing w:line="360" w:lineRule="auto"/>
              <w:ind w:firstLine="480" w:firstLineChars="200"/>
              <w:rPr>
                <w:kern w:val="0"/>
                <w:sz w:val="24"/>
                <w:szCs w:val="21"/>
              </w:rPr>
            </w:pPr>
            <w:r>
              <w:rPr>
                <w:kern w:val="0"/>
                <w:sz w:val="24"/>
                <w:szCs w:val="21"/>
              </w:rPr>
              <w:fldChar w:fldCharType="begin"/>
            </w:r>
            <w:r>
              <w:rPr>
                <w:kern w:val="0"/>
                <w:sz w:val="24"/>
                <w:szCs w:val="21"/>
              </w:rPr>
              <w:instrText xml:space="preserve"> = 4 \* GB3 </w:instrText>
            </w:r>
            <w:r>
              <w:rPr>
                <w:kern w:val="0"/>
                <w:sz w:val="24"/>
                <w:szCs w:val="21"/>
              </w:rPr>
              <w:fldChar w:fldCharType="separate"/>
            </w:r>
            <w:r>
              <w:rPr>
                <w:kern w:val="0"/>
                <w:sz w:val="24"/>
                <w:szCs w:val="21"/>
              </w:rPr>
              <w:t>④</w:t>
            </w:r>
            <w:r>
              <w:rPr>
                <w:kern w:val="0"/>
                <w:sz w:val="24"/>
                <w:szCs w:val="21"/>
              </w:rPr>
              <w:fldChar w:fldCharType="end"/>
            </w:r>
            <w:r>
              <w:rPr>
                <w:kern w:val="0"/>
                <w:sz w:val="24"/>
                <w:szCs w:val="21"/>
              </w:rPr>
              <w:t>环境准入负面清单</w:t>
            </w:r>
          </w:p>
          <w:p>
            <w:pPr>
              <w:autoSpaceDE w:val="0"/>
              <w:autoSpaceDN w:val="0"/>
              <w:spacing w:line="360" w:lineRule="auto"/>
              <w:ind w:firstLine="480" w:firstLineChars="200"/>
              <w:rPr>
                <w:rFonts w:hAnsi="宋体"/>
                <w:spacing w:val="-10"/>
                <w:sz w:val="23"/>
                <w:szCs w:val="23"/>
              </w:rPr>
            </w:pPr>
            <w:r>
              <w:rPr>
                <w:sz w:val="24"/>
              </w:rPr>
              <w:t>本</w:t>
            </w:r>
            <w:r>
              <w:rPr>
                <w:rFonts w:hint="eastAsia"/>
                <w:sz w:val="24"/>
              </w:rPr>
              <w:t>项目</w:t>
            </w:r>
            <w:r>
              <w:rPr>
                <w:sz w:val="24"/>
              </w:rPr>
              <w:t>为</w:t>
            </w:r>
            <w:r>
              <w:rPr>
                <w:rFonts w:hint="eastAsia"/>
                <w:kern w:val="0"/>
                <w:sz w:val="24"/>
              </w:rPr>
              <w:t>配电箱（柜）生产项目，</w:t>
            </w:r>
            <w:r>
              <w:rPr>
                <w:rFonts w:hint="eastAsia"/>
                <w:sz w:val="24"/>
                <w:szCs w:val="21"/>
              </w:rPr>
              <w:t>属于东区规划的</w:t>
            </w:r>
            <w:r>
              <w:rPr>
                <w:rFonts w:hint="eastAsia"/>
                <w:sz w:val="24"/>
                <w:szCs w:val="32"/>
              </w:rPr>
              <w:t>现代装备制造产业</w:t>
            </w:r>
            <w:r>
              <w:rPr>
                <w:rFonts w:hint="eastAsia" w:hAnsi="宋体"/>
                <w:spacing w:val="-10"/>
                <w:sz w:val="23"/>
                <w:szCs w:val="23"/>
              </w:rPr>
              <w:t>，因此符合园区产业定位；根据产业政府符合性分析章节，本项目</w:t>
            </w:r>
            <w:r>
              <w:rPr>
                <w:rFonts w:hint="eastAsia"/>
                <w:sz w:val="24"/>
              </w:rPr>
              <w:t>符合国家及地方产业政策要求。</w:t>
            </w:r>
          </w:p>
          <w:p>
            <w:pPr>
              <w:autoSpaceDE w:val="0"/>
              <w:autoSpaceDN w:val="0"/>
              <w:spacing w:line="360" w:lineRule="auto"/>
              <w:ind w:firstLine="440" w:firstLineChars="200"/>
              <w:rPr>
                <w:kern w:val="0"/>
                <w:sz w:val="24"/>
              </w:rPr>
            </w:pPr>
            <w:r>
              <w:rPr>
                <w:rFonts w:hint="eastAsia" w:hAnsi="宋体"/>
                <w:spacing w:val="-10"/>
                <w:sz w:val="24"/>
              </w:rPr>
              <w:t>项目所在厂区位于</w:t>
            </w:r>
            <w:r>
              <w:rPr>
                <w:sz w:val="24"/>
              </w:rPr>
              <w:t>河北新河经济开发区</w:t>
            </w:r>
            <w:r>
              <w:rPr>
                <w:rFonts w:hint="eastAsia"/>
                <w:sz w:val="24"/>
              </w:rPr>
              <w:t>东区中的新能源及其配套循环产业园区内。根据园区环境准入负面清单，本项目既</w:t>
            </w:r>
            <w:r>
              <w:rPr>
                <w:rFonts w:hint="eastAsia"/>
                <w:bCs/>
                <w:sz w:val="24"/>
              </w:rPr>
              <w:t>不属于鼓励进入该产业片区的范畴、也不属于禁止和限制入区的范畴，与园区准入负面清单不冲突。</w:t>
            </w:r>
            <w:r>
              <w:rPr>
                <w:rFonts w:hint="eastAsia"/>
                <w:kern w:val="0"/>
                <w:sz w:val="24"/>
              </w:rPr>
              <w:t>河北新河经济开发区管理委员会于2021年8月17日为本项目出具了选址意见书，同意本项目建设。</w:t>
            </w:r>
          </w:p>
          <w:p>
            <w:pPr>
              <w:autoSpaceDE w:val="0"/>
              <w:autoSpaceDN w:val="0"/>
              <w:spacing w:line="360" w:lineRule="auto"/>
              <w:ind w:firstLine="482" w:firstLineChars="200"/>
              <w:rPr>
                <w:rFonts w:hAnsi="宋体"/>
                <w:b/>
                <w:bCs/>
                <w:color w:val="1D41D5"/>
                <w:spacing w:val="-10"/>
                <w:sz w:val="23"/>
                <w:szCs w:val="23"/>
              </w:rPr>
            </w:pPr>
            <w:r>
              <w:rPr>
                <w:rFonts w:hint="eastAsia"/>
                <w:b/>
                <w:bCs/>
                <w:kern w:val="0"/>
                <w:sz w:val="24"/>
              </w:rPr>
              <w:t>综上，本项目符合</w:t>
            </w:r>
            <w:r>
              <w:rPr>
                <w:b/>
                <w:bCs/>
                <w:kern w:val="0"/>
                <w:sz w:val="24"/>
                <w:szCs w:val="21"/>
              </w:rPr>
              <w:t>环境保护部环环评[2016]150号《关于以改善环境质量为核心加强环境影响评价管理的通知》</w:t>
            </w:r>
            <w:r>
              <w:rPr>
                <w:rFonts w:hint="eastAsia"/>
                <w:b/>
                <w:bCs/>
                <w:kern w:val="0"/>
                <w:sz w:val="24"/>
                <w:szCs w:val="21"/>
              </w:rPr>
              <w:t>中相关要求。</w:t>
            </w:r>
          </w:p>
          <w:p>
            <w:pPr>
              <w:pStyle w:val="7"/>
              <w:adjustRightInd w:val="0"/>
              <w:snapToGrid w:val="0"/>
              <w:spacing w:line="360" w:lineRule="auto"/>
              <w:ind w:firstLine="480" w:firstLineChars="200"/>
              <w:rPr>
                <w:szCs w:val="24"/>
              </w:rPr>
            </w:pPr>
            <w:r>
              <w:rPr>
                <w:rFonts w:hint="eastAsia"/>
                <w:szCs w:val="24"/>
              </w:rPr>
              <w:t>（2）</w:t>
            </w:r>
            <w:r>
              <w:rPr>
                <w:szCs w:val="24"/>
              </w:rPr>
              <w:t>与“河北省人民政府关于加快实施“三线一单”生态环境分区管控的意见”符合性分析</w:t>
            </w:r>
          </w:p>
          <w:p>
            <w:pPr>
              <w:pStyle w:val="7"/>
              <w:adjustRightInd w:val="0"/>
              <w:snapToGrid w:val="0"/>
              <w:ind w:firstLine="482" w:firstLineChars="200"/>
              <w:jc w:val="center"/>
              <w:rPr>
                <w:b/>
                <w:bCs/>
                <w:szCs w:val="24"/>
              </w:rPr>
            </w:pPr>
            <w:r>
              <w:rPr>
                <w:rFonts w:hint="eastAsia"/>
                <w:b/>
                <w:bCs/>
                <w:szCs w:val="24"/>
              </w:rPr>
              <w:t>表5  与“河北省人民政府关于加快实施“三线一单”生态环境分区管控的意见”符合性分析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6"/>
              <w:gridCol w:w="662"/>
              <w:gridCol w:w="3614"/>
              <w:gridCol w:w="1501"/>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Align w:val="center"/>
                </w:tcPr>
                <w:p>
                  <w:pPr>
                    <w:pStyle w:val="7"/>
                    <w:adjustRightInd w:val="0"/>
                    <w:snapToGrid w:val="0"/>
                    <w:jc w:val="center"/>
                    <w:rPr>
                      <w:b/>
                      <w:bCs/>
                      <w:sz w:val="21"/>
                      <w:szCs w:val="21"/>
                    </w:rPr>
                  </w:pPr>
                  <w:r>
                    <w:rPr>
                      <w:rFonts w:hint="eastAsia"/>
                      <w:b/>
                      <w:bCs/>
                      <w:sz w:val="21"/>
                      <w:szCs w:val="21"/>
                    </w:rPr>
                    <w:t>文件</w:t>
                  </w:r>
                </w:p>
              </w:tc>
              <w:tc>
                <w:tcPr>
                  <w:tcW w:w="4875" w:type="dxa"/>
                  <w:gridSpan w:val="3"/>
                  <w:vAlign w:val="center"/>
                </w:tcPr>
                <w:p>
                  <w:pPr>
                    <w:pStyle w:val="7"/>
                    <w:adjustRightInd w:val="0"/>
                    <w:snapToGrid w:val="0"/>
                    <w:jc w:val="center"/>
                    <w:rPr>
                      <w:b/>
                      <w:bCs/>
                      <w:sz w:val="21"/>
                      <w:szCs w:val="21"/>
                    </w:rPr>
                  </w:pPr>
                  <w:r>
                    <w:rPr>
                      <w:rFonts w:hint="eastAsia"/>
                      <w:b/>
                      <w:bCs/>
                      <w:sz w:val="21"/>
                      <w:szCs w:val="21"/>
                    </w:rPr>
                    <w:t>文件内容</w:t>
                  </w:r>
                </w:p>
              </w:tc>
              <w:tc>
                <w:tcPr>
                  <w:tcW w:w="1558" w:type="dxa"/>
                  <w:vAlign w:val="center"/>
                </w:tcPr>
                <w:p>
                  <w:pPr>
                    <w:pStyle w:val="7"/>
                    <w:adjustRightInd w:val="0"/>
                    <w:snapToGrid w:val="0"/>
                    <w:jc w:val="center"/>
                    <w:rPr>
                      <w:b/>
                      <w:bCs/>
                      <w:sz w:val="21"/>
                      <w:szCs w:val="21"/>
                    </w:rPr>
                  </w:pPr>
                  <w:r>
                    <w:rPr>
                      <w:rFonts w:hint="eastAsia"/>
                      <w:b/>
                      <w:bCs/>
                      <w:sz w:val="21"/>
                      <w:szCs w:val="21"/>
                    </w:rPr>
                    <w:t>本项目相关内容</w:t>
                  </w:r>
                </w:p>
              </w:tc>
              <w:tc>
                <w:tcPr>
                  <w:tcW w:w="671" w:type="dxa"/>
                  <w:vAlign w:val="center"/>
                </w:tcPr>
                <w:p>
                  <w:pPr>
                    <w:pStyle w:val="7"/>
                    <w:adjustRightInd w:val="0"/>
                    <w:snapToGrid w:val="0"/>
                    <w:jc w:val="center"/>
                    <w:rPr>
                      <w:b/>
                      <w:bCs/>
                      <w:sz w:val="21"/>
                      <w:szCs w:val="21"/>
                    </w:rPr>
                  </w:pPr>
                  <w:r>
                    <w:rPr>
                      <w:rFonts w:hint="eastAsia"/>
                      <w:b/>
                      <w:bCs/>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restart"/>
                  <w:vAlign w:val="center"/>
                </w:tcPr>
                <w:p>
                  <w:pPr>
                    <w:pStyle w:val="7"/>
                    <w:adjustRightInd w:val="0"/>
                    <w:snapToGrid w:val="0"/>
                    <w:jc w:val="center"/>
                    <w:rPr>
                      <w:sz w:val="21"/>
                      <w:szCs w:val="21"/>
                    </w:rPr>
                  </w:pPr>
                  <w:r>
                    <w:rPr>
                      <w:rFonts w:hint="eastAsia"/>
                      <w:sz w:val="21"/>
                      <w:szCs w:val="21"/>
                    </w:rPr>
                    <w:t>河北省人民政府加快实施“三线一单”生态环境分区管控的意见</w:t>
                  </w:r>
                </w:p>
              </w:tc>
              <w:tc>
                <w:tcPr>
                  <w:tcW w:w="390" w:type="dxa"/>
                  <w:vMerge w:val="restart"/>
                  <w:vAlign w:val="center"/>
                </w:tcPr>
                <w:p>
                  <w:pPr>
                    <w:pStyle w:val="7"/>
                    <w:adjustRightInd w:val="0"/>
                    <w:snapToGrid w:val="0"/>
                    <w:jc w:val="center"/>
                    <w:rPr>
                      <w:sz w:val="21"/>
                      <w:szCs w:val="21"/>
                    </w:rPr>
                  </w:pPr>
                  <w:r>
                    <w:rPr>
                      <w:rFonts w:hint="eastAsia"/>
                      <w:sz w:val="21"/>
                      <w:szCs w:val="21"/>
                    </w:rPr>
                    <w:t>生态环境环境管控总体要求</w:t>
                  </w:r>
                </w:p>
              </w:tc>
              <w:tc>
                <w:tcPr>
                  <w:tcW w:w="678" w:type="dxa"/>
                  <w:vAlign w:val="center"/>
                </w:tcPr>
                <w:p>
                  <w:pPr>
                    <w:pStyle w:val="7"/>
                    <w:adjustRightInd w:val="0"/>
                    <w:snapToGrid w:val="0"/>
                    <w:jc w:val="center"/>
                    <w:rPr>
                      <w:sz w:val="21"/>
                      <w:szCs w:val="21"/>
                    </w:rPr>
                  </w:pPr>
                  <w:r>
                    <w:rPr>
                      <w:rFonts w:hint="eastAsia"/>
                      <w:sz w:val="21"/>
                      <w:szCs w:val="21"/>
                    </w:rPr>
                    <w:t>优先保护单元</w:t>
                  </w:r>
                </w:p>
              </w:tc>
              <w:tc>
                <w:tcPr>
                  <w:tcW w:w="3807" w:type="dxa"/>
                  <w:vAlign w:val="center"/>
                </w:tcPr>
                <w:p>
                  <w:pPr>
                    <w:pStyle w:val="7"/>
                    <w:adjustRightInd w:val="0"/>
                    <w:snapToGrid w:val="0"/>
                    <w:rPr>
                      <w:sz w:val="21"/>
                      <w:szCs w:val="21"/>
                    </w:rPr>
                  </w:pPr>
                  <w:r>
                    <w:rPr>
                      <w:sz w:val="21"/>
                      <w:szCs w:val="21"/>
                    </w:rPr>
                    <w:t>严格落实生态保护红线管理要求，除有限人为活动外，依法依规禁止其他城镇和建设活动。一般生态空间突出生态保护，严禁不符合主体功能定位的各类开发活动，严禁任意改变用途。重大引水工程、白洋淀入淀河流两侧范围严格执行引调水工程等相关法律规定</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本项目不在优先保护单元</w:t>
                  </w:r>
                </w:p>
              </w:tc>
              <w:tc>
                <w:tcPr>
                  <w:tcW w:w="671" w:type="dxa"/>
                  <w:vAlign w:val="center"/>
                </w:tcPr>
                <w:p>
                  <w:pPr>
                    <w:pStyle w:val="7"/>
                    <w:adjustRightInd w:val="0"/>
                    <w:snapToGrid w:val="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continue"/>
                  <w:vAlign w:val="center"/>
                </w:tcPr>
                <w:p>
                  <w:pPr>
                    <w:pStyle w:val="7"/>
                    <w:adjustRightInd w:val="0"/>
                    <w:snapToGrid w:val="0"/>
                    <w:rPr>
                      <w:sz w:val="21"/>
                      <w:szCs w:val="21"/>
                    </w:rPr>
                  </w:pPr>
                </w:p>
              </w:tc>
              <w:tc>
                <w:tcPr>
                  <w:tcW w:w="390" w:type="dxa"/>
                  <w:vMerge w:val="continue"/>
                  <w:vAlign w:val="center"/>
                </w:tcPr>
                <w:p>
                  <w:pPr>
                    <w:pStyle w:val="7"/>
                    <w:adjustRightInd w:val="0"/>
                    <w:snapToGrid w:val="0"/>
                    <w:jc w:val="center"/>
                    <w:rPr>
                      <w:sz w:val="21"/>
                      <w:szCs w:val="21"/>
                    </w:rPr>
                  </w:pPr>
                </w:p>
              </w:tc>
              <w:tc>
                <w:tcPr>
                  <w:tcW w:w="678" w:type="dxa"/>
                  <w:vAlign w:val="center"/>
                </w:tcPr>
                <w:p>
                  <w:pPr>
                    <w:pStyle w:val="7"/>
                    <w:adjustRightInd w:val="0"/>
                    <w:snapToGrid w:val="0"/>
                    <w:jc w:val="center"/>
                    <w:rPr>
                      <w:sz w:val="21"/>
                      <w:szCs w:val="21"/>
                    </w:rPr>
                  </w:pPr>
                  <w:r>
                    <w:rPr>
                      <w:rFonts w:hint="eastAsia"/>
                      <w:sz w:val="21"/>
                      <w:szCs w:val="21"/>
                    </w:rPr>
                    <w:t>重点管控单元</w:t>
                  </w:r>
                </w:p>
              </w:tc>
              <w:tc>
                <w:tcPr>
                  <w:tcW w:w="3807" w:type="dxa"/>
                  <w:vAlign w:val="center"/>
                </w:tcPr>
                <w:p>
                  <w:pPr>
                    <w:pStyle w:val="7"/>
                    <w:adjustRightInd w:val="0"/>
                    <w:snapToGrid w:val="0"/>
                    <w:rPr>
                      <w:sz w:val="21"/>
                      <w:szCs w:val="21"/>
                    </w:rPr>
                  </w:pPr>
                  <w:r>
                    <w:rPr>
                      <w:b/>
                      <w:bCs/>
                      <w:sz w:val="21"/>
                      <w:szCs w:val="21"/>
                    </w:rPr>
                    <w:t>城镇重点管控单元。</w:t>
                  </w:r>
                  <w:r>
                    <w:rPr>
                      <w:sz w:val="21"/>
                      <w:szCs w:val="21"/>
                    </w:rPr>
                    <w:t xml:space="preserve">优化工业布局，有序实施高污染、高排放工业企业整改或搬迁退出；强化交通污染源管控；完善污水治理设施；加快城镇河流水系环境整治；加强工业污染场地环境风险防控和开发再利用监管。 </w:t>
                  </w:r>
                </w:p>
                <w:p>
                  <w:pPr>
                    <w:pStyle w:val="7"/>
                    <w:adjustRightInd w:val="0"/>
                    <w:snapToGrid w:val="0"/>
                    <w:rPr>
                      <w:sz w:val="21"/>
                      <w:szCs w:val="21"/>
                    </w:rPr>
                  </w:pPr>
                  <w:r>
                    <w:rPr>
                      <w:b/>
                      <w:bCs/>
                      <w:sz w:val="21"/>
                      <w:szCs w:val="21"/>
                    </w:rPr>
                    <w:t>省级以上产业园区重点管控单元。</w:t>
                  </w:r>
                  <w:r>
                    <w:rPr>
                      <w:sz w:val="21"/>
                      <w:szCs w:val="21"/>
                    </w:rPr>
                    <w:t xml:space="preserve">严格产业准入，完善园区设施建设，推动设施提标改造；实施污染物总量控制，落实排污许可证制度；强化资源利用效率和地下水开采管控。 </w:t>
                  </w:r>
                </w:p>
                <w:p>
                  <w:pPr>
                    <w:pStyle w:val="7"/>
                    <w:adjustRightInd w:val="0"/>
                    <w:snapToGrid w:val="0"/>
                    <w:rPr>
                      <w:sz w:val="21"/>
                      <w:szCs w:val="21"/>
                    </w:rPr>
                  </w:pPr>
                  <w:r>
                    <w:rPr>
                      <w:b/>
                      <w:bCs/>
                      <w:sz w:val="21"/>
                      <w:szCs w:val="21"/>
                    </w:rPr>
                    <w:t>农业农村重点管控单元。</w:t>
                  </w:r>
                  <w:r>
                    <w:rPr>
                      <w:sz w:val="21"/>
                      <w:szCs w:val="21"/>
                    </w:rPr>
                    <w:t xml:space="preserve">优化规模化畜禽养殖布局，加快农村生态环境综合整治，逐步推进农村污水和生活垃圾治理；减少化肥农药施用量，优化农业种植结构，推动秸秆综合利用；控制地下水超采区农业地下水开采。 </w:t>
                  </w:r>
                </w:p>
                <w:p>
                  <w:pPr>
                    <w:pStyle w:val="7"/>
                    <w:adjustRightInd w:val="0"/>
                    <w:snapToGrid w:val="0"/>
                    <w:rPr>
                      <w:sz w:val="21"/>
                      <w:szCs w:val="21"/>
                    </w:rPr>
                  </w:pPr>
                  <w:r>
                    <w:rPr>
                      <w:b/>
                      <w:bCs/>
                      <w:sz w:val="21"/>
                      <w:szCs w:val="21"/>
                    </w:rPr>
                    <w:t>近岸海域重点管控单元。</w:t>
                  </w:r>
                  <w:r>
                    <w:rPr>
                      <w:sz w:val="21"/>
                      <w:szCs w:val="21"/>
                    </w:rPr>
                    <w:t>优化石化、钢铁等重化行业布局；严格海洋岸线开发；强化船舶、港区污染物控制；加强近岸海域及港口码头环境污染风险防控</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本项目位于河北新河经济开发区，属重点管控单元，符合园区产业定位，可以实现污染物总量控制，后续可严格</w:t>
                  </w:r>
                  <w:r>
                    <w:rPr>
                      <w:sz w:val="21"/>
                      <w:szCs w:val="21"/>
                    </w:rPr>
                    <w:t>落实排污许可证制度</w:t>
                  </w:r>
                  <w:r>
                    <w:rPr>
                      <w:rFonts w:hint="eastAsia"/>
                      <w:sz w:val="21"/>
                      <w:szCs w:val="21"/>
                    </w:rPr>
                    <w:t>，项目用水由园区集中供水管网供给，不开采地下水</w:t>
                  </w:r>
                </w:p>
              </w:tc>
              <w:tc>
                <w:tcPr>
                  <w:tcW w:w="671" w:type="dxa"/>
                  <w:vAlign w:val="center"/>
                </w:tcPr>
                <w:p>
                  <w:pPr>
                    <w:pStyle w:val="7"/>
                    <w:adjustRightInd w:val="0"/>
                    <w:snapToGrid w:val="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continue"/>
                  <w:vAlign w:val="center"/>
                </w:tcPr>
                <w:p>
                  <w:pPr>
                    <w:pStyle w:val="7"/>
                    <w:adjustRightInd w:val="0"/>
                    <w:snapToGrid w:val="0"/>
                    <w:rPr>
                      <w:sz w:val="21"/>
                      <w:szCs w:val="21"/>
                    </w:rPr>
                  </w:pPr>
                </w:p>
              </w:tc>
              <w:tc>
                <w:tcPr>
                  <w:tcW w:w="390" w:type="dxa"/>
                  <w:vMerge w:val="continue"/>
                  <w:vAlign w:val="center"/>
                </w:tcPr>
                <w:p>
                  <w:pPr>
                    <w:pStyle w:val="7"/>
                    <w:adjustRightInd w:val="0"/>
                    <w:snapToGrid w:val="0"/>
                    <w:rPr>
                      <w:sz w:val="21"/>
                      <w:szCs w:val="21"/>
                    </w:rPr>
                  </w:pPr>
                </w:p>
              </w:tc>
              <w:tc>
                <w:tcPr>
                  <w:tcW w:w="678" w:type="dxa"/>
                  <w:vAlign w:val="center"/>
                </w:tcPr>
                <w:p>
                  <w:pPr>
                    <w:pStyle w:val="7"/>
                    <w:adjustRightInd w:val="0"/>
                    <w:snapToGrid w:val="0"/>
                    <w:rPr>
                      <w:sz w:val="21"/>
                      <w:szCs w:val="21"/>
                    </w:rPr>
                  </w:pPr>
                  <w:r>
                    <w:rPr>
                      <w:rFonts w:hint="eastAsia"/>
                      <w:sz w:val="21"/>
                      <w:szCs w:val="21"/>
                    </w:rPr>
                    <w:t>一般控制单元</w:t>
                  </w:r>
                </w:p>
              </w:tc>
              <w:tc>
                <w:tcPr>
                  <w:tcW w:w="3807" w:type="dxa"/>
                  <w:vAlign w:val="center"/>
                </w:tcPr>
                <w:p>
                  <w:pPr>
                    <w:pStyle w:val="7"/>
                    <w:adjustRightInd w:val="0"/>
                    <w:snapToGrid w:val="0"/>
                    <w:rPr>
                      <w:sz w:val="21"/>
                      <w:szCs w:val="21"/>
                    </w:rPr>
                  </w:pPr>
                  <w:r>
                    <w:rPr>
                      <w:sz w:val="21"/>
                      <w:szCs w:val="21"/>
                    </w:rPr>
                    <w:t>严格执行国家、省关于产业准入、总量控制和污染物排放标准等管控要求</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本项目不在一般管控单元</w:t>
                  </w:r>
                </w:p>
              </w:tc>
              <w:tc>
                <w:tcPr>
                  <w:tcW w:w="671" w:type="dxa"/>
                  <w:vAlign w:val="center"/>
                </w:tcPr>
                <w:p>
                  <w:pPr>
                    <w:pStyle w:val="7"/>
                    <w:adjustRightInd w:val="0"/>
                    <w:snapToGrid w:val="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continue"/>
                  <w:vAlign w:val="center"/>
                </w:tcPr>
                <w:p>
                  <w:pPr>
                    <w:pStyle w:val="7"/>
                    <w:adjustRightInd w:val="0"/>
                    <w:snapToGrid w:val="0"/>
                    <w:rPr>
                      <w:sz w:val="21"/>
                      <w:szCs w:val="21"/>
                    </w:rPr>
                  </w:pPr>
                </w:p>
              </w:tc>
              <w:tc>
                <w:tcPr>
                  <w:tcW w:w="1068" w:type="dxa"/>
                  <w:gridSpan w:val="2"/>
                  <w:vAlign w:val="center"/>
                </w:tcPr>
                <w:p>
                  <w:pPr>
                    <w:pStyle w:val="7"/>
                    <w:adjustRightInd w:val="0"/>
                    <w:snapToGrid w:val="0"/>
                    <w:jc w:val="center"/>
                    <w:rPr>
                      <w:sz w:val="21"/>
                      <w:szCs w:val="21"/>
                    </w:rPr>
                  </w:pPr>
                  <w:r>
                    <w:rPr>
                      <w:rFonts w:hint="eastAsia"/>
                      <w:sz w:val="21"/>
                      <w:szCs w:val="21"/>
                    </w:rPr>
                    <w:t>生态保护红线</w:t>
                  </w:r>
                </w:p>
              </w:tc>
              <w:tc>
                <w:tcPr>
                  <w:tcW w:w="3807" w:type="dxa"/>
                  <w:vAlign w:val="center"/>
                </w:tcPr>
                <w:p>
                  <w:pPr>
                    <w:pStyle w:val="7"/>
                    <w:adjustRightInd w:val="0"/>
                    <w:snapToGrid w:val="0"/>
                    <w:rPr>
                      <w:sz w:val="21"/>
                      <w:szCs w:val="21"/>
                    </w:rPr>
                  </w:pPr>
                  <w:r>
                    <w:rPr>
                      <w:sz w:val="21"/>
                      <w:szCs w:val="21"/>
                    </w:rPr>
                    <w:t>重要生态功能区域生态功能不降低、面积不减少、性质不改变</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项目位于河北新河经济开发区，占地范围内不涉及各类生态保护红线</w:t>
                  </w:r>
                </w:p>
              </w:tc>
              <w:tc>
                <w:tcPr>
                  <w:tcW w:w="671" w:type="dxa"/>
                  <w:vAlign w:val="center"/>
                </w:tcPr>
                <w:p>
                  <w:pPr>
                    <w:pStyle w:val="7"/>
                    <w:adjustRightInd w:val="0"/>
                    <w:snapToGrid w:val="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continue"/>
                  <w:vAlign w:val="center"/>
                </w:tcPr>
                <w:p>
                  <w:pPr>
                    <w:pStyle w:val="7"/>
                    <w:adjustRightInd w:val="0"/>
                    <w:snapToGrid w:val="0"/>
                    <w:rPr>
                      <w:sz w:val="21"/>
                      <w:szCs w:val="21"/>
                    </w:rPr>
                  </w:pPr>
                </w:p>
              </w:tc>
              <w:tc>
                <w:tcPr>
                  <w:tcW w:w="1068" w:type="dxa"/>
                  <w:gridSpan w:val="2"/>
                  <w:vAlign w:val="center"/>
                </w:tcPr>
                <w:p>
                  <w:pPr>
                    <w:pStyle w:val="7"/>
                    <w:adjustRightInd w:val="0"/>
                    <w:snapToGrid w:val="0"/>
                    <w:jc w:val="center"/>
                    <w:rPr>
                      <w:sz w:val="21"/>
                      <w:szCs w:val="21"/>
                    </w:rPr>
                  </w:pPr>
                  <w:r>
                    <w:rPr>
                      <w:rFonts w:hint="eastAsia"/>
                      <w:sz w:val="21"/>
                      <w:szCs w:val="21"/>
                    </w:rPr>
                    <w:t>环境质量底线</w:t>
                  </w:r>
                </w:p>
              </w:tc>
              <w:tc>
                <w:tcPr>
                  <w:tcW w:w="3807" w:type="dxa"/>
                  <w:vAlign w:val="center"/>
                </w:tcPr>
                <w:p>
                  <w:pPr>
                    <w:pStyle w:val="7"/>
                    <w:adjustRightInd w:val="0"/>
                    <w:snapToGrid w:val="0"/>
                    <w:rPr>
                      <w:sz w:val="21"/>
                      <w:szCs w:val="21"/>
                    </w:rPr>
                  </w:pPr>
                  <w:r>
                    <w:rPr>
                      <w:sz w:val="21"/>
                      <w:szCs w:val="21"/>
                    </w:rPr>
                    <w:t>到2025年，地表水国考断面优良（III类以上）比例、近岸海域优良海水比例逐步提升；PM</w:t>
                  </w:r>
                  <w:r>
                    <w:rPr>
                      <w:sz w:val="21"/>
                      <w:szCs w:val="21"/>
                      <w:vertAlign w:val="subscript"/>
                    </w:rPr>
                    <w:t>2.5</w:t>
                  </w:r>
                  <w:r>
                    <w:rPr>
                      <w:sz w:val="21"/>
                      <w:szCs w:val="21"/>
                    </w:rPr>
                    <w:t>年均浓度持续降低、优良天数比例稳步提升；土壤受污染耕地安全利用率污染地块安全利用率进一步提升</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项目废水排入新河县城东污水处理厂，不直接排入地表水体；废气均采取有效治理措施且排放量较小，不会对区域环境质量造成冲击；占地为工业用地且采取分区防渗，不会对土壤造成影响</w:t>
                  </w:r>
                </w:p>
              </w:tc>
              <w:tc>
                <w:tcPr>
                  <w:tcW w:w="671" w:type="dxa"/>
                  <w:vAlign w:val="center"/>
                </w:tcPr>
                <w:p>
                  <w:pPr>
                    <w:pStyle w:val="7"/>
                    <w:adjustRightInd w:val="0"/>
                    <w:snapToGrid w:val="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dxa"/>
                  <w:vMerge w:val="continue"/>
                  <w:vAlign w:val="center"/>
                </w:tcPr>
                <w:p>
                  <w:pPr>
                    <w:pStyle w:val="7"/>
                    <w:adjustRightInd w:val="0"/>
                    <w:snapToGrid w:val="0"/>
                    <w:rPr>
                      <w:sz w:val="21"/>
                      <w:szCs w:val="21"/>
                    </w:rPr>
                  </w:pPr>
                </w:p>
              </w:tc>
              <w:tc>
                <w:tcPr>
                  <w:tcW w:w="1068" w:type="dxa"/>
                  <w:gridSpan w:val="2"/>
                  <w:vAlign w:val="center"/>
                </w:tcPr>
                <w:p>
                  <w:pPr>
                    <w:pStyle w:val="7"/>
                    <w:adjustRightInd w:val="0"/>
                    <w:snapToGrid w:val="0"/>
                    <w:jc w:val="center"/>
                    <w:rPr>
                      <w:sz w:val="21"/>
                      <w:szCs w:val="21"/>
                    </w:rPr>
                  </w:pPr>
                  <w:r>
                    <w:rPr>
                      <w:rFonts w:hint="eastAsia"/>
                      <w:sz w:val="21"/>
                      <w:szCs w:val="21"/>
                    </w:rPr>
                    <w:t>资源利用上线</w:t>
                  </w:r>
                </w:p>
              </w:tc>
              <w:tc>
                <w:tcPr>
                  <w:tcW w:w="3807" w:type="dxa"/>
                  <w:vAlign w:val="center"/>
                </w:tcPr>
                <w:p>
                  <w:pPr>
                    <w:pStyle w:val="7"/>
                    <w:adjustRightInd w:val="0"/>
                    <w:snapToGrid w:val="0"/>
                    <w:jc w:val="both"/>
                    <w:rPr>
                      <w:sz w:val="21"/>
                      <w:szCs w:val="21"/>
                    </w:rPr>
                  </w:pPr>
                  <w:r>
                    <w:rPr>
                      <w:sz w:val="21"/>
                      <w:szCs w:val="21"/>
                    </w:rPr>
                    <w:t xml:space="preserve">以保障生态安全、改善环境质量为核心，合理确定全省资源利用上线目标，实现水资源与水环境、能源与大气环境、岸线与海洋环境的协同管控。 </w:t>
                  </w:r>
                </w:p>
                <w:p>
                  <w:pPr>
                    <w:pStyle w:val="7"/>
                    <w:adjustRightInd w:val="0"/>
                    <w:snapToGrid w:val="0"/>
                    <w:rPr>
                      <w:sz w:val="21"/>
                      <w:szCs w:val="21"/>
                    </w:rPr>
                  </w:pPr>
                  <w:r>
                    <w:rPr>
                      <w:sz w:val="21"/>
                      <w:szCs w:val="21"/>
                    </w:rPr>
                    <w:t>到2035年，广泛形成绿色生产生活方式，生态环境根本好转，建成蓝天、碧水、净土的美丽河北</w:t>
                  </w:r>
                  <w:r>
                    <w:rPr>
                      <w:rFonts w:hint="eastAsia"/>
                      <w:sz w:val="21"/>
                      <w:szCs w:val="21"/>
                    </w:rPr>
                    <w:t>。</w:t>
                  </w:r>
                </w:p>
              </w:tc>
              <w:tc>
                <w:tcPr>
                  <w:tcW w:w="1558" w:type="dxa"/>
                  <w:vAlign w:val="center"/>
                </w:tcPr>
                <w:p>
                  <w:pPr>
                    <w:pStyle w:val="7"/>
                    <w:adjustRightInd w:val="0"/>
                    <w:snapToGrid w:val="0"/>
                    <w:jc w:val="center"/>
                    <w:rPr>
                      <w:sz w:val="21"/>
                      <w:szCs w:val="21"/>
                    </w:rPr>
                  </w:pPr>
                  <w:r>
                    <w:rPr>
                      <w:rFonts w:hint="eastAsia"/>
                      <w:sz w:val="21"/>
                      <w:szCs w:val="21"/>
                    </w:rPr>
                    <w:t>项目用水由园区供水管网提供；热源为天然气；通过加强清洁生产，减少污染物排放，有利于生态环境好转</w:t>
                  </w:r>
                </w:p>
              </w:tc>
              <w:tc>
                <w:tcPr>
                  <w:tcW w:w="671" w:type="dxa"/>
                  <w:vAlign w:val="center"/>
                </w:tcPr>
                <w:p>
                  <w:pPr>
                    <w:pStyle w:val="7"/>
                    <w:adjustRightInd w:val="0"/>
                    <w:snapToGrid w:val="0"/>
                    <w:jc w:val="center"/>
                    <w:rPr>
                      <w:sz w:val="21"/>
                      <w:szCs w:val="21"/>
                    </w:rPr>
                  </w:pPr>
                  <w:r>
                    <w:rPr>
                      <w:rFonts w:hint="eastAsia"/>
                      <w:sz w:val="21"/>
                      <w:szCs w:val="21"/>
                    </w:rPr>
                    <w:t>符合</w:t>
                  </w:r>
                </w:p>
              </w:tc>
            </w:tr>
          </w:tbl>
          <w:p>
            <w:pPr>
              <w:pStyle w:val="7"/>
              <w:adjustRightInd w:val="0"/>
              <w:snapToGrid w:val="0"/>
              <w:spacing w:line="360" w:lineRule="auto"/>
              <w:ind w:firstLine="482" w:firstLineChars="200"/>
              <w:rPr>
                <w:b/>
                <w:bCs/>
                <w:szCs w:val="24"/>
              </w:rPr>
            </w:pPr>
            <w:r>
              <w:rPr>
                <w:rFonts w:hint="eastAsia"/>
                <w:b/>
                <w:bCs/>
                <w:szCs w:val="24"/>
              </w:rPr>
              <w:t>综上所述，本项目位于重点管控单元-省级及以上重点管控单元，项目符合相关要求，不受约束限制。</w:t>
            </w:r>
          </w:p>
          <w:p>
            <w:pPr>
              <w:autoSpaceDE w:val="0"/>
              <w:autoSpaceDN w:val="0"/>
              <w:adjustRightInd w:val="0"/>
              <w:snapToGrid w:val="0"/>
              <w:spacing w:line="360" w:lineRule="auto"/>
              <w:ind w:firstLine="480" w:firstLineChars="200"/>
              <w:rPr>
                <w:spacing w:val="-6"/>
                <w:kern w:val="0"/>
                <w:sz w:val="24"/>
              </w:rPr>
            </w:pPr>
            <w:r>
              <w:rPr>
                <w:rFonts w:hint="eastAsia"/>
                <w:sz w:val="24"/>
              </w:rPr>
              <w:t>（3）与</w:t>
            </w:r>
            <w:r>
              <w:rPr>
                <w:sz w:val="24"/>
              </w:rPr>
              <w:t>“邢台市人民政府关于实施“三线一单”生态环境分区管控的意见”符合性分析</w:t>
            </w:r>
          </w:p>
          <w:p>
            <w:pPr>
              <w:autoSpaceDE w:val="0"/>
              <w:autoSpaceDN w:val="0"/>
              <w:adjustRightInd w:val="0"/>
              <w:snapToGrid w:val="0"/>
              <w:spacing w:line="360" w:lineRule="auto"/>
              <w:ind w:firstLine="456" w:firstLineChars="200"/>
              <w:rPr>
                <w:spacing w:val="-6"/>
                <w:kern w:val="0"/>
                <w:sz w:val="24"/>
              </w:rPr>
            </w:pPr>
            <w:r>
              <w:rPr>
                <w:rFonts w:hint="eastAsia"/>
                <w:spacing w:val="-6"/>
                <w:kern w:val="0"/>
                <w:sz w:val="24"/>
              </w:rPr>
              <w:t>根据《邢台市人民政府关于实施“三线一单”生态环境分区管控的意见》（邢政字〔2021〕13号），本项目属于重点管控单元（见附图）。</w:t>
            </w:r>
          </w:p>
          <w:p>
            <w:pPr>
              <w:pStyle w:val="21"/>
              <w:snapToGrid w:val="0"/>
              <w:jc w:val="center"/>
              <w:rPr>
                <w:rFonts w:ascii="Times New Roman" w:hAnsi="Times New Roman" w:cs="宋体"/>
                <w:b/>
                <w:bCs/>
                <w:color w:val="auto"/>
                <w:kern w:val="0"/>
              </w:rPr>
            </w:pPr>
            <w:r>
              <w:rPr>
                <w:rFonts w:ascii="Times New Roman" w:hAnsi="Times New Roman" w:cs="宋体"/>
                <w:b/>
                <w:bCs/>
                <w:color w:val="auto"/>
                <w:kern w:val="0"/>
              </w:rPr>
              <w:t>表</w:t>
            </w:r>
            <w:r>
              <w:rPr>
                <w:rFonts w:hint="eastAsia" w:ascii="Times New Roman" w:hAnsi="Times New Roman" w:cs="宋体"/>
                <w:b/>
                <w:bCs/>
                <w:color w:val="auto"/>
                <w:kern w:val="0"/>
              </w:rPr>
              <w:t>6   邢台市总体管控要求符合性分析一览</w:t>
            </w:r>
          </w:p>
          <w:tbl>
            <w:tblPr>
              <w:tblStyle w:val="24"/>
              <w:tblW w:w="499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489"/>
              <w:gridCol w:w="426"/>
              <w:gridCol w:w="671"/>
              <w:gridCol w:w="4544"/>
              <w:gridCol w:w="135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Align w:val="center"/>
                </w:tcPr>
                <w:p>
                  <w:pPr>
                    <w:pStyle w:val="59"/>
                    <w:ind w:left="-105" w:leftChars="-50" w:right="-105" w:rightChars="-50"/>
                    <w:jc w:val="center"/>
                    <w:rPr>
                      <w:rFonts w:cs="宋体"/>
                      <w:b/>
                      <w:bCs/>
                      <w:kern w:val="0"/>
                      <w:szCs w:val="21"/>
                    </w:rPr>
                  </w:pPr>
                  <w:r>
                    <w:rPr>
                      <w:rFonts w:hint="eastAsia" w:cs="宋体"/>
                      <w:b/>
                      <w:bCs/>
                      <w:kern w:val="0"/>
                      <w:szCs w:val="21"/>
                    </w:rPr>
                    <w:t>属性</w:t>
                  </w:r>
                </w:p>
              </w:tc>
              <w:tc>
                <w:tcPr>
                  <w:tcW w:w="677" w:type="pct"/>
                  <w:gridSpan w:val="2"/>
                  <w:vAlign w:val="center"/>
                </w:tcPr>
                <w:p>
                  <w:pPr>
                    <w:pStyle w:val="59"/>
                    <w:jc w:val="center"/>
                    <w:rPr>
                      <w:rFonts w:cs="宋体"/>
                      <w:b/>
                      <w:bCs/>
                      <w:kern w:val="0"/>
                      <w:szCs w:val="21"/>
                    </w:rPr>
                  </w:pPr>
                  <w:r>
                    <w:rPr>
                      <w:rFonts w:hint="eastAsia" w:cs="宋体"/>
                      <w:b/>
                      <w:bCs/>
                      <w:kern w:val="0"/>
                      <w:szCs w:val="21"/>
                    </w:rPr>
                    <w:t>管控</w:t>
                  </w:r>
                </w:p>
              </w:tc>
              <w:tc>
                <w:tcPr>
                  <w:tcW w:w="3052" w:type="pct"/>
                  <w:vAlign w:val="center"/>
                </w:tcPr>
                <w:p>
                  <w:pPr>
                    <w:pStyle w:val="59"/>
                    <w:jc w:val="center"/>
                    <w:rPr>
                      <w:rFonts w:cs="宋体"/>
                      <w:b/>
                      <w:bCs/>
                      <w:kern w:val="0"/>
                      <w:szCs w:val="21"/>
                    </w:rPr>
                  </w:pPr>
                  <w:r>
                    <w:rPr>
                      <w:rFonts w:hint="eastAsia" w:cs="宋体"/>
                      <w:b/>
                      <w:bCs/>
                      <w:kern w:val="0"/>
                      <w:szCs w:val="21"/>
                    </w:rPr>
                    <w:t>管控要求</w:t>
                  </w:r>
                </w:p>
              </w:tc>
              <w:tc>
                <w:tcPr>
                  <w:tcW w:w="925" w:type="pct"/>
                  <w:vAlign w:val="center"/>
                </w:tcPr>
                <w:p>
                  <w:pPr>
                    <w:pStyle w:val="59"/>
                    <w:jc w:val="center"/>
                    <w:rPr>
                      <w:rFonts w:cs="宋体"/>
                      <w:b/>
                      <w:bCs/>
                      <w:kern w:val="0"/>
                      <w:szCs w:val="21"/>
                    </w:rPr>
                  </w:pPr>
                  <w:r>
                    <w:rPr>
                      <w:rFonts w:hint="eastAsia" w:cs="宋体"/>
                      <w:b/>
                      <w:bCs/>
                      <w:kern w:val="0"/>
                      <w:szCs w:val="21"/>
                    </w:rPr>
                    <w:t>本项目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restart"/>
                  <w:vAlign w:val="center"/>
                </w:tcPr>
                <w:p>
                  <w:pPr>
                    <w:pStyle w:val="59"/>
                    <w:ind w:left="-105" w:leftChars="-50" w:right="-105" w:rightChars="-50"/>
                    <w:jc w:val="center"/>
                    <w:rPr>
                      <w:rFonts w:cs="宋体"/>
                      <w:b/>
                      <w:bCs/>
                      <w:kern w:val="0"/>
                      <w:szCs w:val="21"/>
                    </w:rPr>
                  </w:pPr>
                  <w:r>
                    <w:rPr>
                      <w:rFonts w:hint="eastAsia" w:cs="宋体"/>
                      <w:kern w:val="0"/>
                      <w:szCs w:val="21"/>
                    </w:rPr>
                    <w:t>一般生态空间</w:t>
                  </w:r>
                </w:p>
              </w:tc>
              <w:tc>
                <w:tcPr>
                  <w:tcW w:w="211" w:type="pct"/>
                  <w:vMerge w:val="restart"/>
                  <w:vAlign w:val="center"/>
                </w:tcPr>
                <w:p>
                  <w:pPr>
                    <w:pStyle w:val="59"/>
                    <w:jc w:val="center"/>
                    <w:rPr>
                      <w:rFonts w:cs="宋体"/>
                      <w:kern w:val="0"/>
                      <w:szCs w:val="21"/>
                    </w:rPr>
                  </w:pPr>
                  <w:r>
                    <w:rPr>
                      <w:rFonts w:hint="eastAsia" w:cs="宋体"/>
                      <w:kern w:val="0"/>
                      <w:szCs w:val="21"/>
                    </w:rPr>
                    <w:t>空间布局约束</w:t>
                  </w:r>
                </w:p>
              </w:tc>
              <w:tc>
                <w:tcPr>
                  <w:tcW w:w="466" w:type="pct"/>
                  <w:vAlign w:val="center"/>
                </w:tcPr>
                <w:p>
                  <w:pPr>
                    <w:pStyle w:val="59"/>
                    <w:jc w:val="center"/>
                    <w:rPr>
                      <w:rFonts w:cs="宋体"/>
                      <w:kern w:val="0"/>
                      <w:szCs w:val="21"/>
                    </w:rPr>
                  </w:pPr>
                  <w:r>
                    <w:rPr>
                      <w:rFonts w:hint="eastAsia" w:cs="宋体"/>
                      <w:kern w:val="0"/>
                      <w:szCs w:val="21"/>
                    </w:rPr>
                    <w:t>限制类活动</w:t>
                  </w:r>
                </w:p>
              </w:tc>
              <w:tc>
                <w:tcPr>
                  <w:tcW w:w="3052" w:type="pct"/>
                  <w:vAlign w:val="center"/>
                </w:tcPr>
                <w:p>
                  <w:pPr>
                    <w:pStyle w:val="59"/>
                    <w:rPr>
                      <w:rFonts w:cs="宋体"/>
                      <w:kern w:val="0"/>
                      <w:szCs w:val="21"/>
                    </w:rPr>
                  </w:pPr>
                  <w:r>
                    <w:rPr>
                      <w:rFonts w:hint="eastAsia" w:cs="宋体"/>
                      <w:spacing w:val="-6"/>
                      <w:kern w:val="0"/>
                      <w:szCs w:val="21"/>
                    </w:rPr>
                    <w:t>1、生态保护红线外的生态空间，原则上按照限制开发区域的要求进行管理。2、从严控制生态空间转化为城镇空间和农业空间。3、严格控制新增建设占用生态保护红线以外的生态空间。符合区域准入条件的建设项目，涉及占用生态空间中的林地、草原等，按有关法律法规规定办理；涉及占用生态空间中的其他未作明确规定的用地，应当加强论证和管理。4、严格限制农业开发占用生态保护红线外的生态空间，符合条件的农业开发项目，须依法有市县级及以上地方人民政府统筹安排。生态保护红线外的耕地，除符合国家生态退耕条件，并纳入国家生态退耕总体安排，或因国家重大生态工程建设需要外，不得随意转用。5、在不改变利用方式的前提下，依据资源环境承载能力，对依法保护的生态空间实行承载力控制，防止过度垦殖、放牧、采伐、取水、渔猎、旅游等对生态功能造成损害，确保自然生态系统的稳定。</w:t>
                  </w:r>
                </w:p>
              </w:tc>
              <w:tc>
                <w:tcPr>
                  <w:tcW w:w="925" w:type="pct"/>
                  <w:vMerge w:val="restart"/>
                  <w:vAlign w:val="center"/>
                </w:tcPr>
                <w:p>
                  <w:pPr>
                    <w:pStyle w:val="59"/>
                    <w:jc w:val="center"/>
                    <w:rPr>
                      <w:rFonts w:cs="宋体"/>
                      <w:kern w:val="0"/>
                      <w:szCs w:val="21"/>
                    </w:rPr>
                  </w:pPr>
                  <w:r>
                    <w:rPr>
                      <w:rFonts w:hint="eastAsia" w:cs="宋体"/>
                      <w:kern w:val="0"/>
                      <w:szCs w:val="21"/>
                    </w:rPr>
                    <w:t>本项目不在新河县生态保护红线内，选址位于新河县经济开发区，用地为二类工业用地</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211" w:type="pct"/>
                  <w:vMerge w:val="continue"/>
                  <w:vAlign w:val="center"/>
                </w:tcPr>
                <w:p>
                  <w:pPr>
                    <w:pStyle w:val="59"/>
                    <w:jc w:val="center"/>
                    <w:rPr>
                      <w:rFonts w:cs="宋体"/>
                      <w:kern w:val="0"/>
                      <w:szCs w:val="21"/>
                    </w:rPr>
                  </w:pPr>
                </w:p>
              </w:tc>
              <w:tc>
                <w:tcPr>
                  <w:tcW w:w="466" w:type="pct"/>
                  <w:vAlign w:val="center"/>
                </w:tcPr>
                <w:p>
                  <w:pPr>
                    <w:pStyle w:val="59"/>
                    <w:jc w:val="center"/>
                    <w:rPr>
                      <w:rFonts w:cs="宋体"/>
                      <w:kern w:val="0"/>
                      <w:szCs w:val="21"/>
                    </w:rPr>
                  </w:pPr>
                  <w:r>
                    <w:rPr>
                      <w:rFonts w:hint="eastAsia" w:cs="宋体"/>
                      <w:kern w:val="0"/>
                      <w:szCs w:val="21"/>
                    </w:rPr>
                    <w:t>允许类活动</w:t>
                  </w:r>
                </w:p>
              </w:tc>
              <w:tc>
                <w:tcPr>
                  <w:tcW w:w="3052" w:type="pct"/>
                  <w:vAlign w:val="center"/>
                </w:tcPr>
                <w:p>
                  <w:pPr>
                    <w:pStyle w:val="59"/>
                    <w:rPr>
                      <w:rFonts w:cs="宋体"/>
                      <w:kern w:val="0"/>
                      <w:szCs w:val="21"/>
                    </w:rPr>
                  </w:pPr>
                  <w:r>
                    <w:rPr>
                      <w:rFonts w:hint="eastAsia" w:cs="宋体"/>
                      <w:kern w:val="0"/>
                      <w:szCs w:val="21"/>
                    </w:rPr>
                    <w:t>1、鼓励城镇空间和符合国家生态退耕条件的农业空间转为生态空间。2、鼓励各地根据生态保护需要和规划，综合土地综合整治、工矿废弃地复垦利用、矿山环境恢复治理等各类工程实施，因地制宜促进生态空间内建设用地逐步有序退出。</w:t>
                  </w:r>
                </w:p>
              </w:tc>
              <w:tc>
                <w:tcPr>
                  <w:tcW w:w="925" w:type="pct"/>
                  <w:vMerge w:val="continue"/>
                  <w:vAlign w:val="center"/>
                </w:tcPr>
                <w:p>
                  <w:pPr>
                    <w:pStyle w:val="59"/>
                    <w:jc w:val="center"/>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345" w:type="pct"/>
                  <w:vMerge w:val="restart"/>
                  <w:vAlign w:val="center"/>
                </w:tcPr>
                <w:p>
                  <w:pPr>
                    <w:pStyle w:val="59"/>
                    <w:ind w:left="-105" w:leftChars="-50" w:right="-105" w:rightChars="-50"/>
                    <w:jc w:val="center"/>
                    <w:rPr>
                      <w:rFonts w:cs="宋体"/>
                      <w:kern w:val="0"/>
                      <w:szCs w:val="21"/>
                    </w:rPr>
                  </w:pPr>
                  <w:r>
                    <w:rPr>
                      <w:rFonts w:hint="eastAsia" w:cs="宋体"/>
                      <w:kern w:val="0"/>
                      <w:szCs w:val="21"/>
                    </w:rPr>
                    <w:t>大气环境</w:t>
                  </w:r>
                </w:p>
              </w:tc>
              <w:tc>
                <w:tcPr>
                  <w:tcW w:w="677" w:type="pct"/>
                  <w:gridSpan w:val="2"/>
                  <w:vAlign w:val="center"/>
                </w:tcPr>
                <w:p>
                  <w:pPr>
                    <w:pStyle w:val="59"/>
                    <w:jc w:val="center"/>
                    <w:rPr>
                      <w:rFonts w:cs="宋体"/>
                      <w:kern w:val="0"/>
                      <w:szCs w:val="21"/>
                    </w:rPr>
                  </w:pPr>
                  <w:r>
                    <w:rPr>
                      <w:rFonts w:hint="eastAsia" w:cs="宋体"/>
                      <w:kern w:val="0"/>
                      <w:szCs w:val="21"/>
                    </w:rPr>
                    <w:t>空间布局</w:t>
                  </w:r>
                </w:p>
              </w:tc>
              <w:tc>
                <w:tcPr>
                  <w:tcW w:w="3052" w:type="pct"/>
                  <w:vAlign w:val="center"/>
                </w:tcPr>
                <w:p>
                  <w:pPr>
                    <w:pStyle w:val="59"/>
                    <w:jc w:val="left"/>
                    <w:rPr>
                      <w:rFonts w:cs="宋体"/>
                      <w:kern w:val="0"/>
                      <w:szCs w:val="21"/>
                    </w:rPr>
                  </w:pPr>
                  <w:r>
                    <w:rPr>
                      <w:rFonts w:hint="eastAsia" w:cs="宋体"/>
                      <w:kern w:val="0"/>
                      <w:szCs w:val="21"/>
                    </w:rPr>
                    <w:t>1、加快市主城区重污染企业搬迁改造或关闭退出，坚持分类施策，实施市主城区中小工业企业退城搬迁。对县城和主要城镇建成区的重点污染工业企业，具备条件的要实施退城搬迁。2、严格执行环境准入清单和国家、省《产业结构调整指导目录》，严禁新增化工园区，加大现有化工园区整治力度。4、积极推行区域、规划环境影响评价，新改扩建项目的环境影响评价，要满足区域、规划环境影响评价要求。</w:t>
                  </w:r>
                </w:p>
              </w:tc>
              <w:tc>
                <w:tcPr>
                  <w:tcW w:w="925" w:type="pct"/>
                  <w:vAlign w:val="center"/>
                </w:tcPr>
                <w:p>
                  <w:pPr>
                    <w:pStyle w:val="59"/>
                    <w:jc w:val="center"/>
                    <w:rPr>
                      <w:rFonts w:cs="宋体"/>
                      <w:kern w:val="0"/>
                      <w:szCs w:val="21"/>
                    </w:rPr>
                  </w:pPr>
                  <w:r>
                    <w:rPr>
                      <w:rFonts w:hint="eastAsia" w:cs="宋体"/>
                      <w:kern w:val="0"/>
                      <w:szCs w:val="21"/>
                    </w:rPr>
                    <w:t>本项目不属于要求中的重污染企业；符合相关产业政策要求及园区相关规划环评要求。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jc w:val="center"/>
                    <w:rPr>
                      <w:rFonts w:cs="宋体"/>
                      <w:kern w:val="0"/>
                      <w:szCs w:val="21"/>
                    </w:rPr>
                  </w:pPr>
                  <w:r>
                    <w:rPr>
                      <w:rFonts w:hint="eastAsia" w:cs="宋体"/>
                      <w:kern w:val="0"/>
                      <w:szCs w:val="21"/>
                    </w:rPr>
                    <w:t>污染物排放</w:t>
                  </w:r>
                </w:p>
              </w:tc>
              <w:tc>
                <w:tcPr>
                  <w:tcW w:w="3052" w:type="pct"/>
                  <w:vAlign w:val="center"/>
                </w:tcPr>
                <w:p>
                  <w:pPr>
                    <w:pStyle w:val="59"/>
                    <w:rPr>
                      <w:rFonts w:cs="宋体"/>
                      <w:kern w:val="0"/>
                      <w:szCs w:val="21"/>
                    </w:rPr>
                  </w:pPr>
                  <w:r>
                    <w:rPr>
                      <w:rFonts w:hint="eastAsia" w:cs="宋体"/>
                      <w:kern w:val="0"/>
                      <w:szCs w:val="21"/>
                    </w:rPr>
                    <w:t>1、现有及新建VOCs排放企业污染排放达到《工业企业挥发性有机物排放控制标准》（DB13/2322-2016）的浓度要求。3、施工现场扬尘整治达标率达到100%。4、对于国家排放标准中已规定大气污染物特别排放限值的行业以及锅炉，新建项目执行大气污染物特别排放限值，现有企业或设施按照相应标准中时间要求执行特别排放限值，有地方标准或行业标准的从严执行。5、新建项目SO</w:t>
                  </w:r>
                  <w:r>
                    <w:rPr>
                      <w:rFonts w:hint="eastAsia" w:cs="宋体"/>
                      <w:kern w:val="0"/>
                      <w:szCs w:val="21"/>
                      <w:vertAlign w:val="subscript"/>
                    </w:rPr>
                    <w:t>2</w:t>
                  </w:r>
                  <w:r>
                    <w:rPr>
                      <w:rFonts w:hint="eastAsia" w:cs="宋体"/>
                      <w:kern w:val="0"/>
                      <w:szCs w:val="21"/>
                    </w:rPr>
                    <w:t>、NOx实施倍量替代，VOCs、PM</w:t>
                  </w:r>
                  <w:r>
                    <w:rPr>
                      <w:rFonts w:hint="eastAsia" w:cs="宋体"/>
                      <w:kern w:val="0"/>
                      <w:szCs w:val="21"/>
                      <w:vertAlign w:val="subscript"/>
                    </w:rPr>
                    <w:t>2.5</w:t>
                  </w:r>
                  <w:r>
                    <w:rPr>
                      <w:rFonts w:hint="eastAsia" w:cs="宋体"/>
                      <w:kern w:val="0"/>
                      <w:szCs w:val="21"/>
                    </w:rPr>
                    <w:t>按上位政策逐步纳入。6、严格落实持证排污，未取得排污许可证的玻璃生产线一律不得生产。</w:t>
                  </w:r>
                </w:p>
              </w:tc>
              <w:tc>
                <w:tcPr>
                  <w:tcW w:w="925" w:type="pct"/>
                  <w:vAlign w:val="center"/>
                </w:tcPr>
                <w:p>
                  <w:pPr>
                    <w:pStyle w:val="59"/>
                    <w:ind w:left="-53" w:leftChars="-25" w:right="-53" w:rightChars="-25"/>
                    <w:jc w:val="center"/>
                    <w:rPr>
                      <w:rFonts w:cs="宋体"/>
                      <w:kern w:val="0"/>
                      <w:szCs w:val="21"/>
                    </w:rPr>
                  </w:pPr>
                  <w:r>
                    <w:rPr>
                      <w:rFonts w:hint="eastAsia" w:cs="宋体"/>
                      <w:kern w:val="0"/>
                      <w:szCs w:val="21"/>
                    </w:rPr>
                    <w:t>本项目VOCs排放满足上述标准要求，其余污染物排放均满足相关标准</w:t>
                  </w:r>
                  <w:r>
                    <w:rPr>
                      <w:rFonts w:hint="eastAsia"/>
                    </w:rPr>
                    <w:t>；</w:t>
                  </w:r>
                  <w:r>
                    <w:rPr>
                      <w:rFonts w:hint="eastAsia" w:cs="宋体"/>
                      <w:szCs w:val="21"/>
                    </w:rPr>
                    <w:t>施工期现场扬尘采取措施后能够达标；SO</w:t>
                  </w:r>
                  <w:r>
                    <w:rPr>
                      <w:rFonts w:hint="eastAsia" w:cs="宋体"/>
                      <w:szCs w:val="21"/>
                      <w:vertAlign w:val="subscript"/>
                    </w:rPr>
                    <w:t>2</w:t>
                  </w:r>
                  <w:r>
                    <w:rPr>
                      <w:rFonts w:hint="eastAsia" w:cs="宋体"/>
                      <w:szCs w:val="21"/>
                    </w:rPr>
                    <w:t>、NOx等按现行政策执行</w:t>
                  </w:r>
                  <w:r>
                    <w:rPr>
                      <w:rFonts w:hint="eastAsia"/>
                    </w:rPr>
                    <w:t>；企业建成后将严格落实持证排污</w:t>
                  </w: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jc w:val="center"/>
                    <w:rPr>
                      <w:rFonts w:cs="宋体"/>
                      <w:kern w:val="0"/>
                      <w:szCs w:val="21"/>
                    </w:rPr>
                  </w:pPr>
                  <w:r>
                    <w:rPr>
                      <w:rFonts w:hint="eastAsia" w:cs="宋体"/>
                      <w:kern w:val="0"/>
                      <w:szCs w:val="21"/>
                    </w:rPr>
                    <w:t>环境风险防控</w:t>
                  </w:r>
                </w:p>
              </w:tc>
              <w:tc>
                <w:tcPr>
                  <w:tcW w:w="3052" w:type="pct"/>
                  <w:vAlign w:val="center"/>
                </w:tcPr>
                <w:p>
                  <w:pPr>
                    <w:pStyle w:val="59"/>
                    <w:jc w:val="left"/>
                    <w:rPr>
                      <w:rFonts w:cs="宋体"/>
                      <w:kern w:val="0"/>
                      <w:szCs w:val="21"/>
                    </w:rPr>
                  </w:pPr>
                  <w:r>
                    <w:rPr>
                      <w:rFonts w:hint="eastAsia" w:cs="宋体"/>
                      <w:kern w:val="0"/>
                      <w:szCs w:val="21"/>
                    </w:rPr>
                    <w:t>建立重大污染源监测预警体系，实现重大污染源、污染地区在线监测；对接省预报中心，建立空气质量预报预警体系，制定重污染天气预警方案；以市生态环境局为中心，以区县为支点，建立区县上下联动机制，应对重污染应急天气。</w:t>
                  </w:r>
                </w:p>
              </w:tc>
              <w:tc>
                <w:tcPr>
                  <w:tcW w:w="925" w:type="pct"/>
                  <w:vAlign w:val="center"/>
                </w:tcPr>
                <w:p>
                  <w:pPr>
                    <w:pStyle w:val="59"/>
                    <w:jc w:val="center"/>
                    <w:rPr>
                      <w:rFonts w:cs="宋体"/>
                      <w:kern w:val="0"/>
                      <w:szCs w:val="21"/>
                    </w:rPr>
                  </w:pPr>
                  <w:r>
                    <w:rPr>
                      <w:rFonts w:hint="eastAsia" w:cs="宋体"/>
                      <w:kern w:val="0"/>
                      <w:szCs w:val="21"/>
                    </w:rPr>
                    <w:t>本项目投产后严格按照预警体系要求执行。</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jc w:val="center"/>
                    <w:rPr>
                      <w:rFonts w:cs="宋体"/>
                      <w:kern w:val="0"/>
                      <w:szCs w:val="21"/>
                    </w:rPr>
                  </w:pPr>
                  <w:r>
                    <w:rPr>
                      <w:rFonts w:hint="eastAsia" w:cs="宋体"/>
                      <w:kern w:val="0"/>
                      <w:szCs w:val="21"/>
                    </w:rPr>
                    <w:t>资源开发利用</w:t>
                  </w:r>
                </w:p>
              </w:tc>
              <w:tc>
                <w:tcPr>
                  <w:tcW w:w="3052" w:type="pct"/>
                  <w:vAlign w:val="center"/>
                </w:tcPr>
                <w:p>
                  <w:pPr>
                    <w:pStyle w:val="59"/>
                    <w:jc w:val="left"/>
                    <w:rPr>
                      <w:rFonts w:cs="宋体"/>
                      <w:kern w:val="0"/>
                      <w:szCs w:val="21"/>
                    </w:rPr>
                  </w:pPr>
                  <w:r>
                    <w:rPr>
                      <w:rFonts w:hint="eastAsia" w:cs="宋体"/>
                      <w:kern w:val="0"/>
                      <w:szCs w:val="21"/>
                    </w:rPr>
                    <w:t>1、采取综合减煤措施，削减煤炭消费，对新增耗煤项目实施减量替代。2、完成散煤清洁替代的区域划定为高污染燃料禁燃区，除电力、集中供热和原料用煤外燃煤“清零”。</w:t>
                  </w:r>
                </w:p>
              </w:tc>
              <w:tc>
                <w:tcPr>
                  <w:tcW w:w="925" w:type="pct"/>
                  <w:vAlign w:val="center"/>
                </w:tcPr>
                <w:p>
                  <w:pPr>
                    <w:pStyle w:val="59"/>
                    <w:jc w:val="center"/>
                    <w:rPr>
                      <w:rFonts w:cs="宋体"/>
                      <w:kern w:val="0"/>
                      <w:szCs w:val="21"/>
                    </w:rPr>
                  </w:pPr>
                  <w:r>
                    <w:rPr>
                      <w:rFonts w:hint="eastAsia" w:cs="宋体"/>
                      <w:kern w:val="0"/>
                      <w:szCs w:val="21"/>
                    </w:rPr>
                    <w:t>本项目生产采用天然气加热，不涉及燃煤。</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Align w:val="center"/>
                </w:tcPr>
                <w:p>
                  <w:pPr>
                    <w:pStyle w:val="59"/>
                    <w:ind w:left="-105" w:leftChars="-50" w:right="-105" w:rightChars="-50"/>
                    <w:jc w:val="center"/>
                    <w:rPr>
                      <w:rFonts w:cs="宋体"/>
                      <w:kern w:val="0"/>
                      <w:szCs w:val="21"/>
                    </w:rPr>
                  </w:pPr>
                  <w:r>
                    <w:rPr>
                      <w:rFonts w:hint="eastAsia" w:cs="宋体"/>
                      <w:kern w:val="0"/>
                      <w:szCs w:val="21"/>
                    </w:rPr>
                    <w:t>水环境</w:t>
                  </w:r>
                </w:p>
              </w:tc>
              <w:tc>
                <w:tcPr>
                  <w:tcW w:w="677" w:type="pct"/>
                  <w:gridSpan w:val="2"/>
                  <w:vAlign w:val="center"/>
                </w:tcPr>
                <w:p>
                  <w:pPr>
                    <w:pStyle w:val="59"/>
                    <w:jc w:val="center"/>
                    <w:rPr>
                      <w:rFonts w:cs="宋体"/>
                      <w:kern w:val="0"/>
                      <w:szCs w:val="21"/>
                    </w:rPr>
                  </w:pPr>
                  <w:r>
                    <w:rPr>
                      <w:rFonts w:hint="eastAsia" w:cs="宋体"/>
                      <w:kern w:val="0"/>
                      <w:szCs w:val="21"/>
                    </w:rPr>
                    <w:t>空间布局</w:t>
                  </w:r>
                </w:p>
              </w:tc>
              <w:tc>
                <w:tcPr>
                  <w:tcW w:w="3052" w:type="pct"/>
                  <w:vAlign w:val="center"/>
                </w:tcPr>
                <w:p>
                  <w:pPr>
                    <w:pStyle w:val="59"/>
                    <w:jc w:val="left"/>
                    <w:rPr>
                      <w:rFonts w:cs="宋体"/>
                      <w:kern w:val="0"/>
                      <w:szCs w:val="21"/>
                    </w:rPr>
                  </w:pPr>
                  <w:r>
                    <w:rPr>
                      <w:rFonts w:hint="eastAsia" w:cs="宋体"/>
                      <w:kern w:val="0"/>
                      <w:szCs w:val="21"/>
                    </w:rPr>
                    <w:t>1、推进企业项目向依法合规设立、环保设施齐全、符合规划环评要求的工业园区集中。2、全面取缔不符合国家产业政策的小型造纸、制革、印染、染料、炼焦、炼硫、炼砷、炼油、电镀、农药等严重污染水环境的生产项目。</w:t>
                  </w:r>
                </w:p>
              </w:tc>
              <w:tc>
                <w:tcPr>
                  <w:tcW w:w="925" w:type="pct"/>
                  <w:vAlign w:val="center"/>
                </w:tcPr>
                <w:p>
                  <w:pPr>
                    <w:pStyle w:val="59"/>
                    <w:jc w:val="center"/>
                    <w:rPr>
                      <w:rFonts w:cs="宋体"/>
                      <w:kern w:val="0"/>
                      <w:szCs w:val="21"/>
                    </w:rPr>
                  </w:pPr>
                  <w:r>
                    <w:rPr>
                      <w:rFonts w:hint="eastAsia" w:cs="宋体"/>
                      <w:kern w:val="0"/>
                      <w:szCs w:val="21"/>
                    </w:rPr>
                    <w:t>本项目位于工业园区；不属于上述严重污染水环境的项目。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restart"/>
                  <w:vAlign w:val="center"/>
                </w:tcPr>
                <w:p>
                  <w:pPr>
                    <w:pStyle w:val="59"/>
                    <w:ind w:left="-105" w:leftChars="-50" w:right="-105" w:rightChars="-50"/>
                    <w:jc w:val="center"/>
                    <w:rPr>
                      <w:rFonts w:cs="宋体"/>
                      <w:kern w:val="0"/>
                      <w:szCs w:val="21"/>
                    </w:rPr>
                  </w:pPr>
                  <w:r>
                    <w:rPr>
                      <w:rFonts w:hint="eastAsia" w:cs="宋体"/>
                      <w:kern w:val="0"/>
                      <w:szCs w:val="21"/>
                    </w:rPr>
                    <w:t>水环境</w:t>
                  </w:r>
                </w:p>
              </w:tc>
              <w:tc>
                <w:tcPr>
                  <w:tcW w:w="677" w:type="pct"/>
                  <w:gridSpan w:val="2"/>
                  <w:vAlign w:val="center"/>
                </w:tcPr>
                <w:p>
                  <w:pPr>
                    <w:pStyle w:val="59"/>
                    <w:jc w:val="center"/>
                    <w:rPr>
                      <w:rFonts w:cs="宋体"/>
                      <w:kern w:val="0"/>
                      <w:szCs w:val="21"/>
                    </w:rPr>
                  </w:pPr>
                  <w:r>
                    <w:rPr>
                      <w:rFonts w:hint="eastAsia" w:cs="宋体"/>
                      <w:kern w:val="0"/>
                      <w:szCs w:val="21"/>
                    </w:rPr>
                    <w:t>污染物排放</w:t>
                  </w:r>
                </w:p>
              </w:tc>
              <w:tc>
                <w:tcPr>
                  <w:tcW w:w="3052" w:type="pct"/>
                  <w:vAlign w:val="center"/>
                </w:tcPr>
                <w:p>
                  <w:pPr>
                    <w:pStyle w:val="59"/>
                    <w:jc w:val="left"/>
                    <w:rPr>
                      <w:rFonts w:cs="宋体"/>
                      <w:kern w:val="0"/>
                      <w:szCs w:val="21"/>
                    </w:rPr>
                  </w:pPr>
                  <w:r>
                    <w:rPr>
                      <w:rFonts w:hint="eastAsia" w:cs="宋体"/>
                      <w:kern w:val="0"/>
                      <w:szCs w:val="21"/>
                    </w:rPr>
                    <w:t>2、造纸、焦化、氮肥、印染、农副食品加工、原料药制造、制革、农药、电镀等重点行业，新建、改建、扩建项目实行新增主要污染物排放倍量替换。上一年度水体不能达到目标要求或未完成水污染物总量减排任务的流域区域暂停审批新增排放水污染物的建设项目。3、排水管网覆盖范围内的排污口，应在达到排入管网水质标准的基础上，并入市政排水管网，纳入污水处理厂集中处理。严禁洗车污水、餐饮泔水、施工泥浆水等通过雨水口进入管网后直排入河。7、提高工业企业中水综合利用率。各工业企业2025年、2035年中水回用率不低于30%、50%。</w:t>
                  </w:r>
                </w:p>
              </w:tc>
              <w:tc>
                <w:tcPr>
                  <w:tcW w:w="925" w:type="pct"/>
                  <w:vAlign w:val="center"/>
                </w:tcPr>
                <w:p>
                  <w:pPr>
                    <w:pStyle w:val="59"/>
                    <w:jc w:val="center"/>
                    <w:rPr>
                      <w:rFonts w:cs="宋体"/>
                      <w:kern w:val="0"/>
                      <w:szCs w:val="21"/>
                    </w:rPr>
                  </w:pPr>
                  <w:r>
                    <w:rPr>
                      <w:rFonts w:hint="eastAsia" w:cs="宋体"/>
                      <w:kern w:val="0"/>
                      <w:szCs w:val="21"/>
                    </w:rPr>
                    <w:t>本</w:t>
                  </w:r>
                  <w:r>
                    <w:rPr>
                      <w:rFonts w:hint="eastAsia"/>
                      <w:szCs w:val="21"/>
                    </w:rPr>
                    <w:t>项目</w:t>
                  </w:r>
                  <w:r>
                    <w:rPr>
                      <w:rFonts w:hint="eastAsia"/>
                    </w:rPr>
                    <w:t>不属于上述重点行业，且无生产废水产生及外排，</w:t>
                  </w:r>
                  <w:r>
                    <w:rPr>
                      <w:rFonts w:hint="eastAsia"/>
                      <w:szCs w:val="21"/>
                    </w:rPr>
                    <w:t>生活污水经化粪池处理后排入新河县城东污水处理厂进一步处理。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jc w:val="center"/>
                    <w:rPr>
                      <w:rFonts w:cs="宋体"/>
                      <w:kern w:val="0"/>
                      <w:szCs w:val="21"/>
                    </w:rPr>
                  </w:pPr>
                  <w:r>
                    <w:rPr>
                      <w:rFonts w:hint="eastAsia" w:cs="宋体"/>
                      <w:kern w:val="0"/>
                      <w:szCs w:val="21"/>
                    </w:rPr>
                    <w:t>环境风险防控</w:t>
                  </w:r>
                </w:p>
              </w:tc>
              <w:tc>
                <w:tcPr>
                  <w:tcW w:w="3052" w:type="pct"/>
                  <w:vAlign w:val="center"/>
                </w:tcPr>
                <w:p>
                  <w:pPr>
                    <w:pStyle w:val="59"/>
                    <w:jc w:val="left"/>
                    <w:rPr>
                      <w:rFonts w:cs="宋体"/>
                      <w:kern w:val="0"/>
                      <w:szCs w:val="21"/>
                    </w:rPr>
                  </w:pPr>
                  <w:r>
                    <w:rPr>
                      <w:rFonts w:hint="eastAsia" w:cs="宋体"/>
                      <w:spacing w:val="-11"/>
                      <w:kern w:val="0"/>
                      <w:szCs w:val="21"/>
                    </w:rPr>
                    <w:t>建立水污染风险防控体系，制定水污染事件应急预案，加强化工、电镀、皮革、印染及医疗废水等日常监管，严防铅、汞、镉、铬和类金属砷等重金属污染风险。加强集中式饮用水水源地、河流重金属污染预警体系建设。</w:t>
                  </w:r>
                </w:p>
              </w:tc>
              <w:tc>
                <w:tcPr>
                  <w:tcW w:w="925" w:type="pct"/>
                  <w:vAlign w:val="center"/>
                </w:tcPr>
                <w:p>
                  <w:pPr>
                    <w:pStyle w:val="59"/>
                    <w:jc w:val="center"/>
                    <w:rPr>
                      <w:rFonts w:cs="宋体"/>
                      <w:kern w:val="0"/>
                      <w:szCs w:val="21"/>
                    </w:rPr>
                  </w:pPr>
                  <w:r>
                    <w:rPr>
                      <w:rFonts w:hint="eastAsia" w:cs="宋体"/>
                      <w:kern w:val="0"/>
                      <w:szCs w:val="21"/>
                    </w:rPr>
                    <w:t>本项目不属于上述行业，无重金属产生。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jc w:val="center"/>
                    <w:rPr>
                      <w:rFonts w:cs="宋体"/>
                      <w:kern w:val="0"/>
                      <w:szCs w:val="21"/>
                    </w:rPr>
                  </w:pPr>
                  <w:r>
                    <w:rPr>
                      <w:rFonts w:hint="eastAsia" w:cs="宋体"/>
                      <w:kern w:val="0"/>
                      <w:szCs w:val="21"/>
                    </w:rPr>
                    <w:t>资源开发利用</w:t>
                  </w:r>
                </w:p>
              </w:tc>
              <w:tc>
                <w:tcPr>
                  <w:tcW w:w="3052" w:type="pct"/>
                  <w:vAlign w:val="center"/>
                </w:tcPr>
                <w:p>
                  <w:pPr>
                    <w:pStyle w:val="59"/>
                    <w:jc w:val="left"/>
                    <w:rPr>
                      <w:rFonts w:cs="宋体"/>
                      <w:kern w:val="0"/>
                      <w:szCs w:val="21"/>
                    </w:rPr>
                  </w:pPr>
                  <w:r>
                    <w:rPr>
                      <w:rFonts w:hint="eastAsia" w:cs="宋体"/>
                      <w:kern w:val="0"/>
                      <w:szCs w:val="21"/>
                    </w:rPr>
                    <w:t>1、严格建设项目取水许可审批，对取用水总量已达到或超过控制指标的地区，暂停审批其建设项目新增取水许可；对取用水总量接近控制指标的地区，限制审批新增取水，逐步实现区域水资源供需平衡。</w:t>
                  </w:r>
                </w:p>
              </w:tc>
              <w:tc>
                <w:tcPr>
                  <w:tcW w:w="925" w:type="pct"/>
                  <w:vAlign w:val="center"/>
                </w:tcPr>
                <w:p>
                  <w:pPr>
                    <w:pStyle w:val="59"/>
                    <w:jc w:val="center"/>
                    <w:rPr>
                      <w:rFonts w:cs="宋体"/>
                      <w:kern w:val="0"/>
                      <w:szCs w:val="21"/>
                    </w:rPr>
                  </w:pPr>
                  <w:r>
                    <w:rPr>
                      <w:rFonts w:hint="eastAsia" w:cs="宋体"/>
                      <w:kern w:val="0"/>
                      <w:szCs w:val="21"/>
                    </w:rPr>
                    <w:t>本项目不取用地下水，用水</w:t>
                  </w:r>
                  <w:r>
                    <w:rPr>
                      <w:rFonts w:hint="eastAsia"/>
                      <w:szCs w:val="21"/>
                    </w:rPr>
                    <w:t>由园区供水管网提供，且用水量较少。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restart"/>
                  <w:vAlign w:val="center"/>
                </w:tcPr>
                <w:p>
                  <w:pPr>
                    <w:pStyle w:val="59"/>
                    <w:ind w:left="-105" w:leftChars="-50" w:right="-105" w:rightChars="-50"/>
                    <w:jc w:val="center"/>
                    <w:rPr>
                      <w:rFonts w:cs="宋体"/>
                      <w:kern w:val="0"/>
                      <w:szCs w:val="21"/>
                    </w:rPr>
                  </w:pPr>
                  <w:r>
                    <w:rPr>
                      <w:rFonts w:hint="eastAsia" w:cs="宋体"/>
                      <w:kern w:val="0"/>
                      <w:szCs w:val="21"/>
                    </w:rPr>
                    <w:t>土壤环境</w:t>
                  </w:r>
                </w:p>
              </w:tc>
              <w:tc>
                <w:tcPr>
                  <w:tcW w:w="677" w:type="pct"/>
                  <w:gridSpan w:val="2"/>
                  <w:vAlign w:val="center"/>
                </w:tcPr>
                <w:p>
                  <w:pPr>
                    <w:pStyle w:val="59"/>
                    <w:spacing w:line="260" w:lineRule="exact"/>
                    <w:jc w:val="center"/>
                    <w:rPr>
                      <w:rFonts w:cs="宋体"/>
                      <w:kern w:val="0"/>
                      <w:szCs w:val="21"/>
                    </w:rPr>
                  </w:pPr>
                  <w:r>
                    <w:rPr>
                      <w:rFonts w:hint="eastAsia" w:cs="宋体"/>
                      <w:kern w:val="0"/>
                      <w:szCs w:val="21"/>
                    </w:rPr>
                    <w:t>空间布局</w:t>
                  </w:r>
                </w:p>
              </w:tc>
              <w:tc>
                <w:tcPr>
                  <w:tcW w:w="3052" w:type="pct"/>
                  <w:vAlign w:val="center"/>
                </w:tcPr>
                <w:p>
                  <w:pPr>
                    <w:pStyle w:val="59"/>
                    <w:jc w:val="left"/>
                    <w:rPr>
                      <w:rFonts w:cs="宋体"/>
                      <w:kern w:val="0"/>
                      <w:szCs w:val="21"/>
                    </w:rPr>
                  </w:pPr>
                  <w:r>
                    <w:rPr>
                      <w:rFonts w:hint="eastAsia" w:cs="宋体"/>
                      <w:spacing w:val="-6"/>
                      <w:szCs w:val="21"/>
                    </w:rPr>
                    <w:t>1、在优先保护类耕地集中区域严格控制新建有色金属冶炼、石油加工、化工、焦化、电镀、制革、铅蓄电池等行业企业，防止对耕地造成污染。</w:t>
                  </w:r>
                  <w:r>
                    <w:rPr>
                      <w:rFonts w:hint="eastAsia" w:cs="宋体"/>
                      <w:kern w:val="0"/>
                      <w:szCs w:val="21"/>
                    </w:rPr>
                    <w:t>2、严格执行相关行业企业布局选址要求，禁止在居民区、学校、医疗和养老机构等周边新建有色金属冶炼、焦化等行业企业。</w:t>
                  </w:r>
                </w:p>
              </w:tc>
              <w:tc>
                <w:tcPr>
                  <w:tcW w:w="925" w:type="pct"/>
                  <w:vAlign w:val="center"/>
                </w:tcPr>
                <w:p>
                  <w:pPr>
                    <w:pStyle w:val="59"/>
                    <w:jc w:val="center"/>
                    <w:rPr>
                      <w:rFonts w:cs="宋体"/>
                      <w:kern w:val="0"/>
                      <w:szCs w:val="21"/>
                    </w:rPr>
                  </w:pPr>
                  <w:r>
                    <w:rPr>
                      <w:rFonts w:hint="eastAsia" w:cs="宋体"/>
                      <w:kern w:val="0"/>
                      <w:szCs w:val="21"/>
                    </w:rPr>
                    <w:t>本项目不属于上占地为工业用地，周边无上述敏感点，园区管委会已同意本项目建设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ind w:left="-105" w:leftChars="-50" w:right="-105" w:rightChars="-50"/>
                    <w:jc w:val="center"/>
                    <w:rPr>
                      <w:rFonts w:cs="宋体"/>
                      <w:kern w:val="0"/>
                      <w:szCs w:val="21"/>
                    </w:rPr>
                  </w:pPr>
                </w:p>
              </w:tc>
              <w:tc>
                <w:tcPr>
                  <w:tcW w:w="677" w:type="pct"/>
                  <w:gridSpan w:val="2"/>
                  <w:vAlign w:val="center"/>
                </w:tcPr>
                <w:p>
                  <w:pPr>
                    <w:pStyle w:val="59"/>
                    <w:spacing w:line="260" w:lineRule="exact"/>
                    <w:jc w:val="center"/>
                    <w:rPr>
                      <w:rFonts w:cs="宋体"/>
                      <w:kern w:val="0"/>
                      <w:szCs w:val="21"/>
                    </w:rPr>
                  </w:pPr>
                  <w:r>
                    <w:rPr>
                      <w:rFonts w:hint="eastAsia" w:cs="宋体"/>
                      <w:kern w:val="0"/>
                      <w:szCs w:val="21"/>
                    </w:rPr>
                    <w:t>污染物排放</w:t>
                  </w:r>
                </w:p>
              </w:tc>
              <w:tc>
                <w:tcPr>
                  <w:tcW w:w="3052" w:type="pct"/>
                  <w:vAlign w:val="center"/>
                </w:tcPr>
                <w:p>
                  <w:pPr>
                    <w:pStyle w:val="59"/>
                    <w:spacing w:line="260" w:lineRule="exact"/>
                    <w:rPr>
                      <w:rFonts w:cs="宋体"/>
                      <w:kern w:val="0"/>
                      <w:szCs w:val="21"/>
                    </w:rPr>
                  </w:pPr>
                  <w:r>
                    <w:rPr>
                      <w:rFonts w:hint="eastAsia" w:cs="宋体"/>
                      <w:kern w:val="0"/>
                      <w:szCs w:val="21"/>
                    </w:rPr>
                    <w:t>2、对排放重点重金属的重点行业，要严控增量、减少存量，新增产能和淘汰产能实行“等量置换”或“减量置换”。对涉重金属重点行业新建、改（扩）建项目实行新增重金属污染物排放等量或倍量替代，对区域重金属排放量继续上升的地区，停止审批新增重金属污染物排放的建设项目。9、新、改、扩建涉重金属重点行业建设项目必须遵循重点重金属污染物排放“减量置换”或“等量替换”的原则，应在本行政区域内有明确具体的重金属污染物排放总量来源。无明确具体总量来源的，各级环保部门不得批准相关环境影响评价文件。11、涉重金属国控、省控企业全面完成在线监测设施建设。</w:t>
                  </w:r>
                </w:p>
              </w:tc>
              <w:tc>
                <w:tcPr>
                  <w:tcW w:w="925" w:type="pct"/>
                  <w:vAlign w:val="center"/>
                </w:tcPr>
                <w:p>
                  <w:pPr>
                    <w:pStyle w:val="59"/>
                    <w:spacing w:line="260" w:lineRule="exact"/>
                    <w:ind w:left="-105" w:leftChars="-50" w:right="-105" w:rightChars="-50"/>
                    <w:jc w:val="center"/>
                    <w:rPr>
                      <w:rFonts w:cs="宋体"/>
                      <w:kern w:val="0"/>
                      <w:szCs w:val="21"/>
                    </w:rPr>
                  </w:pPr>
                  <w:r>
                    <w:rPr>
                      <w:rFonts w:hint="eastAsia" w:cs="宋体"/>
                      <w:kern w:val="0"/>
                      <w:szCs w:val="21"/>
                    </w:rPr>
                    <w:t>本项目不涉及重金属污染物排放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82" w:hRule="atLeast"/>
                <w:jc w:val="center"/>
              </w:trPr>
              <w:tc>
                <w:tcPr>
                  <w:tcW w:w="345" w:type="pct"/>
                  <w:vAlign w:val="center"/>
                </w:tcPr>
                <w:p>
                  <w:pPr>
                    <w:pStyle w:val="59"/>
                    <w:ind w:left="-105" w:leftChars="-50" w:right="-105" w:rightChars="-50"/>
                    <w:jc w:val="center"/>
                    <w:rPr>
                      <w:rFonts w:cs="宋体"/>
                      <w:kern w:val="0"/>
                      <w:szCs w:val="21"/>
                    </w:rPr>
                  </w:pPr>
                  <w:r>
                    <w:rPr>
                      <w:rFonts w:hint="eastAsia" w:cs="宋体"/>
                      <w:kern w:val="0"/>
                      <w:szCs w:val="21"/>
                    </w:rPr>
                    <w:t>土壤环境</w:t>
                  </w:r>
                </w:p>
              </w:tc>
              <w:tc>
                <w:tcPr>
                  <w:tcW w:w="677" w:type="pct"/>
                  <w:gridSpan w:val="2"/>
                  <w:vAlign w:val="center"/>
                </w:tcPr>
                <w:p>
                  <w:pPr>
                    <w:pStyle w:val="59"/>
                    <w:jc w:val="center"/>
                    <w:rPr>
                      <w:rFonts w:cs="宋体"/>
                      <w:kern w:val="0"/>
                      <w:szCs w:val="21"/>
                    </w:rPr>
                  </w:pPr>
                  <w:r>
                    <w:rPr>
                      <w:rFonts w:hint="eastAsia" w:cs="宋体"/>
                      <w:kern w:val="0"/>
                      <w:szCs w:val="21"/>
                    </w:rPr>
                    <w:t>环境风险防控</w:t>
                  </w:r>
                </w:p>
              </w:tc>
              <w:tc>
                <w:tcPr>
                  <w:tcW w:w="3052" w:type="pct"/>
                  <w:vAlign w:val="center"/>
                </w:tcPr>
                <w:p>
                  <w:pPr>
                    <w:pStyle w:val="59"/>
                    <w:rPr>
                      <w:rFonts w:cs="宋体"/>
                      <w:kern w:val="0"/>
                      <w:szCs w:val="21"/>
                    </w:rPr>
                  </w:pPr>
                  <w:r>
                    <w:rPr>
                      <w:rFonts w:hint="eastAsia" w:cs="宋体"/>
                      <w:kern w:val="0"/>
                      <w:szCs w:val="21"/>
                    </w:rPr>
                    <w:t>3、对危险废物的容器和包装物以及收集、贮存、运输、利用、处置危险废物的设施、场所，应当按照规定设置危险废物识别标志。4、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5、从事收集、贮存、利用、处置危险废物经营活动的单位，应当按照国家有关规定申请取得许可证。6、产生、收集、贮存、运输、利用、处置危险废物的单位，应当依法制定意外事故的防范措施和应急预案，并向所在地生态环境主管部门和其他负有固体废物污染环境防治监督管理职责的部门备案。</w:t>
                  </w:r>
                </w:p>
              </w:tc>
              <w:tc>
                <w:tcPr>
                  <w:tcW w:w="925" w:type="pct"/>
                  <w:vAlign w:val="center"/>
                </w:tcPr>
                <w:p>
                  <w:pPr>
                    <w:pStyle w:val="59"/>
                    <w:jc w:val="center"/>
                    <w:rPr>
                      <w:rFonts w:cs="宋体"/>
                      <w:kern w:val="0"/>
                      <w:szCs w:val="21"/>
                    </w:rPr>
                  </w:pPr>
                  <w:r>
                    <w:t>本项目产生的危险废物将严格按照相关规定暂存、转运，并按规定制定</w:t>
                  </w:r>
                  <w:r>
                    <w:rPr>
                      <w:rFonts w:hint="eastAsia" w:cs="宋体"/>
                      <w:kern w:val="0"/>
                      <w:szCs w:val="21"/>
                    </w:rPr>
                    <w:t>危险废物管理计划、台账、</w:t>
                  </w:r>
                  <w:r>
                    <w:t>应急预案</w:t>
                  </w: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restart"/>
                  <w:vAlign w:val="center"/>
                </w:tcPr>
                <w:p>
                  <w:pPr>
                    <w:pStyle w:val="59"/>
                    <w:jc w:val="center"/>
                    <w:rPr>
                      <w:rFonts w:cs="宋体"/>
                      <w:kern w:val="0"/>
                      <w:szCs w:val="21"/>
                    </w:rPr>
                  </w:pPr>
                  <w:r>
                    <w:rPr>
                      <w:rFonts w:hint="eastAsia" w:cs="宋体"/>
                      <w:kern w:val="0"/>
                      <w:szCs w:val="21"/>
                    </w:rPr>
                    <w:t>水资源</w:t>
                  </w:r>
                </w:p>
              </w:tc>
              <w:tc>
                <w:tcPr>
                  <w:tcW w:w="677" w:type="pct"/>
                  <w:gridSpan w:val="2"/>
                  <w:vAlign w:val="center"/>
                </w:tcPr>
                <w:p>
                  <w:pPr>
                    <w:pStyle w:val="59"/>
                    <w:ind w:left="-53" w:leftChars="-25" w:right="-53" w:rightChars="-25"/>
                    <w:jc w:val="center"/>
                    <w:rPr>
                      <w:rFonts w:cs="宋体"/>
                      <w:kern w:val="0"/>
                      <w:szCs w:val="21"/>
                    </w:rPr>
                  </w:pPr>
                  <w:r>
                    <w:rPr>
                      <w:rFonts w:hint="eastAsia" w:cs="宋体"/>
                      <w:kern w:val="0"/>
                      <w:szCs w:val="21"/>
                    </w:rPr>
                    <w:t>总量和强度要求</w:t>
                  </w:r>
                </w:p>
              </w:tc>
              <w:tc>
                <w:tcPr>
                  <w:tcW w:w="3052" w:type="pct"/>
                  <w:vAlign w:val="center"/>
                </w:tcPr>
                <w:p>
                  <w:pPr>
                    <w:pStyle w:val="59"/>
                    <w:spacing w:line="260" w:lineRule="exact"/>
                    <w:jc w:val="left"/>
                    <w:rPr>
                      <w:rFonts w:cs="宋体"/>
                      <w:kern w:val="0"/>
                      <w:szCs w:val="21"/>
                    </w:rPr>
                  </w:pPr>
                  <w:r>
                    <w:rPr>
                      <w:rFonts w:hint="eastAsia" w:cs="宋体"/>
                      <w:kern w:val="0"/>
                      <w:szCs w:val="21"/>
                    </w:rPr>
                    <w:t>2025年全市水资源利用总量控制在19.45万立方米以内，其中地下水用量控制在9.69万立方米以内。2035年全市水资源利用总量控制在20.38万立方米以内，其中地下水用量控制在9.69万立方米以内。</w:t>
                  </w:r>
                </w:p>
              </w:tc>
              <w:tc>
                <w:tcPr>
                  <w:tcW w:w="925" w:type="pct"/>
                  <w:vAlign w:val="center"/>
                </w:tcPr>
                <w:p>
                  <w:pPr>
                    <w:pStyle w:val="59"/>
                    <w:jc w:val="center"/>
                    <w:rPr>
                      <w:rFonts w:cs="宋体"/>
                      <w:kern w:val="0"/>
                      <w:szCs w:val="21"/>
                    </w:rPr>
                  </w:pPr>
                  <w:r>
                    <w:rPr>
                      <w:rFonts w:hint="eastAsia" w:cs="宋体"/>
                      <w:spacing w:val="-11"/>
                      <w:kern w:val="0"/>
                      <w:szCs w:val="21"/>
                    </w:rPr>
                    <w:t>本项目用水</w:t>
                  </w:r>
                  <w:r>
                    <w:rPr>
                      <w:rFonts w:hint="eastAsia"/>
                      <w:szCs w:val="21"/>
                    </w:rPr>
                    <w:t>由园区供水管网提供，</w:t>
                  </w:r>
                  <w:r>
                    <w:rPr>
                      <w:rFonts w:hint="eastAsia" w:cs="宋体"/>
                      <w:spacing w:val="-11"/>
                      <w:kern w:val="0"/>
                      <w:szCs w:val="21"/>
                    </w:rPr>
                    <w:t>用水量相对区域用水总量较小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jc w:val="center"/>
                    <w:rPr>
                      <w:rFonts w:cs="宋体"/>
                      <w:kern w:val="0"/>
                      <w:szCs w:val="21"/>
                    </w:rPr>
                  </w:pPr>
                </w:p>
              </w:tc>
              <w:tc>
                <w:tcPr>
                  <w:tcW w:w="677" w:type="pct"/>
                  <w:gridSpan w:val="2"/>
                  <w:vAlign w:val="center"/>
                </w:tcPr>
                <w:p>
                  <w:pPr>
                    <w:pStyle w:val="59"/>
                    <w:ind w:left="-53" w:leftChars="-25" w:right="-53" w:rightChars="-25"/>
                    <w:jc w:val="center"/>
                    <w:rPr>
                      <w:rFonts w:cs="宋体"/>
                      <w:kern w:val="0"/>
                      <w:szCs w:val="21"/>
                    </w:rPr>
                  </w:pPr>
                  <w:r>
                    <w:rPr>
                      <w:rFonts w:hint="eastAsia" w:cs="宋体"/>
                      <w:kern w:val="0"/>
                      <w:szCs w:val="21"/>
                    </w:rPr>
                    <w:t>管控要求</w:t>
                  </w:r>
                </w:p>
              </w:tc>
              <w:tc>
                <w:tcPr>
                  <w:tcW w:w="3052" w:type="pct"/>
                  <w:vAlign w:val="center"/>
                </w:tcPr>
                <w:p>
                  <w:pPr>
                    <w:pStyle w:val="59"/>
                    <w:spacing w:line="260" w:lineRule="exact"/>
                    <w:ind w:left="-53" w:leftChars="-25" w:right="-53" w:rightChars="-25"/>
                    <w:jc w:val="left"/>
                    <w:rPr>
                      <w:rFonts w:cs="宋体"/>
                      <w:kern w:val="0"/>
                      <w:szCs w:val="21"/>
                    </w:rPr>
                  </w:pPr>
                  <w:r>
                    <w:rPr>
                      <w:rFonts w:hint="eastAsia" w:cs="宋体"/>
                      <w:kern w:val="0"/>
                      <w:szCs w:val="21"/>
                    </w:rPr>
                    <w:t>2、除应急供水和生活用水更新井外，限制新建和扩建取用地下水的建设项目。确需取用地下水的，一般超采区要逐步消减地下水开采量；严重超采区应按照建1减2的比例消减地下水开采量，直至地下水采补平衡。5、加强工业用水重复利用，提高工业用水效率。</w:t>
                  </w:r>
                </w:p>
              </w:tc>
              <w:tc>
                <w:tcPr>
                  <w:tcW w:w="925" w:type="pct"/>
                  <w:vAlign w:val="center"/>
                </w:tcPr>
                <w:p>
                  <w:pPr>
                    <w:pStyle w:val="59"/>
                    <w:jc w:val="center"/>
                    <w:rPr>
                      <w:rFonts w:cs="宋体"/>
                      <w:kern w:val="0"/>
                      <w:szCs w:val="21"/>
                    </w:rPr>
                  </w:pPr>
                  <w:r>
                    <w:rPr>
                      <w:rFonts w:hint="eastAsia" w:cs="宋体"/>
                      <w:spacing w:val="-11"/>
                      <w:kern w:val="0"/>
                      <w:szCs w:val="21"/>
                    </w:rPr>
                    <w:t>本项目不取用地下水，用水</w:t>
                  </w:r>
                  <w:r>
                    <w:rPr>
                      <w:rFonts w:hint="eastAsia"/>
                      <w:szCs w:val="21"/>
                    </w:rPr>
                    <w:t>由园区供水管网提供</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restart"/>
                  <w:vAlign w:val="center"/>
                </w:tcPr>
                <w:p>
                  <w:pPr>
                    <w:pStyle w:val="59"/>
                    <w:spacing w:line="250" w:lineRule="exact"/>
                    <w:jc w:val="center"/>
                    <w:rPr>
                      <w:rFonts w:cs="宋体"/>
                      <w:kern w:val="0"/>
                      <w:szCs w:val="21"/>
                    </w:rPr>
                  </w:pPr>
                  <w:r>
                    <w:rPr>
                      <w:rFonts w:hint="eastAsia" w:cs="宋体"/>
                      <w:kern w:val="0"/>
                      <w:szCs w:val="21"/>
                    </w:rPr>
                    <w:t>资源利用</w:t>
                  </w:r>
                </w:p>
              </w:tc>
              <w:tc>
                <w:tcPr>
                  <w:tcW w:w="211" w:type="pct"/>
                  <w:vAlign w:val="center"/>
                </w:tcPr>
                <w:p>
                  <w:pPr>
                    <w:pStyle w:val="59"/>
                    <w:spacing w:line="250" w:lineRule="exact"/>
                    <w:jc w:val="center"/>
                    <w:rPr>
                      <w:rFonts w:cs="宋体"/>
                      <w:kern w:val="0"/>
                      <w:szCs w:val="21"/>
                    </w:rPr>
                  </w:pPr>
                  <w:r>
                    <w:rPr>
                      <w:rFonts w:hint="eastAsia" w:cs="宋体"/>
                      <w:kern w:val="0"/>
                      <w:szCs w:val="21"/>
                    </w:rPr>
                    <w:t>能源</w:t>
                  </w:r>
                </w:p>
              </w:tc>
              <w:tc>
                <w:tcPr>
                  <w:tcW w:w="466" w:type="pct"/>
                  <w:vAlign w:val="center"/>
                </w:tcPr>
                <w:p>
                  <w:pPr>
                    <w:pStyle w:val="59"/>
                    <w:spacing w:line="250" w:lineRule="exact"/>
                    <w:jc w:val="center"/>
                    <w:rPr>
                      <w:rFonts w:cs="宋体"/>
                      <w:kern w:val="0"/>
                      <w:szCs w:val="21"/>
                    </w:rPr>
                  </w:pPr>
                  <w:r>
                    <w:rPr>
                      <w:rFonts w:hint="eastAsia" w:cs="宋体"/>
                      <w:kern w:val="0"/>
                      <w:szCs w:val="21"/>
                    </w:rPr>
                    <w:t>总量和强度要求</w:t>
                  </w:r>
                </w:p>
              </w:tc>
              <w:tc>
                <w:tcPr>
                  <w:tcW w:w="3052" w:type="pct"/>
                  <w:vAlign w:val="center"/>
                </w:tcPr>
                <w:p>
                  <w:pPr>
                    <w:pStyle w:val="59"/>
                    <w:spacing w:line="250" w:lineRule="exact"/>
                    <w:jc w:val="left"/>
                    <w:rPr>
                      <w:rFonts w:cs="宋体"/>
                      <w:kern w:val="0"/>
                      <w:szCs w:val="21"/>
                    </w:rPr>
                  </w:pPr>
                  <w:r>
                    <w:rPr>
                      <w:rFonts w:hint="eastAsia" w:cs="宋体"/>
                      <w:kern w:val="0"/>
                      <w:szCs w:val="21"/>
                    </w:rPr>
                    <w:t>2025年能源消费总量和煤炭消费量分别为2166万吨标准煤和1760万吨；2035年能源消费总量和煤炭消费量分别为2466万吨标准煤和1200万吨。</w:t>
                  </w:r>
                </w:p>
              </w:tc>
              <w:tc>
                <w:tcPr>
                  <w:tcW w:w="918" w:type="pct"/>
                  <w:vAlign w:val="center"/>
                </w:tcPr>
                <w:p>
                  <w:pPr>
                    <w:pStyle w:val="59"/>
                    <w:spacing w:line="250" w:lineRule="exact"/>
                    <w:jc w:val="center"/>
                    <w:rPr>
                      <w:rFonts w:cs="宋体"/>
                      <w:kern w:val="0"/>
                      <w:szCs w:val="21"/>
                    </w:rPr>
                  </w:pPr>
                  <w:r>
                    <w:rPr>
                      <w:rFonts w:hint="eastAsia" w:cs="宋体"/>
                      <w:kern w:val="0"/>
                      <w:szCs w:val="21"/>
                    </w:rPr>
                    <w:t>本项目生产采用天然气加热，不涉及燃煤。</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spacing w:line="250" w:lineRule="exact"/>
                    <w:jc w:val="center"/>
                    <w:rPr>
                      <w:rFonts w:cs="宋体"/>
                      <w:kern w:val="0"/>
                      <w:szCs w:val="21"/>
                    </w:rPr>
                  </w:pPr>
                </w:p>
              </w:tc>
              <w:tc>
                <w:tcPr>
                  <w:tcW w:w="211" w:type="pct"/>
                  <w:vMerge w:val="restart"/>
                  <w:vAlign w:val="center"/>
                </w:tcPr>
                <w:p>
                  <w:pPr>
                    <w:pStyle w:val="59"/>
                    <w:spacing w:line="250" w:lineRule="exact"/>
                    <w:jc w:val="center"/>
                    <w:rPr>
                      <w:rFonts w:cs="宋体"/>
                      <w:kern w:val="0"/>
                      <w:szCs w:val="21"/>
                    </w:rPr>
                  </w:pPr>
                  <w:r>
                    <w:rPr>
                      <w:rFonts w:hint="eastAsia" w:cs="宋体"/>
                      <w:kern w:val="0"/>
                      <w:szCs w:val="21"/>
                    </w:rPr>
                    <w:t>土地资源</w:t>
                  </w:r>
                </w:p>
              </w:tc>
              <w:tc>
                <w:tcPr>
                  <w:tcW w:w="466" w:type="pct"/>
                  <w:vAlign w:val="center"/>
                </w:tcPr>
                <w:p>
                  <w:pPr>
                    <w:pStyle w:val="59"/>
                    <w:spacing w:line="250" w:lineRule="exact"/>
                    <w:jc w:val="center"/>
                    <w:rPr>
                      <w:rFonts w:cs="宋体"/>
                      <w:kern w:val="0"/>
                      <w:szCs w:val="21"/>
                    </w:rPr>
                  </w:pPr>
                  <w:r>
                    <w:rPr>
                      <w:rFonts w:hint="eastAsia" w:cs="宋体"/>
                      <w:kern w:val="0"/>
                      <w:szCs w:val="21"/>
                    </w:rPr>
                    <w:t>管控要求</w:t>
                  </w:r>
                </w:p>
              </w:tc>
              <w:tc>
                <w:tcPr>
                  <w:tcW w:w="3052" w:type="pct"/>
                  <w:vAlign w:val="center"/>
                </w:tcPr>
                <w:p>
                  <w:pPr>
                    <w:pStyle w:val="59"/>
                    <w:numPr>
                      <w:ilvl w:val="0"/>
                      <w:numId w:val="1"/>
                    </w:numPr>
                    <w:spacing w:line="250" w:lineRule="exact"/>
                    <w:jc w:val="left"/>
                    <w:rPr>
                      <w:rFonts w:cs="宋体"/>
                      <w:kern w:val="0"/>
                      <w:szCs w:val="21"/>
                    </w:rPr>
                  </w:pPr>
                  <w:r>
                    <w:rPr>
                      <w:rFonts w:hint="eastAsia" w:cs="宋体"/>
                      <w:kern w:val="0"/>
                      <w:szCs w:val="21"/>
                    </w:rPr>
                    <w:t>在禁燃区内，禁止销售、燃用高污染燃料；禁止新建、扩建燃用高污染燃料的设施，已建成的，应当在城市人民政府规定的期限内改用天然气、页岩气、液化石油气、电或者其他清洁能源。2、在集中供热管网覆盖地区，禁止新建、扩建分散燃煤供热锅炉；已建成的不能达标排放的燃煤供热锅炉，应当在城市人民政府规定的期限内拆除。6、严控工业和民用燃煤质量，从严执行国家《商品煤质量民用散煤》（GB34169-2017）标准，省内生产加工企业供应用户的煤炭质量须同时满足河北省《工业和民用燃料煤》（DB13/2081-2014）地方标准要求。</w:t>
                  </w:r>
                </w:p>
              </w:tc>
              <w:tc>
                <w:tcPr>
                  <w:tcW w:w="918" w:type="pct"/>
                  <w:vAlign w:val="center"/>
                </w:tcPr>
                <w:p>
                  <w:pPr>
                    <w:pStyle w:val="59"/>
                    <w:spacing w:line="250" w:lineRule="exact"/>
                    <w:jc w:val="center"/>
                    <w:rPr>
                      <w:rFonts w:cs="宋体"/>
                      <w:kern w:val="0"/>
                      <w:szCs w:val="21"/>
                    </w:rPr>
                  </w:pPr>
                  <w:r>
                    <w:rPr>
                      <w:rFonts w:hint="eastAsia" w:cs="宋体"/>
                      <w:kern w:val="0"/>
                      <w:szCs w:val="21"/>
                    </w:rPr>
                    <w:t>本项目生产采用天然气加热，不涉及燃煤。</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spacing w:line="250" w:lineRule="exact"/>
                    <w:jc w:val="center"/>
                    <w:rPr>
                      <w:rFonts w:cs="宋体"/>
                      <w:kern w:val="0"/>
                      <w:szCs w:val="21"/>
                    </w:rPr>
                  </w:pPr>
                </w:p>
              </w:tc>
              <w:tc>
                <w:tcPr>
                  <w:tcW w:w="211" w:type="pct"/>
                  <w:vMerge w:val="continue"/>
                  <w:vAlign w:val="center"/>
                </w:tcPr>
                <w:p>
                  <w:pPr>
                    <w:pStyle w:val="59"/>
                    <w:spacing w:line="250" w:lineRule="exact"/>
                    <w:jc w:val="center"/>
                    <w:rPr>
                      <w:rFonts w:cs="宋体"/>
                      <w:kern w:val="0"/>
                      <w:szCs w:val="21"/>
                    </w:rPr>
                  </w:pPr>
                </w:p>
              </w:tc>
              <w:tc>
                <w:tcPr>
                  <w:tcW w:w="466" w:type="pct"/>
                  <w:vAlign w:val="center"/>
                </w:tcPr>
                <w:p>
                  <w:pPr>
                    <w:pStyle w:val="59"/>
                    <w:spacing w:line="250" w:lineRule="exact"/>
                    <w:jc w:val="center"/>
                    <w:rPr>
                      <w:rFonts w:cs="宋体"/>
                      <w:kern w:val="0"/>
                      <w:szCs w:val="21"/>
                    </w:rPr>
                  </w:pPr>
                  <w:r>
                    <w:rPr>
                      <w:rFonts w:hint="eastAsia" w:cs="宋体"/>
                      <w:kern w:val="0"/>
                      <w:szCs w:val="21"/>
                    </w:rPr>
                    <w:t>总量和强度要求</w:t>
                  </w:r>
                </w:p>
              </w:tc>
              <w:tc>
                <w:tcPr>
                  <w:tcW w:w="3052" w:type="pct"/>
                  <w:vAlign w:val="center"/>
                </w:tcPr>
                <w:p>
                  <w:pPr>
                    <w:pStyle w:val="59"/>
                    <w:spacing w:line="250" w:lineRule="exact"/>
                    <w:jc w:val="left"/>
                    <w:rPr>
                      <w:rFonts w:cs="宋体"/>
                      <w:kern w:val="0"/>
                      <w:szCs w:val="21"/>
                    </w:rPr>
                  </w:pPr>
                  <w:r>
                    <w:rPr>
                      <w:rFonts w:hint="eastAsia" w:cs="宋体"/>
                      <w:kern w:val="0"/>
                      <w:szCs w:val="21"/>
                    </w:rPr>
                    <w:t>2025年全市建设用地总规模196846公顷；2035年全市建设用地总规模202104公顷。</w:t>
                  </w:r>
                </w:p>
              </w:tc>
              <w:tc>
                <w:tcPr>
                  <w:tcW w:w="918" w:type="pct"/>
                  <w:vMerge w:val="restart"/>
                  <w:vAlign w:val="center"/>
                </w:tcPr>
                <w:p>
                  <w:pPr>
                    <w:pStyle w:val="59"/>
                    <w:spacing w:line="250" w:lineRule="exact"/>
                    <w:jc w:val="center"/>
                    <w:rPr>
                      <w:rFonts w:cs="宋体"/>
                      <w:kern w:val="0"/>
                      <w:szCs w:val="21"/>
                    </w:rPr>
                  </w:pPr>
                  <w:r>
                    <w:rPr>
                      <w:rFonts w:hint="eastAsia" w:cs="宋体"/>
                      <w:kern w:val="0"/>
                      <w:szCs w:val="21"/>
                    </w:rPr>
                    <w:t>本项目用地为二类工业用地，不占用农用地；</w:t>
                  </w:r>
                  <w:r>
                    <w:rPr>
                      <w:rFonts w:hint="eastAsia" w:cs="宋体"/>
                      <w:szCs w:val="21"/>
                    </w:rPr>
                    <w:t>河北新河经济开发区管理委员会为本项目出具了选址意见书，且项目用地取得了土地证</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345" w:type="pct"/>
                  <w:vMerge w:val="continue"/>
                  <w:vAlign w:val="center"/>
                </w:tcPr>
                <w:p>
                  <w:pPr>
                    <w:pStyle w:val="59"/>
                    <w:spacing w:line="250" w:lineRule="exact"/>
                    <w:jc w:val="center"/>
                    <w:rPr>
                      <w:rFonts w:cs="宋体"/>
                      <w:kern w:val="0"/>
                      <w:szCs w:val="21"/>
                    </w:rPr>
                  </w:pPr>
                </w:p>
              </w:tc>
              <w:tc>
                <w:tcPr>
                  <w:tcW w:w="211" w:type="pct"/>
                  <w:vAlign w:val="center"/>
                </w:tcPr>
                <w:p>
                  <w:pPr>
                    <w:pStyle w:val="59"/>
                    <w:spacing w:line="250" w:lineRule="exact"/>
                    <w:jc w:val="center"/>
                    <w:rPr>
                      <w:rFonts w:cs="宋体"/>
                      <w:kern w:val="0"/>
                      <w:szCs w:val="21"/>
                    </w:rPr>
                  </w:pPr>
                </w:p>
              </w:tc>
              <w:tc>
                <w:tcPr>
                  <w:tcW w:w="466" w:type="pct"/>
                  <w:vAlign w:val="center"/>
                </w:tcPr>
                <w:p>
                  <w:pPr>
                    <w:pStyle w:val="59"/>
                    <w:spacing w:line="250" w:lineRule="exact"/>
                    <w:jc w:val="left"/>
                    <w:rPr>
                      <w:rFonts w:cs="宋体"/>
                      <w:kern w:val="0"/>
                      <w:szCs w:val="21"/>
                    </w:rPr>
                  </w:pPr>
                  <w:r>
                    <w:rPr>
                      <w:rFonts w:hint="eastAsia" w:cs="宋体"/>
                      <w:kern w:val="0"/>
                      <w:szCs w:val="21"/>
                    </w:rPr>
                    <w:t>管控要求</w:t>
                  </w:r>
                </w:p>
              </w:tc>
              <w:tc>
                <w:tcPr>
                  <w:tcW w:w="3052" w:type="pct"/>
                  <w:vAlign w:val="center"/>
                </w:tcPr>
                <w:p>
                  <w:pPr>
                    <w:pStyle w:val="59"/>
                    <w:spacing w:line="250" w:lineRule="exact"/>
                    <w:jc w:val="left"/>
                    <w:rPr>
                      <w:rFonts w:cs="宋体"/>
                      <w:kern w:val="0"/>
                      <w:szCs w:val="21"/>
                    </w:rPr>
                  </w:pPr>
                  <w:r>
                    <w:rPr>
                      <w:rFonts w:hint="eastAsia" w:cs="宋体"/>
                      <w:kern w:val="0"/>
                      <w:szCs w:val="21"/>
                    </w:rPr>
                    <w:t>1、国家保护耕地，严格控制耕地转为非耕地。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2、非农业建设必须节约使用土地，可以利用荒地的，不得占用耕地；可以利用劣地的，不得占用好地。禁止占用耕地建窑、建坟或者擅自在耕地上建房、挖砂、采石、采矿、取土等。禁止占用永久基本农田发展林果业和挖塘养鱼。3、建设占用土地，涉及农用地转为建设用地的，应当办理农用地转用审批手续。</w:t>
                  </w:r>
                </w:p>
              </w:tc>
              <w:tc>
                <w:tcPr>
                  <w:tcW w:w="918" w:type="pct"/>
                  <w:vMerge w:val="continue"/>
                  <w:vAlign w:val="center"/>
                </w:tcPr>
                <w:p>
                  <w:pPr>
                    <w:pStyle w:val="59"/>
                    <w:spacing w:line="250" w:lineRule="exact"/>
                    <w:jc w:val="center"/>
                    <w:rPr>
                      <w:rFonts w:cs="宋体"/>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gridSpan w:val="2"/>
                  <w:vAlign w:val="center"/>
                </w:tcPr>
                <w:p>
                  <w:pPr>
                    <w:pStyle w:val="59"/>
                    <w:spacing w:line="250" w:lineRule="exact"/>
                    <w:jc w:val="center"/>
                    <w:rPr>
                      <w:rFonts w:cs="宋体"/>
                      <w:kern w:val="0"/>
                      <w:szCs w:val="21"/>
                    </w:rPr>
                  </w:pPr>
                  <w:r>
                    <w:rPr>
                      <w:rFonts w:hint="eastAsia" w:cs="宋体"/>
                      <w:kern w:val="0"/>
                      <w:szCs w:val="21"/>
                    </w:rPr>
                    <w:t>产业布局</w:t>
                  </w:r>
                </w:p>
              </w:tc>
              <w:tc>
                <w:tcPr>
                  <w:tcW w:w="466" w:type="pct"/>
                  <w:vAlign w:val="center"/>
                </w:tcPr>
                <w:p>
                  <w:pPr>
                    <w:pStyle w:val="59"/>
                    <w:spacing w:line="250" w:lineRule="exact"/>
                    <w:jc w:val="center"/>
                    <w:rPr>
                      <w:rFonts w:cs="宋体"/>
                      <w:kern w:val="0"/>
                      <w:szCs w:val="21"/>
                    </w:rPr>
                  </w:pPr>
                  <w:r>
                    <w:rPr>
                      <w:rFonts w:hint="eastAsia" w:cs="宋体"/>
                      <w:kern w:val="0"/>
                      <w:szCs w:val="21"/>
                    </w:rPr>
                    <w:t>总体要求</w:t>
                  </w:r>
                </w:p>
              </w:tc>
              <w:tc>
                <w:tcPr>
                  <w:tcW w:w="3052" w:type="pct"/>
                  <w:vAlign w:val="center"/>
                </w:tcPr>
                <w:p>
                  <w:pPr>
                    <w:pStyle w:val="59"/>
                    <w:spacing w:line="250" w:lineRule="exact"/>
                    <w:jc w:val="left"/>
                    <w:rPr>
                      <w:rFonts w:cs="宋体"/>
                      <w:kern w:val="0"/>
                      <w:szCs w:val="21"/>
                    </w:rPr>
                  </w:pPr>
                  <w:r>
                    <w:rPr>
                      <w:rFonts w:hint="eastAsia" w:cs="宋体"/>
                      <w:kern w:val="0"/>
                      <w:szCs w:val="21"/>
                    </w:rPr>
                    <w:t>1、禁止建设《产业结构调整指导目录(2019年本)》中限制类、淘汰类项目，关停淘汰类项目，现有限制类项目逐步退出。2、《禁止用地项目目录（2012年本）》《限制用地项目目录（2012年本）》《河北省禁止投资的产业目录》《河北省新增限制和淘汰类产业目录（2015年版）》《邢台市禁止投资的产业目录(2015年版)》《高耗水工艺、技术和装备淘汰目录（第一批）》、《关于抑制部分行业产能过剩和重复建设引导产业健康发展的若干意见》中要求产业项目禁止准入。3、禁止建设《环境保护综合名录2017年版》中“高污染、高风险”产品加工项目，城市工业企业退城搬迁改造项目除外。4、禁止建设新增钢铁、水泥、平板玻璃、电解铝、铸造产能的项目，新建扩建炼焦项目，铜冶炼、铅冶炼、镁冶炼、锌冶炼等有色金属冶炼项目，建筑陶瓷生产线、隧道窑卫生陶瓷生产线、纸面石膏板生产线、烧结墙体转、石灰窑及粉墨项目，燃料类煤气发生炉(园区内现有企业统一建设的清洁煤制气中心除外)、燃煤锅炉、燃煤发电、以煤炭为燃料和原料的其他工业项目，建设生产和使用高VOCs含量的溶剂型涂料、油墨、胶黏剂项目等大气环境影响严重的项目。</w:t>
                  </w:r>
                </w:p>
              </w:tc>
              <w:tc>
                <w:tcPr>
                  <w:tcW w:w="914" w:type="pct"/>
                  <w:vAlign w:val="center"/>
                </w:tcPr>
                <w:p>
                  <w:pPr>
                    <w:pStyle w:val="59"/>
                    <w:spacing w:line="250" w:lineRule="exact"/>
                    <w:jc w:val="center"/>
                    <w:rPr>
                      <w:rFonts w:cs="宋体"/>
                      <w:kern w:val="0"/>
                      <w:szCs w:val="21"/>
                    </w:rPr>
                  </w:pPr>
                  <w:r>
                    <w:rPr>
                      <w:rFonts w:hint="eastAsia" w:cs="宋体"/>
                      <w:kern w:val="0"/>
                      <w:szCs w:val="21"/>
                    </w:rPr>
                    <w:t>本项目不在上述禁止及限制建设项目之列</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gridSpan w:val="2"/>
                  <w:vMerge w:val="restart"/>
                  <w:vAlign w:val="center"/>
                </w:tcPr>
                <w:p>
                  <w:pPr>
                    <w:pStyle w:val="59"/>
                    <w:spacing w:line="250" w:lineRule="exact"/>
                    <w:jc w:val="center"/>
                    <w:rPr>
                      <w:rFonts w:cs="宋体"/>
                      <w:kern w:val="0"/>
                      <w:szCs w:val="21"/>
                    </w:rPr>
                  </w:pPr>
                  <w:r>
                    <w:rPr>
                      <w:rFonts w:hint="eastAsia" w:cs="宋体"/>
                      <w:kern w:val="0"/>
                      <w:szCs w:val="21"/>
                    </w:rPr>
                    <w:t>产业布局</w:t>
                  </w:r>
                </w:p>
              </w:tc>
              <w:tc>
                <w:tcPr>
                  <w:tcW w:w="466" w:type="pct"/>
                  <w:vAlign w:val="center"/>
                </w:tcPr>
                <w:p>
                  <w:pPr>
                    <w:pStyle w:val="59"/>
                    <w:spacing w:line="250" w:lineRule="exact"/>
                    <w:jc w:val="center"/>
                    <w:rPr>
                      <w:rFonts w:cs="宋体"/>
                      <w:kern w:val="0"/>
                      <w:szCs w:val="21"/>
                    </w:rPr>
                  </w:pPr>
                  <w:r>
                    <w:rPr>
                      <w:rFonts w:hint="eastAsia" w:cs="宋体"/>
                      <w:kern w:val="0"/>
                      <w:szCs w:val="21"/>
                    </w:rPr>
                    <w:t>总体要求</w:t>
                  </w:r>
                </w:p>
              </w:tc>
              <w:tc>
                <w:tcPr>
                  <w:tcW w:w="3052" w:type="pct"/>
                  <w:vAlign w:val="center"/>
                </w:tcPr>
                <w:p>
                  <w:pPr>
                    <w:pStyle w:val="59"/>
                    <w:spacing w:line="236" w:lineRule="exact"/>
                    <w:ind w:left="-53" w:leftChars="-25" w:right="-53" w:rightChars="-25"/>
                    <w:jc w:val="left"/>
                    <w:rPr>
                      <w:rFonts w:cs="宋体"/>
                      <w:kern w:val="0"/>
                      <w:szCs w:val="21"/>
                    </w:rPr>
                  </w:pPr>
                  <w:r>
                    <w:rPr>
                      <w:rFonts w:hint="eastAsia" w:cs="宋体"/>
                      <w:kern w:val="0"/>
                      <w:szCs w:val="21"/>
                    </w:rPr>
                    <w:t>6、可能对市区环境造成污染影响的新建扩建包装印刷、表面涂装、油库、塑料制品、橡胶制品等涉VOCs排放的建设项目，不得在市区建成区周边3公里范围内布局。7、全市河流沿岸、重要饮用水源地补给区严格控制化学原料和化学制品制造、医药制造、制革、造纸、焦化、化学纤维制造、纺织印染等项目，合理布局生产装置及危险化学品仓储等设施。地下水超采区限制高耗水行业准入。9、禁止在居民区、学校、医疗和养老机构等周边新建有色金属冶炼、焦化等行业企业。10、全市禁止新建35蒸吨/小时及以下燃煤锅炉。市主城区和县城建成区禁止新建35蒸吨/小时及以下生物质锅炉。建成区或工业园区新上集中供热锅炉，以煤为燃料的，要实施等煤量替代。</w:t>
                  </w:r>
                </w:p>
              </w:tc>
              <w:tc>
                <w:tcPr>
                  <w:tcW w:w="920" w:type="pct"/>
                  <w:vAlign w:val="center"/>
                </w:tcPr>
                <w:p>
                  <w:pPr>
                    <w:pStyle w:val="59"/>
                    <w:spacing w:line="236" w:lineRule="exact"/>
                    <w:jc w:val="center"/>
                    <w:rPr>
                      <w:rFonts w:cs="宋体"/>
                      <w:kern w:val="0"/>
                      <w:szCs w:val="21"/>
                    </w:rPr>
                  </w:pPr>
                  <w:r>
                    <w:rPr>
                      <w:rFonts w:hint="eastAsia" w:cs="宋体"/>
                      <w:kern w:val="0"/>
                      <w:szCs w:val="21"/>
                    </w:rPr>
                    <w:t>本项目位于工业园区，距离市区建成区大于3km；不在上述禁止建设项目之列</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52" w:type="pct"/>
                  <w:gridSpan w:val="2"/>
                  <w:vMerge w:val="continue"/>
                  <w:vAlign w:val="center"/>
                </w:tcPr>
                <w:p>
                  <w:pPr>
                    <w:pStyle w:val="59"/>
                    <w:spacing w:line="236" w:lineRule="exact"/>
                    <w:ind w:left="-105" w:leftChars="-50" w:right="-105" w:rightChars="-50"/>
                    <w:jc w:val="center"/>
                    <w:rPr>
                      <w:rFonts w:cs="宋体"/>
                      <w:kern w:val="0"/>
                      <w:szCs w:val="21"/>
                    </w:rPr>
                  </w:pPr>
                </w:p>
              </w:tc>
              <w:tc>
                <w:tcPr>
                  <w:tcW w:w="466" w:type="pct"/>
                  <w:vAlign w:val="center"/>
                </w:tcPr>
                <w:p>
                  <w:pPr>
                    <w:pStyle w:val="59"/>
                    <w:spacing w:line="236" w:lineRule="exact"/>
                    <w:jc w:val="center"/>
                    <w:rPr>
                      <w:rFonts w:cs="宋体"/>
                      <w:kern w:val="0"/>
                      <w:szCs w:val="21"/>
                    </w:rPr>
                  </w:pPr>
                  <w:r>
                    <w:rPr>
                      <w:rFonts w:hint="eastAsia" w:cs="宋体"/>
                      <w:kern w:val="0"/>
                      <w:szCs w:val="21"/>
                    </w:rPr>
                    <w:t>入园要求</w:t>
                  </w:r>
                </w:p>
              </w:tc>
              <w:tc>
                <w:tcPr>
                  <w:tcW w:w="3052" w:type="pct"/>
                  <w:vAlign w:val="center"/>
                </w:tcPr>
                <w:p>
                  <w:pPr>
                    <w:pStyle w:val="59"/>
                    <w:spacing w:line="236" w:lineRule="exact"/>
                    <w:ind w:left="-53" w:leftChars="-25" w:right="-53" w:rightChars="-25"/>
                    <w:jc w:val="left"/>
                    <w:rPr>
                      <w:rFonts w:cs="宋体"/>
                      <w:kern w:val="0"/>
                      <w:szCs w:val="21"/>
                    </w:rPr>
                  </w:pPr>
                  <w:r>
                    <w:rPr>
                      <w:rFonts w:hint="eastAsia" w:cs="宋体"/>
                      <w:kern w:val="0"/>
                      <w:szCs w:val="21"/>
                    </w:rPr>
                    <w:t>1、造纸、焦化、氮肥、有色金属、印染、农副食品加工、原料药制造、皮革、农药、电镀、钢铁、水泥、平板玻璃、石灰、石化、化工等高污染工业项目必须入园进区，其他工业项目原则上也不再园区外布局。2、对全市钢铁、化工、医药、印染及表面处理等污染企业，各县市区要坚持改造提升和搬迁退城并重，鼓励有条件的企业实施退城搬迁改造。3、新建化工项目须进入合规设立的化工园区，推动环境敏感区、人口密集区危险化学品生产企业搬迁入园，实现“三废”治理由企业分散治理向园区集中治理转变。</w:t>
                  </w:r>
                </w:p>
              </w:tc>
              <w:tc>
                <w:tcPr>
                  <w:tcW w:w="920" w:type="pct"/>
                  <w:vAlign w:val="center"/>
                </w:tcPr>
                <w:p>
                  <w:pPr>
                    <w:pStyle w:val="59"/>
                    <w:spacing w:line="236" w:lineRule="exact"/>
                    <w:jc w:val="center"/>
                    <w:rPr>
                      <w:rFonts w:cs="宋体"/>
                      <w:kern w:val="0"/>
                      <w:szCs w:val="21"/>
                    </w:rPr>
                  </w:pPr>
                  <w:r>
                    <w:rPr>
                      <w:rFonts w:hint="eastAsia" w:cs="宋体"/>
                      <w:kern w:val="0"/>
                      <w:szCs w:val="21"/>
                    </w:rPr>
                    <w:t>本项目不属于上述高污染项目，且位于工业园区</w:t>
                  </w:r>
                </w:p>
              </w:tc>
            </w:tr>
          </w:tbl>
          <w:p>
            <w:pPr>
              <w:tabs>
                <w:tab w:val="left" w:pos="3308"/>
              </w:tabs>
              <w:spacing w:line="360" w:lineRule="auto"/>
              <w:ind w:firstLine="482" w:firstLineChars="200"/>
              <w:rPr>
                <w:b/>
                <w:bCs/>
                <w:color w:val="1D41D5"/>
                <w:sz w:val="24"/>
              </w:rPr>
            </w:pPr>
            <w:r>
              <w:rPr>
                <w:b/>
                <w:bCs/>
                <w:sz w:val="24"/>
              </w:rPr>
              <w:t>由上表可知，本项目符合邢台市人民政府关于实施“三线一单”生态环境分区管控的意见中相关产业布局和空间布局约束要求。</w:t>
            </w:r>
          </w:p>
          <w:p>
            <w:pPr>
              <w:pStyle w:val="21"/>
              <w:snapToGrid w:val="0"/>
              <w:spacing w:line="360" w:lineRule="auto"/>
              <w:ind w:firstLine="480" w:firstLineChars="200"/>
              <w:rPr>
                <w:rFonts w:ascii="Times New Roman" w:hAnsi="Times New Roman" w:cs="宋体"/>
                <w:b/>
                <w:bCs/>
                <w:color w:val="auto"/>
                <w:kern w:val="0"/>
              </w:rPr>
            </w:pPr>
            <w:r>
              <w:rPr>
                <w:rFonts w:hint="eastAsia" w:ascii="Times New Roman" w:hAnsi="Times New Roman" w:cs="Times New Roman"/>
                <w:color w:val="auto"/>
                <w:kern w:val="0"/>
              </w:rPr>
              <w:t>（4）与“新河县各环境管控单元生态环境准入要求”符合性分析</w:t>
            </w:r>
            <w:r>
              <w:rPr>
                <w:rFonts w:hint="eastAsia" w:ascii="Times New Roman" w:hAnsi="Times New Roman" w:cs="Times New Roman"/>
                <w:color w:val="auto"/>
                <w:kern w:val="0"/>
                <w:sz w:val="21"/>
                <w:szCs w:val="21"/>
              </w:rPr>
              <w:t>。</w:t>
            </w:r>
          </w:p>
          <w:p>
            <w:pPr>
              <w:pStyle w:val="21"/>
              <w:spacing w:line="0" w:lineRule="atLeast"/>
              <w:jc w:val="center"/>
              <w:rPr>
                <w:color w:val="auto"/>
              </w:rPr>
            </w:pPr>
            <w:r>
              <w:rPr>
                <w:rFonts w:ascii="Times New Roman" w:hAnsi="Times New Roman" w:cs="宋体"/>
                <w:b/>
                <w:bCs/>
                <w:color w:val="auto"/>
                <w:kern w:val="0"/>
              </w:rPr>
              <w:t>表</w:t>
            </w:r>
            <w:r>
              <w:rPr>
                <w:rFonts w:hint="eastAsia" w:ascii="Times New Roman" w:hAnsi="Times New Roman" w:cs="宋体"/>
                <w:b/>
                <w:bCs/>
                <w:color w:val="auto"/>
                <w:kern w:val="0"/>
              </w:rPr>
              <w:t>7   新河县各环境管控单元生态环境准入要求</w:t>
            </w:r>
          </w:p>
          <w:tbl>
            <w:tblPr>
              <w:tblStyle w:val="24"/>
              <w:tblW w:w="4993"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89"/>
              <w:gridCol w:w="1005"/>
              <w:gridCol w:w="819"/>
              <w:gridCol w:w="3687"/>
              <w:gridCol w:w="12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8" w:type="pct"/>
                  <w:vAlign w:val="center"/>
                </w:tcPr>
                <w:p>
                  <w:pPr>
                    <w:pStyle w:val="59"/>
                    <w:ind w:left="-105" w:leftChars="-50" w:right="-105" w:rightChars="-50"/>
                    <w:jc w:val="center"/>
                    <w:rPr>
                      <w:rFonts w:cs="宋体"/>
                      <w:b/>
                      <w:bCs/>
                      <w:kern w:val="0"/>
                      <w:szCs w:val="21"/>
                    </w:rPr>
                  </w:pPr>
                  <w:r>
                    <w:rPr>
                      <w:rFonts w:hint="eastAsia" w:cs="宋体"/>
                      <w:b/>
                      <w:bCs/>
                      <w:kern w:val="0"/>
                      <w:szCs w:val="21"/>
                    </w:rPr>
                    <w:t>单元类别</w:t>
                  </w:r>
                </w:p>
              </w:tc>
              <w:tc>
                <w:tcPr>
                  <w:tcW w:w="671" w:type="pct"/>
                  <w:vAlign w:val="center"/>
                </w:tcPr>
                <w:p>
                  <w:pPr>
                    <w:pStyle w:val="59"/>
                    <w:ind w:left="-105" w:leftChars="-50" w:right="-105" w:rightChars="-50"/>
                    <w:jc w:val="center"/>
                    <w:rPr>
                      <w:rFonts w:cs="宋体"/>
                      <w:b/>
                      <w:bCs/>
                      <w:kern w:val="0"/>
                      <w:szCs w:val="21"/>
                    </w:rPr>
                  </w:pPr>
                  <w:r>
                    <w:rPr>
                      <w:rFonts w:hint="eastAsia" w:cs="宋体"/>
                      <w:b/>
                      <w:bCs/>
                      <w:kern w:val="0"/>
                      <w:szCs w:val="21"/>
                    </w:rPr>
                    <w:t>环境要素类别</w:t>
                  </w:r>
                </w:p>
              </w:tc>
              <w:tc>
                <w:tcPr>
                  <w:tcW w:w="547" w:type="pct"/>
                  <w:vAlign w:val="center"/>
                </w:tcPr>
                <w:p>
                  <w:pPr>
                    <w:pStyle w:val="59"/>
                    <w:jc w:val="center"/>
                    <w:rPr>
                      <w:rFonts w:cs="宋体"/>
                      <w:b/>
                      <w:bCs/>
                      <w:kern w:val="0"/>
                      <w:szCs w:val="21"/>
                    </w:rPr>
                  </w:pPr>
                  <w:r>
                    <w:rPr>
                      <w:rFonts w:hint="eastAsia" w:cs="宋体"/>
                      <w:b/>
                      <w:bCs/>
                      <w:kern w:val="0"/>
                      <w:szCs w:val="21"/>
                    </w:rPr>
                    <w:t>维度</w:t>
                  </w:r>
                </w:p>
              </w:tc>
              <w:tc>
                <w:tcPr>
                  <w:tcW w:w="2462" w:type="pct"/>
                  <w:vAlign w:val="center"/>
                </w:tcPr>
                <w:p>
                  <w:pPr>
                    <w:pStyle w:val="59"/>
                    <w:jc w:val="center"/>
                    <w:rPr>
                      <w:rFonts w:cs="宋体"/>
                      <w:b/>
                      <w:bCs/>
                      <w:kern w:val="0"/>
                      <w:szCs w:val="21"/>
                    </w:rPr>
                  </w:pPr>
                  <w:r>
                    <w:rPr>
                      <w:rFonts w:hint="eastAsia" w:cs="宋体"/>
                      <w:b/>
                      <w:bCs/>
                      <w:kern w:val="0"/>
                      <w:szCs w:val="21"/>
                    </w:rPr>
                    <w:t>管控措施</w:t>
                  </w:r>
                </w:p>
              </w:tc>
              <w:tc>
                <w:tcPr>
                  <w:tcW w:w="856" w:type="pct"/>
                  <w:vAlign w:val="center"/>
                </w:tcPr>
                <w:p>
                  <w:pPr>
                    <w:pStyle w:val="59"/>
                    <w:jc w:val="center"/>
                    <w:rPr>
                      <w:rFonts w:cs="宋体"/>
                      <w:b/>
                      <w:bCs/>
                      <w:kern w:val="0"/>
                      <w:szCs w:val="21"/>
                    </w:rPr>
                  </w:pPr>
                  <w:r>
                    <w:rPr>
                      <w:rFonts w:hint="eastAsia" w:cs="宋体"/>
                      <w:b/>
                      <w:bCs/>
                      <w:kern w:val="0"/>
                      <w:szCs w:val="21"/>
                    </w:rPr>
                    <w:t>本项目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8" w:type="pct"/>
                  <w:vMerge w:val="restart"/>
                  <w:tcMar>
                    <w:top w:w="0" w:type="dxa"/>
                    <w:left w:w="57" w:type="dxa"/>
                    <w:bottom w:w="0" w:type="dxa"/>
                    <w:right w:w="57" w:type="dxa"/>
                  </w:tcMar>
                  <w:vAlign w:val="center"/>
                </w:tcPr>
                <w:p>
                  <w:pPr>
                    <w:pStyle w:val="59"/>
                    <w:jc w:val="center"/>
                    <w:rPr>
                      <w:rFonts w:cs="宋体"/>
                      <w:b/>
                      <w:bCs/>
                      <w:kern w:val="0"/>
                      <w:szCs w:val="21"/>
                    </w:rPr>
                  </w:pPr>
                  <w:r>
                    <w:rPr>
                      <w:rFonts w:hint="eastAsia" w:cs="宋体"/>
                      <w:kern w:val="0"/>
                      <w:szCs w:val="21"/>
                    </w:rPr>
                    <w:t>重点管控单元2</w:t>
                  </w:r>
                </w:p>
              </w:tc>
              <w:tc>
                <w:tcPr>
                  <w:tcW w:w="671" w:type="pct"/>
                  <w:vMerge w:val="restar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大气环境高排放重点管控区、环境城镇生活重点管控区、新河经济开发区</w:t>
                  </w: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空间布局约束</w:t>
                  </w:r>
                </w:p>
              </w:tc>
              <w:tc>
                <w:tcPr>
                  <w:tcW w:w="2462" w:type="pct"/>
                  <w:tcMar>
                    <w:top w:w="0" w:type="dxa"/>
                    <w:left w:w="57" w:type="dxa"/>
                    <w:bottom w:w="0" w:type="dxa"/>
                    <w:right w:w="57" w:type="dxa"/>
                  </w:tcMar>
                  <w:vAlign w:val="center"/>
                </w:tcPr>
                <w:p>
                  <w:pPr>
                    <w:pStyle w:val="59"/>
                    <w:jc w:val="left"/>
                    <w:rPr>
                      <w:rFonts w:cs="宋体"/>
                      <w:kern w:val="0"/>
                      <w:szCs w:val="21"/>
                    </w:rPr>
                  </w:pPr>
                  <w:r>
                    <w:rPr>
                      <w:rFonts w:hint="eastAsia" w:cs="宋体"/>
                      <w:kern w:val="0"/>
                      <w:szCs w:val="21"/>
                    </w:rPr>
                    <w:t>①禁止建设年加工玉米45万吨以下、绝干收率在98%以下玉米淀粉(蜡质玉米、高直链玉米等玉米年加工规模1万吨以下)。②年处理15万吨以下、总干物收率97%以下的湿法玉米淀粉生产线(特种玉米淀粉生产线除外)。③禁止建设水泥粉磨站项目。</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本项目不属于以上禁止建设的项目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8"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671"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污染物排放管控</w:t>
                  </w:r>
                </w:p>
              </w:tc>
              <w:tc>
                <w:tcPr>
                  <w:tcW w:w="2462" w:type="pct"/>
                  <w:tcMar>
                    <w:top w:w="0" w:type="dxa"/>
                    <w:left w:w="57" w:type="dxa"/>
                    <w:bottom w:w="0" w:type="dxa"/>
                    <w:right w:w="57" w:type="dxa"/>
                  </w:tcMar>
                  <w:vAlign w:val="center"/>
                </w:tcPr>
                <w:p>
                  <w:pPr>
                    <w:pStyle w:val="59"/>
                    <w:ind w:left="-53" w:leftChars="-25" w:right="-53" w:rightChars="-25"/>
                    <w:jc w:val="left"/>
                    <w:rPr>
                      <w:rFonts w:cs="宋体"/>
                      <w:kern w:val="0"/>
                      <w:szCs w:val="21"/>
                    </w:rPr>
                  </w:pPr>
                  <w:r>
                    <w:rPr>
                      <w:rFonts w:hint="eastAsia" w:cs="宋体"/>
                      <w:kern w:val="0"/>
                      <w:szCs w:val="21"/>
                    </w:rPr>
                    <w:t>①加快完善区域污水管网建设，提高污水收集率，严禁生活污水不经处理直接外排。②现有及新（改、扩）建向环境水体直接排放污水的排污单位执行《子牙河流域水污染物排放标准》（DB13/2796-2018）重点控制区排放限值。③淀粉行业水污染物排放应满足《淀粉工业水污染物排放标准》(GB25461-2010)中相应排放标准限值要求。</w:t>
                  </w:r>
                </w:p>
              </w:tc>
              <w:tc>
                <w:tcPr>
                  <w:tcW w:w="856" w:type="pct"/>
                  <w:tcMar>
                    <w:top w:w="0" w:type="dxa"/>
                    <w:left w:w="57" w:type="dxa"/>
                    <w:bottom w:w="0" w:type="dxa"/>
                    <w:right w:w="57" w:type="dxa"/>
                  </w:tcMar>
                  <w:vAlign w:val="center"/>
                </w:tcPr>
                <w:p>
                  <w:pPr>
                    <w:pStyle w:val="59"/>
                    <w:jc w:val="center"/>
                    <w:rPr>
                      <w:rFonts w:cs="宋体"/>
                      <w:kern w:val="0"/>
                      <w:szCs w:val="21"/>
                      <w:highlight w:val="yellow"/>
                    </w:rPr>
                  </w:pPr>
                  <w:r>
                    <w:rPr>
                      <w:rFonts w:hint="eastAsia"/>
                      <w:szCs w:val="21"/>
                    </w:rPr>
                    <w:t>项目</w:t>
                  </w:r>
                  <w:r>
                    <w:rPr>
                      <w:bCs/>
                      <w:szCs w:val="21"/>
                    </w:rPr>
                    <w:t>生活</w:t>
                  </w:r>
                  <w:r>
                    <w:rPr>
                      <w:rFonts w:hint="eastAsia"/>
                      <w:bCs/>
                      <w:szCs w:val="21"/>
                    </w:rPr>
                    <w:t>污水经</w:t>
                  </w:r>
                  <w:r>
                    <w:rPr>
                      <w:bCs/>
                      <w:szCs w:val="21"/>
                    </w:rPr>
                    <w:t>化粪池处理后排入园区污水管网，最终进入</w:t>
                  </w:r>
                  <w:r>
                    <w:rPr>
                      <w:rFonts w:hint="eastAsia"/>
                      <w:szCs w:val="21"/>
                    </w:rPr>
                    <w:t>新河县城东污水处理厂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8"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671"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环境风险防控</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8"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671" w:type="pct"/>
                  <w:vMerge w:val="continue"/>
                  <w:tcMar>
                    <w:top w:w="0" w:type="dxa"/>
                    <w:left w:w="57" w:type="dxa"/>
                    <w:bottom w:w="0" w:type="dxa"/>
                    <w:right w:w="57" w:type="dxa"/>
                  </w:tcMar>
                  <w:vAlign w:val="center"/>
                </w:tcPr>
                <w:p>
                  <w:pPr>
                    <w:pStyle w:val="59"/>
                    <w:jc w:val="center"/>
                    <w:rPr>
                      <w:rFonts w:cs="宋体"/>
                      <w:kern w:val="0"/>
                      <w:szCs w:val="21"/>
                      <w:highlight w:val="yellow"/>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资源利用效率</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restar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重点管控单元</w:t>
                  </w:r>
                </w:p>
                <w:p>
                  <w:pPr>
                    <w:pStyle w:val="59"/>
                    <w:jc w:val="center"/>
                    <w:rPr>
                      <w:rFonts w:cs="宋体"/>
                      <w:b/>
                      <w:bCs/>
                      <w:kern w:val="0"/>
                      <w:szCs w:val="21"/>
                    </w:rPr>
                  </w:pPr>
                  <w:r>
                    <w:rPr>
                      <w:rFonts w:hint="eastAsia" w:cs="宋体"/>
                      <w:kern w:val="0"/>
                      <w:szCs w:val="21"/>
                    </w:rPr>
                    <w:t>3</w:t>
                  </w:r>
                </w:p>
              </w:tc>
              <w:tc>
                <w:tcPr>
                  <w:tcW w:w="671" w:type="pct"/>
                  <w:vMerge w:val="restart"/>
                  <w:tcMar>
                    <w:top w:w="0" w:type="dxa"/>
                    <w:left w:w="57" w:type="dxa"/>
                    <w:bottom w:w="0" w:type="dxa"/>
                    <w:right w:w="57" w:type="dxa"/>
                  </w:tcMar>
                  <w:vAlign w:val="center"/>
                </w:tcPr>
                <w:p>
                  <w:pPr>
                    <w:pStyle w:val="59"/>
                    <w:jc w:val="center"/>
                    <w:rPr>
                      <w:rFonts w:cs="宋体"/>
                      <w:kern w:val="0"/>
                      <w:szCs w:val="21"/>
                    </w:rPr>
                  </w:pPr>
                  <w:r>
                    <w:rPr>
                      <w:rFonts w:cs="宋体"/>
                      <w:kern w:val="0"/>
                      <w:szCs w:val="21"/>
                    </w:rPr>
                    <w:t>大气环境受体敏感重点管控区、水环境城镇生活重点管控区、城市开发边界，分布有河北新河经济开发区</w:t>
                  </w: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空间布局约束</w:t>
                  </w:r>
                </w:p>
              </w:tc>
              <w:tc>
                <w:tcPr>
                  <w:tcW w:w="2462" w:type="pct"/>
                  <w:tcMar>
                    <w:top w:w="0" w:type="dxa"/>
                    <w:left w:w="57" w:type="dxa"/>
                    <w:bottom w:w="0" w:type="dxa"/>
                    <w:right w:w="57" w:type="dxa"/>
                  </w:tcMar>
                  <w:vAlign w:val="center"/>
                </w:tcPr>
                <w:p>
                  <w:pPr>
                    <w:pStyle w:val="59"/>
                    <w:rPr>
                      <w:rFonts w:cs="宋体"/>
                      <w:kern w:val="0"/>
                      <w:szCs w:val="21"/>
                    </w:rPr>
                  </w:pPr>
                  <w:r>
                    <w:rPr>
                      <w:rFonts w:hint="eastAsia" w:cs="宋体"/>
                      <w:kern w:val="0"/>
                      <w:szCs w:val="21"/>
                    </w:rPr>
                    <w:t>新入园区项目严格落实最新规划环评及其批复的相关要求。</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本项目严格落实最新规划环评及其批复的相关要求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b/>
                      <w:bCs/>
                      <w:kern w:val="0"/>
                      <w:szCs w:val="21"/>
                    </w:rPr>
                  </w:pPr>
                </w:p>
              </w:tc>
              <w:tc>
                <w:tcPr>
                  <w:tcW w:w="671" w:type="pct"/>
                  <w:vMerge w:val="continue"/>
                  <w:tcMar>
                    <w:top w:w="0" w:type="dxa"/>
                    <w:left w:w="57" w:type="dxa"/>
                    <w:bottom w:w="0" w:type="dxa"/>
                    <w:right w:w="57" w:type="dxa"/>
                  </w:tcMar>
                  <w:vAlign w:val="center"/>
                </w:tcPr>
                <w:p>
                  <w:pPr>
                    <w:pStyle w:val="59"/>
                    <w:jc w:val="center"/>
                    <w:rPr>
                      <w:rFonts w:cs="宋体"/>
                      <w:b/>
                      <w:bCs/>
                      <w:kern w:val="0"/>
                      <w:szCs w:val="21"/>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污染物排放管控</w:t>
                  </w:r>
                </w:p>
              </w:tc>
              <w:tc>
                <w:tcPr>
                  <w:tcW w:w="2462" w:type="pct"/>
                  <w:tcMar>
                    <w:top w:w="0" w:type="dxa"/>
                    <w:left w:w="57" w:type="dxa"/>
                    <w:bottom w:w="0" w:type="dxa"/>
                    <w:right w:w="57" w:type="dxa"/>
                  </w:tcMar>
                  <w:vAlign w:val="center"/>
                </w:tcPr>
                <w:p>
                  <w:pPr>
                    <w:pStyle w:val="59"/>
                    <w:ind w:left="-53" w:leftChars="-25" w:right="-53" w:rightChars="-25"/>
                    <w:rPr>
                      <w:rFonts w:cs="宋体"/>
                      <w:kern w:val="0"/>
                      <w:szCs w:val="21"/>
                    </w:rPr>
                  </w:pPr>
                  <w:r>
                    <w:rPr>
                      <w:rFonts w:hint="eastAsia" w:cs="宋体"/>
                      <w:kern w:val="0"/>
                      <w:szCs w:val="21"/>
                    </w:rPr>
                    <w:t>①城市和县城建成区禁止新建35蒸吨/小时及以下生物质锅炉，35蒸吨/小时以上的生物质锅炉要达到超低排放标准。②加快完善区域污水管网建设，提高污水收集率，严禁生活污水不经处理直接外排。③以园区规划环评确定的污染物排放总量作为上线控制目标；排放标准满足国家、流域、地方、行业相关标准及特殊时段排放要求，从严执行。</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本项目无锅炉，使用燃气热风炉进行生产供热，型号为RS45；生活污水经化粪池处理后排入园区污水管网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b/>
                      <w:bCs/>
                      <w:kern w:val="0"/>
                      <w:szCs w:val="21"/>
                    </w:rPr>
                  </w:pPr>
                </w:p>
              </w:tc>
              <w:tc>
                <w:tcPr>
                  <w:tcW w:w="671" w:type="pct"/>
                  <w:vMerge w:val="continue"/>
                  <w:tcMar>
                    <w:top w:w="0" w:type="dxa"/>
                    <w:left w:w="57" w:type="dxa"/>
                    <w:bottom w:w="0" w:type="dxa"/>
                    <w:right w:w="57" w:type="dxa"/>
                  </w:tcMar>
                  <w:vAlign w:val="center"/>
                </w:tcPr>
                <w:p>
                  <w:pPr>
                    <w:pStyle w:val="59"/>
                    <w:jc w:val="center"/>
                    <w:rPr>
                      <w:rFonts w:cs="宋体"/>
                      <w:b/>
                      <w:bCs/>
                      <w:kern w:val="0"/>
                      <w:szCs w:val="21"/>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环境风险防控</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b/>
                      <w:bCs/>
                      <w:kern w:val="0"/>
                      <w:szCs w:val="21"/>
                    </w:rPr>
                  </w:pPr>
                </w:p>
              </w:tc>
              <w:tc>
                <w:tcPr>
                  <w:tcW w:w="671" w:type="pct"/>
                  <w:vMerge w:val="continue"/>
                  <w:tcMar>
                    <w:top w:w="0" w:type="dxa"/>
                    <w:left w:w="57" w:type="dxa"/>
                    <w:bottom w:w="0" w:type="dxa"/>
                    <w:right w:w="57" w:type="dxa"/>
                  </w:tcMar>
                  <w:vAlign w:val="center"/>
                </w:tcPr>
                <w:p>
                  <w:pPr>
                    <w:pStyle w:val="59"/>
                    <w:jc w:val="center"/>
                    <w:rPr>
                      <w:rFonts w:cs="宋体"/>
                      <w:b/>
                      <w:bCs/>
                      <w:kern w:val="0"/>
                      <w:szCs w:val="21"/>
                    </w:rPr>
                  </w:pPr>
                </w:p>
              </w:tc>
              <w:tc>
                <w:tcPr>
                  <w:tcW w:w="547" w:type="pct"/>
                  <w:tcMar>
                    <w:top w:w="0" w:type="dxa"/>
                    <w:left w:w="57" w:type="dxa"/>
                    <w:bottom w:w="0" w:type="dxa"/>
                    <w:right w:w="57" w:type="dxa"/>
                  </w:tcMar>
                  <w:vAlign w:val="center"/>
                </w:tcPr>
                <w:p>
                  <w:pPr>
                    <w:pStyle w:val="59"/>
                    <w:ind w:left="-53" w:leftChars="-25" w:right="-53" w:rightChars="-25"/>
                    <w:jc w:val="center"/>
                    <w:rPr>
                      <w:rFonts w:cs="宋体"/>
                      <w:kern w:val="0"/>
                      <w:szCs w:val="21"/>
                    </w:rPr>
                  </w:pPr>
                  <w:r>
                    <w:rPr>
                      <w:rFonts w:cs="宋体"/>
                      <w:kern w:val="0"/>
                      <w:szCs w:val="21"/>
                    </w:rPr>
                    <w:t>资源利用效率</w:t>
                  </w:r>
                </w:p>
              </w:tc>
              <w:tc>
                <w:tcPr>
                  <w:tcW w:w="2462" w:type="pct"/>
                  <w:tcMar>
                    <w:top w:w="0" w:type="dxa"/>
                    <w:left w:w="57" w:type="dxa"/>
                    <w:bottom w:w="0" w:type="dxa"/>
                    <w:right w:w="57" w:type="dxa"/>
                  </w:tcMar>
                  <w:vAlign w:val="center"/>
                </w:tcPr>
                <w:p>
                  <w:pPr>
                    <w:pStyle w:val="59"/>
                    <w:rPr>
                      <w:rFonts w:cs="宋体"/>
                      <w:kern w:val="0"/>
                      <w:szCs w:val="21"/>
                    </w:rPr>
                  </w:pPr>
                  <w:r>
                    <w:rPr>
                      <w:rFonts w:hint="eastAsia" w:cs="宋体"/>
                      <w:kern w:val="0"/>
                      <w:szCs w:val="21"/>
                    </w:rPr>
                    <w:t>满足园区最新规划环评确定的资源能源效率指标及相关要求。</w:t>
                  </w:r>
                </w:p>
              </w:tc>
              <w:tc>
                <w:tcPr>
                  <w:tcW w:w="856"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满足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restar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重点管控单元4</w:t>
                  </w:r>
                </w:p>
              </w:tc>
              <w:tc>
                <w:tcPr>
                  <w:tcW w:w="671" w:type="pct"/>
                  <w:vMerge w:val="restart"/>
                  <w:tcMar>
                    <w:top w:w="0" w:type="dxa"/>
                    <w:left w:w="57" w:type="dxa"/>
                    <w:bottom w:w="0" w:type="dxa"/>
                    <w:right w:w="57" w:type="dxa"/>
                  </w:tcMar>
                  <w:vAlign w:val="center"/>
                </w:tcPr>
                <w:p>
                  <w:pPr>
                    <w:pStyle w:val="59"/>
                    <w:jc w:val="center"/>
                    <w:rPr>
                      <w:rFonts w:cs="宋体"/>
                      <w:kern w:val="0"/>
                      <w:szCs w:val="21"/>
                    </w:rPr>
                  </w:pPr>
                  <w:r>
                    <w:rPr>
                      <w:rFonts w:cs="宋体"/>
                      <w:kern w:val="0"/>
                      <w:szCs w:val="21"/>
                    </w:rPr>
                    <w:t>水环境城镇生活重点管控区、分布有新河经济开发区</w:t>
                  </w:r>
                </w:p>
              </w:tc>
              <w:tc>
                <w:tcPr>
                  <w:tcW w:w="547" w:type="pct"/>
                  <w:tcMar>
                    <w:top w:w="0" w:type="dxa"/>
                    <w:left w:w="57" w:type="dxa"/>
                    <w:bottom w:w="0" w:type="dxa"/>
                    <w:right w:w="57" w:type="dxa"/>
                  </w:tcMar>
                  <w:vAlign w:val="center"/>
                </w:tcPr>
                <w:p>
                  <w:pPr>
                    <w:pStyle w:val="59"/>
                    <w:jc w:val="center"/>
                    <w:rPr>
                      <w:rFonts w:cs="宋体"/>
                      <w:kern w:val="0"/>
                      <w:szCs w:val="21"/>
                    </w:rPr>
                  </w:pPr>
                  <w:r>
                    <w:rPr>
                      <w:rFonts w:cs="宋体"/>
                      <w:kern w:val="0"/>
                      <w:szCs w:val="21"/>
                    </w:rPr>
                    <w:t>空间布局约束</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新入园区项目严格落实最新规划环评及其批复的相关要求。</w:t>
                  </w:r>
                </w:p>
              </w:tc>
              <w:tc>
                <w:tcPr>
                  <w:tcW w:w="858" w:type="pct"/>
                  <w:tcMar>
                    <w:top w:w="0" w:type="dxa"/>
                    <w:left w:w="57" w:type="dxa"/>
                    <w:bottom w:w="0" w:type="dxa"/>
                    <w:right w:w="57" w:type="dxa"/>
                  </w:tcMar>
                  <w:vAlign w:val="center"/>
                </w:tcPr>
                <w:p>
                  <w:pPr>
                    <w:pStyle w:val="59"/>
                    <w:jc w:val="center"/>
                    <w:rPr>
                      <w:rFonts w:cs="宋体"/>
                      <w:kern w:val="0"/>
                      <w:szCs w:val="21"/>
                    </w:rPr>
                  </w:pPr>
                  <w:r>
                    <w:rPr>
                      <w:rFonts w:hint="eastAsia" w:cs="宋体"/>
                      <w:szCs w:val="21"/>
                    </w:rPr>
                    <w:t>项目符合规划环评及批复要求；园区管委会同意建设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kern w:val="0"/>
                      <w:szCs w:val="21"/>
                    </w:rPr>
                  </w:pPr>
                </w:p>
              </w:tc>
              <w:tc>
                <w:tcPr>
                  <w:tcW w:w="671" w:type="pct"/>
                  <w:vMerge w:val="continue"/>
                  <w:tcMar>
                    <w:top w:w="0" w:type="dxa"/>
                    <w:left w:w="57" w:type="dxa"/>
                    <w:bottom w:w="0" w:type="dxa"/>
                    <w:right w:w="57" w:type="dxa"/>
                  </w:tcMar>
                  <w:vAlign w:val="center"/>
                </w:tcPr>
                <w:p>
                  <w:pPr>
                    <w:pStyle w:val="59"/>
                    <w:jc w:val="center"/>
                    <w:rPr>
                      <w:rFonts w:cs="宋体"/>
                      <w:kern w:val="0"/>
                      <w:szCs w:val="21"/>
                    </w:rPr>
                  </w:pPr>
                </w:p>
              </w:tc>
              <w:tc>
                <w:tcPr>
                  <w:tcW w:w="547" w:type="pct"/>
                  <w:tcMar>
                    <w:top w:w="0" w:type="dxa"/>
                    <w:left w:w="57" w:type="dxa"/>
                    <w:bottom w:w="0" w:type="dxa"/>
                    <w:right w:w="57" w:type="dxa"/>
                  </w:tcMar>
                  <w:vAlign w:val="center"/>
                </w:tcPr>
                <w:p>
                  <w:pPr>
                    <w:pStyle w:val="59"/>
                    <w:jc w:val="center"/>
                    <w:rPr>
                      <w:rFonts w:cs="宋体"/>
                      <w:kern w:val="0"/>
                      <w:szCs w:val="21"/>
                    </w:rPr>
                  </w:pPr>
                  <w:r>
                    <w:rPr>
                      <w:rFonts w:cs="宋体"/>
                      <w:kern w:val="0"/>
                      <w:szCs w:val="21"/>
                    </w:rPr>
                    <w:t>污染物排放管控</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①加快完善区域污水管网建设，提高污水收集率，严禁生活污水不经处理直接外排。②以园区规划环评确定的污染物排放总量作为上线控制目标。③排放标准满足国家、流域、地方、行业相关标准及特殊时段排放要求，从严执行。</w:t>
                  </w:r>
                </w:p>
              </w:tc>
              <w:tc>
                <w:tcPr>
                  <w:tcW w:w="858" w:type="pct"/>
                  <w:tcMar>
                    <w:top w:w="0" w:type="dxa"/>
                    <w:left w:w="57" w:type="dxa"/>
                    <w:bottom w:w="0" w:type="dxa"/>
                    <w:right w:w="57" w:type="dxa"/>
                  </w:tcMar>
                  <w:vAlign w:val="center"/>
                </w:tcPr>
                <w:p>
                  <w:pPr>
                    <w:pStyle w:val="59"/>
                    <w:jc w:val="center"/>
                    <w:rPr>
                      <w:rFonts w:cs="宋体"/>
                      <w:kern w:val="0"/>
                      <w:szCs w:val="21"/>
                    </w:rPr>
                  </w:pPr>
                  <w:r>
                    <w:rPr>
                      <w:rFonts w:hint="eastAsia" w:cs="宋体"/>
                      <w:spacing w:val="-6"/>
                      <w:kern w:val="0"/>
                      <w:szCs w:val="21"/>
                    </w:rPr>
                    <w:t>项目生活污水经化粪池处理后排入新河县城东污水处理厂；排放总量满足园区规划环评确定的污染物排放总量要求；废水排放满足相关标准及特殊时段排放要求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kern w:val="0"/>
                      <w:szCs w:val="21"/>
                    </w:rPr>
                  </w:pPr>
                </w:p>
              </w:tc>
              <w:tc>
                <w:tcPr>
                  <w:tcW w:w="671" w:type="pct"/>
                  <w:vMerge w:val="continue"/>
                  <w:tcMar>
                    <w:top w:w="0" w:type="dxa"/>
                    <w:left w:w="57" w:type="dxa"/>
                    <w:bottom w:w="0" w:type="dxa"/>
                    <w:right w:w="57" w:type="dxa"/>
                  </w:tcMar>
                  <w:vAlign w:val="center"/>
                </w:tcPr>
                <w:p>
                  <w:pPr>
                    <w:pStyle w:val="59"/>
                    <w:jc w:val="center"/>
                    <w:rPr>
                      <w:rFonts w:cs="宋体"/>
                      <w:kern w:val="0"/>
                      <w:szCs w:val="21"/>
                    </w:rPr>
                  </w:pPr>
                </w:p>
              </w:tc>
              <w:tc>
                <w:tcPr>
                  <w:tcW w:w="547" w:type="pct"/>
                  <w:tcMar>
                    <w:top w:w="0" w:type="dxa"/>
                    <w:left w:w="57" w:type="dxa"/>
                    <w:bottom w:w="0" w:type="dxa"/>
                    <w:right w:w="57" w:type="dxa"/>
                  </w:tcMar>
                  <w:vAlign w:val="center"/>
                </w:tcPr>
                <w:p>
                  <w:pPr>
                    <w:pStyle w:val="59"/>
                    <w:jc w:val="center"/>
                    <w:rPr>
                      <w:rFonts w:cs="宋体"/>
                      <w:kern w:val="0"/>
                      <w:szCs w:val="21"/>
                    </w:rPr>
                  </w:pPr>
                  <w:r>
                    <w:rPr>
                      <w:rFonts w:cs="宋体"/>
                      <w:kern w:val="0"/>
                      <w:szCs w:val="21"/>
                    </w:rPr>
                    <w:t>环境风险防控</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c>
                <w:tcPr>
                  <w:tcW w:w="858"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60" w:type="pct"/>
                  <w:vMerge w:val="continue"/>
                  <w:tcMar>
                    <w:top w:w="0" w:type="dxa"/>
                    <w:left w:w="57" w:type="dxa"/>
                    <w:bottom w:w="0" w:type="dxa"/>
                    <w:right w:w="57" w:type="dxa"/>
                  </w:tcMar>
                  <w:vAlign w:val="center"/>
                </w:tcPr>
                <w:p>
                  <w:pPr>
                    <w:pStyle w:val="59"/>
                    <w:jc w:val="center"/>
                    <w:rPr>
                      <w:rFonts w:cs="宋体"/>
                      <w:b/>
                      <w:bCs/>
                      <w:kern w:val="0"/>
                      <w:szCs w:val="21"/>
                    </w:rPr>
                  </w:pPr>
                </w:p>
              </w:tc>
              <w:tc>
                <w:tcPr>
                  <w:tcW w:w="671" w:type="pct"/>
                  <w:vMerge w:val="continue"/>
                  <w:tcMar>
                    <w:top w:w="0" w:type="dxa"/>
                    <w:left w:w="57" w:type="dxa"/>
                    <w:bottom w:w="0" w:type="dxa"/>
                    <w:right w:w="57" w:type="dxa"/>
                  </w:tcMar>
                  <w:vAlign w:val="center"/>
                </w:tcPr>
                <w:p>
                  <w:pPr>
                    <w:pStyle w:val="59"/>
                    <w:jc w:val="center"/>
                    <w:rPr>
                      <w:rFonts w:cs="宋体"/>
                      <w:b/>
                      <w:bCs/>
                      <w:kern w:val="0"/>
                      <w:szCs w:val="21"/>
                    </w:rPr>
                  </w:pPr>
                </w:p>
              </w:tc>
              <w:tc>
                <w:tcPr>
                  <w:tcW w:w="547" w:type="pct"/>
                  <w:tcMar>
                    <w:top w:w="0" w:type="dxa"/>
                    <w:left w:w="57" w:type="dxa"/>
                    <w:bottom w:w="0" w:type="dxa"/>
                    <w:right w:w="57" w:type="dxa"/>
                  </w:tcMar>
                  <w:vAlign w:val="center"/>
                </w:tcPr>
                <w:p>
                  <w:pPr>
                    <w:pStyle w:val="59"/>
                    <w:jc w:val="center"/>
                    <w:rPr>
                      <w:rFonts w:cs="宋体"/>
                      <w:kern w:val="0"/>
                      <w:szCs w:val="21"/>
                    </w:rPr>
                  </w:pPr>
                  <w:r>
                    <w:rPr>
                      <w:rFonts w:cs="宋体"/>
                      <w:kern w:val="0"/>
                      <w:szCs w:val="21"/>
                    </w:rPr>
                    <w:t>资源利用效率</w:t>
                  </w:r>
                </w:p>
              </w:tc>
              <w:tc>
                <w:tcPr>
                  <w:tcW w:w="2462"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满足园区最新规划环评确定的资源能源效率指标及相关要求。</w:t>
                  </w:r>
                </w:p>
              </w:tc>
              <w:tc>
                <w:tcPr>
                  <w:tcW w:w="858" w:type="pct"/>
                  <w:tcMar>
                    <w:top w:w="0" w:type="dxa"/>
                    <w:left w:w="57" w:type="dxa"/>
                    <w:bottom w:w="0" w:type="dxa"/>
                    <w:right w:w="57" w:type="dxa"/>
                  </w:tcMar>
                  <w:vAlign w:val="center"/>
                </w:tcPr>
                <w:p>
                  <w:pPr>
                    <w:pStyle w:val="59"/>
                    <w:jc w:val="center"/>
                    <w:rPr>
                      <w:rFonts w:cs="宋体"/>
                      <w:kern w:val="0"/>
                      <w:szCs w:val="21"/>
                    </w:rPr>
                  </w:pPr>
                  <w:r>
                    <w:rPr>
                      <w:rFonts w:hint="eastAsia" w:cs="宋体"/>
                      <w:kern w:val="0"/>
                      <w:szCs w:val="21"/>
                    </w:rPr>
                    <w:t>本项目满足园区最新规划环评确定的资源能源效率指标及相关要求。</w:t>
                  </w:r>
                </w:p>
              </w:tc>
            </w:tr>
          </w:tbl>
          <w:p>
            <w:pPr>
              <w:autoSpaceDE w:val="0"/>
              <w:autoSpaceDN w:val="0"/>
              <w:adjustRightInd w:val="0"/>
              <w:snapToGrid w:val="0"/>
              <w:spacing w:line="360" w:lineRule="auto"/>
              <w:ind w:firstLine="482" w:firstLineChars="200"/>
              <w:rPr>
                <w:kern w:val="0"/>
                <w:sz w:val="24"/>
                <w:szCs w:val="21"/>
              </w:rPr>
            </w:pPr>
            <w:r>
              <w:rPr>
                <w:rFonts w:hint="eastAsia"/>
                <w:b/>
                <w:bCs/>
                <w:kern w:val="0"/>
                <w:sz w:val="24"/>
                <w:szCs w:val="21"/>
              </w:rPr>
              <w:t>由上表可知，本项目符合新河县各环境管控单元生态环境准入要求。</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（5）与开发区“三线一单”及管控体系符合性分析</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A、园区生态保护红线</w:t>
            </w:r>
          </w:p>
          <w:p>
            <w:pPr>
              <w:autoSpaceDE w:val="0"/>
              <w:autoSpaceDN w:val="0"/>
              <w:adjustRightInd w:val="0"/>
              <w:snapToGrid w:val="0"/>
              <w:spacing w:line="360" w:lineRule="auto"/>
              <w:ind w:firstLine="480" w:firstLineChars="200"/>
              <w:rPr>
                <w:kern w:val="0"/>
                <w:sz w:val="24"/>
                <w:szCs w:val="21"/>
              </w:rPr>
            </w:pPr>
            <w:r>
              <w:rPr>
                <w:rFonts w:hint="eastAsia"/>
                <w:sz w:val="24"/>
              </w:rPr>
              <w:t>根据《河北新河经济开发区总体规划(调整)环境影响报告书》</w:t>
            </w:r>
            <w:r>
              <w:rPr>
                <w:spacing w:val="9"/>
                <w:sz w:val="24"/>
              </w:rPr>
              <w:t>，邢台市生态保护红线总面积为1323.32km</w:t>
            </w:r>
            <w:r>
              <w:rPr>
                <w:spacing w:val="9"/>
                <w:sz w:val="24"/>
                <w:vertAlign w:val="superscript"/>
              </w:rPr>
              <w:t>2</w:t>
            </w:r>
            <w:r>
              <w:rPr>
                <w:spacing w:val="9"/>
                <w:sz w:val="24"/>
              </w:rPr>
              <w:t>，主要生态保护类型为重点生态功能区、生态敏感区、脆弱区红线区、禁止开发区(各类保护地)。其中，新河县生态保护红线区面积为2.30km</w:t>
            </w:r>
            <w:r>
              <w:rPr>
                <w:spacing w:val="9"/>
                <w:sz w:val="24"/>
                <w:vertAlign w:val="superscript"/>
              </w:rPr>
              <w:t>2</w:t>
            </w:r>
            <w:r>
              <w:rPr>
                <w:spacing w:val="9"/>
                <w:sz w:val="24"/>
              </w:rPr>
              <w:t>，占新河县国土面积的0.64%，红线区为新河县行政区内的南水北调中线配套工程饮用水源地保护红线区、老漳河河滨岸带生态敏感红线区、滏阳新河河滨岸带生态敏感红线区和滏阳河河滨岸带生态敏感红线区。新河县经济开发区不在新河县的重点生态功能区、生态环境敏感脆弱区以及禁止开发区等各生态保护红线区内，开发区规划范围内无生态保护红线区，东区西侧距离新河县南水北调配套工程饮用水源地保护红线区（南新支管）1000m，开发区北侧距离滏阳新河河滨岸带生态红线区距离2050m</w:t>
            </w:r>
            <w:r>
              <w:rPr>
                <w:rFonts w:hint="eastAsia"/>
                <w:spacing w:val="9"/>
              </w:rPr>
              <w:t>。</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本项目位于邢台市新河县（区）经济开发区东区经五路东侧，不位于上述生态保护红线范围内，满足园区生态保护红线要求。</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B、生态空间管控</w:t>
            </w:r>
          </w:p>
          <w:p>
            <w:pPr>
              <w:ind w:firstLine="482" w:firstLineChars="200"/>
              <w:jc w:val="center"/>
              <w:rPr>
                <w:b/>
                <w:bCs/>
                <w:sz w:val="24"/>
                <w:szCs w:val="32"/>
              </w:rPr>
            </w:pPr>
            <w:r>
              <w:rPr>
                <w:b/>
                <w:bCs/>
                <w:sz w:val="24"/>
                <w:szCs w:val="32"/>
              </w:rPr>
              <w:t>表</w:t>
            </w:r>
            <w:r>
              <w:rPr>
                <w:rFonts w:hint="eastAsia"/>
                <w:b/>
                <w:bCs/>
                <w:sz w:val="24"/>
                <w:szCs w:val="32"/>
              </w:rPr>
              <w:t>8</w:t>
            </w:r>
            <w:r>
              <w:rPr>
                <w:b/>
                <w:bCs/>
                <w:sz w:val="24"/>
                <w:szCs w:val="32"/>
              </w:rPr>
              <w:t xml:space="preserve">  开发区生态空间管控清单一览表</w:t>
            </w:r>
          </w:p>
          <w:tbl>
            <w:tblPr>
              <w:tblStyle w:val="2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42"/>
              <w:gridCol w:w="487"/>
              <w:gridCol w:w="987"/>
              <w:gridCol w:w="825"/>
              <w:gridCol w:w="1251"/>
              <w:gridCol w:w="1877"/>
              <w:gridCol w:w="1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Align w:val="center"/>
                </w:tcPr>
                <w:p>
                  <w:pPr>
                    <w:adjustRightInd w:val="0"/>
                    <w:spacing w:line="0" w:lineRule="atLeast"/>
                    <w:jc w:val="center"/>
                    <w:rPr>
                      <w:rFonts w:hAnsi="宋体"/>
                      <w:spacing w:val="-10"/>
                      <w:szCs w:val="21"/>
                    </w:rPr>
                  </w:pPr>
                  <w:r>
                    <w:rPr>
                      <w:rFonts w:hint="eastAsia" w:hAnsi="宋体"/>
                      <w:spacing w:val="-10"/>
                      <w:szCs w:val="21"/>
                    </w:rPr>
                    <w:t>建设类别</w:t>
                  </w: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编号</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名称</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面积（hm</w:t>
                  </w:r>
                  <w:r>
                    <w:rPr>
                      <w:rFonts w:hint="eastAsia" w:hAnsi="宋体"/>
                      <w:spacing w:val="-10"/>
                      <w:szCs w:val="21"/>
                      <w:vertAlign w:val="superscript"/>
                    </w:rPr>
                    <w:t>2</w:t>
                  </w:r>
                  <w:r>
                    <w:rPr>
                      <w:rFonts w:hint="eastAsia" w:hAnsi="宋体"/>
                      <w:spacing w:val="-10"/>
                      <w:szCs w:val="21"/>
                    </w:rPr>
                    <w:t>）</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现状用地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四至范围</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管控要求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99" w:hRule="atLeast"/>
                <w:jc w:val="center"/>
              </w:trPr>
              <w:tc>
                <w:tcPr>
                  <w:tcW w:w="496" w:type="pct"/>
                  <w:vMerge w:val="restart"/>
                  <w:vAlign w:val="center"/>
                </w:tcPr>
                <w:p>
                  <w:pPr>
                    <w:adjustRightInd w:val="0"/>
                    <w:spacing w:line="0" w:lineRule="atLeast"/>
                    <w:jc w:val="center"/>
                    <w:rPr>
                      <w:rFonts w:hAnsi="宋体"/>
                      <w:spacing w:val="-10"/>
                      <w:szCs w:val="21"/>
                    </w:rPr>
                  </w:pPr>
                  <w:r>
                    <w:rPr>
                      <w:rFonts w:hint="eastAsia" w:hAnsi="宋体"/>
                      <w:spacing w:val="-10"/>
                      <w:szCs w:val="21"/>
                    </w:rPr>
                    <w:t>禁止</w:t>
                  </w:r>
                </w:p>
                <w:p>
                  <w:pPr>
                    <w:adjustRightInd w:val="0"/>
                    <w:spacing w:line="0" w:lineRule="atLeast"/>
                    <w:jc w:val="center"/>
                    <w:rPr>
                      <w:rFonts w:hAnsi="宋体"/>
                      <w:spacing w:val="-10"/>
                      <w:szCs w:val="21"/>
                    </w:rPr>
                  </w:pPr>
                  <w:r>
                    <w:rPr>
                      <w:rFonts w:hint="eastAsia" w:hAnsi="宋体"/>
                      <w:spacing w:val="-10"/>
                      <w:szCs w:val="21"/>
                    </w:rPr>
                    <w:t>建设区</w:t>
                  </w: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J1</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基本农田</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46.6</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基本农田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西至西区西边界、北至西区北边界、东至新安街西侧、南至振堂路北侧</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需严格按照《基本农田保护条例》进行保护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8" w:hRule="atLeast"/>
                <w:jc w:val="center"/>
              </w:trPr>
              <w:tc>
                <w:tcPr>
                  <w:tcW w:w="496" w:type="pct"/>
                  <w:vMerge w:val="continue"/>
                  <w:vAlign w:val="center"/>
                </w:tcPr>
                <w:p>
                  <w:pPr>
                    <w:adjustRightInd w:val="0"/>
                    <w:spacing w:line="0" w:lineRule="atLeast"/>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J2</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西区规划中部居住区及绿化带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11.5</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居住用地</w:t>
                  </w:r>
                </w:p>
              </w:tc>
              <w:tc>
                <w:tcPr>
                  <w:tcW w:w="1254" w:type="pct"/>
                  <w:vAlign w:val="center"/>
                </w:tcPr>
                <w:p>
                  <w:pPr>
                    <w:adjustRightInd w:val="0"/>
                    <w:spacing w:line="0" w:lineRule="atLeast"/>
                    <w:jc w:val="center"/>
                    <w:rPr>
                      <w:rFonts w:hAnsi="宋体"/>
                      <w:spacing w:val="-18"/>
                      <w:szCs w:val="21"/>
                    </w:rPr>
                  </w:pPr>
                  <w:r>
                    <w:rPr>
                      <w:rFonts w:hint="eastAsia" w:hAnsi="宋体"/>
                      <w:spacing w:val="-18"/>
                      <w:szCs w:val="21"/>
                    </w:rPr>
                    <w:t>沿西区规划居住区边界，北至新华路以南，东至利新街，西至新安街东侧，南至时代路北侧</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禁止在规划居住区及防护绿化带内建设工业项目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J3</w:t>
                  </w:r>
                </w:p>
              </w:tc>
              <w:tc>
                <w:tcPr>
                  <w:tcW w:w="659" w:type="pct"/>
                  <w:vAlign w:val="center"/>
                </w:tcPr>
                <w:p>
                  <w:pPr>
                    <w:adjustRightInd w:val="0"/>
                    <w:spacing w:line="0" w:lineRule="atLeast"/>
                    <w:jc w:val="center"/>
                    <w:rPr>
                      <w:rFonts w:hAnsi="宋体"/>
                      <w:spacing w:val="-20"/>
                      <w:szCs w:val="21"/>
                    </w:rPr>
                  </w:pPr>
                  <w:r>
                    <w:rPr>
                      <w:rFonts w:hint="eastAsia" w:hAnsi="宋体"/>
                      <w:spacing w:val="-20"/>
                      <w:szCs w:val="21"/>
                    </w:rPr>
                    <w:t>西区西外环绿化带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8.9</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河流水面及沿岸绿化林</w:t>
                  </w:r>
                </w:p>
              </w:tc>
              <w:tc>
                <w:tcPr>
                  <w:tcW w:w="1254" w:type="pct"/>
                  <w:vAlign w:val="center"/>
                </w:tcPr>
                <w:p>
                  <w:pPr>
                    <w:adjustRightInd w:val="0"/>
                    <w:spacing w:line="0" w:lineRule="atLeast"/>
                    <w:jc w:val="center"/>
                    <w:rPr>
                      <w:rFonts w:hAnsi="宋体"/>
                      <w:spacing w:val="-16"/>
                      <w:szCs w:val="21"/>
                    </w:rPr>
                  </w:pPr>
                  <w:r>
                    <w:rPr>
                      <w:rFonts w:hint="eastAsia" w:hAnsi="宋体"/>
                      <w:spacing w:val="-16"/>
                      <w:szCs w:val="21"/>
                    </w:rPr>
                    <w:t>北自夏神首村西北沿西外环路南至至西区南边界</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禁止占用道路绿化用地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J4</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西区规划南部居住区及绿化带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8.5</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村庄及居住</w:t>
                  </w:r>
                </w:p>
                <w:p>
                  <w:pPr>
                    <w:adjustRightInd w:val="0"/>
                    <w:spacing w:line="0" w:lineRule="atLeast"/>
                    <w:jc w:val="center"/>
                    <w:rPr>
                      <w:rFonts w:hAnsi="宋体"/>
                      <w:spacing w:val="-10"/>
                      <w:szCs w:val="21"/>
                    </w:rPr>
                  </w:pPr>
                  <w:r>
                    <w:rPr>
                      <w:rFonts w:hint="eastAsia" w:hAnsi="宋体"/>
                      <w:spacing w:val="-10"/>
                      <w:szCs w:val="21"/>
                    </w:rPr>
                    <w:t>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沿滨河路西起西区入区口，东至西区开发区东边界段</w:t>
                  </w:r>
                </w:p>
              </w:tc>
              <w:tc>
                <w:tcPr>
                  <w:tcW w:w="875" w:type="pct"/>
                  <w:vAlign w:val="center"/>
                </w:tcPr>
                <w:p>
                  <w:pPr>
                    <w:widowControl/>
                    <w:spacing w:line="0" w:lineRule="atLeast"/>
                    <w:jc w:val="center"/>
                    <w:rPr>
                      <w:rFonts w:hAnsi="宋体"/>
                      <w:spacing w:val="-10"/>
                      <w:szCs w:val="21"/>
                    </w:rPr>
                  </w:pPr>
                  <w:r>
                    <w:rPr>
                      <w:rFonts w:hint="eastAsia" w:hAnsi="宋体"/>
                      <w:spacing w:val="-10"/>
                      <w:szCs w:val="21"/>
                    </w:rPr>
                    <w:t>禁止在规划居住区及防护绿化带内建设工业项目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restart"/>
                  <w:vAlign w:val="center"/>
                </w:tcPr>
                <w:p>
                  <w:pPr>
                    <w:adjustRightInd w:val="0"/>
                    <w:spacing w:line="0" w:lineRule="atLeast"/>
                    <w:jc w:val="center"/>
                    <w:rPr>
                      <w:rFonts w:hAnsi="宋体"/>
                      <w:spacing w:val="-10"/>
                      <w:szCs w:val="21"/>
                    </w:rPr>
                  </w:pPr>
                  <w:r>
                    <w:rPr>
                      <w:rFonts w:hint="eastAsia" w:hAnsi="宋体"/>
                      <w:spacing w:val="-10"/>
                      <w:szCs w:val="21"/>
                    </w:rPr>
                    <w:t>禁止</w:t>
                  </w:r>
                </w:p>
                <w:p>
                  <w:pPr>
                    <w:widowControl/>
                    <w:jc w:val="center"/>
                    <w:rPr>
                      <w:rFonts w:hAnsi="宋体"/>
                      <w:spacing w:val="-10"/>
                      <w:szCs w:val="21"/>
                    </w:rPr>
                  </w:pPr>
                  <w:r>
                    <w:rPr>
                      <w:rFonts w:hint="eastAsia" w:hAnsi="宋体"/>
                      <w:spacing w:val="-10"/>
                      <w:szCs w:val="21"/>
                    </w:rPr>
                    <w:t>建设区</w:t>
                  </w: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J5</w:t>
                  </w:r>
                </w:p>
              </w:tc>
              <w:tc>
                <w:tcPr>
                  <w:tcW w:w="659" w:type="pct"/>
                  <w:vAlign w:val="center"/>
                </w:tcPr>
                <w:p>
                  <w:pPr>
                    <w:adjustRightInd w:val="0"/>
                    <w:spacing w:line="0" w:lineRule="atLeast"/>
                    <w:jc w:val="center"/>
                    <w:rPr>
                      <w:rFonts w:hAnsi="宋体"/>
                      <w:spacing w:val="-20"/>
                      <w:szCs w:val="21"/>
                    </w:rPr>
                  </w:pPr>
                  <w:r>
                    <w:rPr>
                      <w:rFonts w:hint="eastAsia" w:hAnsi="宋体"/>
                      <w:spacing w:val="-20"/>
                      <w:szCs w:val="21"/>
                    </w:rPr>
                    <w:t>六户干渠环城水系绿化带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17.5</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河流水面河流水面及沿岸绿化林地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北自开发区东区西北南至与跃进渠交汇处</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禁止占用水体绿化防护用地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J6</w:t>
                  </w:r>
                </w:p>
              </w:tc>
              <w:tc>
                <w:tcPr>
                  <w:tcW w:w="659" w:type="pct"/>
                  <w:vAlign w:val="center"/>
                </w:tcPr>
                <w:p>
                  <w:pPr>
                    <w:adjustRightInd w:val="0"/>
                    <w:spacing w:line="0" w:lineRule="atLeast"/>
                    <w:jc w:val="center"/>
                    <w:rPr>
                      <w:rFonts w:hAnsi="宋体"/>
                      <w:spacing w:val="-20"/>
                      <w:szCs w:val="21"/>
                    </w:rPr>
                  </w:pPr>
                  <w:r>
                    <w:rPr>
                      <w:rFonts w:hint="eastAsia" w:hAnsi="宋体"/>
                      <w:spacing w:val="-20"/>
                      <w:szCs w:val="21"/>
                    </w:rPr>
                    <w:t>东区和谐路绿化带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13.4</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交通绿化用地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沿和谐路西东西区入区口，东至东区开发区东</w:t>
                  </w:r>
                </w:p>
                <w:p>
                  <w:pPr>
                    <w:adjustRightInd w:val="0"/>
                    <w:spacing w:line="0" w:lineRule="atLeast"/>
                    <w:jc w:val="center"/>
                    <w:rPr>
                      <w:rFonts w:hAnsi="宋体"/>
                      <w:spacing w:val="-10"/>
                      <w:szCs w:val="21"/>
                    </w:rPr>
                  </w:pPr>
                  <w:r>
                    <w:rPr>
                      <w:rFonts w:hint="eastAsia" w:hAnsi="宋体"/>
                      <w:spacing w:val="-10"/>
                      <w:szCs w:val="21"/>
                    </w:rPr>
                    <w:t>边界</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禁止占用道路绿化用地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J7</w:t>
                  </w:r>
                </w:p>
              </w:tc>
              <w:tc>
                <w:tcPr>
                  <w:tcW w:w="659" w:type="pct"/>
                  <w:vAlign w:val="center"/>
                </w:tcPr>
                <w:p>
                  <w:pPr>
                    <w:adjustRightInd w:val="0"/>
                    <w:spacing w:line="0" w:lineRule="atLeast"/>
                    <w:jc w:val="center"/>
                    <w:rPr>
                      <w:rFonts w:hAnsi="宋体"/>
                      <w:spacing w:val="-20"/>
                      <w:szCs w:val="21"/>
                    </w:rPr>
                  </w:pPr>
                  <w:r>
                    <w:rPr>
                      <w:rFonts w:hint="eastAsia" w:hAnsi="宋体"/>
                      <w:spacing w:val="-20"/>
                      <w:szCs w:val="21"/>
                    </w:rPr>
                    <w:t>308国道绿化防护带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8.1</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交通绿化用地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北起东区308国道与跃进渠交口，南出开发区边界段</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禁止占用道路绿化用地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J8</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春秋路绿化防护带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10.7</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交通绿化用地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沿春秋路西起东区入区口东至开发区东边界段</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禁止占用道路绿化用地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J9</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仓储区绿化防护带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9.3</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农用地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东开发区仓储物流区北侧环春秋路段</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禁止占用绿化防护用地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J10</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东区生产服务区绿化防护带</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6.7</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农用地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沿东区规划生产服务区四周边界</w:t>
                  </w:r>
                </w:p>
              </w:tc>
              <w:tc>
                <w:tcPr>
                  <w:tcW w:w="875" w:type="pct"/>
                  <w:vAlign w:val="center"/>
                </w:tcPr>
                <w:p>
                  <w:pPr>
                    <w:adjustRightInd w:val="0"/>
                    <w:spacing w:line="0" w:lineRule="atLeast"/>
                    <w:jc w:val="center"/>
                    <w:rPr>
                      <w:rFonts w:hAnsi="宋体"/>
                      <w:spacing w:val="-10"/>
                      <w:szCs w:val="21"/>
                    </w:rPr>
                  </w:pPr>
                  <w:r>
                    <w:rPr>
                      <w:rFonts w:hint="eastAsia" w:hAnsi="宋体"/>
                      <w:spacing w:val="-10"/>
                      <w:szCs w:val="21"/>
                    </w:rPr>
                    <w:t>禁止在规划生产服务防护区内建设工业项目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restart"/>
                  <w:vAlign w:val="center"/>
                </w:tcPr>
                <w:p>
                  <w:pPr>
                    <w:adjustRightInd w:val="0"/>
                    <w:spacing w:line="0" w:lineRule="atLeast"/>
                    <w:jc w:val="center"/>
                    <w:rPr>
                      <w:rFonts w:hAnsi="宋体"/>
                      <w:spacing w:val="-10"/>
                      <w:szCs w:val="21"/>
                    </w:rPr>
                  </w:pPr>
                  <w:r>
                    <w:rPr>
                      <w:rFonts w:hint="eastAsia" w:hAnsi="宋体"/>
                      <w:spacing w:val="-10"/>
                      <w:szCs w:val="21"/>
                    </w:rPr>
                    <w:t>限制区</w:t>
                  </w: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X1</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西边仙村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45.1</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restart"/>
                  <w:vAlign w:val="center"/>
                </w:tcPr>
                <w:p>
                  <w:pPr>
                    <w:adjustRightInd w:val="0"/>
                    <w:spacing w:line="0" w:lineRule="atLeast"/>
                    <w:jc w:val="center"/>
                    <w:rPr>
                      <w:rFonts w:hAnsi="宋体"/>
                      <w:spacing w:val="-10"/>
                      <w:szCs w:val="21"/>
                    </w:rPr>
                  </w:pPr>
                  <w:r>
                    <w:rPr>
                      <w:rFonts w:hint="eastAsia" w:hAnsi="宋体"/>
                      <w:spacing w:val="-10"/>
                      <w:szCs w:val="21"/>
                    </w:rPr>
                    <w:t>搬迁前禁止占用，搬迁后纳入规划用地管控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X2</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和艾村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15.9</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X3</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东边仙村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36.6</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X4</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夏神首村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8.2</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X5</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付兴庄村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8.8</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X6</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宋亮村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6.0</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X7</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西郑庄村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12.1</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6" w:type="pct"/>
                  <w:vMerge w:val="continue"/>
                  <w:vAlign w:val="center"/>
                </w:tcPr>
                <w:p>
                  <w:pPr>
                    <w:widowControl/>
                    <w:jc w:val="center"/>
                    <w:rPr>
                      <w:rFonts w:hAnsi="宋体"/>
                      <w:spacing w:val="-10"/>
                      <w:szCs w:val="21"/>
                    </w:rPr>
                  </w:pPr>
                </w:p>
              </w:tc>
              <w:tc>
                <w:tcPr>
                  <w:tcW w:w="325" w:type="pct"/>
                  <w:vAlign w:val="center"/>
                </w:tcPr>
                <w:p>
                  <w:pPr>
                    <w:adjustRightInd w:val="0"/>
                    <w:spacing w:line="0" w:lineRule="atLeast"/>
                    <w:jc w:val="center"/>
                    <w:rPr>
                      <w:rFonts w:hAnsi="宋体"/>
                      <w:spacing w:val="-10"/>
                      <w:szCs w:val="21"/>
                    </w:rPr>
                  </w:pPr>
                  <w:r>
                    <w:rPr>
                      <w:rFonts w:hint="eastAsia" w:hAnsi="宋体"/>
                      <w:spacing w:val="-10"/>
                      <w:szCs w:val="21"/>
                    </w:rPr>
                    <w:t>X8</w:t>
                  </w:r>
                </w:p>
              </w:tc>
              <w:tc>
                <w:tcPr>
                  <w:tcW w:w="659" w:type="pct"/>
                  <w:vAlign w:val="center"/>
                </w:tcPr>
                <w:p>
                  <w:pPr>
                    <w:adjustRightInd w:val="0"/>
                    <w:spacing w:line="0" w:lineRule="atLeast"/>
                    <w:jc w:val="center"/>
                    <w:rPr>
                      <w:rFonts w:hAnsi="宋体"/>
                      <w:spacing w:val="-10"/>
                      <w:szCs w:val="21"/>
                    </w:rPr>
                  </w:pPr>
                  <w:r>
                    <w:rPr>
                      <w:rFonts w:hint="eastAsia" w:hAnsi="宋体"/>
                      <w:spacing w:val="-10"/>
                      <w:szCs w:val="21"/>
                    </w:rPr>
                    <w:t>尧头村</w:t>
                  </w:r>
                </w:p>
              </w:tc>
              <w:tc>
                <w:tcPr>
                  <w:tcW w:w="551" w:type="pct"/>
                  <w:vAlign w:val="center"/>
                </w:tcPr>
                <w:p>
                  <w:pPr>
                    <w:adjustRightInd w:val="0"/>
                    <w:spacing w:line="0" w:lineRule="atLeast"/>
                    <w:jc w:val="center"/>
                    <w:rPr>
                      <w:rFonts w:hAnsi="宋体"/>
                      <w:spacing w:val="-10"/>
                      <w:szCs w:val="21"/>
                    </w:rPr>
                  </w:pPr>
                  <w:r>
                    <w:rPr>
                      <w:rFonts w:hint="eastAsia" w:hAnsi="宋体"/>
                      <w:spacing w:val="-10"/>
                      <w:szCs w:val="21"/>
                    </w:rPr>
                    <w:t>14.8</w:t>
                  </w:r>
                </w:p>
              </w:tc>
              <w:tc>
                <w:tcPr>
                  <w:tcW w:w="836" w:type="pct"/>
                  <w:vAlign w:val="center"/>
                </w:tcPr>
                <w:p>
                  <w:pPr>
                    <w:adjustRightInd w:val="0"/>
                    <w:spacing w:line="0" w:lineRule="atLeast"/>
                    <w:jc w:val="center"/>
                    <w:rPr>
                      <w:rFonts w:hAnsi="宋体"/>
                      <w:spacing w:val="-10"/>
                      <w:szCs w:val="21"/>
                    </w:rPr>
                  </w:pPr>
                  <w:r>
                    <w:rPr>
                      <w:rFonts w:hint="eastAsia" w:hAnsi="宋体"/>
                      <w:spacing w:val="-10"/>
                      <w:szCs w:val="21"/>
                    </w:rPr>
                    <w:t>村庄居住用地</w:t>
                  </w:r>
                </w:p>
              </w:tc>
              <w:tc>
                <w:tcPr>
                  <w:tcW w:w="1254" w:type="pct"/>
                  <w:vAlign w:val="center"/>
                </w:tcPr>
                <w:p>
                  <w:pPr>
                    <w:adjustRightInd w:val="0"/>
                    <w:spacing w:line="0" w:lineRule="atLeast"/>
                    <w:jc w:val="center"/>
                    <w:rPr>
                      <w:rFonts w:hAnsi="宋体"/>
                      <w:spacing w:val="-10"/>
                      <w:szCs w:val="21"/>
                    </w:rPr>
                  </w:pPr>
                  <w:r>
                    <w:rPr>
                      <w:rFonts w:hint="eastAsia" w:hAnsi="宋体"/>
                      <w:spacing w:val="-10"/>
                      <w:szCs w:val="21"/>
                    </w:rPr>
                    <w:t>整个村庄四周边界</w:t>
                  </w:r>
                </w:p>
              </w:tc>
              <w:tc>
                <w:tcPr>
                  <w:tcW w:w="875" w:type="pct"/>
                  <w:vMerge w:val="continue"/>
                  <w:vAlign w:val="center"/>
                </w:tcPr>
                <w:p>
                  <w:pPr>
                    <w:widowControl/>
                    <w:jc w:val="center"/>
                    <w:rPr>
                      <w:rFonts w:hAnsi="宋体"/>
                      <w:spacing w:val="-10"/>
                      <w:sz w:val="23"/>
                      <w:szCs w:val="23"/>
                    </w:rPr>
                  </w:pPr>
                </w:p>
              </w:tc>
            </w:tr>
          </w:tbl>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本项目位于邢台市新河县（区）经济开发区东区经五路东侧，占地为二类工业用地，本项目不在上述禁止建设区和限制建设区，满足园区空间管控要求。</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C、</w:t>
            </w:r>
            <w:r>
              <w:rPr>
                <w:kern w:val="0"/>
                <w:sz w:val="24"/>
                <w:szCs w:val="21"/>
              </w:rPr>
              <w:t>环境质量底线</w:t>
            </w:r>
          </w:p>
          <w:p>
            <w:pPr>
              <w:autoSpaceDE w:val="0"/>
              <w:autoSpaceDN w:val="0"/>
              <w:adjustRightInd w:val="0"/>
              <w:snapToGrid w:val="0"/>
              <w:ind w:firstLine="482" w:firstLineChars="200"/>
              <w:jc w:val="center"/>
              <w:rPr>
                <w:b/>
                <w:bCs/>
                <w:kern w:val="0"/>
                <w:sz w:val="24"/>
                <w:szCs w:val="21"/>
              </w:rPr>
            </w:pPr>
            <w:r>
              <w:rPr>
                <w:b/>
                <w:bCs/>
                <w:kern w:val="0"/>
                <w:sz w:val="24"/>
                <w:szCs w:val="21"/>
              </w:rPr>
              <w:t>表</w:t>
            </w:r>
            <w:r>
              <w:rPr>
                <w:rFonts w:hint="eastAsia"/>
                <w:b/>
                <w:bCs/>
                <w:kern w:val="0"/>
                <w:sz w:val="24"/>
                <w:szCs w:val="21"/>
              </w:rPr>
              <w:t>9</w:t>
            </w:r>
            <w:r>
              <w:rPr>
                <w:b/>
                <w:bCs/>
                <w:kern w:val="0"/>
                <w:sz w:val="24"/>
                <w:szCs w:val="21"/>
              </w:rPr>
              <w:t xml:space="preserve">  园区规划环境质量底线管控清单</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77"/>
              <w:gridCol w:w="373"/>
              <w:gridCol w:w="2024"/>
              <w:gridCol w:w="1461"/>
              <w:gridCol w:w="2075"/>
              <w:gridCol w:w="12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spacing w:line="0" w:lineRule="atLeast"/>
                    <w:jc w:val="center"/>
                    <w:rPr>
                      <w:rFonts w:hAnsi="宋体"/>
                      <w:spacing w:val="-10"/>
                      <w:szCs w:val="21"/>
                    </w:rPr>
                  </w:pPr>
                  <w:r>
                    <w:rPr>
                      <w:rFonts w:hint="eastAsia" w:hAnsi="宋体"/>
                      <w:spacing w:val="-10"/>
                      <w:szCs w:val="21"/>
                    </w:rPr>
                    <w:t>序号</w:t>
                  </w:r>
                </w:p>
              </w:tc>
              <w:tc>
                <w:tcPr>
                  <w:tcW w:w="249" w:type="pct"/>
                  <w:vAlign w:val="center"/>
                </w:tcPr>
                <w:p>
                  <w:pPr>
                    <w:spacing w:line="0" w:lineRule="atLeast"/>
                    <w:jc w:val="center"/>
                    <w:rPr>
                      <w:rFonts w:hAnsi="宋体"/>
                      <w:spacing w:val="-10"/>
                      <w:szCs w:val="21"/>
                    </w:rPr>
                  </w:pPr>
                  <w:r>
                    <w:rPr>
                      <w:rFonts w:hint="eastAsia" w:hAnsi="宋体"/>
                      <w:spacing w:val="-10"/>
                      <w:szCs w:val="21"/>
                    </w:rPr>
                    <w:t>类别</w:t>
                  </w:r>
                </w:p>
              </w:tc>
              <w:tc>
                <w:tcPr>
                  <w:tcW w:w="1352" w:type="pct"/>
                  <w:vAlign w:val="center"/>
                </w:tcPr>
                <w:p>
                  <w:pPr>
                    <w:spacing w:line="0" w:lineRule="atLeast"/>
                    <w:jc w:val="center"/>
                    <w:rPr>
                      <w:rFonts w:hAnsi="宋体"/>
                      <w:spacing w:val="-10"/>
                      <w:szCs w:val="21"/>
                    </w:rPr>
                  </w:pPr>
                  <w:r>
                    <w:rPr>
                      <w:rFonts w:hint="eastAsia" w:hAnsi="宋体"/>
                      <w:spacing w:val="-10"/>
                      <w:szCs w:val="21"/>
                    </w:rPr>
                    <w:t>底线目标</w:t>
                  </w:r>
                </w:p>
              </w:tc>
              <w:tc>
                <w:tcPr>
                  <w:tcW w:w="976" w:type="pct"/>
                  <w:vAlign w:val="center"/>
                </w:tcPr>
                <w:p>
                  <w:pPr>
                    <w:spacing w:line="0" w:lineRule="atLeast"/>
                    <w:jc w:val="center"/>
                    <w:rPr>
                      <w:rFonts w:hAnsi="宋体"/>
                      <w:spacing w:val="-10"/>
                      <w:szCs w:val="21"/>
                    </w:rPr>
                  </w:pPr>
                  <w:r>
                    <w:rPr>
                      <w:rFonts w:hint="eastAsia" w:hAnsi="宋体"/>
                      <w:spacing w:val="-10"/>
                      <w:szCs w:val="21"/>
                    </w:rPr>
                    <w:t>管控内容</w:t>
                  </w:r>
                </w:p>
              </w:tc>
              <w:tc>
                <w:tcPr>
                  <w:tcW w:w="1386" w:type="pct"/>
                  <w:vAlign w:val="center"/>
                </w:tcPr>
                <w:p>
                  <w:pPr>
                    <w:spacing w:line="0" w:lineRule="atLeast"/>
                    <w:jc w:val="center"/>
                    <w:rPr>
                      <w:rFonts w:hAnsi="宋体"/>
                      <w:spacing w:val="-10"/>
                      <w:szCs w:val="21"/>
                    </w:rPr>
                  </w:pPr>
                  <w:r>
                    <w:rPr>
                      <w:rFonts w:hint="eastAsia" w:hAnsi="宋体"/>
                      <w:spacing w:val="-10"/>
                      <w:szCs w:val="21"/>
                    </w:rPr>
                    <w:t>开发区建议管控指标</w:t>
                  </w:r>
                </w:p>
              </w:tc>
              <w:tc>
                <w:tcPr>
                  <w:tcW w:w="848" w:type="pct"/>
                  <w:vAlign w:val="center"/>
                </w:tcPr>
                <w:p>
                  <w:pPr>
                    <w:spacing w:line="0" w:lineRule="atLeast"/>
                    <w:jc w:val="center"/>
                    <w:rPr>
                      <w:rFonts w:hAnsi="宋体"/>
                      <w:spacing w:val="-10"/>
                      <w:szCs w:val="21"/>
                    </w:rPr>
                  </w:pPr>
                  <w:r>
                    <w:rPr>
                      <w:rFonts w:hint="eastAsia" w:hAnsi="宋体"/>
                      <w:spacing w:val="-10"/>
                      <w:szCs w:val="21"/>
                    </w:rPr>
                    <w:t>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spacing w:line="0" w:lineRule="atLeast"/>
                    <w:jc w:val="center"/>
                    <w:rPr>
                      <w:rFonts w:hAnsi="宋体"/>
                      <w:spacing w:val="-10"/>
                      <w:szCs w:val="21"/>
                    </w:rPr>
                  </w:pPr>
                  <w:r>
                    <w:rPr>
                      <w:rFonts w:hint="eastAsia" w:hAnsi="宋体"/>
                      <w:spacing w:val="-10"/>
                      <w:szCs w:val="21"/>
                    </w:rPr>
                    <w:t>1</w:t>
                  </w:r>
                </w:p>
              </w:tc>
              <w:tc>
                <w:tcPr>
                  <w:tcW w:w="249" w:type="pct"/>
                  <w:vAlign w:val="center"/>
                </w:tcPr>
                <w:p>
                  <w:pPr>
                    <w:spacing w:line="0" w:lineRule="atLeast"/>
                    <w:jc w:val="center"/>
                    <w:rPr>
                      <w:rFonts w:hAnsi="宋体"/>
                      <w:spacing w:val="-10"/>
                      <w:szCs w:val="21"/>
                    </w:rPr>
                  </w:pPr>
                  <w:r>
                    <w:rPr>
                      <w:rFonts w:hint="eastAsia" w:hAnsi="宋体"/>
                      <w:spacing w:val="-10"/>
                      <w:szCs w:val="21"/>
                    </w:rPr>
                    <w:t>大气环境质量底线</w:t>
                  </w:r>
                </w:p>
              </w:tc>
              <w:tc>
                <w:tcPr>
                  <w:tcW w:w="1352" w:type="pct"/>
                  <w:vAlign w:val="center"/>
                </w:tcPr>
                <w:p>
                  <w:pPr>
                    <w:wordWrap w:val="0"/>
                    <w:spacing w:line="0" w:lineRule="atLeast"/>
                    <w:jc w:val="center"/>
                    <w:rPr>
                      <w:rFonts w:hAnsi="宋体"/>
                      <w:spacing w:val="-16"/>
                      <w:szCs w:val="21"/>
                    </w:rPr>
                  </w:pPr>
                  <w:r>
                    <w:rPr>
                      <w:rFonts w:hint="eastAsia"/>
                      <w:spacing w:val="-16"/>
                      <w:szCs w:val="21"/>
                    </w:rPr>
                    <w:t>现状达标因子</w:t>
                  </w:r>
                  <w:r>
                    <w:rPr>
                      <w:rFonts w:hint="eastAsia" w:hAnsi="宋体"/>
                      <w:spacing w:val="-16"/>
                      <w:szCs w:val="21"/>
                    </w:rPr>
                    <w:t>满足《环境空气质量标准》（GB3095-2012）二级环境功能区标准要求、《环境影响评价技术导则 大气环境》(HJ 2.2-2018)附录D 表D.1其他污染物空气质量浓度参考值；氰化氢参照执行《前苏联居民区大气中有害物质的最大允许浓度》(CH245-71)限值要求；</w:t>
                  </w:r>
                  <w:r>
                    <w:rPr>
                      <w:rFonts w:hint="eastAsia"/>
                      <w:spacing w:val="-16"/>
                      <w:szCs w:val="21"/>
                    </w:rPr>
                    <w:t>二噁英满足要求日本浓度标准限值要求；</w:t>
                  </w:r>
                  <w:r>
                    <w:rPr>
                      <w:rFonts w:hint="eastAsia" w:hAnsi="宋体"/>
                      <w:spacing w:val="-16"/>
                      <w:szCs w:val="21"/>
                    </w:rPr>
                    <w:t>挥发性有机物（非甲烷总烃）满足《环境空气质量 非甲烷总烃限值》要求(DB13/1577-2012)；</w:t>
                  </w:r>
                  <w:r>
                    <w:rPr>
                      <w:rFonts w:hint="eastAsia" w:hAnsi="宋体"/>
                      <w:spacing w:val="-10"/>
                      <w:szCs w:val="21"/>
                    </w:rPr>
                    <w:t>环境质量相对现状持续改善，其中细颗粒物（PM</w:t>
                  </w:r>
                  <w:r>
                    <w:rPr>
                      <w:rFonts w:hint="eastAsia" w:hAnsi="宋体"/>
                      <w:spacing w:val="-10"/>
                      <w:szCs w:val="21"/>
                      <w:vertAlign w:val="subscript"/>
                    </w:rPr>
                    <w:t>2.5</w:t>
                  </w:r>
                  <w:r>
                    <w:rPr>
                      <w:rFonts w:hint="eastAsia" w:hAnsi="宋体"/>
                      <w:spacing w:val="-10"/>
                      <w:szCs w:val="21"/>
                    </w:rPr>
                    <w:t>）年均浓度及重污染天数满足国家、省、市、区相关要求。</w:t>
                  </w:r>
                  <w:r>
                    <w:rPr>
                      <w:rFonts w:hAnsi="宋体"/>
                      <w:spacing w:val="-16"/>
                      <w:szCs w:val="21"/>
                    </w:rPr>
                    <w:t xml:space="preserve"> </w:t>
                  </w:r>
                </w:p>
              </w:tc>
              <w:tc>
                <w:tcPr>
                  <w:tcW w:w="976" w:type="pct"/>
                  <w:vAlign w:val="center"/>
                </w:tcPr>
                <w:p>
                  <w:pPr>
                    <w:spacing w:line="0" w:lineRule="atLeast"/>
                    <w:jc w:val="center"/>
                    <w:rPr>
                      <w:rFonts w:hAnsi="宋体"/>
                      <w:spacing w:val="-16"/>
                      <w:szCs w:val="21"/>
                    </w:rPr>
                  </w:pPr>
                  <w:r>
                    <w:rPr>
                      <w:rFonts w:hint="eastAsia" w:hAnsi="宋体"/>
                      <w:spacing w:val="-16"/>
                      <w:szCs w:val="21"/>
                    </w:rPr>
                    <w:t>①需重点控制排放污染物包括：颗粒物、SO</w:t>
                  </w:r>
                  <w:r>
                    <w:rPr>
                      <w:rFonts w:hint="eastAsia" w:hAnsi="宋体"/>
                      <w:spacing w:val="-16"/>
                      <w:szCs w:val="21"/>
                      <w:vertAlign w:val="subscript"/>
                    </w:rPr>
                    <w:t>2</w:t>
                  </w:r>
                  <w:r>
                    <w:rPr>
                      <w:rFonts w:hint="eastAsia" w:hAnsi="宋体"/>
                      <w:spacing w:val="-16"/>
                      <w:szCs w:val="21"/>
                    </w:rPr>
                    <w:t>、NO</w:t>
                  </w:r>
                  <w:r>
                    <w:rPr>
                      <w:rFonts w:hint="eastAsia" w:hAnsi="宋体"/>
                      <w:spacing w:val="-16"/>
                      <w:szCs w:val="21"/>
                      <w:vertAlign w:val="subscript"/>
                    </w:rPr>
                    <w:t>x</w:t>
                  </w:r>
                  <w:r>
                    <w:rPr>
                      <w:rFonts w:hint="eastAsia" w:hAnsi="宋体"/>
                      <w:spacing w:val="-16"/>
                      <w:szCs w:val="21"/>
                    </w:rPr>
                    <w:t>、苯、二甲苯、H</w:t>
                  </w:r>
                  <w:r>
                    <w:rPr>
                      <w:rFonts w:hint="eastAsia" w:hAnsi="宋体"/>
                      <w:spacing w:val="-16"/>
                      <w:szCs w:val="21"/>
                      <w:vertAlign w:val="subscript"/>
                    </w:rPr>
                    <w:t>2</w:t>
                  </w:r>
                  <w:r>
                    <w:rPr>
                      <w:rFonts w:hint="eastAsia" w:hAnsi="宋体"/>
                      <w:spacing w:val="-16"/>
                      <w:szCs w:val="21"/>
                    </w:rPr>
                    <w:t>S、NH</w:t>
                  </w:r>
                  <w:r>
                    <w:rPr>
                      <w:rFonts w:hint="eastAsia" w:hAnsi="宋体"/>
                      <w:spacing w:val="-16"/>
                      <w:szCs w:val="21"/>
                      <w:vertAlign w:val="subscript"/>
                    </w:rPr>
                    <w:t>3</w:t>
                  </w:r>
                  <w:r>
                    <w:rPr>
                      <w:rFonts w:hint="eastAsia" w:hAnsi="宋体"/>
                      <w:spacing w:val="-16"/>
                      <w:szCs w:val="21"/>
                    </w:rPr>
                    <w:t>、非甲烷总烃、H</w:t>
                  </w:r>
                  <w:r>
                    <w:rPr>
                      <w:rFonts w:hint="eastAsia" w:hAnsi="宋体"/>
                      <w:spacing w:val="-16"/>
                      <w:szCs w:val="21"/>
                      <w:vertAlign w:val="subscript"/>
                    </w:rPr>
                    <w:t>2</w:t>
                  </w:r>
                  <w:r>
                    <w:rPr>
                      <w:rFonts w:hint="eastAsia" w:hAnsi="宋体"/>
                      <w:spacing w:val="-16"/>
                      <w:szCs w:val="21"/>
                    </w:rPr>
                    <w:t>SO</w:t>
                  </w:r>
                  <w:r>
                    <w:rPr>
                      <w:rFonts w:hint="eastAsia" w:hAnsi="宋体"/>
                      <w:spacing w:val="-16"/>
                      <w:szCs w:val="21"/>
                      <w:vertAlign w:val="subscript"/>
                    </w:rPr>
                    <w:t>4</w:t>
                  </w:r>
                  <w:r>
                    <w:rPr>
                      <w:rFonts w:hint="eastAsia" w:hAnsi="宋体"/>
                      <w:spacing w:val="-16"/>
                      <w:szCs w:val="21"/>
                    </w:rPr>
                    <w:t>、二噁英、酚类、氰化氢、甲醇、铅及其化合物；</w:t>
                  </w:r>
                </w:p>
                <w:p>
                  <w:pPr>
                    <w:spacing w:line="0" w:lineRule="atLeast"/>
                    <w:jc w:val="center"/>
                    <w:rPr>
                      <w:rFonts w:hAnsi="宋体"/>
                      <w:spacing w:val="-16"/>
                      <w:szCs w:val="21"/>
                    </w:rPr>
                  </w:pPr>
                  <w:r>
                    <w:rPr>
                      <w:rFonts w:hint="eastAsia" w:hAnsi="宋体"/>
                      <w:spacing w:val="-16"/>
                      <w:szCs w:val="21"/>
                    </w:rPr>
                    <w:t>②各类环境要素达到大气环境功能区要求，符合各级《大气污染防治行动计划》相关要求</w:t>
                  </w:r>
                </w:p>
              </w:tc>
              <w:tc>
                <w:tcPr>
                  <w:tcW w:w="1386" w:type="pct"/>
                  <w:vAlign w:val="center"/>
                </w:tcPr>
                <w:p>
                  <w:pPr>
                    <w:spacing w:line="0" w:lineRule="atLeast"/>
                    <w:jc w:val="center"/>
                    <w:rPr>
                      <w:rFonts w:hAnsi="宋体"/>
                      <w:spacing w:val="-16"/>
                      <w:szCs w:val="21"/>
                    </w:rPr>
                  </w:pPr>
                  <w:r>
                    <w:rPr>
                      <w:rFonts w:hint="eastAsia" w:hAnsi="宋体"/>
                      <w:spacing w:val="-16"/>
                      <w:szCs w:val="21"/>
                    </w:rPr>
                    <w:t>①</w:t>
                  </w:r>
                  <w:r>
                    <w:rPr>
                      <w:rFonts w:hint="eastAsia" w:hAnsi="宋体"/>
                      <w:bCs/>
                      <w:spacing w:val="-16"/>
                      <w:szCs w:val="21"/>
                    </w:rPr>
                    <w:t>到2020年底，二氧化硫、氮氧化物排放总量分别比</w:t>
                  </w:r>
                  <w:r>
                    <w:rPr>
                      <w:rFonts w:hAnsi="宋体"/>
                      <w:bCs/>
                      <w:spacing w:val="-16"/>
                      <w:szCs w:val="21"/>
                    </w:rPr>
                    <w:t>2015</w:t>
                  </w:r>
                  <w:r>
                    <w:rPr>
                      <w:rFonts w:hint="eastAsia" w:hAnsi="宋体"/>
                      <w:bCs/>
                      <w:spacing w:val="-16"/>
                      <w:szCs w:val="21"/>
                    </w:rPr>
                    <w:t>年下降</w:t>
                  </w:r>
                  <w:r>
                    <w:rPr>
                      <w:rFonts w:hAnsi="宋体"/>
                      <w:bCs/>
                      <w:spacing w:val="-16"/>
                      <w:szCs w:val="21"/>
                    </w:rPr>
                    <w:t>33%</w:t>
                  </w:r>
                  <w:r>
                    <w:rPr>
                      <w:rFonts w:hint="eastAsia" w:hAnsi="宋体"/>
                      <w:bCs/>
                      <w:spacing w:val="-16"/>
                      <w:szCs w:val="21"/>
                    </w:rPr>
                    <w:t>，PM</w:t>
                  </w:r>
                  <w:r>
                    <w:rPr>
                      <w:rFonts w:hint="eastAsia" w:hAnsi="宋体"/>
                      <w:bCs/>
                      <w:spacing w:val="-16"/>
                      <w:szCs w:val="21"/>
                      <w:vertAlign w:val="subscript"/>
                    </w:rPr>
                    <w:t>2.5</w:t>
                  </w:r>
                  <w:r>
                    <w:rPr>
                      <w:rFonts w:hint="eastAsia" w:hAnsi="宋体"/>
                      <w:bCs/>
                      <w:spacing w:val="-16"/>
                      <w:szCs w:val="21"/>
                    </w:rPr>
                    <w:t>年均浓度控制在61微克/立方米以下且达到国家规定要求，全县空气质量平均优良天数比率达到</w:t>
                  </w:r>
                  <w:r>
                    <w:rPr>
                      <w:rFonts w:hAnsi="宋体"/>
                      <w:bCs/>
                      <w:spacing w:val="-16"/>
                      <w:szCs w:val="21"/>
                    </w:rPr>
                    <w:t>5</w:t>
                  </w:r>
                  <w:r>
                    <w:rPr>
                      <w:rFonts w:hint="eastAsia" w:hAnsi="宋体"/>
                      <w:bCs/>
                      <w:spacing w:val="-16"/>
                      <w:szCs w:val="21"/>
                    </w:rPr>
                    <w:t>1.3</w:t>
                  </w:r>
                  <w:r>
                    <w:rPr>
                      <w:rFonts w:hAnsi="宋体"/>
                      <w:bCs/>
                      <w:spacing w:val="-16"/>
                      <w:szCs w:val="21"/>
                    </w:rPr>
                    <w:t>%</w:t>
                  </w:r>
                  <w:r>
                    <w:rPr>
                      <w:rFonts w:hint="eastAsia" w:hAnsi="宋体"/>
                      <w:bCs/>
                      <w:spacing w:val="-16"/>
                      <w:szCs w:val="21"/>
                    </w:rPr>
                    <w:t>以上</w:t>
                  </w:r>
                  <w:r>
                    <w:rPr>
                      <w:rFonts w:hint="eastAsia" w:hAnsi="宋体"/>
                      <w:spacing w:val="-16"/>
                      <w:szCs w:val="21"/>
                    </w:rPr>
                    <w:t>；规划远期满足新河县生态环境保护指标要求（不低于十三五指标限值要求）；②主要管控途径：开发区环境准入负面清单内产业禁止入区；大气污染物排放执行超低排放限值；</w:t>
                  </w:r>
                  <w:r>
                    <w:rPr>
                      <w:rFonts w:hint="eastAsia" w:hAnsi="宋体"/>
                      <w:spacing w:val="-10"/>
                      <w:szCs w:val="21"/>
                    </w:rPr>
                    <w:t>所有高于45m排气筒均应安装在线监控</w:t>
                  </w:r>
                  <w:r>
                    <w:rPr>
                      <w:rFonts w:hint="eastAsia" w:hAnsi="宋体"/>
                      <w:spacing w:val="-16"/>
                      <w:szCs w:val="21"/>
                    </w:rPr>
                    <w:t>；工业炉窑使用清洁能源，涉及挥发性有机物排放企业安装净化治理设施达标排放；按照区域削减计划执行排放总量削减；重污染天气应急预案。</w:t>
                  </w:r>
                  <w:r>
                    <w:rPr>
                      <w:rFonts w:hint="eastAsia" w:hAnsi="宋体"/>
                      <w:spacing w:val="-10"/>
                      <w:szCs w:val="21"/>
                    </w:rPr>
                    <w:t>实现开发区所在区域大气污染因子环境质量达标及排放削减，严格控制和减少无组织排放。</w:t>
                  </w:r>
                </w:p>
              </w:tc>
              <w:tc>
                <w:tcPr>
                  <w:tcW w:w="848" w:type="pct"/>
                  <w:vAlign w:val="center"/>
                </w:tcPr>
                <w:p>
                  <w:pPr>
                    <w:adjustRightInd w:val="0"/>
                    <w:snapToGrid w:val="0"/>
                    <w:rPr>
                      <w:rFonts w:hAnsi="宋体"/>
                      <w:spacing w:val="-16"/>
                      <w:szCs w:val="21"/>
                    </w:rPr>
                  </w:pPr>
                  <w:r>
                    <w:rPr>
                      <w:szCs w:val="21"/>
                    </w:rPr>
                    <w:t>本项目不属于开发区环境准入负面清单范围，大气污染物排放均执行超低排放限值；热风炉使用清洁能源天然气；涉及挥发性有机物排放的烘干废气按照要求安装了废气处理装置并达标排放；所有排气筒未高于45m；并按照区域削减计划执行排放总量削减；企业运行期间按照区域要求落实重污染天气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spacing w:line="0" w:lineRule="atLeast"/>
                    <w:jc w:val="center"/>
                    <w:rPr>
                      <w:rFonts w:hAnsi="宋体"/>
                      <w:spacing w:val="-10"/>
                      <w:szCs w:val="21"/>
                    </w:rPr>
                  </w:pPr>
                  <w:r>
                    <w:rPr>
                      <w:rFonts w:hint="eastAsia" w:hAnsi="宋体"/>
                      <w:spacing w:val="-10"/>
                      <w:szCs w:val="21"/>
                    </w:rPr>
                    <w:t>2</w:t>
                  </w:r>
                </w:p>
              </w:tc>
              <w:tc>
                <w:tcPr>
                  <w:tcW w:w="249" w:type="pct"/>
                  <w:vAlign w:val="center"/>
                </w:tcPr>
                <w:p>
                  <w:pPr>
                    <w:spacing w:line="0" w:lineRule="atLeast"/>
                    <w:jc w:val="center"/>
                    <w:rPr>
                      <w:rFonts w:hAnsi="宋体"/>
                      <w:spacing w:val="-10"/>
                      <w:szCs w:val="21"/>
                    </w:rPr>
                  </w:pPr>
                  <w:r>
                    <w:rPr>
                      <w:rFonts w:hint="eastAsia" w:hAnsi="宋体"/>
                      <w:spacing w:val="-10"/>
                      <w:szCs w:val="21"/>
                    </w:rPr>
                    <w:t>地表水环境质量底线</w:t>
                  </w:r>
                </w:p>
              </w:tc>
              <w:tc>
                <w:tcPr>
                  <w:tcW w:w="1352" w:type="pct"/>
                  <w:vAlign w:val="center"/>
                </w:tcPr>
                <w:p>
                  <w:pPr>
                    <w:spacing w:line="0" w:lineRule="atLeast"/>
                    <w:jc w:val="center"/>
                    <w:rPr>
                      <w:rFonts w:hAnsi="宋体"/>
                      <w:spacing w:val="-10"/>
                      <w:szCs w:val="21"/>
                    </w:rPr>
                  </w:pPr>
                  <w:r>
                    <w:rPr>
                      <w:rFonts w:hint="eastAsia"/>
                      <w:spacing w:val="-16"/>
                      <w:szCs w:val="21"/>
                    </w:rPr>
                    <w:t>地表水环境质量逐步改善，</w:t>
                  </w:r>
                  <w:r>
                    <w:rPr>
                      <w:rFonts w:hint="eastAsia" w:hAnsi="宋体"/>
                      <w:spacing w:val="-10"/>
                      <w:szCs w:val="21"/>
                    </w:rPr>
                    <w:t>白神干渠、跃进渠、西沙河水质现状达标因子满足《地表水环境质量标准》(GB3838-2002) Ⅳ类标准要求，断面达标受上游来水制约</w:t>
                  </w:r>
                </w:p>
              </w:tc>
              <w:tc>
                <w:tcPr>
                  <w:tcW w:w="976" w:type="pct"/>
                  <w:vAlign w:val="center"/>
                </w:tcPr>
                <w:p>
                  <w:pPr>
                    <w:spacing w:line="0" w:lineRule="atLeast"/>
                    <w:jc w:val="center"/>
                    <w:rPr>
                      <w:rFonts w:hAnsi="宋体"/>
                      <w:spacing w:val="-10"/>
                      <w:szCs w:val="21"/>
                    </w:rPr>
                  </w:pPr>
                  <w:r>
                    <w:rPr>
                      <w:rFonts w:hint="eastAsia" w:hAnsi="宋体"/>
                      <w:spacing w:val="-10"/>
                      <w:szCs w:val="21"/>
                    </w:rPr>
                    <w:t>严格管控开发区企业废水排放，禁止不经污水处理设施处理直接排放。</w:t>
                  </w:r>
                </w:p>
              </w:tc>
              <w:tc>
                <w:tcPr>
                  <w:tcW w:w="1386" w:type="pct"/>
                  <w:vAlign w:val="center"/>
                </w:tcPr>
                <w:p>
                  <w:pPr>
                    <w:spacing w:line="0" w:lineRule="atLeast"/>
                    <w:jc w:val="center"/>
                    <w:rPr>
                      <w:rFonts w:hAnsi="宋体"/>
                      <w:spacing w:val="-10"/>
                      <w:szCs w:val="21"/>
                    </w:rPr>
                  </w:pPr>
                  <w:r>
                    <w:rPr>
                      <w:rFonts w:hint="eastAsia"/>
                      <w:spacing w:val="-16"/>
                      <w:szCs w:val="21"/>
                    </w:rPr>
                    <w:t>①各片区严控开发区废水排放管理，禁止废水未经处理直接排入周边沟渠；②加强中水回用，钢铁联合企业、焦化企业均应自建污水处理站，工业废水处理全部回用不外排；各片区其他产业废水全部收集，纳入污水管网，排入各片区污水处理厂集中处理，出水经再生水装置净化后回用于开发区综合循环利用，减少废水外排量。</w:t>
                  </w:r>
                </w:p>
              </w:tc>
              <w:tc>
                <w:tcPr>
                  <w:tcW w:w="848" w:type="pct"/>
                  <w:vAlign w:val="center"/>
                </w:tcPr>
                <w:p>
                  <w:pPr>
                    <w:widowControl/>
                    <w:rPr>
                      <w:rFonts w:hAnsi="宋体"/>
                      <w:spacing w:val="-10"/>
                      <w:szCs w:val="21"/>
                    </w:rPr>
                  </w:pPr>
                  <w:r>
                    <w:rPr>
                      <w:szCs w:val="21"/>
                    </w:rPr>
                    <w:t>本项目无生产废水产生及外排，生活污水经厂区化粪池处理后，排入园区污水处理厂进一步处理，不直接外排地表水体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widowControl/>
                    <w:jc w:val="left"/>
                    <w:rPr>
                      <w:rFonts w:hAnsi="宋体"/>
                      <w:spacing w:val="-10"/>
                      <w:szCs w:val="21"/>
                    </w:rPr>
                  </w:pPr>
                  <w:r>
                    <w:rPr>
                      <w:rFonts w:hint="eastAsia" w:hAnsi="宋体"/>
                      <w:spacing w:val="-10"/>
                      <w:szCs w:val="21"/>
                    </w:rPr>
                    <w:t>3</w:t>
                  </w:r>
                </w:p>
              </w:tc>
              <w:tc>
                <w:tcPr>
                  <w:tcW w:w="249" w:type="pct"/>
                  <w:vAlign w:val="center"/>
                </w:tcPr>
                <w:p>
                  <w:pPr>
                    <w:widowControl/>
                    <w:jc w:val="left"/>
                    <w:rPr>
                      <w:rFonts w:hAnsi="宋体"/>
                      <w:spacing w:val="-10"/>
                      <w:szCs w:val="21"/>
                    </w:rPr>
                  </w:pPr>
                  <w:r>
                    <w:rPr>
                      <w:rFonts w:hint="eastAsia" w:hAnsi="宋体"/>
                      <w:spacing w:val="-10"/>
                      <w:szCs w:val="21"/>
                    </w:rPr>
                    <w:t>地下水环境质量底线</w:t>
                  </w:r>
                </w:p>
              </w:tc>
              <w:tc>
                <w:tcPr>
                  <w:tcW w:w="1352" w:type="pct"/>
                  <w:vAlign w:val="center"/>
                </w:tcPr>
                <w:p>
                  <w:pPr>
                    <w:wordWrap w:val="0"/>
                    <w:spacing w:line="0" w:lineRule="atLeast"/>
                    <w:jc w:val="center"/>
                    <w:rPr>
                      <w:rFonts w:hAnsi="宋体"/>
                      <w:spacing w:val="-10"/>
                      <w:szCs w:val="21"/>
                    </w:rPr>
                  </w:pPr>
                  <w:r>
                    <w:rPr>
                      <w:rFonts w:hint="eastAsia" w:hAnsi="宋体"/>
                      <w:spacing w:val="-10"/>
                      <w:szCs w:val="21"/>
                    </w:rPr>
                    <w:t>深层水水质满足《地下水质量标准》(GB/T14848-2017)Ⅲ类标准，浅层水水质不恶化</w:t>
                  </w:r>
                </w:p>
              </w:tc>
              <w:tc>
                <w:tcPr>
                  <w:tcW w:w="976" w:type="pct"/>
                  <w:vAlign w:val="center"/>
                </w:tcPr>
                <w:p>
                  <w:pPr>
                    <w:spacing w:line="0" w:lineRule="atLeast"/>
                    <w:jc w:val="center"/>
                    <w:rPr>
                      <w:rFonts w:hAnsi="宋体"/>
                      <w:spacing w:val="-10"/>
                      <w:szCs w:val="21"/>
                    </w:rPr>
                  </w:pPr>
                  <w:r>
                    <w:rPr>
                      <w:rFonts w:hint="eastAsia" w:hAnsi="宋体"/>
                      <w:spacing w:val="-10"/>
                      <w:szCs w:val="21"/>
                    </w:rPr>
                    <w:t>①加强企业自备水井管控；②严格地下水环境管理，强化源头治理、分区防渗及应急响应措施等措施；③重点控制水质指标包括：COD、氨氮、氯化物、铅、石油类。</w:t>
                  </w:r>
                </w:p>
              </w:tc>
              <w:tc>
                <w:tcPr>
                  <w:tcW w:w="1386" w:type="pct"/>
                  <w:vAlign w:val="center"/>
                </w:tcPr>
                <w:p>
                  <w:pPr>
                    <w:spacing w:line="0" w:lineRule="atLeast"/>
                    <w:jc w:val="center"/>
                    <w:rPr>
                      <w:rFonts w:hAnsi="宋体"/>
                      <w:spacing w:val="-10"/>
                      <w:szCs w:val="21"/>
                    </w:rPr>
                  </w:pPr>
                  <w:r>
                    <w:rPr>
                      <w:rFonts w:hint="eastAsia" w:hAnsi="宋体"/>
                      <w:spacing w:val="-10"/>
                      <w:szCs w:val="21"/>
                    </w:rPr>
                    <w:t>禁止开采地下水；严格地下水环境管理，强化源头治理、分区防渗及应急响应等措施；集中供水实施后，取消区内工业自备地下水井</w:t>
                  </w:r>
                </w:p>
              </w:tc>
              <w:tc>
                <w:tcPr>
                  <w:tcW w:w="848" w:type="pct"/>
                  <w:vAlign w:val="center"/>
                </w:tcPr>
                <w:p>
                  <w:pPr>
                    <w:widowControl/>
                    <w:rPr>
                      <w:szCs w:val="21"/>
                    </w:rPr>
                  </w:pPr>
                  <w:r>
                    <w:rPr>
                      <w:szCs w:val="21"/>
                    </w:rPr>
                    <w:t>本项目用水由园区供水管网提供，不开采地下水；且厂区按照要求进行分区防渗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widowControl/>
                    <w:jc w:val="left"/>
                    <w:rPr>
                      <w:rFonts w:hAnsi="宋体"/>
                      <w:spacing w:val="-10"/>
                      <w:szCs w:val="21"/>
                    </w:rPr>
                  </w:pPr>
                  <w:r>
                    <w:rPr>
                      <w:rFonts w:hint="eastAsia" w:hAnsi="宋体"/>
                      <w:spacing w:val="-10"/>
                      <w:szCs w:val="21"/>
                    </w:rPr>
                    <w:t>4</w:t>
                  </w:r>
                </w:p>
              </w:tc>
              <w:tc>
                <w:tcPr>
                  <w:tcW w:w="249" w:type="pct"/>
                  <w:vAlign w:val="center"/>
                </w:tcPr>
                <w:p>
                  <w:pPr>
                    <w:widowControl/>
                    <w:jc w:val="left"/>
                    <w:rPr>
                      <w:rFonts w:hAnsi="宋体"/>
                      <w:spacing w:val="-10"/>
                      <w:szCs w:val="21"/>
                    </w:rPr>
                  </w:pPr>
                  <w:r>
                    <w:rPr>
                      <w:rFonts w:hint="eastAsia" w:hAnsi="宋体"/>
                      <w:spacing w:val="-10"/>
                      <w:szCs w:val="21"/>
                    </w:rPr>
                    <w:t>声环境质量底线</w:t>
                  </w:r>
                </w:p>
              </w:tc>
              <w:tc>
                <w:tcPr>
                  <w:tcW w:w="1352" w:type="pct"/>
                  <w:vAlign w:val="center"/>
                </w:tcPr>
                <w:p>
                  <w:pPr>
                    <w:spacing w:line="0" w:lineRule="atLeast"/>
                    <w:jc w:val="center"/>
                    <w:rPr>
                      <w:rFonts w:hAnsi="宋体"/>
                      <w:spacing w:val="-10"/>
                      <w:szCs w:val="21"/>
                    </w:rPr>
                  </w:pPr>
                  <w:r>
                    <w:rPr>
                      <w:rFonts w:hint="eastAsia" w:hAnsi="宋体"/>
                      <w:spacing w:val="-10"/>
                      <w:szCs w:val="21"/>
                    </w:rPr>
                    <w:t>根据声环境功能区划满足《声环境质量标准》(GB3096-2008)中相应标准要求</w:t>
                  </w:r>
                </w:p>
              </w:tc>
              <w:tc>
                <w:tcPr>
                  <w:tcW w:w="976" w:type="pct"/>
                  <w:vAlign w:val="center"/>
                </w:tcPr>
                <w:p>
                  <w:pPr>
                    <w:spacing w:line="0" w:lineRule="atLeast"/>
                    <w:jc w:val="center"/>
                    <w:rPr>
                      <w:rFonts w:hAnsi="宋体"/>
                      <w:spacing w:val="-10"/>
                      <w:szCs w:val="21"/>
                    </w:rPr>
                  </w:pPr>
                  <w:r>
                    <w:rPr>
                      <w:rFonts w:hint="eastAsia" w:hAnsi="宋体"/>
                      <w:spacing w:val="-10"/>
                      <w:szCs w:val="21"/>
                    </w:rPr>
                    <w:t>严格工业企业噪声、交通噪声管制</w:t>
                  </w:r>
                </w:p>
              </w:tc>
              <w:tc>
                <w:tcPr>
                  <w:tcW w:w="1386" w:type="pct"/>
                  <w:vAlign w:val="center"/>
                </w:tcPr>
                <w:p>
                  <w:pPr>
                    <w:spacing w:line="0" w:lineRule="atLeast"/>
                    <w:jc w:val="center"/>
                    <w:rPr>
                      <w:rFonts w:hAnsi="宋体"/>
                      <w:spacing w:val="-10"/>
                      <w:szCs w:val="21"/>
                    </w:rPr>
                  </w:pPr>
                  <w:r>
                    <w:rPr>
                      <w:rFonts w:hint="eastAsia" w:hAnsi="宋体"/>
                      <w:spacing w:val="-10"/>
                      <w:szCs w:val="21"/>
                    </w:rPr>
                    <w:t>规划评价范围内声环境质量达标率100%</w:t>
                  </w:r>
                </w:p>
              </w:tc>
              <w:tc>
                <w:tcPr>
                  <w:tcW w:w="848" w:type="pct"/>
                  <w:vAlign w:val="center"/>
                </w:tcPr>
                <w:p>
                  <w:pPr>
                    <w:widowControl/>
                    <w:rPr>
                      <w:szCs w:val="21"/>
                    </w:rPr>
                  </w:pPr>
                  <w:r>
                    <w:rPr>
                      <w:szCs w:val="21"/>
                    </w:rPr>
                    <w:t>本项目噪声通过基础减震、厂房隔声可达标排放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5" w:type="pct"/>
                  <w:vAlign w:val="center"/>
                </w:tcPr>
                <w:p>
                  <w:pPr>
                    <w:widowControl/>
                    <w:jc w:val="left"/>
                    <w:rPr>
                      <w:rFonts w:hAnsi="宋体"/>
                      <w:spacing w:val="-10"/>
                      <w:szCs w:val="21"/>
                    </w:rPr>
                  </w:pPr>
                  <w:r>
                    <w:rPr>
                      <w:rFonts w:hint="eastAsia" w:hAnsi="宋体"/>
                      <w:spacing w:val="-10"/>
                      <w:szCs w:val="21"/>
                    </w:rPr>
                    <w:t>5</w:t>
                  </w:r>
                </w:p>
              </w:tc>
              <w:tc>
                <w:tcPr>
                  <w:tcW w:w="249" w:type="pct"/>
                  <w:vAlign w:val="center"/>
                </w:tcPr>
                <w:p>
                  <w:pPr>
                    <w:widowControl/>
                    <w:jc w:val="left"/>
                    <w:rPr>
                      <w:rFonts w:hAnsi="宋体"/>
                      <w:spacing w:val="-10"/>
                      <w:szCs w:val="21"/>
                    </w:rPr>
                  </w:pPr>
                  <w:r>
                    <w:rPr>
                      <w:rFonts w:hint="eastAsia" w:hAnsi="宋体"/>
                      <w:spacing w:val="-10"/>
                      <w:szCs w:val="21"/>
                    </w:rPr>
                    <w:t>土壤环境质量底线</w:t>
                  </w:r>
                </w:p>
              </w:tc>
              <w:tc>
                <w:tcPr>
                  <w:tcW w:w="1352" w:type="pct"/>
                  <w:vAlign w:val="center"/>
                </w:tcPr>
                <w:p>
                  <w:pPr>
                    <w:wordWrap w:val="0"/>
                    <w:spacing w:line="0" w:lineRule="atLeast"/>
                    <w:jc w:val="center"/>
                    <w:rPr>
                      <w:rFonts w:hAnsi="宋体"/>
                      <w:spacing w:val="-18"/>
                      <w:szCs w:val="21"/>
                    </w:rPr>
                  </w:pPr>
                  <w:r>
                    <w:rPr>
                      <w:rFonts w:hint="eastAsia" w:hAnsi="宋体"/>
                      <w:spacing w:val="-18"/>
                      <w:szCs w:val="21"/>
                    </w:rPr>
                    <w:t>农用地满足《土壤环境质量标准 农用地土壤污染风险管控标准(试行)》(GB15618-2018)，建设用地满足《土壤环境质量标准 建设用地土壤污染风险管控标准(试行)》(GB36600-</w:t>
                  </w:r>
                </w:p>
                <w:p>
                  <w:pPr>
                    <w:wordWrap w:val="0"/>
                    <w:spacing w:line="0" w:lineRule="atLeast"/>
                    <w:jc w:val="center"/>
                    <w:rPr>
                      <w:rFonts w:hAnsi="宋体"/>
                      <w:spacing w:val="-10"/>
                      <w:szCs w:val="21"/>
                    </w:rPr>
                  </w:pPr>
                  <w:r>
                    <w:rPr>
                      <w:rFonts w:hint="eastAsia" w:hAnsi="宋体"/>
                      <w:spacing w:val="-18"/>
                      <w:szCs w:val="21"/>
                    </w:rPr>
                    <w:t>2018)</w:t>
                  </w:r>
                </w:p>
              </w:tc>
              <w:tc>
                <w:tcPr>
                  <w:tcW w:w="976" w:type="pct"/>
                  <w:vAlign w:val="center"/>
                </w:tcPr>
                <w:p>
                  <w:pPr>
                    <w:spacing w:line="0" w:lineRule="atLeast"/>
                    <w:jc w:val="center"/>
                    <w:rPr>
                      <w:rFonts w:hAnsi="宋体"/>
                      <w:spacing w:val="-10"/>
                      <w:szCs w:val="21"/>
                    </w:rPr>
                  </w:pPr>
                  <w:r>
                    <w:rPr>
                      <w:rFonts w:hint="eastAsia" w:hAnsi="宋体"/>
                      <w:spacing w:val="-10"/>
                      <w:szCs w:val="21"/>
                    </w:rPr>
                    <w:t>严格执行相关行业布局选址要求，禁止在居民区、学校等周边新建污染严重的企业</w:t>
                  </w:r>
                </w:p>
              </w:tc>
              <w:tc>
                <w:tcPr>
                  <w:tcW w:w="1386" w:type="pct"/>
                  <w:vAlign w:val="center"/>
                </w:tcPr>
                <w:p>
                  <w:pPr>
                    <w:spacing w:line="0" w:lineRule="atLeast"/>
                    <w:jc w:val="center"/>
                    <w:rPr>
                      <w:rFonts w:hAnsi="宋体"/>
                      <w:spacing w:val="-10"/>
                      <w:szCs w:val="21"/>
                    </w:rPr>
                  </w:pPr>
                  <w:r>
                    <w:rPr>
                      <w:rFonts w:hint="eastAsia" w:hAnsi="宋体"/>
                      <w:spacing w:val="-10"/>
                      <w:szCs w:val="21"/>
                    </w:rPr>
                    <w:t>土壤环境质量达标率100%，不加重区域土壤重金属含量水平</w:t>
                  </w:r>
                </w:p>
              </w:tc>
              <w:tc>
                <w:tcPr>
                  <w:tcW w:w="848" w:type="pct"/>
                  <w:vAlign w:val="center"/>
                </w:tcPr>
                <w:p>
                  <w:pPr>
                    <w:widowControl/>
                    <w:rPr>
                      <w:szCs w:val="21"/>
                    </w:rPr>
                  </w:pPr>
                  <w:r>
                    <w:rPr>
                      <w:szCs w:val="21"/>
                    </w:rPr>
                    <w:t>本项目占地为工业用地，远离居民区及学校等且不属于污染严重的企业，不会加重区域土壤重金属含量水平</w:t>
                  </w:r>
                  <w:r>
                    <w:rPr>
                      <w:rFonts w:hint="eastAsia"/>
                      <w:szCs w:val="21"/>
                    </w:rPr>
                    <w:t>。</w:t>
                  </w:r>
                </w:p>
              </w:tc>
            </w:tr>
          </w:tbl>
          <w:p>
            <w:pPr>
              <w:autoSpaceDE w:val="0"/>
              <w:autoSpaceDN w:val="0"/>
              <w:adjustRightInd w:val="0"/>
              <w:snapToGrid w:val="0"/>
              <w:spacing w:line="360" w:lineRule="auto"/>
              <w:ind w:firstLine="480" w:firstLineChars="200"/>
              <w:rPr>
                <w:kern w:val="0"/>
                <w:sz w:val="24"/>
                <w:szCs w:val="21"/>
              </w:rPr>
            </w:pPr>
            <w:r>
              <w:rPr>
                <w:kern w:val="0"/>
                <w:sz w:val="24"/>
                <w:szCs w:val="21"/>
              </w:rPr>
              <w:t>综上，本项目的建设不会突破环境质量底线。</w:t>
            </w:r>
          </w:p>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D、</w:t>
            </w:r>
            <w:r>
              <w:rPr>
                <w:kern w:val="0"/>
                <w:sz w:val="24"/>
                <w:szCs w:val="21"/>
              </w:rPr>
              <w:t>资源利用上线</w:t>
            </w:r>
          </w:p>
          <w:p>
            <w:pPr>
              <w:adjustRightInd w:val="0"/>
              <w:snapToGrid w:val="0"/>
              <w:jc w:val="center"/>
              <w:rPr>
                <w:b/>
                <w:bCs/>
                <w:kern w:val="0"/>
                <w:sz w:val="24"/>
              </w:rPr>
            </w:pPr>
            <w:r>
              <w:rPr>
                <w:b/>
                <w:bCs/>
                <w:kern w:val="0"/>
                <w:sz w:val="24"/>
                <w:lang w:val="zh-CN"/>
              </w:rPr>
              <w:t>表</w:t>
            </w:r>
            <w:r>
              <w:rPr>
                <w:rFonts w:hint="eastAsia"/>
                <w:b/>
                <w:bCs/>
                <w:kern w:val="0"/>
                <w:sz w:val="24"/>
              </w:rPr>
              <w:t>10</w:t>
            </w:r>
            <w:r>
              <w:rPr>
                <w:b/>
                <w:bCs/>
                <w:kern w:val="0"/>
                <w:sz w:val="24"/>
              </w:rPr>
              <w:t xml:space="preserve">  </w:t>
            </w:r>
            <w:r>
              <w:rPr>
                <w:b/>
                <w:bCs/>
                <w:kern w:val="0"/>
                <w:sz w:val="24"/>
                <w:lang w:val="zh-CN"/>
              </w:rPr>
              <w:t>与园区资源利用上线符合性分析</w:t>
            </w:r>
            <w:r>
              <w:rPr>
                <w:b/>
                <w:bCs/>
                <w:kern w:val="0"/>
                <w:sz w:val="24"/>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4491"/>
              <w:gridCol w:w="1578"/>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adjustRightInd w:val="0"/>
                    <w:snapToGrid w:val="0"/>
                    <w:spacing w:line="240" w:lineRule="exact"/>
                    <w:jc w:val="center"/>
                    <w:rPr>
                      <w:b/>
                      <w:bCs/>
                      <w:szCs w:val="21"/>
                    </w:rPr>
                  </w:pPr>
                  <w:r>
                    <w:rPr>
                      <w:b/>
                      <w:bCs/>
                      <w:szCs w:val="21"/>
                    </w:rPr>
                    <w:t>类别</w:t>
                  </w:r>
                </w:p>
              </w:tc>
              <w:tc>
                <w:tcPr>
                  <w:tcW w:w="2995" w:type="pct"/>
                  <w:vAlign w:val="center"/>
                </w:tcPr>
                <w:p>
                  <w:pPr>
                    <w:adjustRightInd w:val="0"/>
                    <w:snapToGrid w:val="0"/>
                    <w:spacing w:line="240" w:lineRule="exact"/>
                    <w:jc w:val="center"/>
                    <w:rPr>
                      <w:b/>
                      <w:bCs/>
                      <w:szCs w:val="21"/>
                    </w:rPr>
                  </w:pPr>
                  <w:r>
                    <w:rPr>
                      <w:b/>
                      <w:bCs/>
                      <w:szCs w:val="21"/>
                    </w:rPr>
                    <w:t>要求</w:t>
                  </w:r>
                </w:p>
              </w:tc>
              <w:tc>
                <w:tcPr>
                  <w:tcW w:w="1052" w:type="pct"/>
                  <w:vAlign w:val="center"/>
                </w:tcPr>
                <w:p>
                  <w:pPr>
                    <w:adjustRightInd w:val="0"/>
                    <w:snapToGrid w:val="0"/>
                    <w:spacing w:line="240" w:lineRule="exact"/>
                    <w:jc w:val="center"/>
                    <w:rPr>
                      <w:b/>
                      <w:bCs/>
                      <w:szCs w:val="21"/>
                    </w:rPr>
                  </w:pPr>
                  <w:r>
                    <w:rPr>
                      <w:b/>
                      <w:bCs/>
                      <w:szCs w:val="21"/>
                    </w:rPr>
                    <w:t>符合性分析</w:t>
                  </w:r>
                </w:p>
              </w:tc>
              <w:tc>
                <w:tcPr>
                  <w:tcW w:w="433" w:type="pct"/>
                  <w:vAlign w:val="center"/>
                </w:tcPr>
                <w:p>
                  <w:pPr>
                    <w:adjustRightInd w:val="0"/>
                    <w:snapToGrid w:val="0"/>
                    <w:spacing w:line="240" w:lineRule="exact"/>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adjustRightInd w:val="0"/>
                    <w:snapToGrid w:val="0"/>
                    <w:spacing w:line="240" w:lineRule="exact"/>
                    <w:jc w:val="center"/>
                    <w:rPr>
                      <w:szCs w:val="21"/>
                    </w:rPr>
                  </w:pPr>
                  <w:r>
                    <w:rPr>
                      <w:rFonts w:hint="eastAsia"/>
                      <w:szCs w:val="21"/>
                    </w:rPr>
                    <w:t>能源利用上限</w:t>
                  </w:r>
                </w:p>
              </w:tc>
              <w:tc>
                <w:tcPr>
                  <w:tcW w:w="2995" w:type="pct"/>
                  <w:vAlign w:val="center"/>
                </w:tcPr>
                <w:p>
                  <w:pPr>
                    <w:adjustRightInd w:val="0"/>
                    <w:snapToGrid w:val="0"/>
                    <w:spacing w:line="240" w:lineRule="exact"/>
                    <w:jc w:val="center"/>
                    <w:rPr>
                      <w:szCs w:val="21"/>
                    </w:rPr>
                  </w:pPr>
                  <w:r>
                    <w:rPr>
                      <w:rFonts w:hint="eastAsia"/>
                    </w:rPr>
                    <w:t>开发区规划西区规划近期天然气用量为361.14万m</w:t>
                  </w:r>
                  <w:r>
                    <w:rPr>
                      <w:rFonts w:hint="eastAsia"/>
                      <w:vertAlign w:val="superscript"/>
                    </w:rPr>
                    <w:t>3</w:t>
                  </w:r>
                  <w:r>
                    <w:rPr>
                      <w:rFonts w:hint="eastAsia"/>
                    </w:rPr>
                    <w:t>/a（1.07万m</w:t>
                  </w:r>
                  <w:r>
                    <w:rPr>
                      <w:rFonts w:hint="eastAsia"/>
                      <w:vertAlign w:val="superscript"/>
                    </w:rPr>
                    <w:t>3</w:t>
                  </w:r>
                  <w:r>
                    <w:rPr>
                      <w:rFonts w:hint="eastAsia"/>
                    </w:rPr>
                    <w:t>/d)，规划远期天然气用量为386.43万m</w:t>
                  </w:r>
                  <w:r>
                    <w:rPr>
                      <w:rFonts w:hint="eastAsia"/>
                      <w:vertAlign w:val="superscript"/>
                    </w:rPr>
                    <w:t>3</w:t>
                  </w:r>
                  <w:r>
                    <w:rPr>
                      <w:rFonts w:hint="eastAsia"/>
                    </w:rPr>
                    <w:t>/a(1.14万m</w:t>
                  </w:r>
                  <w:r>
                    <w:rPr>
                      <w:rFonts w:hint="eastAsia"/>
                      <w:vertAlign w:val="superscript"/>
                    </w:rPr>
                    <w:t>3</w:t>
                  </w:r>
                  <w:r>
                    <w:rPr>
                      <w:rFonts w:hint="eastAsia"/>
                    </w:rPr>
                    <w:t>/d)；开发区东区规划近期天然气用量为9776.28万m</w:t>
                  </w:r>
                  <w:r>
                    <w:rPr>
                      <w:rFonts w:hint="eastAsia"/>
                      <w:vertAlign w:val="superscript"/>
                    </w:rPr>
                    <w:t>3</w:t>
                  </w:r>
                  <w:r>
                    <w:rPr>
                      <w:rFonts w:hint="eastAsia"/>
                    </w:rPr>
                    <w:t>/a (29.58万m</w:t>
                  </w:r>
                  <w:r>
                    <w:rPr>
                      <w:rFonts w:hint="eastAsia"/>
                      <w:vertAlign w:val="superscript"/>
                    </w:rPr>
                    <w:t>3</w:t>
                  </w:r>
                  <w:r>
                    <w:rPr>
                      <w:rFonts w:hint="eastAsia"/>
                    </w:rPr>
                    <w:t>/d)，规划远期天然气用量为13143.24万m</w:t>
                  </w:r>
                  <w:r>
                    <w:rPr>
                      <w:rFonts w:hint="eastAsia"/>
                      <w:vertAlign w:val="superscript"/>
                    </w:rPr>
                    <w:t>3</w:t>
                  </w:r>
                  <w:r>
                    <w:rPr>
                      <w:rFonts w:hint="eastAsia"/>
                    </w:rPr>
                    <w:t>/a(39.76万m</w:t>
                  </w:r>
                  <w:r>
                    <w:rPr>
                      <w:rFonts w:hint="eastAsia"/>
                      <w:vertAlign w:val="superscript"/>
                    </w:rPr>
                    <w:t>3</w:t>
                  </w:r>
                  <w:r>
                    <w:rPr>
                      <w:rFonts w:hint="eastAsia"/>
                    </w:rPr>
                    <w:t>/d)。开发区规划东区规划近期标煤用量为86.41万tce/a，规划远期标煤用量为98.40万tce/a</w:t>
                  </w:r>
                </w:p>
              </w:tc>
              <w:tc>
                <w:tcPr>
                  <w:tcW w:w="1052" w:type="pct"/>
                  <w:vAlign w:val="center"/>
                </w:tcPr>
                <w:p>
                  <w:pPr>
                    <w:adjustRightInd w:val="0"/>
                    <w:snapToGrid w:val="0"/>
                    <w:spacing w:line="240" w:lineRule="exact"/>
                    <w:jc w:val="center"/>
                    <w:rPr>
                      <w:szCs w:val="21"/>
                    </w:rPr>
                  </w:pPr>
                  <w:r>
                    <w:rPr>
                      <w:rFonts w:hint="eastAsia"/>
                      <w:szCs w:val="21"/>
                    </w:rPr>
                    <w:t>本项目天然气为中裕燃气公司提供，用气量较小，年用气量为19万m</w:t>
                  </w:r>
                  <w:r>
                    <w:rPr>
                      <w:rFonts w:hint="eastAsia"/>
                      <w:szCs w:val="21"/>
                      <w:vertAlign w:val="superscript"/>
                    </w:rPr>
                    <w:t>3</w:t>
                  </w:r>
                  <w:r>
                    <w:rPr>
                      <w:rFonts w:hint="eastAsia"/>
                      <w:szCs w:val="21"/>
                    </w:rPr>
                    <w:t>/a，不会突破能源利用上限，不燃煤</w:t>
                  </w:r>
                </w:p>
              </w:tc>
              <w:tc>
                <w:tcPr>
                  <w:tcW w:w="433" w:type="pct"/>
                  <w:vAlign w:val="center"/>
                </w:tcPr>
                <w:p>
                  <w:pPr>
                    <w:adjustRightInd w:val="0"/>
                    <w:snapToGrid w:val="0"/>
                    <w:spacing w:line="240" w:lineRule="exact"/>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adjustRightInd w:val="0"/>
                    <w:snapToGrid w:val="0"/>
                    <w:spacing w:line="240" w:lineRule="exact"/>
                    <w:jc w:val="center"/>
                    <w:rPr>
                      <w:szCs w:val="21"/>
                    </w:rPr>
                  </w:pPr>
                  <w:r>
                    <w:rPr>
                      <w:szCs w:val="21"/>
                    </w:rPr>
                    <w:t>水资源利用上限</w:t>
                  </w:r>
                </w:p>
              </w:tc>
              <w:tc>
                <w:tcPr>
                  <w:tcW w:w="2995" w:type="pct"/>
                  <w:vAlign w:val="center"/>
                </w:tcPr>
                <w:p>
                  <w:pPr>
                    <w:adjustRightInd w:val="0"/>
                    <w:snapToGrid w:val="0"/>
                    <w:spacing w:line="240" w:lineRule="exact"/>
                    <w:jc w:val="center"/>
                    <w:rPr>
                      <w:szCs w:val="21"/>
                    </w:rPr>
                  </w:pPr>
                  <w:r>
                    <w:rPr>
                      <w:rFonts w:hint="eastAsia"/>
                      <w:spacing w:val="9"/>
                    </w:rPr>
                    <w:t>规划近期总取水量为</w:t>
                  </w:r>
                  <w:r>
                    <w:rPr>
                      <w:rFonts w:hint="eastAsia"/>
                    </w:rPr>
                    <w:t>1731.82万m</w:t>
                  </w:r>
                  <w:r>
                    <w:rPr>
                      <w:rFonts w:hint="eastAsia"/>
                      <w:vertAlign w:val="superscript"/>
                    </w:rPr>
                    <w:t>3</w:t>
                  </w:r>
                  <w:r>
                    <w:rPr>
                      <w:rFonts w:hint="eastAsia"/>
                    </w:rPr>
                    <w:t>/a(54541m</w:t>
                  </w:r>
                  <w:r>
                    <w:rPr>
                      <w:rFonts w:hint="eastAsia"/>
                      <w:vertAlign w:val="superscript"/>
                    </w:rPr>
                    <w:t>3</w:t>
                  </w:r>
                  <w:r>
                    <w:rPr>
                      <w:rFonts w:hint="eastAsia"/>
                    </w:rPr>
                    <w:t>/d)</w:t>
                  </w:r>
                  <w:r>
                    <w:rPr>
                      <w:rFonts w:hint="eastAsia"/>
                      <w:spacing w:val="9"/>
                    </w:rPr>
                    <w:t>，规划远期总取水量为</w:t>
                  </w:r>
                  <w:r>
                    <w:rPr>
                      <w:rFonts w:hint="eastAsia"/>
                    </w:rPr>
                    <w:t>1956.98万m</w:t>
                  </w:r>
                  <w:r>
                    <w:rPr>
                      <w:rFonts w:hint="eastAsia"/>
                      <w:vertAlign w:val="superscript"/>
                    </w:rPr>
                    <w:t>3</w:t>
                  </w:r>
                  <w:r>
                    <w:rPr>
                      <w:rFonts w:hint="eastAsia"/>
                    </w:rPr>
                    <w:t>/a(61376m</w:t>
                  </w:r>
                  <w:r>
                    <w:rPr>
                      <w:rFonts w:hint="eastAsia"/>
                      <w:vertAlign w:val="superscript"/>
                    </w:rPr>
                    <w:t>3</w:t>
                  </w:r>
                  <w:r>
                    <w:rPr>
                      <w:rFonts w:hint="eastAsia"/>
                    </w:rPr>
                    <w:t>/d)。</w:t>
                  </w:r>
                  <w:r>
                    <w:rPr>
                      <w:rFonts w:hint="eastAsia" w:hAnsi="宋体"/>
                    </w:rPr>
                    <w:t>其中规划近期新水需求量（914.15万m</w:t>
                  </w:r>
                  <w:r>
                    <w:rPr>
                      <w:rFonts w:hint="eastAsia" w:hAnsi="宋体"/>
                      <w:vertAlign w:val="superscript"/>
                    </w:rPr>
                    <w:t>3</w:t>
                  </w:r>
                  <w:r>
                    <w:rPr>
                      <w:rFonts w:hint="eastAsia" w:hAnsi="宋体"/>
                    </w:rPr>
                    <w:t>/a）和远期新水需求量（1034.85万m</w:t>
                  </w:r>
                  <w:r>
                    <w:rPr>
                      <w:rFonts w:hint="eastAsia" w:hAnsi="宋体"/>
                      <w:vertAlign w:val="superscript"/>
                    </w:rPr>
                    <w:t>3</w:t>
                  </w:r>
                  <w:r>
                    <w:rPr>
                      <w:rFonts w:hint="eastAsia" w:hAnsi="宋体"/>
                    </w:rPr>
                    <w:t>/a）均未超过新河县水务局分配开发区南水北调水量(800万m</w:t>
                  </w:r>
                  <w:r>
                    <w:rPr>
                      <w:rFonts w:hint="eastAsia" w:hAnsi="宋体"/>
                      <w:vertAlign w:val="superscript"/>
                    </w:rPr>
                    <w:t>3</w:t>
                  </w:r>
                  <w:r>
                    <w:rPr>
                      <w:rFonts w:hint="eastAsia" w:hAnsi="宋体"/>
                    </w:rPr>
                    <w:t>/a)和引黄水量(600万m</w:t>
                  </w:r>
                  <w:r>
                    <w:rPr>
                      <w:rFonts w:hint="eastAsia" w:hAnsi="宋体"/>
                      <w:vertAlign w:val="superscript"/>
                    </w:rPr>
                    <w:t>3</w:t>
                  </w:r>
                  <w:r>
                    <w:rPr>
                      <w:rFonts w:hint="eastAsia" w:hAnsi="宋体"/>
                    </w:rPr>
                    <w:t>/a)指标总和(1400万m</w:t>
                  </w:r>
                  <w:r>
                    <w:rPr>
                      <w:rFonts w:hint="eastAsia" w:hAnsi="宋体"/>
                      <w:vertAlign w:val="superscript"/>
                    </w:rPr>
                    <w:t>3</w:t>
                  </w:r>
                  <w:r>
                    <w:rPr>
                      <w:rFonts w:hint="eastAsia" w:hAnsi="宋体"/>
                    </w:rPr>
                    <w:t>/a)。</w:t>
                  </w:r>
                  <w:r>
                    <w:rPr>
                      <w:rFonts w:hint="eastAsia"/>
                      <w:kern w:val="0"/>
                    </w:rPr>
                    <w:t>再生水回用量规划近期</w:t>
                  </w:r>
                  <w:r>
                    <w:rPr>
                      <w:rFonts w:hint="eastAsia" w:hAnsi="宋体"/>
                    </w:rPr>
                    <w:t>取用再生水</w:t>
                  </w:r>
                  <w:r>
                    <w:rPr>
                      <w:rFonts w:hint="eastAsia"/>
                    </w:rPr>
                    <w:t>817.67万m</w:t>
                  </w:r>
                  <w:r>
                    <w:rPr>
                      <w:rFonts w:hint="eastAsia"/>
                      <w:vertAlign w:val="superscript"/>
                    </w:rPr>
                    <w:t>3</w:t>
                  </w:r>
                  <w:r>
                    <w:rPr>
                      <w:rFonts w:hint="eastAsia"/>
                    </w:rPr>
                    <w:t>/a(24484</w:t>
                  </w:r>
                  <w:r>
                    <w:rPr>
                      <w:rFonts w:hAnsi="宋体"/>
                    </w:rPr>
                    <w:t>m</w:t>
                  </w:r>
                  <w:r>
                    <w:rPr>
                      <w:rFonts w:hAnsi="宋体"/>
                      <w:vertAlign w:val="superscript"/>
                    </w:rPr>
                    <w:t>3</w:t>
                  </w:r>
                  <w:r>
                    <w:rPr>
                      <w:rFonts w:hAnsi="宋体"/>
                    </w:rPr>
                    <w:t>/d</w:t>
                  </w:r>
                  <w:r>
                    <w:rPr>
                      <w:rFonts w:hint="eastAsia"/>
                    </w:rPr>
                    <w:t>)</w:t>
                  </w:r>
                  <w:r>
                    <w:rPr>
                      <w:rFonts w:hint="eastAsia" w:hAnsi="宋体"/>
                    </w:rPr>
                    <w:t>，远期取用再生水</w:t>
                  </w:r>
                  <w:r>
                    <w:rPr>
                      <w:rFonts w:hint="eastAsia"/>
                    </w:rPr>
                    <w:t>922.13万m</w:t>
                  </w:r>
                  <w:r>
                    <w:rPr>
                      <w:rFonts w:hint="eastAsia"/>
                      <w:vertAlign w:val="superscript"/>
                    </w:rPr>
                    <w:t>3</w:t>
                  </w:r>
                  <w:r>
                    <w:rPr>
                      <w:rFonts w:hint="eastAsia"/>
                    </w:rPr>
                    <w:t>/a(27482</w:t>
                  </w:r>
                  <w:r>
                    <w:rPr>
                      <w:rFonts w:hAnsi="宋体"/>
                    </w:rPr>
                    <w:t>m</w:t>
                  </w:r>
                  <w:r>
                    <w:rPr>
                      <w:rFonts w:hAnsi="宋体"/>
                      <w:vertAlign w:val="superscript"/>
                    </w:rPr>
                    <w:t>3</w:t>
                  </w:r>
                  <w:r>
                    <w:rPr>
                      <w:rFonts w:hAnsi="宋体"/>
                    </w:rPr>
                    <w:t>/d</w:t>
                  </w:r>
                  <w:r>
                    <w:rPr>
                      <w:rFonts w:hint="eastAsia"/>
                    </w:rPr>
                    <w:t>)</w:t>
                  </w:r>
                  <w:r>
                    <w:rPr>
                      <w:rFonts w:hint="eastAsia"/>
                      <w:kern w:val="0"/>
                    </w:rPr>
                    <w:t>；禁止取用地下水</w:t>
                  </w:r>
                </w:p>
              </w:tc>
              <w:tc>
                <w:tcPr>
                  <w:tcW w:w="1052" w:type="pct"/>
                  <w:vAlign w:val="center"/>
                </w:tcPr>
                <w:p>
                  <w:pPr>
                    <w:adjustRightInd w:val="0"/>
                    <w:snapToGrid w:val="0"/>
                    <w:spacing w:line="240" w:lineRule="exact"/>
                    <w:jc w:val="center"/>
                    <w:rPr>
                      <w:szCs w:val="21"/>
                    </w:rPr>
                  </w:pPr>
                  <w:r>
                    <w:rPr>
                      <w:szCs w:val="21"/>
                    </w:rPr>
                    <w:t>本项目用水由园区集中供水管网供给，不开采地下水，且用水量较少，不会突破园区水资源利用上限</w:t>
                  </w:r>
                </w:p>
              </w:tc>
              <w:tc>
                <w:tcPr>
                  <w:tcW w:w="433" w:type="pct"/>
                  <w:vAlign w:val="center"/>
                </w:tcPr>
                <w:p>
                  <w:pPr>
                    <w:adjustRightInd w:val="0"/>
                    <w:snapToGrid w:val="0"/>
                    <w:spacing w:line="240" w:lineRule="exact"/>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adjustRightInd w:val="0"/>
                    <w:snapToGrid w:val="0"/>
                    <w:spacing w:line="240" w:lineRule="exact"/>
                    <w:jc w:val="center"/>
                    <w:rPr>
                      <w:szCs w:val="21"/>
                    </w:rPr>
                  </w:pPr>
                  <w:r>
                    <w:rPr>
                      <w:szCs w:val="21"/>
                    </w:rPr>
                    <w:t>土地资源利用上限</w:t>
                  </w:r>
                </w:p>
              </w:tc>
              <w:tc>
                <w:tcPr>
                  <w:tcW w:w="2995" w:type="pct"/>
                  <w:vAlign w:val="center"/>
                </w:tcPr>
                <w:p>
                  <w:pPr>
                    <w:adjustRightInd w:val="0"/>
                    <w:snapToGrid w:val="0"/>
                    <w:spacing w:line="240" w:lineRule="exact"/>
                    <w:jc w:val="center"/>
                    <w:rPr>
                      <w:szCs w:val="21"/>
                    </w:rPr>
                  </w:pPr>
                  <w:r>
                    <w:rPr>
                      <w:rFonts w:hint="eastAsia"/>
                      <w:spacing w:val="-10"/>
                      <w:szCs w:val="21"/>
                    </w:rPr>
                    <w:t>至规划期末，土地资源总量上线不突破</w:t>
                  </w:r>
                  <w:r>
                    <w:rPr>
                      <w:rFonts w:hint="eastAsia" w:hAnsi="宋体"/>
                      <w:spacing w:val="-10"/>
                      <w:szCs w:val="21"/>
                    </w:rPr>
                    <w:t>21.2708km</w:t>
                  </w:r>
                  <w:r>
                    <w:rPr>
                      <w:rFonts w:hint="eastAsia" w:hAnsi="宋体"/>
                      <w:spacing w:val="-10"/>
                      <w:szCs w:val="21"/>
                      <w:vertAlign w:val="superscript"/>
                    </w:rPr>
                    <w:t>2</w:t>
                  </w:r>
                  <w:r>
                    <w:rPr>
                      <w:rFonts w:hint="eastAsia"/>
                      <w:spacing w:val="-10"/>
                      <w:szCs w:val="21"/>
                    </w:rPr>
                    <w:t>，建设用地总量上线不突破</w:t>
                  </w:r>
                  <w:r>
                    <w:rPr>
                      <w:rFonts w:hint="eastAsia" w:hAnsi="宋体"/>
                      <w:spacing w:val="-10"/>
                      <w:szCs w:val="21"/>
                    </w:rPr>
                    <w:t>2021.23</w:t>
                  </w:r>
                  <w:r>
                    <w:rPr>
                      <w:rFonts w:hint="eastAsia"/>
                      <w:spacing w:val="-10"/>
                      <w:szCs w:val="21"/>
                    </w:rPr>
                    <w:t xml:space="preserve"> hm</w:t>
                  </w:r>
                  <w:r>
                    <w:rPr>
                      <w:rFonts w:hint="eastAsia"/>
                      <w:spacing w:val="-10"/>
                      <w:szCs w:val="21"/>
                      <w:vertAlign w:val="superscript"/>
                    </w:rPr>
                    <w:t>2</w:t>
                  </w:r>
                  <w:r>
                    <w:rPr>
                      <w:rFonts w:hint="eastAsia"/>
                      <w:spacing w:val="-10"/>
                      <w:szCs w:val="21"/>
                    </w:rPr>
                    <w:t>，工业用地总量上线不突破</w:t>
                  </w:r>
                  <w:r>
                    <w:rPr>
                      <w:rFonts w:hint="eastAsia" w:hAnsi="宋体"/>
                      <w:spacing w:val="-10"/>
                      <w:szCs w:val="21"/>
                    </w:rPr>
                    <w:t>1316.66hm</w:t>
                  </w:r>
                  <w:r>
                    <w:rPr>
                      <w:rFonts w:hint="eastAsia" w:hAnsi="宋体"/>
                      <w:spacing w:val="-10"/>
                      <w:szCs w:val="21"/>
                      <w:vertAlign w:val="superscript"/>
                    </w:rPr>
                    <w:t>2</w:t>
                  </w:r>
                  <w:r>
                    <w:rPr>
                      <w:szCs w:val="21"/>
                    </w:rPr>
                    <w:t>。</w:t>
                  </w:r>
                  <w:r>
                    <w:rPr>
                      <w:rFonts w:hint="eastAsia" w:hAnsi="宋体"/>
                      <w:spacing w:val="-10"/>
                      <w:szCs w:val="21"/>
                    </w:rPr>
                    <w:t>严格开发区土地开发规模，对耕地先补后占，实现占补平衡，杜绝耕地数量的减少。</w:t>
                  </w:r>
                </w:p>
              </w:tc>
              <w:tc>
                <w:tcPr>
                  <w:tcW w:w="1052" w:type="pct"/>
                  <w:vAlign w:val="center"/>
                </w:tcPr>
                <w:p>
                  <w:pPr>
                    <w:adjustRightInd w:val="0"/>
                    <w:snapToGrid w:val="0"/>
                    <w:spacing w:line="240" w:lineRule="exact"/>
                    <w:jc w:val="center"/>
                    <w:rPr>
                      <w:szCs w:val="21"/>
                    </w:rPr>
                  </w:pPr>
                  <w:r>
                    <w:rPr>
                      <w:szCs w:val="21"/>
                    </w:rPr>
                    <w:t>本项目占地为二类工业用地，符合用地规划。</w:t>
                  </w:r>
                </w:p>
              </w:tc>
              <w:tc>
                <w:tcPr>
                  <w:tcW w:w="433" w:type="pct"/>
                  <w:vAlign w:val="center"/>
                </w:tcPr>
                <w:p>
                  <w:pPr>
                    <w:adjustRightInd w:val="0"/>
                    <w:snapToGrid w:val="0"/>
                    <w:spacing w:line="240" w:lineRule="exact"/>
                    <w:jc w:val="center"/>
                    <w:rPr>
                      <w:szCs w:val="21"/>
                    </w:rPr>
                  </w:pPr>
                  <w:r>
                    <w:rPr>
                      <w:szCs w:val="21"/>
                    </w:rPr>
                    <w:t>符合</w:t>
                  </w:r>
                </w:p>
              </w:tc>
            </w:tr>
          </w:tbl>
          <w:p>
            <w:pPr>
              <w:autoSpaceDE w:val="0"/>
              <w:autoSpaceDN w:val="0"/>
              <w:adjustRightInd w:val="0"/>
              <w:snapToGrid w:val="0"/>
              <w:spacing w:line="360" w:lineRule="auto"/>
              <w:ind w:firstLine="480" w:firstLineChars="200"/>
              <w:rPr>
                <w:kern w:val="0"/>
                <w:sz w:val="24"/>
                <w:szCs w:val="21"/>
              </w:rPr>
            </w:pPr>
            <w:r>
              <w:rPr>
                <w:rFonts w:hint="eastAsia"/>
                <w:kern w:val="0"/>
                <w:sz w:val="24"/>
                <w:szCs w:val="21"/>
              </w:rPr>
              <w:t>E、</w:t>
            </w:r>
            <w:r>
              <w:rPr>
                <w:kern w:val="0"/>
                <w:sz w:val="24"/>
                <w:szCs w:val="21"/>
              </w:rPr>
              <w:t>环境准入负面清单</w:t>
            </w:r>
          </w:p>
          <w:p>
            <w:pPr>
              <w:adjustRightInd w:val="0"/>
              <w:snapToGrid w:val="0"/>
              <w:spacing w:line="360" w:lineRule="auto"/>
              <w:ind w:firstLine="480" w:firstLineChars="200"/>
              <w:rPr>
                <w:b/>
                <w:bCs/>
                <w:kern w:val="0"/>
                <w:sz w:val="24"/>
                <w:highlight w:val="yellow"/>
                <w:lang w:val="zh-CN"/>
              </w:rPr>
            </w:pPr>
            <w:r>
              <w:rPr>
                <w:kern w:val="0"/>
                <w:sz w:val="24"/>
                <w:lang w:val="zh-CN"/>
              </w:rPr>
              <w:t>根据《河北新河经济开发区总体规划（调整）环境影响报告书》</w:t>
            </w:r>
            <w:r>
              <w:rPr>
                <w:rFonts w:hint="eastAsia"/>
                <w:kern w:val="0"/>
                <w:sz w:val="24"/>
                <w:lang w:val="zh-CN"/>
              </w:rPr>
              <w:t>及</w:t>
            </w:r>
            <w:r>
              <w:rPr>
                <w:kern w:val="0"/>
                <w:sz w:val="24"/>
              </w:rPr>
              <w:t>《河北新河经济开发区总体规划(调整)环境影响补充报告》</w:t>
            </w:r>
            <w:r>
              <w:rPr>
                <w:kern w:val="0"/>
                <w:sz w:val="24"/>
                <w:lang w:val="zh-CN"/>
              </w:rPr>
              <w:t>，本项目与河北新河经济开发区</w:t>
            </w:r>
            <w:r>
              <w:rPr>
                <w:rFonts w:hint="eastAsia"/>
                <w:kern w:val="0"/>
                <w:sz w:val="24"/>
                <w:lang w:val="zh-CN"/>
              </w:rPr>
              <w:t>相关</w:t>
            </w:r>
            <w:r>
              <w:rPr>
                <w:kern w:val="0"/>
                <w:sz w:val="24"/>
                <w:lang w:val="zh-CN"/>
              </w:rPr>
              <w:t>环境准入清单符合性分析</w:t>
            </w:r>
            <w:r>
              <w:rPr>
                <w:rFonts w:hint="eastAsia"/>
                <w:kern w:val="0"/>
                <w:sz w:val="24"/>
                <w:lang w:val="zh-CN"/>
              </w:rPr>
              <w:t>入选</w:t>
            </w:r>
            <w:r>
              <w:rPr>
                <w:kern w:val="0"/>
                <w:sz w:val="24"/>
                <w:lang w:val="zh-CN"/>
              </w:rPr>
              <w:t>。</w:t>
            </w:r>
          </w:p>
          <w:p>
            <w:pPr>
              <w:adjustRightInd w:val="0"/>
              <w:snapToGrid w:val="0"/>
              <w:jc w:val="center"/>
              <w:rPr>
                <w:b/>
                <w:bCs/>
                <w:kern w:val="0"/>
                <w:sz w:val="24"/>
              </w:rPr>
            </w:pPr>
            <w:r>
              <w:rPr>
                <w:b/>
                <w:bCs/>
                <w:kern w:val="0"/>
                <w:sz w:val="24"/>
                <w:lang w:val="zh-CN"/>
              </w:rPr>
              <w:t>表</w:t>
            </w:r>
            <w:r>
              <w:rPr>
                <w:rFonts w:hint="eastAsia"/>
                <w:b/>
                <w:bCs/>
                <w:kern w:val="0"/>
                <w:sz w:val="24"/>
              </w:rPr>
              <w:t xml:space="preserve">11 </w:t>
            </w:r>
            <w:r>
              <w:rPr>
                <w:b/>
                <w:bCs/>
                <w:kern w:val="0"/>
                <w:sz w:val="24"/>
              </w:rPr>
              <w:t xml:space="preserve"> </w:t>
            </w:r>
            <w:r>
              <w:rPr>
                <w:b/>
                <w:bCs/>
                <w:kern w:val="0"/>
                <w:sz w:val="24"/>
                <w:lang w:val="zh-CN"/>
              </w:rPr>
              <w:t>园区负面清单</w:t>
            </w:r>
            <w:r>
              <w:rPr>
                <w:rFonts w:hint="eastAsia"/>
                <w:b/>
                <w:bCs/>
                <w:kern w:val="0"/>
                <w:sz w:val="24"/>
                <w:lang w:val="zh-CN"/>
              </w:rPr>
              <w:t>一览</w:t>
            </w:r>
            <w:r>
              <w:rPr>
                <w:b/>
                <w:bCs/>
                <w:kern w:val="0"/>
                <w:sz w:val="24"/>
              </w:rPr>
              <w:t>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03"/>
              <w:gridCol w:w="394"/>
              <w:gridCol w:w="1731"/>
              <w:gridCol w:w="3764"/>
              <w:gridCol w:w="1187"/>
              <w:gridCol w:w="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2" w:type="pct"/>
                  <w:gridSpan w:val="2"/>
                  <w:vAlign w:val="center"/>
                </w:tcPr>
                <w:p>
                  <w:pPr>
                    <w:adjustRightInd w:val="0"/>
                    <w:snapToGrid w:val="0"/>
                    <w:jc w:val="center"/>
                    <w:rPr>
                      <w:rFonts w:hAnsi="宋体"/>
                      <w:szCs w:val="21"/>
                    </w:rPr>
                  </w:pPr>
                  <w:r>
                    <w:rPr>
                      <w:rFonts w:hint="eastAsia" w:hAnsi="宋体"/>
                      <w:szCs w:val="21"/>
                    </w:rPr>
                    <w:t>产业分类</w:t>
                  </w:r>
                </w:p>
              </w:tc>
              <w:tc>
                <w:tcPr>
                  <w:tcW w:w="1156" w:type="pct"/>
                  <w:vAlign w:val="center"/>
                </w:tcPr>
                <w:p>
                  <w:pPr>
                    <w:adjustRightInd w:val="0"/>
                    <w:snapToGrid w:val="0"/>
                    <w:jc w:val="center"/>
                    <w:rPr>
                      <w:rFonts w:hAnsi="宋体"/>
                      <w:szCs w:val="21"/>
                    </w:rPr>
                  </w:pPr>
                  <w:r>
                    <w:rPr>
                      <w:rFonts w:hint="eastAsia" w:hAnsi="宋体"/>
                      <w:szCs w:val="21"/>
                    </w:rPr>
                    <w:t>行业清单</w:t>
                  </w:r>
                </w:p>
              </w:tc>
              <w:tc>
                <w:tcPr>
                  <w:tcW w:w="2514" w:type="pct"/>
                  <w:vAlign w:val="center"/>
                </w:tcPr>
                <w:p>
                  <w:pPr>
                    <w:adjustRightInd w:val="0"/>
                    <w:snapToGrid w:val="0"/>
                    <w:jc w:val="center"/>
                    <w:rPr>
                      <w:rFonts w:hAnsi="宋体"/>
                      <w:szCs w:val="21"/>
                    </w:rPr>
                  </w:pPr>
                  <w:r>
                    <w:rPr>
                      <w:rFonts w:hint="eastAsia" w:hAnsi="宋体"/>
                      <w:szCs w:val="21"/>
                    </w:rPr>
                    <w:t>工艺及设备清单</w:t>
                  </w:r>
                </w:p>
              </w:tc>
              <w:tc>
                <w:tcPr>
                  <w:tcW w:w="796" w:type="pct"/>
                  <w:gridSpan w:val="2"/>
                  <w:vAlign w:val="center"/>
                </w:tcPr>
                <w:p>
                  <w:pPr>
                    <w:adjustRightInd w:val="0"/>
                    <w:snapToGrid w:val="0"/>
                    <w:jc w:val="center"/>
                    <w:rPr>
                      <w:rFonts w:hAnsi="宋体"/>
                      <w:szCs w:val="21"/>
                    </w:rPr>
                  </w:pPr>
                  <w:r>
                    <w:rPr>
                      <w:rFonts w:hint="eastAsia" w:hAnsi="宋体"/>
                      <w:szCs w:val="21"/>
                    </w:rPr>
                    <w:t>其他清单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9" w:type="pct"/>
                  <w:vMerge w:val="restart"/>
                  <w:vAlign w:val="center"/>
                </w:tcPr>
                <w:p>
                  <w:pPr>
                    <w:adjustRightInd w:val="0"/>
                    <w:snapToGrid w:val="0"/>
                    <w:jc w:val="center"/>
                    <w:rPr>
                      <w:szCs w:val="21"/>
                    </w:rPr>
                  </w:pPr>
                  <w:r>
                    <w:rPr>
                      <w:rFonts w:hint="eastAsia"/>
                      <w:szCs w:val="21"/>
                    </w:rPr>
                    <w:t>现代装备制造</w:t>
                  </w:r>
                </w:p>
              </w:tc>
              <w:tc>
                <w:tcPr>
                  <w:tcW w:w="263" w:type="pct"/>
                  <w:vMerge w:val="restart"/>
                  <w:vAlign w:val="center"/>
                </w:tcPr>
                <w:p>
                  <w:pPr>
                    <w:adjustRightInd w:val="0"/>
                    <w:snapToGrid w:val="0"/>
                    <w:jc w:val="center"/>
                    <w:rPr>
                      <w:rFonts w:hAnsi="宋体"/>
                      <w:szCs w:val="21"/>
                    </w:rPr>
                  </w:pPr>
                  <w:r>
                    <w:rPr>
                      <w:rFonts w:hint="eastAsia" w:hAnsi="宋体"/>
                      <w:szCs w:val="21"/>
                    </w:rPr>
                    <w:t>禁止准入类产业</w:t>
                  </w:r>
                </w:p>
              </w:tc>
              <w:tc>
                <w:tcPr>
                  <w:tcW w:w="1156" w:type="pct"/>
                  <w:vAlign w:val="center"/>
                </w:tcPr>
                <w:p>
                  <w:pPr>
                    <w:adjustRightInd w:val="0"/>
                    <w:snapToGrid w:val="0"/>
                    <w:jc w:val="center"/>
                    <w:rPr>
                      <w:rFonts w:hAnsi="宋体"/>
                      <w:szCs w:val="21"/>
                    </w:rPr>
                  </w:pPr>
                  <w:r>
                    <w:rPr>
                      <w:rFonts w:hint="eastAsia"/>
                      <w:szCs w:val="21"/>
                    </w:rPr>
                    <w:t>①禁止低速汽车（三轮汽车、低速货车）（自2015年起执行与轻型卡车同等的节能与排放标准）；②禁止民用普通电镀表制造项目</w:t>
                  </w:r>
                </w:p>
              </w:tc>
              <w:tc>
                <w:tcPr>
                  <w:tcW w:w="2514" w:type="pct"/>
                  <w:vAlign w:val="center"/>
                </w:tcPr>
                <w:p>
                  <w:pPr>
                    <w:adjustRightInd w:val="0"/>
                    <w:snapToGrid w:val="0"/>
                    <w:jc w:val="center"/>
                    <w:rPr>
                      <w:rFonts w:hAnsi="宋体"/>
                      <w:szCs w:val="21"/>
                    </w:rPr>
                  </w:pPr>
                  <w:r>
                    <w:rPr>
                      <w:rFonts w:hint="eastAsia" w:hAnsi="宋体"/>
                      <w:szCs w:val="21"/>
                    </w:rPr>
                    <w:t>①</w:t>
                  </w:r>
                  <w:r>
                    <w:rPr>
                      <w:rFonts w:hAnsi="宋体"/>
                      <w:szCs w:val="21"/>
                    </w:rPr>
                    <w:t>P0</w:t>
                  </w:r>
                  <w:r>
                    <w:rPr>
                      <w:rFonts w:hint="eastAsia" w:hAnsi="宋体"/>
                      <w:szCs w:val="21"/>
                    </w:rPr>
                    <w:t>级、直径</w:t>
                  </w:r>
                  <w:r>
                    <w:rPr>
                      <w:rFonts w:hAnsi="宋体"/>
                      <w:szCs w:val="21"/>
                    </w:rPr>
                    <w:t>60</w:t>
                  </w:r>
                  <w:r>
                    <w:rPr>
                      <w:rFonts w:hint="eastAsia" w:hAnsi="宋体"/>
                      <w:szCs w:val="21"/>
                    </w:rPr>
                    <w:t>毫米以下普通微小型轴承制造项目②</w:t>
                  </w:r>
                  <w:r>
                    <w:rPr>
                      <w:rFonts w:hAnsi="宋体"/>
                      <w:szCs w:val="21"/>
                    </w:rPr>
                    <w:t>Y</w:t>
                  </w:r>
                  <w:r>
                    <w:rPr>
                      <w:rFonts w:hint="eastAsia" w:hAnsi="宋体"/>
                      <w:szCs w:val="21"/>
                    </w:rPr>
                    <w:t>系列（</w:t>
                  </w:r>
                  <w:r>
                    <w:rPr>
                      <w:rFonts w:hAnsi="宋体"/>
                      <w:szCs w:val="21"/>
                    </w:rPr>
                    <w:t>IP44</w:t>
                  </w:r>
                  <w:r>
                    <w:rPr>
                      <w:rFonts w:hint="eastAsia" w:hAnsi="宋体"/>
                      <w:szCs w:val="21"/>
                    </w:rPr>
                    <w:t>）三相异步电动机（机座号</w:t>
                  </w:r>
                  <w:r>
                    <w:rPr>
                      <w:rFonts w:hAnsi="宋体"/>
                      <w:szCs w:val="21"/>
                    </w:rPr>
                    <w:t>80</w:t>
                  </w:r>
                  <w:r>
                    <w:rPr>
                      <w:rFonts w:hint="eastAsia" w:hAnsi="宋体"/>
                      <w:szCs w:val="21"/>
                    </w:rPr>
                    <w:t>～</w:t>
                  </w:r>
                  <w:r>
                    <w:rPr>
                      <w:rFonts w:hAnsi="宋体"/>
                      <w:szCs w:val="21"/>
                    </w:rPr>
                    <w:t>355</w:t>
                  </w:r>
                  <w:r>
                    <w:rPr>
                      <w:rFonts w:hint="eastAsia" w:hAnsi="宋体"/>
                      <w:szCs w:val="21"/>
                    </w:rPr>
                    <w:t>）及其派生系列，</w:t>
                  </w:r>
                  <w:r>
                    <w:rPr>
                      <w:rFonts w:hAnsi="宋体"/>
                      <w:szCs w:val="21"/>
                    </w:rPr>
                    <w:t>Y2</w:t>
                  </w:r>
                  <w:r>
                    <w:rPr>
                      <w:rFonts w:hint="eastAsia" w:hAnsi="宋体"/>
                      <w:szCs w:val="21"/>
                    </w:rPr>
                    <w:t>系列（</w:t>
                  </w:r>
                  <w:r>
                    <w:rPr>
                      <w:rFonts w:hAnsi="宋体"/>
                      <w:szCs w:val="21"/>
                    </w:rPr>
                    <w:t>IP54</w:t>
                  </w:r>
                  <w:r>
                    <w:rPr>
                      <w:rFonts w:hint="eastAsia" w:hAnsi="宋体"/>
                      <w:szCs w:val="21"/>
                    </w:rPr>
                    <w:t>）三相异步电动机（机座号</w:t>
                  </w:r>
                  <w:r>
                    <w:rPr>
                      <w:rFonts w:hAnsi="宋体"/>
                      <w:szCs w:val="21"/>
                    </w:rPr>
                    <w:t>63</w:t>
                  </w:r>
                  <w:r>
                    <w:rPr>
                      <w:rFonts w:hint="eastAsia" w:hAnsi="宋体"/>
                      <w:szCs w:val="21"/>
                    </w:rPr>
                    <w:t>～</w:t>
                  </w:r>
                  <w:r>
                    <w:rPr>
                      <w:rFonts w:hAnsi="宋体"/>
                      <w:szCs w:val="21"/>
                    </w:rPr>
                    <w:t>355</w:t>
                  </w:r>
                  <w:r>
                    <w:rPr>
                      <w:rFonts w:hint="eastAsia" w:hAnsi="宋体"/>
                      <w:szCs w:val="21"/>
                    </w:rPr>
                    <w:t>）；③无磁轭（≥0.25吨）铝壳中频感应电炉（2015年）；④动圈式和抽头式硅整流弧焊机；⑤无法安装安全保护装置的冲床；⑥无芯工频感应电炉⑦J31-250 机械压力机等</w:t>
                  </w:r>
                </w:p>
              </w:tc>
              <w:tc>
                <w:tcPr>
                  <w:tcW w:w="796" w:type="pct"/>
                  <w:gridSpan w:val="2"/>
                  <w:vMerge w:val="restart"/>
                  <w:vAlign w:val="center"/>
                </w:tcPr>
                <w:p>
                  <w:pPr>
                    <w:adjustRightInd w:val="0"/>
                    <w:snapToGrid w:val="0"/>
                    <w:jc w:val="center"/>
                    <w:rPr>
                      <w:rFonts w:hAnsi="宋体"/>
                      <w:szCs w:val="21"/>
                    </w:rPr>
                  </w:pPr>
                  <w:r>
                    <w:rPr>
                      <w:rFonts w:hint="eastAsia" w:hAnsi="宋体"/>
                      <w:szCs w:val="21"/>
                    </w:rPr>
                    <w:t>不能实现总量控制要求或取用深层地下水的项目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9" w:type="pct"/>
                  <w:vMerge w:val="continue"/>
                  <w:vAlign w:val="center"/>
                </w:tcPr>
                <w:p>
                  <w:pPr>
                    <w:widowControl/>
                    <w:jc w:val="center"/>
                    <w:rPr>
                      <w:szCs w:val="21"/>
                    </w:rPr>
                  </w:pPr>
                </w:p>
              </w:tc>
              <w:tc>
                <w:tcPr>
                  <w:tcW w:w="263" w:type="pct"/>
                  <w:vMerge w:val="continue"/>
                  <w:vAlign w:val="center"/>
                </w:tcPr>
                <w:p>
                  <w:pPr>
                    <w:widowControl/>
                    <w:jc w:val="center"/>
                    <w:rPr>
                      <w:rFonts w:hAnsi="宋体"/>
                      <w:szCs w:val="21"/>
                    </w:rPr>
                  </w:pPr>
                </w:p>
              </w:tc>
              <w:tc>
                <w:tcPr>
                  <w:tcW w:w="1156" w:type="pct"/>
                  <w:vAlign w:val="center"/>
                </w:tcPr>
                <w:p>
                  <w:pPr>
                    <w:adjustRightInd w:val="0"/>
                    <w:snapToGrid w:val="0"/>
                    <w:jc w:val="center"/>
                    <w:rPr>
                      <w:rFonts w:hAnsi="宋体"/>
                      <w:szCs w:val="21"/>
                    </w:rPr>
                  </w:pPr>
                  <w:r>
                    <w:rPr>
                      <w:rFonts w:hint="eastAsia" w:hAnsi="宋体"/>
                      <w:szCs w:val="21"/>
                    </w:rPr>
                    <w:t>有色金属冶炼</w:t>
                  </w:r>
                </w:p>
              </w:tc>
              <w:tc>
                <w:tcPr>
                  <w:tcW w:w="2514" w:type="pct"/>
                  <w:vAlign w:val="center"/>
                </w:tcPr>
                <w:p>
                  <w:pPr>
                    <w:adjustRightInd w:val="0"/>
                    <w:snapToGrid w:val="0"/>
                    <w:jc w:val="center"/>
                    <w:rPr>
                      <w:rFonts w:hAnsi="宋体"/>
                      <w:szCs w:val="21"/>
                    </w:rPr>
                  </w:pPr>
                  <w:r>
                    <w:rPr>
                      <w:rFonts w:hint="eastAsia" w:hAnsi="宋体"/>
                      <w:szCs w:val="21"/>
                    </w:rPr>
                    <w:t>—</w:t>
                  </w:r>
                </w:p>
              </w:tc>
              <w:tc>
                <w:tcPr>
                  <w:tcW w:w="796" w:type="pct"/>
                  <w:gridSpan w:val="2"/>
                  <w:vMerge w:val="continue"/>
                  <w:vAlign w:val="center"/>
                </w:tcPr>
                <w:p>
                  <w:pPr>
                    <w:widowControl/>
                    <w:jc w:val="center"/>
                    <w:rPr>
                      <w:rFonts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9" w:type="pct"/>
                  <w:vMerge w:val="continue"/>
                  <w:vAlign w:val="center"/>
                </w:tcPr>
                <w:p>
                  <w:pPr>
                    <w:widowControl/>
                    <w:jc w:val="center"/>
                    <w:rPr>
                      <w:szCs w:val="21"/>
                    </w:rPr>
                  </w:pPr>
                </w:p>
              </w:tc>
              <w:tc>
                <w:tcPr>
                  <w:tcW w:w="263" w:type="pct"/>
                  <w:vAlign w:val="center"/>
                </w:tcPr>
                <w:p>
                  <w:pPr>
                    <w:adjustRightInd w:val="0"/>
                    <w:snapToGrid w:val="0"/>
                    <w:jc w:val="center"/>
                    <w:rPr>
                      <w:rFonts w:hAnsi="宋体"/>
                      <w:szCs w:val="21"/>
                    </w:rPr>
                  </w:pPr>
                  <w:r>
                    <w:rPr>
                      <w:rFonts w:hint="eastAsia" w:hAnsi="宋体"/>
                      <w:szCs w:val="21"/>
                    </w:rPr>
                    <w:t>限制准入产业</w:t>
                  </w:r>
                </w:p>
              </w:tc>
              <w:tc>
                <w:tcPr>
                  <w:tcW w:w="1156" w:type="pct"/>
                  <w:vAlign w:val="center"/>
                </w:tcPr>
                <w:p>
                  <w:pPr>
                    <w:adjustRightInd w:val="0"/>
                    <w:snapToGrid w:val="0"/>
                    <w:jc w:val="center"/>
                    <w:rPr>
                      <w:rFonts w:hAnsi="宋体"/>
                      <w:szCs w:val="21"/>
                    </w:rPr>
                  </w:pPr>
                  <w:r>
                    <w:rPr>
                      <w:rFonts w:hint="eastAsia" w:hAnsi="宋体"/>
                      <w:szCs w:val="21"/>
                    </w:rPr>
                    <w:t>①酸性碳钢焊条制造项目；②民用普通电度表制造项目；③6千伏及以上(陆上用)干法交联电力电缆制造项目</w:t>
                  </w:r>
                </w:p>
              </w:tc>
              <w:tc>
                <w:tcPr>
                  <w:tcW w:w="2514" w:type="pct"/>
                  <w:vAlign w:val="center"/>
                </w:tcPr>
                <w:p>
                  <w:pPr>
                    <w:adjustRightInd w:val="0"/>
                    <w:snapToGrid w:val="0"/>
                    <w:jc w:val="center"/>
                    <w:rPr>
                      <w:rFonts w:hAnsi="宋体"/>
                      <w:szCs w:val="21"/>
                    </w:rPr>
                  </w:pPr>
                  <w:r>
                    <w:rPr>
                      <w:rFonts w:hint="eastAsia" w:hAnsi="宋体"/>
                      <w:szCs w:val="21"/>
                    </w:rPr>
                    <w:t>①非数控金属切削机床制造项目；②非数控剪板机、折弯机、弯管机制造项目；③普通高速钢钻头、铣刀、锯片、丝锥、板牙项目；④8.8级以下普通低档标准紧固件制造项目⑤无再生的水玻璃砂造型制芯工艺</w:t>
                  </w:r>
                </w:p>
              </w:tc>
              <w:tc>
                <w:tcPr>
                  <w:tcW w:w="796" w:type="pct"/>
                  <w:gridSpan w:val="2"/>
                  <w:vAlign w:val="center"/>
                </w:tcPr>
                <w:p>
                  <w:pPr>
                    <w:adjustRightInd w:val="0"/>
                    <w:snapToGrid w:val="0"/>
                    <w:jc w:val="center"/>
                    <w:rPr>
                      <w:rFonts w:hAnsi="宋体"/>
                      <w:szCs w:val="21"/>
                    </w:rPr>
                  </w:pPr>
                  <w:r>
                    <w:rPr>
                      <w:rFonts w:hint="eastAsia" w:hAnsi="宋体"/>
                      <w:szCs w:val="21"/>
                    </w:rPr>
                    <w:t>不能实现总量控制要求或取用深层地下水的项目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9" w:type="pct"/>
                  <w:vMerge w:val="restart"/>
                  <w:vAlign w:val="center"/>
                </w:tcPr>
                <w:p>
                  <w:pPr>
                    <w:adjustRightInd w:val="0"/>
                    <w:snapToGrid w:val="0"/>
                    <w:jc w:val="center"/>
                    <w:rPr>
                      <w:szCs w:val="21"/>
                    </w:rPr>
                  </w:pPr>
                  <w:r>
                    <w:rPr>
                      <w:rFonts w:hint="eastAsia"/>
                      <w:szCs w:val="21"/>
                    </w:rPr>
                    <w:t>新能源及配套循环经济产业</w:t>
                  </w:r>
                </w:p>
              </w:tc>
              <w:tc>
                <w:tcPr>
                  <w:tcW w:w="263" w:type="pct"/>
                  <w:vAlign w:val="center"/>
                </w:tcPr>
                <w:p>
                  <w:pPr>
                    <w:adjustRightInd w:val="0"/>
                    <w:snapToGrid w:val="0"/>
                    <w:jc w:val="center"/>
                    <w:rPr>
                      <w:rFonts w:hAnsi="宋体"/>
                      <w:szCs w:val="21"/>
                    </w:rPr>
                  </w:pPr>
                  <w:r>
                    <w:rPr>
                      <w:rFonts w:hint="eastAsia" w:hAnsi="宋体"/>
                      <w:szCs w:val="21"/>
                    </w:rPr>
                    <w:t>禁止准入类产业</w:t>
                  </w:r>
                </w:p>
              </w:tc>
              <w:tc>
                <w:tcPr>
                  <w:tcW w:w="1156" w:type="pct"/>
                  <w:vAlign w:val="center"/>
                </w:tcPr>
                <w:p>
                  <w:pPr>
                    <w:adjustRightInd w:val="0"/>
                    <w:snapToGrid w:val="0"/>
                    <w:jc w:val="center"/>
                    <w:rPr>
                      <w:rFonts w:hAnsi="宋体"/>
                      <w:szCs w:val="21"/>
                    </w:rPr>
                  </w:pPr>
                  <w:r>
                    <w:rPr>
                      <w:rFonts w:hint="eastAsia" w:hAnsi="宋体"/>
                      <w:szCs w:val="21"/>
                    </w:rPr>
                    <w:t>①多晶硅项目；②风电设备项目</w:t>
                  </w:r>
                </w:p>
              </w:tc>
              <w:tc>
                <w:tcPr>
                  <w:tcW w:w="2514" w:type="pct"/>
                  <w:vAlign w:val="center"/>
                </w:tcPr>
                <w:p>
                  <w:pPr>
                    <w:adjustRightInd w:val="0"/>
                    <w:snapToGrid w:val="0"/>
                    <w:jc w:val="center"/>
                    <w:rPr>
                      <w:rFonts w:hAnsi="宋体"/>
                      <w:szCs w:val="21"/>
                    </w:rPr>
                  </w:pPr>
                  <w:r>
                    <w:rPr>
                      <w:rFonts w:hint="eastAsia" w:hAnsi="宋体"/>
                      <w:szCs w:val="21"/>
                    </w:rPr>
                    <w:t>①对缺乏配套综合利用、环保不达标的多晶硅项目不予核准或备案；②新建多晶硅项目规模小于3000吨/年的项目；③禁止2.5兆瓦以下的风电整机和轴承、控制系统的新建项目</w:t>
                  </w:r>
                </w:p>
              </w:tc>
              <w:tc>
                <w:tcPr>
                  <w:tcW w:w="796" w:type="pct"/>
                  <w:gridSpan w:val="2"/>
                  <w:vAlign w:val="center"/>
                </w:tcPr>
                <w:p>
                  <w:pPr>
                    <w:adjustRightInd w:val="0"/>
                    <w:snapToGrid w:val="0"/>
                    <w:jc w:val="center"/>
                    <w:rPr>
                      <w:rFonts w:hAnsi="宋体"/>
                      <w:szCs w:val="21"/>
                    </w:rPr>
                  </w:pPr>
                  <w:r>
                    <w:rPr>
                      <w:rFonts w:hint="eastAsia" w:hAnsi="宋体"/>
                      <w:szCs w:val="21"/>
                    </w:rPr>
                    <w:t>不能实现总量控制要求或取用深层地下水的项目；涉重金属项目需满足总量控制要求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9" w:type="pct"/>
                  <w:vMerge w:val="continue"/>
                  <w:vAlign w:val="center"/>
                </w:tcPr>
                <w:p>
                  <w:pPr>
                    <w:widowControl/>
                    <w:jc w:val="center"/>
                    <w:rPr>
                      <w:szCs w:val="21"/>
                    </w:rPr>
                  </w:pPr>
                </w:p>
              </w:tc>
              <w:tc>
                <w:tcPr>
                  <w:tcW w:w="263" w:type="pct"/>
                  <w:vAlign w:val="center"/>
                </w:tcPr>
                <w:p>
                  <w:pPr>
                    <w:adjustRightInd w:val="0"/>
                    <w:snapToGrid w:val="0"/>
                    <w:jc w:val="center"/>
                    <w:rPr>
                      <w:rFonts w:hAnsi="宋体"/>
                      <w:szCs w:val="21"/>
                    </w:rPr>
                  </w:pPr>
                  <w:r>
                    <w:rPr>
                      <w:rFonts w:hint="eastAsia" w:hAnsi="宋体"/>
                      <w:szCs w:val="21"/>
                    </w:rPr>
                    <w:t>限制准入产业</w:t>
                  </w:r>
                </w:p>
              </w:tc>
              <w:tc>
                <w:tcPr>
                  <w:tcW w:w="1156" w:type="pct"/>
                  <w:vAlign w:val="center"/>
                </w:tcPr>
                <w:p>
                  <w:pPr>
                    <w:adjustRightInd w:val="0"/>
                    <w:snapToGrid w:val="0"/>
                    <w:jc w:val="center"/>
                    <w:rPr>
                      <w:rFonts w:hAnsi="宋体"/>
                      <w:szCs w:val="21"/>
                    </w:rPr>
                  </w:pPr>
                  <w:r>
                    <w:rPr>
                      <w:rFonts w:hint="eastAsia" w:hAnsi="宋体"/>
                      <w:szCs w:val="21"/>
                    </w:rPr>
                    <w:t>—</w:t>
                  </w:r>
                </w:p>
              </w:tc>
              <w:tc>
                <w:tcPr>
                  <w:tcW w:w="2514" w:type="pct"/>
                  <w:vAlign w:val="center"/>
                </w:tcPr>
                <w:p>
                  <w:pPr>
                    <w:adjustRightInd w:val="0"/>
                    <w:snapToGrid w:val="0"/>
                    <w:jc w:val="center"/>
                    <w:rPr>
                      <w:rFonts w:hAnsi="宋体"/>
                      <w:szCs w:val="21"/>
                    </w:rPr>
                  </w:pPr>
                  <w:r>
                    <w:rPr>
                      <w:rFonts w:hint="eastAsia" w:hAnsi="宋体"/>
                      <w:szCs w:val="21"/>
                    </w:rPr>
                    <w:t>严格控制在能源短缺、电价较高的地区新建多晶硅项目</w:t>
                  </w:r>
                </w:p>
              </w:tc>
              <w:tc>
                <w:tcPr>
                  <w:tcW w:w="796" w:type="pct"/>
                  <w:gridSpan w:val="2"/>
                  <w:vAlign w:val="center"/>
                </w:tcPr>
                <w:p>
                  <w:pPr>
                    <w:adjustRightInd w:val="0"/>
                    <w:snapToGrid w:val="0"/>
                    <w:jc w:val="center"/>
                    <w:rPr>
                      <w:rFonts w:hAnsi="宋体"/>
                      <w:szCs w:val="21"/>
                    </w:rPr>
                  </w:pPr>
                  <w:r>
                    <w:rPr>
                      <w:rFonts w:hint="eastAsia" w:hAnsi="宋体"/>
                      <w:szCs w:val="21"/>
                    </w:rPr>
                    <w:t>不能实现总量控制要求或取用深层地下水的项目；涉重金属项目需满足总量控制要求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269" w:type="pct"/>
                  <w:vMerge w:val="restart"/>
                  <w:vAlign w:val="center"/>
                </w:tcPr>
                <w:p>
                  <w:pPr>
                    <w:adjustRightInd w:val="0"/>
                    <w:snapToGrid w:val="0"/>
                    <w:spacing w:line="0" w:lineRule="atLeast"/>
                    <w:jc w:val="center"/>
                    <w:rPr>
                      <w:szCs w:val="21"/>
                    </w:rPr>
                  </w:pPr>
                  <w:r>
                    <w:rPr>
                      <w:rFonts w:hint="eastAsia"/>
                      <w:szCs w:val="21"/>
                    </w:rPr>
                    <w:t>新材料产业</w:t>
                  </w:r>
                </w:p>
              </w:tc>
              <w:tc>
                <w:tcPr>
                  <w:tcW w:w="263" w:type="pct"/>
                  <w:vAlign w:val="center"/>
                </w:tcPr>
                <w:p>
                  <w:pPr>
                    <w:adjustRightInd w:val="0"/>
                    <w:snapToGrid w:val="0"/>
                    <w:spacing w:line="0" w:lineRule="atLeast"/>
                    <w:jc w:val="center"/>
                    <w:rPr>
                      <w:rFonts w:hAnsi="宋体"/>
                      <w:szCs w:val="21"/>
                    </w:rPr>
                  </w:pPr>
                  <w:r>
                    <w:rPr>
                      <w:rFonts w:hint="eastAsia" w:hAnsi="宋体"/>
                      <w:szCs w:val="21"/>
                    </w:rPr>
                    <w:t>禁止准入类产业</w:t>
                  </w:r>
                </w:p>
              </w:tc>
              <w:tc>
                <w:tcPr>
                  <w:tcW w:w="1156" w:type="pct"/>
                  <w:vAlign w:val="center"/>
                </w:tcPr>
                <w:p>
                  <w:pPr>
                    <w:adjustRightInd w:val="0"/>
                    <w:snapToGrid w:val="0"/>
                    <w:spacing w:line="0" w:lineRule="atLeast"/>
                    <w:jc w:val="center"/>
                    <w:rPr>
                      <w:rFonts w:hAnsi="宋体"/>
                      <w:szCs w:val="21"/>
                    </w:rPr>
                  </w:pPr>
                  <w:r>
                    <w:rPr>
                      <w:rFonts w:hint="eastAsia" w:hAnsi="宋体"/>
                      <w:szCs w:val="21"/>
                    </w:rPr>
                    <w:t>①涂料、油墨、颜料及类似产品制造(等量置换和省级园区内除外)</w:t>
                  </w:r>
                </w:p>
              </w:tc>
              <w:tc>
                <w:tcPr>
                  <w:tcW w:w="2514" w:type="pct"/>
                  <w:vAlign w:val="center"/>
                </w:tcPr>
                <w:p>
                  <w:pPr>
                    <w:adjustRightInd w:val="0"/>
                    <w:snapToGrid w:val="0"/>
                    <w:spacing w:line="0" w:lineRule="atLeast"/>
                    <w:jc w:val="center"/>
                    <w:rPr>
                      <w:rFonts w:hAnsi="宋体"/>
                      <w:szCs w:val="21"/>
                    </w:rPr>
                  </w:pPr>
                  <w:r>
                    <w:rPr>
                      <w:rFonts w:hint="eastAsia" w:hAnsi="宋体"/>
                      <w:szCs w:val="21"/>
                    </w:rPr>
                    <w:t>改性淀粉、改性纤维、多彩内墙 (树脂以硝化纤维素为主，溶剂以二甲苯为主的O/W型涂料)、氯乙烯-偏氯乙烯共聚乳液外墙、焦油型聚氨酯防水、水性聚氯乙烯焦油防水、聚乙烯醇及其缩醛类内外墙（106、107涂料等）、聚醋酸乙烯乳液类（含乙烯/醋酸乙烯酯共聚物乳液）</w:t>
                  </w:r>
                </w:p>
                <w:p>
                  <w:pPr>
                    <w:adjustRightInd w:val="0"/>
                    <w:snapToGrid w:val="0"/>
                    <w:spacing w:line="0" w:lineRule="atLeast"/>
                    <w:jc w:val="center"/>
                    <w:rPr>
                      <w:rFonts w:hAnsi="宋体"/>
                      <w:szCs w:val="21"/>
                    </w:rPr>
                  </w:pPr>
                  <w:r>
                    <w:rPr>
                      <w:rFonts w:hint="eastAsia" w:hAnsi="宋体"/>
                      <w:szCs w:val="21"/>
                    </w:rPr>
                    <w:t>外墙涂料</w:t>
                  </w:r>
                </w:p>
              </w:tc>
              <w:tc>
                <w:tcPr>
                  <w:tcW w:w="792" w:type="pct"/>
                  <w:vAlign w:val="center"/>
                </w:tcPr>
                <w:p>
                  <w:pPr>
                    <w:widowControl/>
                    <w:spacing w:line="0" w:lineRule="atLeast"/>
                    <w:jc w:val="center"/>
                    <w:rPr>
                      <w:rFonts w:hAnsi="宋体"/>
                      <w:szCs w:val="21"/>
                    </w:rPr>
                  </w:pPr>
                  <w:r>
                    <w:rPr>
                      <w:rFonts w:hint="eastAsia" w:hAnsi="宋体"/>
                      <w:szCs w:val="21"/>
                    </w:rPr>
                    <w:t>不能实现总量控制要求或取用深层地下水的项目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269" w:type="pct"/>
                  <w:vMerge w:val="continue"/>
                  <w:vAlign w:val="center"/>
                </w:tcPr>
                <w:p>
                  <w:pPr>
                    <w:widowControl/>
                    <w:jc w:val="center"/>
                    <w:rPr>
                      <w:szCs w:val="21"/>
                    </w:rPr>
                  </w:pPr>
                </w:p>
              </w:tc>
              <w:tc>
                <w:tcPr>
                  <w:tcW w:w="263" w:type="pct"/>
                  <w:vAlign w:val="center"/>
                </w:tcPr>
                <w:p>
                  <w:pPr>
                    <w:adjustRightInd w:val="0"/>
                    <w:snapToGrid w:val="0"/>
                    <w:spacing w:line="0" w:lineRule="atLeast"/>
                    <w:jc w:val="center"/>
                    <w:rPr>
                      <w:rFonts w:hAnsi="宋体"/>
                      <w:szCs w:val="21"/>
                    </w:rPr>
                  </w:pPr>
                  <w:r>
                    <w:rPr>
                      <w:rFonts w:hint="eastAsia" w:hAnsi="宋体"/>
                      <w:szCs w:val="21"/>
                    </w:rPr>
                    <w:t>限制准入产业</w:t>
                  </w:r>
                </w:p>
              </w:tc>
              <w:tc>
                <w:tcPr>
                  <w:tcW w:w="1156" w:type="pct"/>
                  <w:vAlign w:val="center"/>
                </w:tcPr>
                <w:p>
                  <w:pPr>
                    <w:adjustRightInd w:val="0"/>
                    <w:snapToGrid w:val="0"/>
                    <w:spacing w:line="0" w:lineRule="atLeast"/>
                    <w:jc w:val="center"/>
                    <w:rPr>
                      <w:rFonts w:hAnsi="宋体"/>
                      <w:szCs w:val="21"/>
                    </w:rPr>
                  </w:pPr>
                  <w:r>
                    <w:rPr>
                      <w:rFonts w:hint="eastAsia" w:hAnsi="宋体"/>
                      <w:szCs w:val="21"/>
                    </w:rPr>
                    <w:t>—</w:t>
                  </w:r>
                </w:p>
              </w:tc>
              <w:tc>
                <w:tcPr>
                  <w:tcW w:w="2514" w:type="pct"/>
                  <w:vAlign w:val="center"/>
                </w:tcPr>
                <w:p>
                  <w:pPr>
                    <w:adjustRightInd w:val="0"/>
                    <w:snapToGrid w:val="0"/>
                    <w:spacing w:line="0" w:lineRule="atLeast"/>
                    <w:jc w:val="center"/>
                    <w:rPr>
                      <w:rFonts w:hAnsi="宋体"/>
                      <w:szCs w:val="21"/>
                    </w:rPr>
                  </w:pPr>
                  <w:r>
                    <w:rPr>
                      <w:rFonts w:hint="eastAsia" w:hAnsi="宋体"/>
                      <w:szCs w:val="21"/>
                    </w:rPr>
                    <w:t>①新建7万吨/年以下聚丙烯（连续法及间歇法）、20万吨／年以下聚乙烯、乙炔法聚氯乙烯；②新建染料、染料中间体、有机颜料、印染助剂生产装置（不包括鼓励类的染料产品和生产工艺）</w:t>
                  </w:r>
                </w:p>
              </w:tc>
              <w:tc>
                <w:tcPr>
                  <w:tcW w:w="792" w:type="pct"/>
                  <w:vAlign w:val="center"/>
                </w:tcPr>
                <w:p>
                  <w:pPr>
                    <w:adjustRightInd w:val="0"/>
                    <w:snapToGrid w:val="0"/>
                    <w:spacing w:line="0" w:lineRule="atLeast"/>
                    <w:jc w:val="center"/>
                    <w:rPr>
                      <w:rFonts w:hAnsi="宋体"/>
                      <w:szCs w:val="21"/>
                    </w:rPr>
                  </w:pPr>
                  <w:r>
                    <w:rPr>
                      <w:rFonts w:hint="eastAsia"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269" w:type="pct"/>
                  <w:vMerge w:val="restart"/>
                  <w:vAlign w:val="center"/>
                </w:tcPr>
                <w:p>
                  <w:pPr>
                    <w:adjustRightInd w:val="0"/>
                    <w:snapToGrid w:val="0"/>
                    <w:spacing w:line="0" w:lineRule="atLeast"/>
                    <w:jc w:val="center"/>
                    <w:rPr>
                      <w:szCs w:val="21"/>
                    </w:rPr>
                  </w:pPr>
                  <w:r>
                    <w:rPr>
                      <w:rFonts w:hint="eastAsia"/>
                      <w:szCs w:val="21"/>
                    </w:rPr>
                    <w:t>炼焦及化工产业</w:t>
                  </w:r>
                </w:p>
              </w:tc>
              <w:tc>
                <w:tcPr>
                  <w:tcW w:w="263" w:type="pct"/>
                  <w:vAlign w:val="center"/>
                </w:tcPr>
                <w:p>
                  <w:pPr>
                    <w:adjustRightInd w:val="0"/>
                    <w:snapToGrid w:val="0"/>
                    <w:spacing w:line="0" w:lineRule="atLeast"/>
                    <w:jc w:val="center"/>
                    <w:rPr>
                      <w:rFonts w:hAnsi="宋体"/>
                      <w:szCs w:val="21"/>
                    </w:rPr>
                  </w:pPr>
                  <w:r>
                    <w:rPr>
                      <w:rFonts w:hint="eastAsia" w:hAnsi="宋体"/>
                      <w:szCs w:val="21"/>
                    </w:rPr>
                    <w:t>禁止准入类产业</w:t>
                  </w:r>
                </w:p>
              </w:tc>
              <w:tc>
                <w:tcPr>
                  <w:tcW w:w="1156" w:type="pct"/>
                  <w:vAlign w:val="center"/>
                </w:tcPr>
                <w:p>
                  <w:pPr>
                    <w:adjustRightInd w:val="0"/>
                    <w:snapToGrid w:val="0"/>
                    <w:spacing w:line="0" w:lineRule="atLeast"/>
                    <w:jc w:val="center"/>
                    <w:rPr>
                      <w:rFonts w:hAnsi="宋体"/>
                      <w:szCs w:val="21"/>
                    </w:rPr>
                  </w:pPr>
                  <w:r>
                    <w:rPr>
                      <w:rFonts w:hint="eastAsia" w:hAnsi="宋体"/>
                      <w:szCs w:val="21"/>
                    </w:rPr>
                    <w:t>①炼焦业：禁止新建和扩建(等量置换除外)</w:t>
                  </w:r>
                </w:p>
              </w:tc>
              <w:tc>
                <w:tcPr>
                  <w:tcW w:w="2514" w:type="pct"/>
                  <w:vAlign w:val="center"/>
                </w:tcPr>
                <w:p>
                  <w:pPr>
                    <w:adjustRightInd w:val="0"/>
                    <w:snapToGrid w:val="0"/>
                    <w:spacing w:line="0" w:lineRule="atLeast"/>
                    <w:jc w:val="center"/>
                    <w:rPr>
                      <w:rFonts w:hAnsi="宋体"/>
                      <w:szCs w:val="21"/>
                    </w:rPr>
                  </w:pPr>
                  <w:r>
                    <w:rPr>
                      <w:rFonts w:hint="eastAsia" w:hAnsi="宋体"/>
                      <w:szCs w:val="21"/>
                    </w:rPr>
                    <w:t>①炭化室高度小于4.3米焦炉（3.8米及以上捣固焦炉除外）；②1.5万吨/年及以下的干法造粒炭黑；③1.5万吨/年以下普通级白炭黑；④2.5万吨/年及以下的单套粗（轻）苯精制装置；⑤未达到焦化行业准入条件要求的热回收焦炉</w:t>
                  </w:r>
                </w:p>
              </w:tc>
              <w:tc>
                <w:tcPr>
                  <w:tcW w:w="792" w:type="pct"/>
                  <w:vAlign w:val="center"/>
                </w:tcPr>
                <w:p>
                  <w:pPr>
                    <w:adjustRightInd w:val="0"/>
                    <w:snapToGrid w:val="0"/>
                    <w:spacing w:line="0" w:lineRule="atLeast"/>
                    <w:jc w:val="center"/>
                    <w:rPr>
                      <w:rFonts w:hAnsi="宋体"/>
                      <w:szCs w:val="21"/>
                    </w:rPr>
                  </w:pPr>
                  <w:r>
                    <w:rPr>
                      <w:rFonts w:hint="eastAsia" w:hAnsi="宋体"/>
                      <w:szCs w:val="21"/>
                    </w:rPr>
                    <w:t>除建滔(河北)拟搬迁项目外，开发区不得新增焦炭产能(</w:t>
                  </w:r>
                  <w:r>
                    <w:rPr>
                      <w:rFonts w:hint="eastAsia" w:hAnsi="宋体"/>
                      <w:bCs/>
                      <w:szCs w:val="21"/>
                    </w:rPr>
                    <w:t>焦炭产能不突破216万t/a</w:t>
                  </w:r>
                  <w:r>
                    <w:rPr>
                      <w:rFonts w:hint="eastAsia"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269" w:type="pct"/>
                  <w:vMerge w:val="continue"/>
                  <w:vAlign w:val="center"/>
                </w:tcPr>
                <w:p>
                  <w:pPr>
                    <w:widowControl/>
                    <w:spacing w:line="0" w:lineRule="atLeast"/>
                    <w:jc w:val="center"/>
                    <w:rPr>
                      <w:szCs w:val="21"/>
                    </w:rPr>
                  </w:pPr>
                </w:p>
              </w:tc>
              <w:tc>
                <w:tcPr>
                  <w:tcW w:w="263" w:type="pct"/>
                  <w:vAlign w:val="center"/>
                </w:tcPr>
                <w:p>
                  <w:pPr>
                    <w:adjustRightInd w:val="0"/>
                    <w:snapToGrid w:val="0"/>
                    <w:spacing w:line="0" w:lineRule="atLeast"/>
                    <w:jc w:val="center"/>
                    <w:rPr>
                      <w:rFonts w:hAnsi="宋体"/>
                      <w:szCs w:val="21"/>
                    </w:rPr>
                  </w:pPr>
                  <w:r>
                    <w:rPr>
                      <w:rFonts w:hint="eastAsia" w:hAnsi="宋体"/>
                      <w:szCs w:val="21"/>
                    </w:rPr>
                    <w:t>限制准入产业</w:t>
                  </w:r>
                </w:p>
              </w:tc>
              <w:tc>
                <w:tcPr>
                  <w:tcW w:w="1156" w:type="pct"/>
                  <w:vAlign w:val="center"/>
                </w:tcPr>
                <w:p>
                  <w:pPr>
                    <w:adjustRightInd w:val="0"/>
                    <w:snapToGrid w:val="0"/>
                    <w:spacing w:line="0" w:lineRule="atLeast"/>
                    <w:jc w:val="center"/>
                    <w:rPr>
                      <w:rFonts w:hAnsi="宋体"/>
                      <w:szCs w:val="21"/>
                    </w:rPr>
                  </w:pPr>
                  <w:r>
                    <w:rPr>
                      <w:rFonts w:hint="eastAsia" w:hAnsi="宋体"/>
                      <w:szCs w:val="21"/>
                    </w:rPr>
                    <w:t>—</w:t>
                  </w:r>
                </w:p>
              </w:tc>
              <w:tc>
                <w:tcPr>
                  <w:tcW w:w="2514" w:type="pct"/>
                  <w:vAlign w:val="center"/>
                </w:tcPr>
                <w:p>
                  <w:pPr>
                    <w:adjustRightInd w:val="0"/>
                    <w:snapToGrid w:val="0"/>
                    <w:spacing w:line="0" w:lineRule="atLeast"/>
                    <w:jc w:val="center"/>
                    <w:rPr>
                      <w:rFonts w:hAnsi="宋体"/>
                      <w:szCs w:val="21"/>
                    </w:rPr>
                  </w:pPr>
                  <w:r>
                    <w:rPr>
                      <w:rFonts w:hint="eastAsia" w:hAnsi="宋体"/>
                      <w:szCs w:val="21"/>
                    </w:rPr>
                    <w:t>①未同步配套建设干熄焦、装煤、推焦除尘装置的炼焦项目；②顶装焦炉炭化室高度&lt;6.0米、捣固焦炉炭化室高度&lt;5.5米；100万吨/年以下焦化项目；②天然气制甲醇、100万吨/年以下煤制甲醇生产装置（综合利用除</w:t>
                  </w:r>
                </w:p>
                <w:p>
                  <w:pPr>
                    <w:adjustRightInd w:val="0"/>
                    <w:snapToGrid w:val="0"/>
                    <w:spacing w:line="0" w:lineRule="atLeast"/>
                    <w:jc w:val="center"/>
                    <w:rPr>
                      <w:rFonts w:hAnsi="宋体"/>
                      <w:szCs w:val="21"/>
                    </w:rPr>
                  </w:pPr>
                  <w:r>
                    <w:rPr>
                      <w:rFonts w:hint="eastAsia" w:hAnsi="宋体"/>
                      <w:szCs w:val="21"/>
                    </w:rPr>
                    <w:t>外）等</w:t>
                  </w:r>
                </w:p>
              </w:tc>
              <w:tc>
                <w:tcPr>
                  <w:tcW w:w="792" w:type="pct"/>
                  <w:vAlign w:val="center"/>
                </w:tcPr>
                <w:p>
                  <w:pPr>
                    <w:adjustRightInd w:val="0"/>
                    <w:snapToGrid w:val="0"/>
                    <w:spacing w:line="0" w:lineRule="atLeast"/>
                    <w:jc w:val="center"/>
                    <w:rPr>
                      <w:rFonts w:hAnsi="宋体"/>
                      <w:szCs w:val="21"/>
                    </w:rPr>
                  </w:pPr>
                  <w:r>
                    <w:rPr>
                      <w:rFonts w:hint="eastAsia" w:hAnsi="宋体"/>
                      <w:szCs w:val="21"/>
                    </w:rPr>
                    <w:t>根据建滔搬迁项目实际焦炭产能发展后续甲醇、粗苯精制、醋酸等深加工项目，不得突破产能</w:t>
                  </w:r>
                </w:p>
                <w:p>
                  <w:pPr>
                    <w:adjustRightInd w:val="0"/>
                    <w:snapToGrid w:val="0"/>
                    <w:spacing w:line="0" w:lineRule="atLeast"/>
                    <w:jc w:val="center"/>
                    <w:rPr>
                      <w:rFonts w:hAnsi="宋体"/>
                      <w:szCs w:val="21"/>
                    </w:rPr>
                  </w:pPr>
                  <w:r>
                    <w:rPr>
                      <w:rFonts w:hint="eastAsia" w:hAnsi="宋体"/>
                      <w:szCs w:val="21"/>
                    </w:rPr>
                    <w:t>红线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269" w:type="pct"/>
                  <w:vAlign w:val="center"/>
                </w:tcPr>
                <w:p>
                  <w:pPr>
                    <w:adjustRightInd w:val="0"/>
                    <w:snapToGrid w:val="0"/>
                    <w:spacing w:line="0" w:lineRule="atLeast"/>
                    <w:jc w:val="center"/>
                    <w:rPr>
                      <w:szCs w:val="21"/>
                    </w:rPr>
                  </w:pPr>
                  <w:r>
                    <w:rPr>
                      <w:rFonts w:hint="eastAsia"/>
                      <w:szCs w:val="21"/>
                    </w:rPr>
                    <w:t>钢铁及相关产业</w:t>
                  </w:r>
                </w:p>
              </w:tc>
              <w:tc>
                <w:tcPr>
                  <w:tcW w:w="263" w:type="pct"/>
                  <w:vAlign w:val="center"/>
                </w:tcPr>
                <w:p>
                  <w:pPr>
                    <w:adjustRightInd w:val="0"/>
                    <w:snapToGrid w:val="0"/>
                    <w:spacing w:line="0" w:lineRule="atLeast"/>
                    <w:jc w:val="center"/>
                    <w:rPr>
                      <w:rFonts w:hAnsi="宋体"/>
                      <w:szCs w:val="21"/>
                    </w:rPr>
                  </w:pPr>
                  <w:r>
                    <w:rPr>
                      <w:rFonts w:hint="eastAsia" w:hAnsi="宋体"/>
                      <w:szCs w:val="21"/>
                    </w:rPr>
                    <w:t>禁止准入类产业</w:t>
                  </w:r>
                </w:p>
              </w:tc>
              <w:tc>
                <w:tcPr>
                  <w:tcW w:w="1156" w:type="pct"/>
                  <w:vAlign w:val="center"/>
                </w:tcPr>
                <w:p>
                  <w:pPr>
                    <w:pStyle w:val="21"/>
                    <w:spacing w:line="0" w:lineRule="atLeast"/>
                    <w:jc w:val="center"/>
                    <w:rPr>
                      <w:color w:val="auto"/>
                      <w:sz w:val="21"/>
                      <w:szCs w:val="21"/>
                    </w:rPr>
                  </w:pPr>
                  <w:r>
                    <w:rPr>
                      <w:rFonts w:hint="eastAsia"/>
                      <w:color w:val="auto"/>
                      <w:sz w:val="21"/>
                      <w:szCs w:val="21"/>
                    </w:rPr>
                    <w:t>禁止新建和扩建单纯新增钢铁产能的项目(等量置换除外)</w:t>
                  </w:r>
                </w:p>
              </w:tc>
              <w:tc>
                <w:tcPr>
                  <w:tcW w:w="2514" w:type="pct"/>
                  <w:vAlign w:val="center"/>
                </w:tcPr>
                <w:p>
                  <w:pPr>
                    <w:autoSpaceDE w:val="0"/>
                    <w:autoSpaceDN w:val="0"/>
                    <w:adjustRightInd w:val="0"/>
                    <w:spacing w:line="0" w:lineRule="atLeast"/>
                    <w:jc w:val="center"/>
                    <w:rPr>
                      <w:szCs w:val="21"/>
                    </w:rPr>
                  </w:pPr>
                  <w:r>
                    <w:rPr>
                      <w:rFonts w:hint="eastAsia"/>
                      <w:szCs w:val="21"/>
                    </w:rPr>
                    <w:t>①180平方米以下烧结机（铁合金烧结机除外）；②单机120万吨/年以下的球团设备（铁合金球团除外）；③有效容积400立方米以上1200立方米以下炼铁高炉；④公称容量30吨以上100吨以下炼钢转炉；公称容量30吨以上100吨（合金钢50吨）以下电炉；⑤2</w:t>
                  </w:r>
                  <w:r>
                    <w:rPr>
                      <w:szCs w:val="21"/>
                    </w:rPr>
                    <w:t>×</w:t>
                  </w:r>
                  <w:r>
                    <w:rPr>
                      <w:rFonts w:hint="eastAsia"/>
                      <w:szCs w:val="21"/>
                    </w:rPr>
                    <w:t>2.5万千伏安以下普通铁合金矿热电炉；⑥1450毫米以下热轧带钢（不含特殊钢）项目</w:t>
                  </w:r>
                </w:p>
              </w:tc>
              <w:tc>
                <w:tcPr>
                  <w:tcW w:w="792" w:type="pct"/>
                  <w:vAlign w:val="center"/>
                </w:tcPr>
                <w:p>
                  <w:pPr>
                    <w:autoSpaceDE w:val="0"/>
                    <w:autoSpaceDN w:val="0"/>
                    <w:adjustRightInd w:val="0"/>
                    <w:spacing w:line="0" w:lineRule="atLeast"/>
                    <w:jc w:val="center"/>
                    <w:rPr>
                      <w:szCs w:val="21"/>
                    </w:rPr>
                  </w:pPr>
                  <w:r>
                    <w:rPr>
                      <w:rFonts w:hint="eastAsia" w:hAnsi="宋体"/>
                      <w:szCs w:val="21"/>
                    </w:rPr>
                    <w:t>除邢钢拟搬迁项目外，开发区不得新增钢铁产能(</w:t>
                  </w:r>
                  <w:r>
                    <w:rPr>
                      <w:rFonts w:hint="eastAsia" w:hAnsi="宋体"/>
                      <w:bCs/>
                      <w:szCs w:val="21"/>
                    </w:rPr>
                    <w:t>生铁产能不突破226万t/a、粗钢产能不突破230万t/a</w:t>
                  </w:r>
                  <w:r>
                    <w:rPr>
                      <w:rFonts w:hint="eastAsia"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532" w:type="pct"/>
                  <w:gridSpan w:val="2"/>
                  <w:vMerge w:val="restart"/>
                  <w:vAlign w:val="center"/>
                </w:tcPr>
                <w:p>
                  <w:pPr>
                    <w:adjustRightInd w:val="0"/>
                    <w:snapToGrid w:val="0"/>
                    <w:spacing w:line="0" w:lineRule="atLeast"/>
                    <w:jc w:val="center"/>
                    <w:rPr>
                      <w:rFonts w:hAnsi="宋体"/>
                      <w:szCs w:val="21"/>
                    </w:rPr>
                  </w:pPr>
                  <w:r>
                    <w:rPr>
                      <w:rFonts w:hint="eastAsia" w:hAnsi="宋体"/>
                      <w:szCs w:val="21"/>
                    </w:rPr>
                    <w:t>所有行业</w:t>
                  </w:r>
                </w:p>
              </w:tc>
              <w:tc>
                <w:tcPr>
                  <w:tcW w:w="4463" w:type="pct"/>
                  <w:gridSpan w:val="3"/>
                  <w:tcBorders>
                    <w:bottom w:val="single" w:color="auto" w:sz="6" w:space="0"/>
                  </w:tcBorders>
                  <w:vAlign w:val="center"/>
                </w:tcPr>
                <w:p>
                  <w:pPr>
                    <w:autoSpaceDE w:val="0"/>
                    <w:autoSpaceDN w:val="0"/>
                    <w:adjustRightInd w:val="0"/>
                    <w:spacing w:line="0" w:lineRule="atLeast"/>
                    <w:rPr>
                      <w:szCs w:val="21"/>
                    </w:rPr>
                  </w:pPr>
                  <w:r>
                    <w:rPr>
                      <w:rFonts w:hint="eastAsia"/>
                      <w:szCs w:val="21"/>
                    </w:rPr>
                    <w:t>禁止无颗粒物、二氧化硫、氮氧化物和挥发性有机物替代方案</w:t>
                  </w:r>
                </w:p>
                <w:p>
                  <w:pPr>
                    <w:autoSpaceDE w:val="0"/>
                    <w:autoSpaceDN w:val="0"/>
                    <w:adjustRightInd w:val="0"/>
                    <w:spacing w:line="0" w:lineRule="atLeast"/>
                    <w:rPr>
                      <w:szCs w:val="21"/>
                    </w:rPr>
                  </w:pPr>
                  <w:r>
                    <w:rPr>
                      <w:rFonts w:hint="eastAsia"/>
                      <w:szCs w:val="21"/>
                    </w:rPr>
                    <w:t>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532" w:type="pct"/>
                  <w:gridSpan w:val="2"/>
                  <w:vMerge w:val="continue"/>
                  <w:vAlign w:val="center"/>
                </w:tcPr>
                <w:p>
                  <w:pPr>
                    <w:adjustRightInd w:val="0"/>
                    <w:snapToGrid w:val="0"/>
                    <w:spacing w:line="0" w:lineRule="atLeast"/>
                    <w:jc w:val="center"/>
                    <w:rPr>
                      <w:rFonts w:hAnsi="宋体"/>
                      <w:szCs w:val="21"/>
                    </w:rPr>
                  </w:pPr>
                </w:p>
              </w:tc>
              <w:tc>
                <w:tcPr>
                  <w:tcW w:w="4463" w:type="pct"/>
                  <w:gridSpan w:val="3"/>
                  <w:tcBorders>
                    <w:top w:val="single" w:color="auto" w:sz="6" w:space="0"/>
                    <w:bottom w:val="single" w:color="auto" w:sz="6" w:space="0"/>
                  </w:tcBorders>
                  <w:vAlign w:val="center"/>
                </w:tcPr>
                <w:p>
                  <w:pPr>
                    <w:autoSpaceDE w:val="0"/>
                    <w:autoSpaceDN w:val="0"/>
                    <w:adjustRightInd w:val="0"/>
                    <w:spacing w:line="0" w:lineRule="atLeast"/>
                    <w:rPr>
                      <w:rFonts w:hAnsi="宋体"/>
                      <w:bCs/>
                      <w:szCs w:val="21"/>
                    </w:rPr>
                  </w:pPr>
                  <w:r>
                    <w:rPr>
                      <w:rFonts w:hint="eastAsia" w:hAnsi="宋体"/>
                      <w:bCs/>
                      <w:szCs w:val="21"/>
                    </w:rPr>
                    <w:t>入区项目应开展地质稳定性评估，在综合评定属于适建区后开工</w:t>
                  </w:r>
                </w:p>
                <w:p>
                  <w:pPr>
                    <w:autoSpaceDE w:val="0"/>
                    <w:autoSpaceDN w:val="0"/>
                    <w:adjustRightInd w:val="0"/>
                    <w:spacing w:line="0" w:lineRule="atLeast"/>
                    <w:rPr>
                      <w:szCs w:val="21"/>
                    </w:rPr>
                  </w:pPr>
                  <w:r>
                    <w:rPr>
                      <w:rFonts w:hint="eastAsia" w:hAnsi="宋体"/>
                      <w:bCs/>
                      <w:szCs w:val="21"/>
                    </w:rPr>
                    <w:t>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4" w:type="pct"/>
                <w:trHeight w:val="340" w:hRule="atLeast"/>
                <w:jc w:val="center"/>
              </w:trPr>
              <w:tc>
                <w:tcPr>
                  <w:tcW w:w="532" w:type="pct"/>
                  <w:gridSpan w:val="2"/>
                  <w:vMerge w:val="continue"/>
                  <w:vAlign w:val="center"/>
                </w:tcPr>
                <w:p>
                  <w:pPr>
                    <w:adjustRightInd w:val="0"/>
                    <w:snapToGrid w:val="0"/>
                    <w:spacing w:line="0" w:lineRule="atLeast"/>
                    <w:jc w:val="center"/>
                    <w:rPr>
                      <w:rFonts w:hAnsi="宋体"/>
                      <w:szCs w:val="21"/>
                    </w:rPr>
                  </w:pPr>
                </w:p>
              </w:tc>
              <w:tc>
                <w:tcPr>
                  <w:tcW w:w="4463" w:type="pct"/>
                  <w:gridSpan w:val="3"/>
                  <w:tcBorders>
                    <w:top w:val="single" w:color="auto" w:sz="6" w:space="0"/>
                  </w:tcBorders>
                  <w:vAlign w:val="center"/>
                </w:tcPr>
                <w:p>
                  <w:pPr>
                    <w:autoSpaceDE w:val="0"/>
                    <w:autoSpaceDN w:val="0"/>
                    <w:adjustRightInd w:val="0"/>
                    <w:spacing w:line="0" w:lineRule="atLeast"/>
                    <w:jc w:val="left"/>
                    <w:rPr>
                      <w:rFonts w:hAnsi="宋体"/>
                      <w:szCs w:val="21"/>
                    </w:rPr>
                  </w:pPr>
                  <w:r>
                    <w:rPr>
                      <w:rFonts w:hint="eastAsia" w:hAnsi="宋体"/>
                      <w:szCs w:val="21"/>
                    </w:rPr>
                    <w:t>①新入区建设项目用水不得新增地下水取用量；②不能实现总量控制要求的项目禁止准入；③不符合本评价确定的生态空间管控的项目禁止准入；④《产业结构调整指导目录(2011年本)》(修正)及《河北省新增限制和淘汰类产业目录(2015年版)》中属于限制和淘汰类的建设项目；⑤不符合《钢铁行业规范条件(2015年修订)》、《焦化行业准入条件（2014年修订）》及其他相关行业准入条件和要求的建设项目禁止准入。⑥规划区主导产业之外的其他工业企业</w:t>
                  </w:r>
                </w:p>
              </w:tc>
            </w:tr>
          </w:tbl>
          <w:p>
            <w:pPr>
              <w:autoSpaceDE w:val="0"/>
              <w:autoSpaceDN w:val="0"/>
              <w:adjustRightInd w:val="0"/>
              <w:snapToGrid w:val="0"/>
              <w:spacing w:line="360" w:lineRule="auto"/>
              <w:ind w:firstLine="480" w:firstLineChars="200"/>
              <w:rPr>
                <w:snapToGrid w:val="0"/>
                <w:sz w:val="24"/>
              </w:rPr>
            </w:pPr>
            <w:r>
              <w:rPr>
                <w:rFonts w:hint="eastAsia"/>
                <w:snapToGrid w:val="0"/>
                <w:sz w:val="24"/>
              </w:rPr>
              <w:t>项目选址位于</w:t>
            </w:r>
            <w:r>
              <w:rPr>
                <w:kern w:val="0"/>
                <w:sz w:val="24"/>
                <w:lang w:val="zh-CN"/>
              </w:rPr>
              <w:t>河北新河经济开发区</w:t>
            </w:r>
            <w:r>
              <w:rPr>
                <w:rFonts w:hint="eastAsia"/>
                <w:kern w:val="0"/>
                <w:sz w:val="24"/>
                <w:lang w:val="zh-CN"/>
              </w:rPr>
              <w:t>东</w:t>
            </w:r>
            <w:r>
              <w:rPr>
                <w:kern w:val="0"/>
                <w:sz w:val="24"/>
                <w:lang w:val="zh-CN"/>
              </w:rPr>
              <w:t>区</w:t>
            </w:r>
            <w:r>
              <w:rPr>
                <w:rFonts w:hint="eastAsia"/>
                <w:sz w:val="24"/>
              </w:rPr>
              <w:t>新能源及配套循环产业区内，</w:t>
            </w:r>
            <w:r>
              <w:rPr>
                <w:rFonts w:hint="eastAsia"/>
                <w:kern w:val="0"/>
                <w:sz w:val="24"/>
              </w:rPr>
              <w:t>河北新河经济开发区管理委员会于2021年8月17日为本项目出具了选址意见书且已取得土地证，同意本项目建设</w:t>
            </w:r>
            <w:r>
              <w:rPr>
                <w:rFonts w:hint="eastAsia"/>
                <w:sz w:val="24"/>
              </w:rPr>
              <w:t>。</w:t>
            </w:r>
            <w:r>
              <w:rPr>
                <w:rFonts w:hint="eastAsia"/>
                <w:snapToGrid w:val="0"/>
                <w:sz w:val="24"/>
              </w:rPr>
              <w:t>本项目为配电箱（柜）制造项目，属先进装备制造业，符合园区产业定位；符合园区生产空间管控要求；本项目不属于上述禁止准入类及限制准入类项目；本项目严格按照园区相关规定进行各项评估，经批准后再开工建设；项目用水由园区供水管网供给，不开采地下水；企业后期严格按照要求办理总量等相关文件，可实现总量控制要求；本项目不属于上述限制类、淘汰类、禁止准入类项目。</w:t>
            </w:r>
          </w:p>
          <w:p>
            <w:pPr>
              <w:autoSpaceDE w:val="0"/>
              <w:autoSpaceDN w:val="0"/>
              <w:adjustRightInd w:val="0"/>
              <w:snapToGrid w:val="0"/>
              <w:spacing w:line="360" w:lineRule="auto"/>
              <w:ind w:firstLine="482" w:firstLineChars="200"/>
              <w:rPr>
                <w:color w:val="7030A0"/>
                <w:kern w:val="0"/>
                <w:sz w:val="24"/>
                <w:szCs w:val="21"/>
              </w:rPr>
            </w:pPr>
            <w:r>
              <w:rPr>
                <w:rFonts w:hint="eastAsia"/>
                <w:b/>
                <w:bCs/>
                <w:kern w:val="0"/>
                <w:sz w:val="24"/>
                <w:szCs w:val="21"/>
              </w:rPr>
              <w:t>因此，本项目不位于园区</w:t>
            </w:r>
            <w:r>
              <w:rPr>
                <w:b/>
                <w:bCs/>
                <w:kern w:val="0"/>
                <w:sz w:val="24"/>
                <w:lang w:val="zh-CN"/>
              </w:rPr>
              <w:t>负面清单</w:t>
            </w:r>
            <w:r>
              <w:rPr>
                <w:rFonts w:hint="eastAsia"/>
                <w:b/>
                <w:bCs/>
                <w:kern w:val="0"/>
                <w:sz w:val="24"/>
                <w:lang w:val="zh-CN"/>
              </w:rPr>
              <w:t>范围内。</w:t>
            </w:r>
          </w:p>
          <w:p>
            <w:pPr>
              <w:autoSpaceDE w:val="0"/>
              <w:autoSpaceDN w:val="0"/>
              <w:adjustRightInd w:val="0"/>
              <w:snapToGrid w:val="0"/>
              <w:spacing w:line="360" w:lineRule="auto"/>
              <w:ind w:firstLine="482" w:firstLineChars="200"/>
              <w:rPr>
                <w:b/>
                <w:bCs/>
                <w:sz w:val="24"/>
                <w:highlight w:val="yellow"/>
              </w:rPr>
            </w:pPr>
            <w:r>
              <w:rPr>
                <w:rFonts w:hint="eastAsia"/>
                <w:b/>
                <w:bCs/>
                <w:kern w:val="0"/>
                <w:sz w:val="24"/>
                <w:szCs w:val="21"/>
              </w:rPr>
              <w:t>综上，本项目符合开发区“三线一单”及管控体系相关要求。</w:t>
            </w:r>
          </w:p>
          <w:p>
            <w:pPr>
              <w:numPr>
                <w:ilvl w:val="0"/>
                <w:numId w:val="2"/>
              </w:numPr>
              <w:autoSpaceDE w:val="0"/>
              <w:autoSpaceDN w:val="0"/>
              <w:adjustRightInd w:val="0"/>
              <w:snapToGrid w:val="0"/>
              <w:spacing w:line="360" w:lineRule="auto"/>
              <w:ind w:firstLine="482" w:firstLineChars="200"/>
              <w:rPr>
                <w:b/>
                <w:bCs/>
                <w:sz w:val="24"/>
                <w:szCs w:val="32"/>
              </w:rPr>
            </w:pPr>
            <w:r>
              <w:rPr>
                <w:b/>
                <w:bCs/>
                <w:kern w:val="0"/>
                <w:sz w:val="24"/>
              </w:rPr>
              <w:t>本项目与相关环境政策符合性分析见下表：</w:t>
            </w:r>
          </w:p>
          <w:p>
            <w:pPr>
              <w:pStyle w:val="19"/>
              <w:widowControl w:val="0"/>
              <w:tabs>
                <w:tab w:val="left" w:pos="3828"/>
              </w:tabs>
              <w:snapToGrid/>
              <w:spacing w:after="0" w:line="240" w:lineRule="auto"/>
              <w:ind w:firstLine="0" w:firstLineChars="0"/>
              <w:jc w:val="center"/>
              <w:rPr>
                <w:b/>
                <w:bCs/>
                <w:sz w:val="24"/>
                <w:szCs w:val="40"/>
              </w:rPr>
            </w:pPr>
            <w:r>
              <w:rPr>
                <w:b/>
                <w:bCs/>
                <w:sz w:val="24"/>
                <w:szCs w:val="40"/>
              </w:rPr>
              <w:t>表</w:t>
            </w:r>
            <w:r>
              <w:rPr>
                <w:rFonts w:hint="eastAsia"/>
                <w:b/>
                <w:bCs/>
                <w:sz w:val="24"/>
                <w:szCs w:val="40"/>
              </w:rPr>
              <w:t>12</w:t>
            </w:r>
            <w:r>
              <w:rPr>
                <w:b/>
                <w:bCs/>
                <w:sz w:val="24"/>
                <w:szCs w:val="40"/>
              </w:rPr>
              <w:t xml:space="preserve">  </w:t>
            </w:r>
            <w:r>
              <w:rPr>
                <w:rFonts w:hint="eastAsia"/>
                <w:b/>
                <w:bCs/>
                <w:sz w:val="24"/>
                <w:szCs w:val="40"/>
              </w:rPr>
              <w:t xml:space="preserve"> </w:t>
            </w:r>
            <w:r>
              <w:rPr>
                <w:b/>
                <w:bCs/>
                <w:sz w:val="24"/>
                <w:szCs w:val="40"/>
              </w:rPr>
              <w:t>环境政策符合性分析一览表</w:t>
            </w:r>
          </w:p>
          <w:tbl>
            <w:tblPr>
              <w:tblStyle w:val="24"/>
              <w:tblW w:w="49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9"/>
              <w:gridCol w:w="1577"/>
              <w:gridCol w:w="9"/>
              <w:gridCol w:w="3397"/>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restart"/>
                  <w:vAlign w:val="center"/>
                </w:tcPr>
                <w:p>
                  <w:pPr>
                    <w:spacing w:before="24" w:after="24"/>
                    <w:jc w:val="center"/>
                    <w:rPr>
                      <w:b/>
                      <w:bCs/>
                      <w:szCs w:val="21"/>
                    </w:rPr>
                  </w:pPr>
                  <w:r>
                    <w:rPr>
                      <w:b/>
                      <w:bCs/>
                      <w:szCs w:val="21"/>
                    </w:rPr>
                    <w:t>项目</w:t>
                  </w:r>
                </w:p>
              </w:tc>
              <w:tc>
                <w:tcPr>
                  <w:tcW w:w="3362" w:type="pct"/>
                  <w:gridSpan w:val="3"/>
                  <w:vAlign w:val="center"/>
                </w:tcPr>
                <w:p>
                  <w:pPr>
                    <w:spacing w:before="24" w:after="24"/>
                    <w:jc w:val="center"/>
                    <w:rPr>
                      <w:b/>
                      <w:bCs/>
                      <w:szCs w:val="21"/>
                    </w:rPr>
                  </w:pPr>
                  <w:r>
                    <w:rPr>
                      <w:b/>
                      <w:bCs/>
                      <w:szCs w:val="21"/>
                    </w:rPr>
                    <w:t>相关要求</w:t>
                  </w:r>
                </w:p>
              </w:tc>
              <w:tc>
                <w:tcPr>
                  <w:tcW w:w="1295" w:type="pct"/>
                  <w:vMerge w:val="restart"/>
                  <w:vAlign w:val="center"/>
                </w:tcPr>
                <w:p>
                  <w:pPr>
                    <w:spacing w:before="24" w:after="24"/>
                    <w:jc w:val="center"/>
                    <w:rPr>
                      <w:b/>
                      <w:bCs/>
                      <w:szCs w:val="21"/>
                    </w:rPr>
                  </w:pPr>
                  <w:r>
                    <w:rPr>
                      <w:b/>
                      <w:bCs/>
                      <w:szCs w:val="21"/>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continue"/>
                  <w:vAlign w:val="center"/>
                </w:tcPr>
                <w:p>
                  <w:pPr>
                    <w:spacing w:before="24" w:after="24"/>
                    <w:jc w:val="center"/>
                    <w:rPr>
                      <w:szCs w:val="21"/>
                    </w:rPr>
                  </w:pPr>
                </w:p>
              </w:tc>
              <w:tc>
                <w:tcPr>
                  <w:tcW w:w="1070" w:type="pct"/>
                  <w:gridSpan w:val="2"/>
                  <w:vAlign w:val="center"/>
                </w:tcPr>
                <w:p>
                  <w:pPr>
                    <w:spacing w:before="24" w:after="24"/>
                    <w:jc w:val="center"/>
                    <w:rPr>
                      <w:b/>
                      <w:bCs/>
                      <w:szCs w:val="21"/>
                    </w:rPr>
                  </w:pPr>
                  <w:r>
                    <w:rPr>
                      <w:b/>
                      <w:bCs/>
                      <w:szCs w:val="21"/>
                    </w:rPr>
                    <w:t>文件名称</w:t>
                  </w:r>
                </w:p>
              </w:tc>
              <w:tc>
                <w:tcPr>
                  <w:tcW w:w="2291" w:type="pct"/>
                  <w:vAlign w:val="center"/>
                </w:tcPr>
                <w:p>
                  <w:pPr>
                    <w:spacing w:before="24" w:after="24"/>
                    <w:jc w:val="center"/>
                    <w:rPr>
                      <w:b/>
                      <w:bCs/>
                      <w:szCs w:val="21"/>
                    </w:rPr>
                  </w:pPr>
                  <w:r>
                    <w:rPr>
                      <w:b/>
                      <w:bCs/>
                      <w:szCs w:val="21"/>
                    </w:rPr>
                    <w:t>文件具体要求</w:t>
                  </w:r>
                </w:p>
              </w:tc>
              <w:tc>
                <w:tcPr>
                  <w:tcW w:w="1295" w:type="pct"/>
                  <w:vMerge w:val="continue"/>
                  <w:vAlign w:val="center"/>
                </w:tcPr>
                <w:p>
                  <w:pPr>
                    <w:spacing w:before="24" w:after="2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restart"/>
                  <w:vAlign w:val="center"/>
                </w:tcPr>
                <w:p>
                  <w:pPr>
                    <w:spacing w:before="24" w:after="24"/>
                    <w:jc w:val="center"/>
                    <w:rPr>
                      <w:szCs w:val="21"/>
                    </w:rPr>
                  </w:pPr>
                  <w:r>
                    <w:rPr>
                      <w:szCs w:val="21"/>
                    </w:rPr>
                    <w:t>大气</w:t>
                  </w:r>
                </w:p>
              </w:tc>
              <w:tc>
                <w:tcPr>
                  <w:tcW w:w="1070" w:type="pct"/>
                  <w:gridSpan w:val="2"/>
                  <w:vAlign w:val="center"/>
                </w:tcPr>
                <w:p>
                  <w:pPr>
                    <w:spacing w:line="280" w:lineRule="exact"/>
                    <w:jc w:val="center"/>
                    <w:rPr>
                      <w:szCs w:val="21"/>
                    </w:rPr>
                  </w:pPr>
                  <w:r>
                    <w:rPr>
                      <w:szCs w:val="21"/>
                    </w:rPr>
                    <w:t>《中华人民共和国大气污染防治法》</w:t>
                  </w:r>
                </w:p>
              </w:tc>
              <w:tc>
                <w:tcPr>
                  <w:tcW w:w="2291" w:type="pct"/>
                  <w:vAlign w:val="center"/>
                </w:tcPr>
                <w:p>
                  <w:pPr>
                    <w:spacing w:line="280" w:lineRule="exact"/>
                    <w:rPr>
                      <w:szCs w:val="21"/>
                    </w:rPr>
                  </w:pPr>
                  <w:r>
                    <w:rPr>
                      <w:szCs w:val="21"/>
                    </w:rPr>
                    <w:t xml:space="preserve"> 第七条 企业事业单位和其他生产经营者应当采取有效措施，防止、减少大气污染，对所造成的损害依法承担责任。第十八条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r>
                    <w:rPr>
                      <w:rFonts w:hint="eastAsia"/>
                      <w:szCs w:val="21"/>
                    </w:rPr>
                    <w:t>。第四十五条 产生含挥发性有机物废气的生产和服务活动，应当在密闭空间或者设备中进行，并按照规定安装、使用污染防治设施；无法密闭的，应当采取措施减少废气排放。</w:t>
                  </w:r>
                  <w:r>
                    <w:rPr>
                      <w:szCs w:val="21"/>
                    </w:rPr>
                    <w:t xml:space="preserve"> </w:t>
                  </w:r>
                </w:p>
              </w:tc>
              <w:tc>
                <w:tcPr>
                  <w:tcW w:w="1295" w:type="pct"/>
                  <w:vMerge w:val="restart"/>
                  <w:vAlign w:val="center"/>
                </w:tcPr>
                <w:p>
                  <w:pPr>
                    <w:spacing w:before="24" w:after="24" w:line="280" w:lineRule="exact"/>
                    <w:ind w:left="-53" w:leftChars="-25" w:right="-53" w:rightChars="-25"/>
                    <w:jc w:val="center"/>
                    <w:rPr>
                      <w:spacing w:val="-10"/>
                      <w:szCs w:val="21"/>
                    </w:rPr>
                  </w:pPr>
                  <w:r>
                    <w:rPr>
                      <w:rFonts w:hint="eastAsia"/>
                      <w:szCs w:val="21"/>
                    </w:rPr>
                    <w:t>项目焊接废气经集气罩收集后进入1套布袋除尘器进行处理后经1根20m高排气筒（DA001）排放，切割工序废气经集气装置收集进入设备自带布袋除尘器处理，后与焊接工序共用1根20m高排气筒（DA001）排放；喷涂工序废气经密闭管道收集进入旋风除尘器+滤筒除尘器处理后经1根20m高排气筒（DA002）排放，天然气热风炉燃烧器加装低氮燃烧器，燃烧气体进入固化工序与固化废气经集气装置收集进入1套“干式过滤棉+活性炭吸附-脱附催化燃烧装置”进行处理后经1根20m高排气筒（DA003）排放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continue"/>
                  <w:vAlign w:val="center"/>
                </w:tcPr>
                <w:p>
                  <w:pPr>
                    <w:spacing w:before="24" w:after="24"/>
                    <w:jc w:val="center"/>
                    <w:rPr>
                      <w:szCs w:val="21"/>
                    </w:rPr>
                  </w:pPr>
                </w:p>
              </w:tc>
              <w:tc>
                <w:tcPr>
                  <w:tcW w:w="1070" w:type="pct"/>
                  <w:gridSpan w:val="2"/>
                  <w:vAlign w:val="center"/>
                </w:tcPr>
                <w:p>
                  <w:pPr>
                    <w:spacing w:line="280" w:lineRule="exact"/>
                    <w:ind w:left="-105" w:leftChars="-50" w:right="-105" w:rightChars="-50"/>
                    <w:jc w:val="center"/>
                    <w:rPr>
                      <w:szCs w:val="21"/>
                    </w:rPr>
                  </w:pPr>
                  <w:r>
                    <w:rPr>
                      <w:szCs w:val="21"/>
                    </w:rPr>
                    <w:t>《河北省大气污染防治条例》</w:t>
                  </w:r>
                </w:p>
              </w:tc>
              <w:tc>
                <w:tcPr>
                  <w:tcW w:w="2291" w:type="pct"/>
                  <w:vAlign w:val="center"/>
                </w:tcPr>
                <w:p>
                  <w:pPr>
                    <w:spacing w:line="280" w:lineRule="exact"/>
                    <w:ind w:left="-53" w:leftChars="-25" w:right="-53" w:rightChars="-25"/>
                    <w:rPr>
                      <w:szCs w:val="21"/>
                    </w:rPr>
                  </w:pPr>
                  <w:r>
                    <w:rPr>
                      <w:szCs w:val="21"/>
                    </w:rPr>
                    <w:t>第二章 监督管理：第八条向大气排放污染物的单位和个体经营者，必须保证大气污染物处理设施的正常运行，并符合国家和本省规定的污染物排放标准</w:t>
                  </w:r>
                </w:p>
              </w:tc>
              <w:tc>
                <w:tcPr>
                  <w:tcW w:w="1295" w:type="pct"/>
                  <w:vMerge w:val="continue"/>
                  <w:vAlign w:val="center"/>
                </w:tcPr>
                <w:p>
                  <w:pPr>
                    <w:spacing w:before="24" w:after="24" w:line="280" w:lineRule="exact"/>
                    <w:ind w:left="-53" w:leftChars="-25" w:right="-53" w:rightChars="-2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continue"/>
                  <w:vAlign w:val="center"/>
                </w:tcPr>
                <w:p>
                  <w:pPr>
                    <w:spacing w:before="24" w:after="24"/>
                    <w:jc w:val="center"/>
                    <w:rPr>
                      <w:szCs w:val="21"/>
                    </w:rPr>
                  </w:pPr>
                </w:p>
              </w:tc>
              <w:tc>
                <w:tcPr>
                  <w:tcW w:w="1070" w:type="pct"/>
                  <w:gridSpan w:val="2"/>
                  <w:vAlign w:val="center"/>
                </w:tcPr>
                <w:p>
                  <w:pPr>
                    <w:spacing w:line="280" w:lineRule="exact"/>
                    <w:ind w:left="-105" w:leftChars="-50" w:right="-105" w:rightChars="-50"/>
                    <w:jc w:val="center"/>
                    <w:rPr>
                      <w:szCs w:val="21"/>
                    </w:rPr>
                  </w:pPr>
                  <w:r>
                    <w:rPr>
                      <w:rFonts w:hint="eastAsia"/>
                      <w:szCs w:val="21"/>
                    </w:rPr>
                    <w:t>《</w:t>
                  </w:r>
                  <w:r>
                    <w:rPr>
                      <w:szCs w:val="21"/>
                    </w:rPr>
                    <w:t>河北省深入实施大气污染综合治理十条措施</w:t>
                  </w:r>
                  <w:r>
                    <w:rPr>
                      <w:rFonts w:hint="eastAsia"/>
                      <w:szCs w:val="21"/>
                    </w:rPr>
                    <w:t>》</w:t>
                  </w:r>
                </w:p>
              </w:tc>
              <w:tc>
                <w:tcPr>
                  <w:tcW w:w="2291" w:type="pct"/>
                  <w:vAlign w:val="center"/>
                </w:tcPr>
                <w:p>
                  <w:pPr>
                    <w:spacing w:line="280" w:lineRule="exact"/>
                    <w:ind w:left="-53" w:leftChars="-25" w:right="-53" w:rightChars="-25"/>
                    <w:rPr>
                      <w:szCs w:val="21"/>
                    </w:rPr>
                  </w:pPr>
                  <w:r>
                    <w:rPr>
                      <w:szCs w:val="21"/>
                    </w:rPr>
                    <w:t>（二）强化涉VOCs企业“一厂一策”精细管控，组织开展现有VOCs废气收集、治理设施同步运行率和去除率自查，对标先进高效治理技术实施深度整治；加强工业企业含VOCs物料储存、转移和输送、设备与管线组件泄漏、敞开液面逸散以及工艺过程等无组织排放收集处理，确保达标排放。</w:t>
                  </w:r>
                </w:p>
              </w:tc>
              <w:tc>
                <w:tcPr>
                  <w:tcW w:w="1295" w:type="pct"/>
                  <w:vMerge w:val="continue"/>
                  <w:vAlign w:val="center"/>
                </w:tcPr>
                <w:p>
                  <w:pPr>
                    <w:spacing w:before="24" w:after="24" w:line="280" w:lineRule="exact"/>
                    <w:ind w:left="-53" w:leftChars="-25" w:right="-53" w:rightChars="-2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gridSpan w:val="2"/>
                  <w:vMerge w:val="continue"/>
                  <w:vAlign w:val="center"/>
                </w:tcPr>
                <w:p>
                  <w:pPr>
                    <w:spacing w:before="24" w:after="24"/>
                    <w:jc w:val="center"/>
                    <w:rPr>
                      <w:szCs w:val="21"/>
                    </w:rPr>
                  </w:pPr>
                </w:p>
              </w:tc>
              <w:tc>
                <w:tcPr>
                  <w:tcW w:w="1070" w:type="pct"/>
                  <w:gridSpan w:val="2"/>
                  <w:vAlign w:val="center"/>
                </w:tcPr>
                <w:p>
                  <w:pPr>
                    <w:spacing w:line="280" w:lineRule="exact"/>
                    <w:ind w:left="-105" w:leftChars="-50" w:right="-105" w:rightChars="-50"/>
                    <w:jc w:val="center"/>
                    <w:rPr>
                      <w:szCs w:val="21"/>
                    </w:rPr>
                  </w:pPr>
                  <w:r>
                    <w:rPr>
                      <w:rFonts w:hint="eastAsia"/>
                      <w:szCs w:val="21"/>
                    </w:rPr>
                    <w:t>《河北省打赢蓝天保卫战三年行动方案（2018-2020）》</w:t>
                  </w:r>
                </w:p>
              </w:tc>
              <w:tc>
                <w:tcPr>
                  <w:tcW w:w="2291" w:type="pct"/>
                  <w:vAlign w:val="center"/>
                </w:tcPr>
                <w:p>
                  <w:pPr>
                    <w:tabs>
                      <w:tab w:val="left" w:pos="595"/>
                    </w:tabs>
                    <w:spacing w:line="280" w:lineRule="exact"/>
                    <w:ind w:left="-53" w:leftChars="-25" w:right="-53" w:rightChars="-25"/>
                    <w:rPr>
                      <w:szCs w:val="21"/>
                    </w:rPr>
                  </w:pPr>
                  <w:r>
                    <w:rPr>
                      <w:szCs w:val="21"/>
                    </w:rPr>
                    <w:t>开展挥发性有机物污染综合治理.....禁止建设生产和使用高VOCs含量的溶剂型涂料、油墨、胶粘剂等项目。有条件的工业聚集区建设集中喷涂工程中心，配备高效治污设施，替代各企业独立喷涂工序。2019年底前，涉VOCs排放工业企业全面完成整治任务，实现稳定达标排放；安装VOCs在线监测设备或超标报警装置；全省涉VOCs排放工业企业基本完成低挥发性原辅料替代、清洁工艺改造。</w:t>
                  </w:r>
                </w:p>
              </w:tc>
              <w:tc>
                <w:tcPr>
                  <w:tcW w:w="1295" w:type="pct"/>
                  <w:vAlign w:val="center"/>
                </w:tcPr>
                <w:p>
                  <w:pPr>
                    <w:spacing w:before="24" w:after="24" w:line="280" w:lineRule="exact"/>
                    <w:ind w:left="-53" w:leftChars="-25" w:right="-53" w:rightChars="-25"/>
                    <w:jc w:val="center"/>
                    <w:rPr>
                      <w:szCs w:val="21"/>
                    </w:rPr>
                  </w:pPr>
                  <w:r>
                    <w:rPr>
                      <w:rFonts w:hint="eastAsia"/>
                      <w:szCs w:val="21"/>
                    </w:rPr>
                    <w:t>项目不</w:t>
                  </w:r>
                  <w:r>
                    <w:rPr>
                      <w:szCs w:val="21"/>
                    </w:rPr>
                    <w:t>使用高VOCs含量的溶剂型涂料、油墨、胶粘剂等</w:t>
                  </w:r>
                  <w:r>
                    <w:rPr>
                      <w:rFonts w:hint="eastAsia"/>
                      <w:szCs w:val="21"/>
                    </w:rPr>
                    <w:t>原料，固化废气经催化燃烧装置处理，排气筒安装VOCs超标报警装置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Merge w:val="restart"/>
                  <w:vAlign w:val="center"/>
                </w:tcPr>
                <w:p>
                  <w:pPr>
                    <w:spacing w:before="24" w:after="24"/>
                    <w:jc w:val="center"/>
                    <w:rPr>
                      <w:szCs w:val="21"/>
                    </w:rPr>
                  </w:pPr>
                  <w:r>
                    <w:rPr>
                      <w:szCs w:val="21"/>
                    </w:rPr>
                    <w:t>大气</w:t>
                  </w:r>
                </w:p>
              </w:tc>
              <w:tc>
                <w:tcPr>
                  <w:tcW w:w="1070" w:type="pct"/>
                  <w:gridSpan w:val="2"/>
                  <w:vAlign w:val="center"/>
                </w:tcPr>
                <w:p>
                  <w:pPr>
                    <w:spacing w:line="280" w:lineRule="exact"/>
                    <w:ind w:left="-105" w:leftChars="-50" w:right="-105" w:rightChars="-50"/>
                    <w:jc w:val="center"/>
                    <w:rPr>
                      <w:szCs w:val="21"/>
                    </w:rPr>
                  </w:pPr>
                  <w:r>
                    <w:rPr>
                      <w:szCs w:val="21"/>
                    </w:rPr>
                    <w:t>《邢台市打赢蓝天保卫战三年作战计划》（邢政发〔2018〕17号）</w:t>
                  </w:r>
                </w:p>
              </w:tc>
              <w:tc>
                <w:tcPr>
                  <w:tcW w:w="2295" w:type="pct"/>
                  <w:gridSpan w:val="2"/>
                  <w:vAlign w:val="center"/>
                </w:tcPr>
                <w:p>
                  <w:pPr>
                    <w:spacing w:line="280" w:lineRule="exact"/>
                    <w:ind w:left="-105" w:leftChars="-50" w:right="-105" w:rightChars="-50"/>
                    <w:jc w:val="center"/>
                    <w:rPr>
                      <w:szCs w:val="21"/>
                    </w:rPr>
                  </w:pPr>
                  <w:r>
                    <w:rPr>
                      <w:szCs w:val="21"/>
                    </w:rPr>
                    <w:t xml:space="preserve">开展挥发性有机物污染综合治理。结合第二次污染源普查，对全市涉VOCs排放工业企业逐企建立清单台账，按重点排污单位名录管理规定要求，建立VOCs排污单位名录库。制定化工、工业涂装、包装印刷等VOCs排放重点行业和油品储运销综合整治方案，开展泄漏检测与修复。 </w:t>
                  </w:r>
                </w:p>
              </w:tc>
              <w:tc>
                <w:tcPr>
                  <w:tcW w:w="1295" w:type="pct"/>
                  <w:vMerge w:val="restart"/>
                  <w:vAlign w:val="center"/>
                </w:tcPr>
                <w:p>
                  <w:pPr>
                    <w:spacing w:before="24" w:after="24" w:line="280" w:lineRule="exact"/>
                    <w:ind w:left="-53" w:leftChars="-25" w:right="-53" w:rightChars="-25"/>
                    <w:jc w:val="center"/>
                    <w:rPr>
                      <w:szCs w:val="21"/>
                    </w:rPr>
                  </w:pPr>
                  <w:r>
                    <w:rPr>
                      <w:rFonts w:hint="eastAsia"/>
                      <w:szCs w:val="21"/>
                    </w:rPr>
                    <w:t>项目不</w:t>
                  </w:r>
                  <w:r>
                    <w:rPr>
                      <w:szCs w:val="21"/>
                    </w:rPr>
                    <w:t>使用高VOCs含量的溶剂型涂料、油墨、胶粘剂等</w:t>
                  </w:r>
                  <w:r>
                    <w:rPr>
                      <w:rFonts w:hint="eastAsia"/>
                      <w:szCs w:val="21"/>
                    </w:rPr>
                    <w:t>原料，固化废气经干式过滤棉+活性炭吸附-脱附催化燃烧装置处理，排气筒安装VOCs超标报警装置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Merge w:val="continue"/>
                  <w:vAlign w:val="center"/>
                </w:tcPr>
                <w:p>
                  <w:pPr>
                    <w:spacing w:before="24" w:after="24"/>
                    <w:jc w:val="center"/>
                    <w:rPr>
                      <w:szCs w:val="21"/>
                    </w:rPr>
                  </w:pPr>
                </w:p>
              </w:tc>
              <w:tc>
                <w:tcPr>
                  <w:tcW w:w="1070" w:type="pct"/>
                  <w:gridSpan w:val="2"/>
                  <w:vAlign w:val="center"/>
                </w:tcPr>
                <w:p>
                  <w:pPr>
                    <w:spacing w:line="280" w:lineRule="exact"/>
                    <w:ind w:left="-105" w:leftChars="-50" w:right="-105" w:rightChars="-50"/>
                    <w:jc w:val="center"/>
                    <w:rPr>
                      <w:szCs w:val="21"/>
                    </w:rPr>
                  </w:pPr>
                  <w:r>
                    <w:rPr>
                      <w:szCs w:val="21"/>
                    </w:rPr>
                    <w:t>《邢台市挥发性有机物污染整治专项实施方案》</w:t>
                  </w:r>
                </w:p>
              </w:tc>
              <w:tc>
                <w:tcPr>
                  <w:tcW w:w="2295" w:type="pct"/>
                  <w:gridSpan w:val="2"/>
                  <w:vAlign w:val="center"/>
                </w:tcPr>
                <w:p>
                  <w:pPr>
                    <w:spacing w:line="280" w:lineRule="exact"/>
                    <w:ind w:left="-105" w:leftChars="-50" w:right="-105" w:rightChars="-50"/>
                    <w:jc w:val="center"/>
                    <w:rPr>
                      <w:szCs w:val="21"/>
                    </w:rPr>
                  </w:pPr>
                  <w:r>
                    <w:rPr>
                      <w:szCs w:val="21"/>
                    </w:rPr>
                    <w:t>四、主要任务（二）强化工业源挥发性有机物排放管控3.实施化工行业综合治理。强化源头控制，深化末端治理，在主要排放环节安装集气罩或密闭式负压收集装置，采取回收或焚烧等方式进行治理。</w:t>
                  </w:r>
                </w:p>
              </w:tc>
              <w:tc>
                <w:tcPr>
                  <w:tcW w:w="1295" w:type="pct"/>
                  <w:vMerge w:val="continue"/>
                  <w:vAlign w:val="center"/>
                </w:tcPr>
                <w:p>
                  <w:pPr>
                    <w:spacing w:before="24" w:after="24" w:line="280" w:lineRule="exact"/>
                    <w:ind w:left="-53" w:leftChars="-25" w:right="-53" w:rightChars="-2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Merge w:val="restart"/>
                  <w:vAlign w:val="center"/>
                </w:tcPr>
                <w:p>
                  <w:pPr>
                    <w:spacing w:before="24" w:after="24"/>
                    <w:jc w:val="center"/>
                    <w:rPr>
                      <w:szCs w:val="21"/>
                    </w:rPr>
                  </w:pPr>
                  <w:r>
                    <w:rPr>
                      <w:rFonts w:hint="eastAsia"/>
                      <w:szCs w:val="21"/>
                    </w:rPr>
                    <w:t>水</w:t>
                  </w:r>
                </w:p>
              </w:tc>
              <w:tc>
                <w:tcPr>
                  <w:tcW w:w="1070" w:type="pct"/>
                  <w:gridSpan w:val="2"/>
                  <w:vAlign w:val="center"/>
                </w:tcPr>
                <w:p>
                  <w:pPr>
                    <w:spacing w:line="240" w:lineRule="exact"/>
                    <w:jc w:val="center"/>
                    <w:rPr>
                      <w:szCs w:val="21"/>
                    </w:rPr>
                  </w:pPr>
                  <w:r>
                    <w:rPr>
                      <w:szCs w:val="21"/>
                    </w:rPr>
                    <w:t>《河北省水污染防治工作方案》</w:t>
                  </w:r>
                </w:p>
              </w:tc>
              <w:tc>
                <w:tcPr>
                  <w:tcW w:w="2295" w:type="pct"/>
                  <w:gridSpan w:val="2"/>
                  <w:vAlign w:val="center"/>
                </w:tcPr>
                <w:p>
                  <w:pPr>
                    <w:spacing w:line="240" w:lineRule="exact"/>
                    <w:rPr>
                      <w:szCs w:val="21"/>
                    </w:rPr>
                  </w:pPr>
                  <w:r>
                    <w:rPr>
                      <w:szCs w:val="21"/>
                    </w:rPr>
                    <w:t>1、严格控制高污染、高耗水行业新增产能。对造纸、焦化、氮肥、石油化工、印染、农副食品加工、原料药制造、制革、农药、电镀等“十大”重点行业，新建、改建、扩建项目实行新增主要污染物排放倍量替代。</w:t>
                  </w:r>
                </w:p>
                <w:p>
                  <w:pPr>
                    <w:spacing w:line="240" w:lineRule="exact"/>
                    <w:rPr>
                      <w:szCs w:val="21"/>
                    </w:rPr>
                  </w:pPr>
                  <w:r>
                    <w:rPr>
                      <w:szCs w:val="21"/>
                    </w:rPr>
                    <w:t>2、向污水集中处理设施排放工业废水的，应当按照国家有关规定进行预处理，达到集中处理设施处理工艺要求后方可排放。</w:t>
                  </w:r>
                </w:p>
              </w:tc>
              <w:tc>
                <w:tcPr>
                  <w:tcW w:w="1295" w:type="pct"/>
                  <w:vMerge w:val="restart"/>
                  <w:vAlign w:val="center"/>
                </w:tcPr>
                <w:p>
                  <w:pPr>
                    <w:spacing w:line="240" w:lineRule="exact"/>
                    <w:rPr>
                      <w:szCs w:val="21"/>
                    </w:rPr>
                  </w:pPr>
                  <w:r>
                    <w:rPr>
                      <w:rFonts w:hint="eastAsia"/>
                      <w:szCs w:val="21"/>
                    </w:rPr>
                    <w:t>本项目不属于高污染、高耗水行业，不产生及排放工业废水；</w:t>
                  </w:r>
                  <w:r>
                    <w:rPr>
                      <w:szCs w:val="21"/>
                    </w:rPr>
                    <w:t>生活废水</w:t>
                  </w:r>
                  <w:r>
                    <w:rPr>
                      <w:rFonts w:hint="eastAsia"/>
                      <w:szCs w:val="21"/>
                    </w:rPr>
                    <w:t>经</w:t>
                  </w:r>
                  <w:r>
                    <w:rPr>
                      <w:szCs w:val="21"/>
                    </w:rPr>
                    <w:t>化粪池处理后排入园区污水管网，最终进入</w:t>
                  </w:r>
                  <w:r>
                    <w:rPr>
                      <w:rFonts w:hint="eastAsia"/>
                      <w:szCs w:val="21"/>
                    </w:rPr>
                    <w:t>新河县城东污水处理厂，不直接排入地表水体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Merge w:val="continue"/>
                  <w:vAlign w:val="center"/>
                </w:tcPr>
                <w:p>
                  <w:pPr>
                    <w:spacing w:before="24" w:after="24"/>
                    <w:jc w:val="center"/>
                    <w:rPr>
                      <w:szCs w:val="21"/>
                    </w:rPr>
                  </w:pPr>
                </w:p>
              </w:tc>
              <w:tc>
                <w:tcPr>
                  <w:tcW w:w="1070" w:type="pct"/>
                  <w:gridSpan w:val="2"/>
                  <w:vAlign w:val="center"/>
                </w:tcPr>
                <w:p>
                  <w:pPr>
                    <w:spacing w:line="280" w:lineRule="exact"/>
                    <w:jc w:val="center"/>
                    <w:rPr>
                      <w:szCs w:val="21"/>
                    </w:rPr>
                  </w:pPr>
                  <w:r>
                    <w:rPr>
                      <w:rFonts w:hint="eastAsia"/>
                      <w:szCs w:val="21"/>
                    </w:rPr>
                    <w:t>《中华人民共和国水污染防治法》</w:t>
                  </w:r>
                </w:p>
              </w:tc>
              <w:tc>
                <w:tcPr>
                  <w:tcW w:w="2295" w:type="pct"/>
                  <w:gridSpan w:val="2"/>
                  <w:vAlign w:val="center"/>
                </w:tcPr>
                <w:p>
                  <w:pPr>
                    <w:spacing w:line="280" w:lineRule="exact"/>
                    <w:rPr>
                      <w:szCs w:val="21"/>
                    </w:rPr>
                  </w:pPr>
                  <w:r>
                    <w:rPr>
                      <w:rFonts w:hint="eastAsia"/>
                      <w:szCs w:val="21"/>
                    </w:rPr>
                    <w:t>第三十三条 禁止向水体排放油类、酸液、碱液或者剧毒废液。 第三十四条 禁止向水体排放、倾倒放射性固体废物或者含有高放射性和中放射性物质的废水。</w:t>
                  </w:r>
                </w:p>
              </w:tc>
              <w:tc>
                <w:tcPr>
                  <w:tcW w:w="1295" w:type="pct"/>
                  <w:vMerge w:val="continue"/>
                  <w:vAlign w:val="center"/>
                </w:tcPr>
                <w:p>
                  <w:pPr>
                    <w:spacing w:before="24" w:after="24"/>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Align w:val="center"/>
                </w:tcPr>
                <w:p>
                  <w:pPr>
                    <w:spacing w:before="24" w:after="24" w:line="280" w:lineRule="exact"/>
                    <w:ind w:left="-105" w:leftChars="-50" w:right="-105" w:rightChars="-50"/>
                    <w:jc w:val="center"/>
                    <w:rPr>
                      <w:szCs w:val="21"/>
                    </w:rPr>
                  </w:pPr>
                  <w:r>
                    <w:rPr>
                      <w:rFonts w:hint="eastAsia"/>
                      <w:szCs w:val="21"/>
                    </w:rPr>
                    <w:t>噪声</w:t>
                  </w:r>
                </w:p>
              </w:tc>
              <w:tc>
                <w:tcPr>
                  <w:tcW w:w="1070" w:type="pct"/>
                  <w:gridSpan w:val="2"/>
                  <w:vAlign w:val="center"/>
                </w:tcPr>
                <w:p>
                  <w:pPr>
                    <w:spacing w:line="280" w:lineRule="exact"/>
                    <w:jc w:val="center"/>
                    <w:rPr>
                      <w:szCs w:val="21"/>
                    </w:rPr>
                  </w:pPr>
                  <w:r>
                    <w:rPr>
                      <w:rFonts w:hint="eastAsia"/>
                      <w:szCs w:val="21"/>
                    </w:rPr>
                    <w:t>《</w:t>
                  </w:r>
                  <w:r>
                    <w:rPr>
                      <w:szCs w:val="21"/>
                    </w:rPr>
                    <w:t>中华人民共和国噪声污染防治法</w:t>
                  </w:r>
                  <w:r>
                    <w:rPr>
                      <w:rFonts w:hint="eastAsia"/>
                      <w:szCs w:val="21"/>
                    </w:rPr>
                    <w:t>》</w:t>
                  </w:r>
                </w:p>
              </w:tc>
              <w:tc>
                <w:tcPr>
                  <w:tcW w:w="2295" w:type="pct"/>
                  <w:gridSpan w:val="2"/>
                  <w:vAlign w:val="center"/>
                </w:tcPr>
                <w:p>
                  <w:pPr>
                    <w:pStyle w:val="61"/>
                    <w:ind w:left="0" w:leftChars="0"/>
                    <w:jc w:val="both"/>
                    <w:rPr>
                      <w:rFonts w:ascii="宋体" w:hAnsi="宋体" w:cs="宋体"/>
                      <w:w w:val="100"/>
                      <w:sz w:val="21"/>
                      <w:szCs w:val="21"/>
                    </w:rPr>
                  </w:pPr>
                  <w:r>
                    <w:rPr>
                      <w:rFonts w:hint="eastAsia" w:ascii="宋体" w:hAnsi="宋体" w:cs="宋体"/>
                      <w:w w:val="100"/>
                      <w:sz w:val="21"/>
                      <w:szCs w:val="21"/>
                    </w:rPr>
                    <w:t>第三十六条 排放工业噪声的企业事业单位和其他生产经营者，应当采取有效措施，减少振动、降低噪声，依法取得排污许可证或者填报排污登记表。</w:t>
                  </w:r>
                </w:p>
              </w:tc>
              <w:tc>
                <w:tcPr>
                  <w:tcW w:w="1295" w:type="pct"/>
                  <w:vAlign w:val="center"/>
                </w:tcPr>
                <w:p>
                  <w:pPr>
                    <w:spacing w:line="280" w:lineRule="exact"/>
                    <w:jc w:val="center"/>
                    <w:rPr>
                      <w:szCs w:val="21"/>
                    </w:rPr>
                  </w:pPr>
                  <w:r>
                    <w:rPr>
                      <w:rFonts w:hint="eastAsia"/>
                      <w:szCs w:val="21"/>
                    </w:rPr>
                    <w:t>本项目</w:t>
                  </w:r>
                  <w:r>
                    <w:rPr>
                      <w:szCs w:val="21"/>
                    </w:rPr>
                    <w:t>采用低噪设备，并对产噪设备进行基础减振，设置在车间内部，密闭生产等</w:t>
                  </w:r>
                  <w:r>
                    <w:rPr>
                      <w:rFonts w:hint="eastAsia"/>
                      <w:szCs w:val="21"/>
                    </w:rPr>
                    <w:t>，降低噪声影响。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 w:type="pct"/>
                  <w:vAlign w:val="center"/>
                </w:tcPr>
                <w:p>
                  <w:pPr>
                    <w:spacing w:before="24" w:after="24" w:line="280" w:lineRule="exact"/>
                    <w:ind w:left="-105" w:leftChars="-50" w:right="-105" w:rightChars="-50"/>
                    <w:jc w:val="center"/>
                    <w:rPr>
                      <w:szCs w:val="21"/>
                    </w:rPr>
                  </w:pPr>
                  <w:r>
                    <w:rPr>
                      <w:rFonts w:hint="eastAsia"/>
                      <w:szCs w:val="21"/>
                    </w:rPr>
                    <w:t>固废</w:t>
                  </w:r>
                </w:p>
              </w:tc>
              <w:tc>
                <w:tcPr>
                  <w:tcW w:w="1070" w:type="pct"/>
                  <w:gridSpan w:val="2"/>
                  <w:vAlign w:val="center"/>
                </w:tcPr>
                <w:p>
                  <w:pPr>
                    <w:spacing w:before="24" w:after="24" w:line="280" w:lineRule="exact"/>
                    <w:ind w:left="-105" w:leftChars="-50" w:right="-105" w:rightChars="-50"/>
                    <w:jc w:val="center"/>
                    <w:rPr>
                      <w:szCs w:val="21"/>
                    </w:rPr>
                  </w:pPr>
                  <w:r>
                    <w:rPr>
                      <w:rFonts w:hint="eastAsia"/>
                      <w:szCs w:val="21"/>
                    </w:rPr>
                    <w:t>《固体废物污染环境防治法（2020年修订）》</w:t>
                  </w:r>
                </w:p>
              </w:tc>
              <w:tc>
                <w:tcPr>
                  <w:tcW w:w="2295" w:type="pct"/>
                  <w:gridSpan w:val="2"/>
                  <w:vAlign w:val="center"/>
                </w:tcPr>
                <w:p>
                  <w:pPr>
                    <w:pStyle w:val="61"/>
                    <w:ind w:left="0" w:leftChars="0"/>
                    <w:jc w:val="both"/>
                    <w:rPr>
                      <w:rFonts w:ascii="宋体" w:hAnsi="宋体" w:cs="宋体"/>
                      <w:w w:val="100"/>
                      <w:sz w:val="21"/>
                      <w:szCs w:val="21"/>
                    </w:rPr>
                  </w:pPr>
                  <w:r>
                    <w:rPr>
                      <w:rFonts w:hint="eastAsia" w:ascii="宋体" w:hAnsi="宋体" w:cs="宋体"/>
                      <w:w w:val="100"/>
                      <w:sz w:val="21"/>
                      <w:szCs w:val="21"/>
                    </w:rPr>
                    <w:t>第二十条 产生、收集、贮存、运输、利用、处置固体废物的单位和其他生产经营者，应当采取防扬散、防流失、防渗漏或者其他防止污染环境的措施，不得擅自倾倒、堆放、丢弃、遗撒固体废物。</w:t>
                  </w:r>
                </w:p>
              </w:tc>
              <w:tc>
                <w:tcPr>
                  <w:tcW w:w="1295" w:type="pct"/>
                  <w:vAlign w:val="center"/>
                </w:tcPr>
                <w:p>
                  <w:pPr>
                    <w:spacing w:line="280" w:lineRule="exact"/>
                    <w:jc w:val="center"/>
                    <w:rPr>
                      <w:szCs w:val="21"/>
                    </w:rPr>
                  </w:pPr>
                  <w:r>
                    <w:rPr>
                      <w:rFonts w:hint="eastAsia"/>
                      <w:szCs w:val="21"/>
                    </w:rPr>
                    <w:t>本项目</w:t>
                  </w:r>
                  <w:r>
                    <w:rPr>
                      <w:szCs w:val="21"/>
                    </w:rPr>
                    <w:t>将一般固废、危险废物等分开存放，做到防火、防扬散、防渗漏，确保不对周围环境形成二次污染。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restart"/>
                  <w:vAlign w:val="center"/>
                </w:tcPr>
                <w:p>
                  <w:pPr>
                    <w:spacing w:before="24" w:after="24" w:line="240" w:lineRule="atLeast"/>
                    <w:ind w:left="-105" w:leftChars="-50" w:right="-105" w:rightChars="-50"/>
                    <w:jc w:val="center"/>
                    <w:rPr>
                      <w:spacing w:val="-10"/>
                      <w:szCs w:val="21"/>
                    </w:rPr>
                  </w:pPr>
                  <w:r>
                    <w:rPr>
                      <w:spacing w:val="-10"/>
                      <w:szCs w:val="21"/>
                    </w:rPr>
                    <w:t>土壤</w:t>
                  </w:r>
                </w:p>
              </w:tc>
              <w:tc>
                <w:tcPr>
                  <w:tcW w:w="1064" w:type="pct"/>
                  <w:vAlign w:val="center"/>
                </w:tcPr>
                <w:p>
                  <w:pPr>
                    <w:spacing w:before="24" w:after="24" w:line="240" w:lineRule="atLeast"/>
                    <w:jc w:val="center"/>
                    <w:rPr>
                      <w:szCs w:val="21"/>
                    </w:rPr>
                  </w:pPr>
                  <w:r>
                    <w:rPr>
                      <w:szCs w:val="21"/>
                    </w:rPr>
                    <w:t>《中华人民共和国土壤污染防治法》</w:t>
                  </w:r>
                </w:p>
              </w:tc>
              <w:tc>
                <w:tcPr>
                  <w:tcW w:w="2295" w:type="pct"/>
                  <w:gridSpan w:val="2"/>
                  <w:vAlign w:val="center"/>
                </w:tcPr>
                <w:p>
                  <w:pPr>
                    <w:spacing w:line="240" w:lineRule="atLeast"/>
                    <w:ind w:left="-53" w:leftChars="-25" w:right="-53" w:rightChars="-25"/>
                    <w:rPr>
                      <w:szCs w:val="21"/>
                    </w:rPr>
                  </w:pPr>
                  <w:r>
                    <w:rPr>
                      <w:szCs w:val="21"/>
                    </w:rPr>
                    <w:t>第十九条</w:t>
                  </w:r>
                  <w:r>
                    <w:rPr>
                      <w:rFonts w:hint="eastAsia"/>
                      <w:szCs w:val="21"/>
                    </w:rPr>
                    <w:t xml:space="preserve"> </w:t>
                  </w:r>
                  <w:r>
                    <w:rPr>
                      <w:szCs w:val="21"/>
                    </w:rPr>
                    <w:t>生产、使用、贮存、运输、回收、处置、排放有毒有害物质的单位和个人，应当采取有效措施，防止有毒有害物质渗漏、流失、扬散，避免土壤受到污染。</w:t>
                  </w:r>
                </w:p>
              </w:tc>
              <w:tc>
                <w:tcPr>
                  <w:tcW w:w="1296" w:type="pct"/>
                  <w:vMerge w:val="restart"/>
                  <w:vAlign w:val="center"/>
                </w:tcPr>
                <w:p>
                  <w:pPr>
                    <w:spacing w:before="24" w:after="24"/>
                    <w:jc w:val="center"/>
                    <w:rPr>
                      <w:szCs w:val="21"/>
                    </w:rPr>
                  </w:pPr>
                  <w:r>
                    <w:rPr>
                      <w:rFonts w:hint="eastAsia"/>
                      <w:szCs w:val="21"/>
                    </w:rPr>
                    <w:t>为防止对土壤环境产生影响，本项目采取了分区防渗措施，并与主体工程同时设计、同时施工、同时投产使用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continue"/>
                  <w:vAlign w:val="center"/>
                </w:tcPr>
                <w:p>
                  <w:pPr>
                    <w:spacing w:before="24" w:after="24" w:line="240" w:lineRule="atLeast"/>
                    <w:ind w:left="-105" w:leftChars="-50" w:right="-105" w:rightChars="-50"/>
                    <w:jc w:val="center"/>
                    <w:rPr>
                      <w:spacing w:val="-10"/>
                      <w:szCs w:val="21"/>
                    </w:rPr>
                  </w:pPr>
                </w:p>
              </w:tc>
              <w:tc>
                <w:tcPr>
                  <w:tcW w:w="1064" w:type="pct"/>
                  <w:vAlign w:val="center"/>
                </w:tcPr>
                <w:p>
                  <w:pPr>
                    <w:spacing w:before="24" w:after="24" w:line="240" w:lineRule="atLeast"/>
                    <w:ind w:left="-105" w:leftChars="-50" w:right="-105" w:rightChars="-50"/>
                    <w:jc w:val="center"/>
                    <w:rPr>
                      <w:spacing w:val="-10"/>
                      <w:szCs w:val="21"/>
                    </w:rPr>
                  </w:pPr>
                  <w:r>
                    <w:rPr>
                      <w:spacing w:val="-10"/>
                      <w:szCs w:val="21"/>
                    </w:rPr>
                    <w:t>《国务院关于印发土壤污染防治行动计划的通知》（国发[2016]31号）</w:t>
                  </w:r>
                </w:p>
              </w:tc>
              <w:tc>
                <w:tcPr>
                  <w:tcW w:w="2295" w:type="pct"/>
                  <w:gridSpan w:val="2"/>
                  <w:vAlign w:val="center"/>
                </w:tcPr>
                <w:p>
                  <w:pPr>
                    <w:spacing w:line="240" w:lineRule="atLeast"/>
                    <w:ind w:left="-53" w:leftChars="-25" w:right="-53" w:rightChars="-25"/>
                    <w:rPr>
                      <w:szCs w:val="21"/>
                    </w:rPr>
                  </w:pPr>
                  <w:r>
                    <w:rPr>
                      <w:szCs w:val="21"/>
                    </w:rPr>
                    <w:t>提出防范土壤污染的具体措施；需要建设的土壤污染防治设施，要与主体工程同时设计、同时施工、同时投产使用</w:t>
                  </w:r>
                  <w:r>
                    <w:rPr>
                      <w:rFonts w:hint="eastAsia"/>
                      <w:szCs w:val="21"/>
                    </w:rPr>
                    <w:t>。</w:t>
                  </w:r>
                </w:p>
              </w:tc>
              <w:tc>
                <w:tcPr>
                  <w:tcW w:w="1296" w:type="pct"/>
                  <w:vMerge w:val="continue"/>
                  <w:vAlign w:val="center"/>
                </w:tcPr>
                <w:p>
                  <w:pPr>
                    <w:spacing w:before="24" w:after="24"/>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continue"/>
                  <w:vAlign w:val="center"/>
                </w:tcPr>
                <w:p>
                  <w:pPr>
                    <w:spacing w:before="24" w:after="24" w:line="240" w:lineRule="atLeast"/>
                    <w:ind w:left="-105" w:leftChars="-50" w:right="-105" w:rightChars="-50"/>
                    <w:jc w:val="center"/>
                    <w:rPr>
                      <w:spacing w:val="-10"/>
                      <w:szCs w:val="21"/>
                    </w:rPr>
                  </w:pPr>
                </w:p>
              </w:tc>
              <w:tc>
                <w:tcPr>
                  <w:tcW w:w="1064" w:type="pct"/>
                  <w:vAlign w:val="center"/>
                </w:tcPr>
                <w:p>
                  <w:pPr>
                    <w:spacing w:line="260" w:lineRule="exact"/>
                    <w:jc w:val="center"/>
                    <w:rPr>
                      <w:szCs w:val="21"/>
                    </w:rPr>
                  </w:pPr>
                  <w:r>
                    <w:rPr>
                      <w:szCs w:val="21"/>
                    </w:rPr>
                    <w:t>《河北省人民政府关于印发“净土计划”土壤污染防治工作方案的通知》（冀政发[2017]3号</w:t>
                  </w:r>
                </w:p>
              </w:tc>
              <w:tc>
                <w:tcPr>
                  <w:tcW w:w="2295" w:type="pct"/>
                  <w:gridSpan w:val="2"/>
                  <w:vAlign w:val="center"/>
                </w:tcPr>
                <w:p>
                  <w:pPr>
                    <w:spacing w:line="260" w:lineRule="exact"/>
                    <w:jc w:val="center"/>
                    <w:rPr>
                      <w:szCs w:val="21"/>
                    </w:rPr>
                  </w:pPr>
                  <w:r>
                    <w:rPr>
                      <w:szCs w:val="21"/>
                    </w:rPr>
                    <w:t>明确防范土壤污染具体措施，纳入环保“三同时”管理</w:t>
                  </w:r>
                </w:p>
              </w:tc>
              <w:tc>
                <w:tcPr>
                  <w:tcW w:w="1296" w:type="pct"/>
                  <w:vAlign w:val="center"/>
                </w:tcPr>
                <w:p>
                  <w:pPr>
                    <w:spacing w:line="260" w:lineRule="exact"/>
                    <w:jc w:val="center"/>
                    <w:rPr>
                      <w:szCs w:val="21"/>
                    </w:rPr>
                  </w:pPr>
                  <w:r>
                    <w:rPr>
                      <w:rFonts w:hint="eastAsia"/>
                      <w:szCs w:val="21"/>
                    </w:rPr>
                    <w:t>为防止对土壤环境产生影响，本项目采取了分区防渗措施，并与主体工程同时设计、同时施工、同时投产使用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continue"/>
                  <w:vAlign w:val="center"/>
                </w:tcPr>
                <w:p>
                  <w:pPr>
                    <w:spacing w:before="24" w:after="24" w:line="240" w:lineRule="atLeast"/>
                    <w:ind w:left="-105" w:leftChars="-50" w:right="-105" w:rightChars="-50"/>
                    <w:jc w:val="center"/>
                    <w:rPr>
                      <w:spacing w:val="-10"/>
                      <w:szCs w:val="21"/>
                    </w:rPr>
                  </w:pPr>
                </w:p>
              </w:tc>
              <w:tc>
                <w:tcPr>
                  <w:tcW w:w="1064" w:type="pct"/>
                  <w:vAlign w:val="center"/>
                </w:tcPr>
                <w:p>
                  <w:pPr>
                    <w:spacing w:line="260" w:lineRule="exact"/>
                    <w:jc w:val="center"/>
                    <w:rPr>
                      <w:szCs w:val="21"/>
                    </w:rPr>
                  </w:pPr>
                  <w:r>
                    <w:rPr>
                      <w:szCs w:val="21"/>
                    </w:rPr>
                    <w:t>《邢台市</w:t>
                  </w:r>
                  <w:r>
                    <w:rPr>
                      <w:rFonts w:hint="eastAsia"/>
                      <w:szCs w:val="21"/>
                    </w:rPr>
                    <w:t>“</w:t>
                  </w:r>
                  <w:r>
                    <w:rPr>
                      <w:szCs w:val="21"/>
                    </w:rPr>
                    <w:t>净土行动</w:t>
                  </w:r>
                  <w:r>
                    <w:rPr>
                      <w:rFonts w:hint="eastAsia"/>
                      <w:szCs w:val="21"/>
                    </w:rPr>
                    <w:t>”</w:t>
                  </w:r>
                  <w:r>
                    <w:rPr>
                      <w:szCs w:val="21"/>
                    </w:rPr>
                    <w:t>土壤污染防治工作实施方案》（邢政发〔2017〕12号）</w:t>
                  </w:r>
                </w:p>
              </w:tc>
              <w:tc>
                <w:tcPr>
                  <w:tcW w:w="2295" w:type="pct"/>
                  <w:gridSpan w:val="2"/>
                  <w:vAlign w:val="center"/>
                </w:tcPr>
                <w:p>
                  <w:pPr>
                    <w:spacing w:line="260" w:lineRule="exact"/>
                    <w:jc w:val="center"/>
                    <w:rPr>
                      <w:szCs w:val="21"/>
                    </w:rPr>
                  </w:pPr>
                  <w:r>
                    <w:rPr>
                      <w:szCs w:val="21"/>
                    </w:rPr>
                    <w:t>（十三）严格用地审批管理。将建设用地土壤环境管理要求纳入城市规划和供地管理，土地开发利用须符合土壤环境质量要求。各级国土资源、城乡规划等部门在编制土地利用总体规划、城乡总体规划等相关规划时，应充分考虑污染地块的环境风险，合理确定土地用途。规范危险废物处置行为。</w:t>
                  </w:r>
                </w:p>
              </w:tc>
              <w:tc>
                <w:tcPr>
                  <w:tcW w:w="1296" w:type="pct"/>
                  <w:vAlign w:val="center"/>
                </w:tcPr>
                <w:p>
                  <w:pPr>
                    <w:spacing w:line="260" w:lineRule="exact"/>
                    <w:jc w:val="center"/>
                    <w:rPr>
                      <w:szCs w:val="21"/>
                    </w:rPr>
                  </w:pPr>
                  <w:r>
                    <w:rPr>
                      <w:szCs w:val="21"/>
                    </w:rPr>
                    <w:t>项目占地为河北新河县</w:t>
                  </w:r>
                  <w:r>
                    <w:rPr>
                      <w:rFonts w:hint="eastAsia"/>
                      <w:szCs w:val="21"/>
                    </w:rPr>
                    <w:t>二类工业用地</w:t>
                  </w:r>
                  <w:r>
                    <w:rPr>
                      <w:szCs w:val="21"/>
                    </w:rPr>
                    <w:t>，项目产生的危险废物经有资质单位</w:t>
                  </w:r>
                  <w:r>
                    <w:rPr>
                      <w:rFonts w:hint="eastAsia"/>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restart"/>
                  <w:vAlign w:val="center"/>
                </w:tcPr>
                <w:p>
                  <w:pPr>
                    <w:spacing w:before="24" w:after="24" w:line="240" w:lineRule="atLeast"/>
                    <w:ind w:left="-105" w:leftChars="-50" w:right="-105" w:rightChars="-50"/>
                    <w:jc w:val="center"/>
                    <w:rPr>
                      <w:spacing w:val="-10"/>
                      <w:szCs w:val="21"/>
                    </w:rPr>
                  </w:pPr>
                  <w:r>
                    <w:rPr>
                      <w:rFonts w:hint="eastAsia"/>
                      <w:spacing w:val="-10"/>
                      <w:szCs w:val="21"/>
                    </w:rPr>
                    <w:t>“十四五”规划</w:t>
                  </w:r>
                </w:p>
              </w:tc>
              <w:tc>
                <w:tcPr>
                  <w:tcW w:w="1064" w:type="pct"/>
                  <w:vAlign w:val="center"/>
                </w:tcPr>
                <w:p>
                  <w:pPr>
                    <w:spacing w:line="260" w:lineRule="exact"/>
                    <w:jc w:val="center"/>
                    <w:rPr>
                      <w:szCs w:val="21"/>
                    </w:rPr>
                  </w:pPr>
                  <w:r>
                    <w:rPr>
                      <w:rFonts w:hint="eastAsia"/>
                      <w:szCs w:val="21"/>
                    </w:rPr>
                    <w:t>河北省生态环境保护“十四五”规划</w:t>
                  </w:r>
                </w:p>
              </w:tc>
              <w:tc>
                <w:tcPr>
                  <w:tcW w:w="2295" w:type="pct"/>
                  <w:gridSpan w:val="2"/>
                  <w:vAlign w:val="center"/>
                </w:tcPr>
                <w:p>
                  <w:pPr>
                    <w:spacing w:line="260" w:lineRule="exact"/>
                    <w:jc w:val="center"/>
                    <w:rPr>
                      <w:szCs w:val="21"/>
                    </w:rPr>
                  </w:pPr>
                  <w:r>
                    <w:rPr>
                      <w:rFonts w:hint="eastAsia"/>
                      <w:szCs w:val="21"/>
                    </w:rPr>
                    <w:t>三、创新引领，推动绿色低碳发展。（二）加快产业绿色转型升级。3、推进重点行业绿色转型。以钢铁、焦化、铸造、建材、有色、石化、化工、工业涂装、包装印刷、电镀、制革、石油开采、造纸、纺织印染、农副食品加工等行业为重点，开展全流程清洁化、循环化、低碳化改造，促进传统产业绿色转型升级。</w:t>
                  </w:r>
                </w:p>
              </w:tc>
              <w:tc>
                <w:tcPr>
                  <w:tcW w:w="1296" w:type="pct"/>
                  <w:vMerge w:val="restart"/>
                  <w:vAlign w:val="center"/>
                </w:tcPr>
                <w:p>
                  <w:pPr>
                    <w:spacing w:line="260" w:lineRule="exact"/>
                    <w:jc w:val="center"/>
                    <w:rPr>
                      <w:szCs w:val="21"/>
                    </w:rPr>
                  </w:pPr>
                  <w:r>
                    <w:rPr>
                      <w:rFonts w:hint="eastAsia"/>
                      <w:szCs w:val="21"/>
                    </w:rPr>
                    <w:t>项目不</w:t>
                  </w:r>
                  <w:r>
                    <w:rPr>
                      <w:szCs w:val="21"/>
                    </w:rPr>
                    <w:t>使用高VOCs含量的溶剂型涂料、油墨、胶粘剂等</w:t>
                  </w:r>
                  <w:r>
                    <w:rPr>
                      <w:rFonts w:hint="eastAsia"/>
                      <w:szCs w:val="21"/>
                    </w:rPr>
                    <w:t>原料，固化废气经干式过滤棉+活性炭吸附-脱附催化燃烧装置处理，排气筒安装VOCs超标报警装置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Merge w:val="continue"/>
                  <w:vAlign w:val="center"/>
                </w:tcPr>
                <w:p>
                  <w:pPr>
                    <w:spacing w:before="24" w:after="24" w:line="240" w:lineRule="atLeast"/>
                    <w:ind w:left="-105" w:leftChars="-50" w:right="-105" w:rightChars="-50"/>
                    <w:jc w:val="center"/>
                    <w:rPr>
                      <w:spacing w:val="-10"/>
                      <w:szCs w:val="21"/>
                    </w:rPr>
                  </w:pPr>
                </w:p>
              </w:tc>
              <w:tc>
                <w:tcPr>
                  <w:tcW w:w="1064" w:type="pct"/>
                  <w:vAlign w:val="center"/>
                </w:tcPr>
                <w:p>
                  <w:pPr>
                    <w:spacing w:line="260" w:lineRule="exact"/>
                    <w:jc w:val="center"/>
                    <w:rPr>
                      <w:szCs w:val="21"/>
                    </w:rPr>
                  </w:pPr>
                  <w:r>
                    <w:rPr>
                      <w:szCs w:val="21"/>
                    </w:rPr>
                    <w:t>河北省人民政府办公厅关于印发河北省建设京津冀生态环境支撑区</w:t>
                  </w:r>
                  <w:r>
                    <w:rPr>
                      <w:rFonts w:hint="eastAsia"/>
                      <w:szCs w:val="21"/>
                    </w:rPr>
                    <w:t>“</w:t>
                  </w:r>
                  <w:r>
                    <w:rPr>
                      <w:szCs w:val="21"/>
                    </w:rPr>
                    <w:t>十四五</w:t>
                  </w:r>
                  <w:r>
                    <w:rPr>
                      <w:rFonts w:hint="eastAsia"/>
                      <w:szCs w:val="21"/>
                    </w:rPr>
                    <w:t>”</w:t>
                  </w:r>
                  <w:r>
                    <w:rPr>
                      <w:szCs w:val="21"/>
                    </w:rPr>
                    <w:t>规划的通知</w:t>
                  </w:r>
                  <w:r>
                    <w:rPr>
                      <w:rFonts w:hint="eastAsia"/>
                      <w:szCs w:val="21"/>
                    </w:rPr>
                    <w:t>（冀政办字〔2021〕144号）</w:t>
                  </w:r>
                </w:p>
              </w:tc>
              <w:tc>
                <w:tcPr>
                  <w:tcW w:w="2295" w:type="pct"/>
                  <w:gridSpan w:val="2"/>
                  <w:vAlign w:val="center"/>
                </w:tcPr>
                <w:p>
                  <w:pPr>
                    <w:spacing w:line="260" w:lineRule="exact"/>
                    <w:jc w:val="center"/>
                    <w:rPr>
                      <w:szCs w:val="21"/>
                    </w:rPr>
                  </w:pPr>
                  <w:r>
                    <w:rPr>
                      <w:rFonts w:hint="eastAsia"/>
                      <w:szCs w:val="21"/>
                    </w:rPr>
                    <w:t>专栏5大气环境治理重点工程。（二）挥发性有机物综合治理工程。实施一批铸造、砖瓦、陶瓷、玻璃、耐火材料、石灰、矿物棉、独立轧钢、铁合金、炭素、化工、煤炭洗选、包装印刷、家具、人造板、橡胶制品、塑料制品、制鞋、制革、玻璃钢等特色产业清洁化改造和挥发性有机物对标治理。实施含挥发性有机物产品源头替代工程，到2025年，溶剂型工业涂料、溶剂型油墨使用比例分别降低20%和10%，溶剂型胶粘剂使用量下降20%。推进重点行业综合治理工程，针对石化、化工行业装卸、污水和工艺过程等环节废气，工业涂装行业电泳、喷涂、干燥等废气，包装印刷行业印刷烘干废气，建设适宜高效挥发性有机物治理设施。</w:t>
                  </w:r>
                </w:p>
              </w:tc>
              <w:tc>
                <w:tcPr>
                  <w:tcW w:w="1296" w:type="pct"/>
                  <w:vMerge w:val="continue"/>
                  <w:vAlign w:val="center"/>
                </w:tcPr>
                <w:p>
                  <w:pPr>
                    <w:spacing w:line="26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2" w:type="pct"/>
                  <w:gridSpan w:val="2"/>
                  <w:vAlign w:val="center"/>
                </w:tcPr>
                <w:p>
                  <w:pPr>
                    <w:spacing w:before="24" w:after="24" w:line="240" w:lineRule="atLeast"/>
                    <w:ind w:left="-105" w:leftChars="-50" w:right="-105" w:rightChars="-50"/>
                    <w:jc w:val="center"/>
                    <w:rPr>
                      <w:spacing w:val="-10"/>
                      <w:szCs w:val="21"/>
                    </w:rPr>
                  </w:pPr>
                  <w:r>
                    <w:rPr>
                      <w:rFonts w:hint="eastAsia"/>
                      <w:spacing w:val="-10"/>
                      <w:szCs w:val="21"/>
                    </w:rPr>
                    <w:t>“十四五”规划</w:t>
                  </w:r>
                </w:p>
              </w:tc>
              <w:tc>
                <w:tcPr>
                  <w:tcW w:w="1064" w:type="pct"/>
                  <w:vAlign w:val="center"/>
                </w:tcPr>
                <w:p>
                  <w:pPr>
                    <w:spacing w:before="24" w:after="24" w:line="240" w:lineRule="atLeast"/>
                    <w:ind w:left="-105" w:leftChars="-50" w:right="-105" w:rightChars="-50"/>
                    <w:jc w:val="center"/>
                    <w:rPr>
                      <w:spacing w:val="-10"/>
                      <w:szCs w:val="21"/>
                    </w:rPr>
                  </w:pPr>
                  <w:r>
                    <w:rPr>
                      <w:spacing w:val="-10"/>
                      <w:szCs w:val="21"/>
                    </w:rPr>
                    <w:t>邢台市建设京津冀生态环境支撑区</w:t>
                  </w:r>
                  <w:r>
                    <w:rPr>
                      <w:rFonts w:hint="eastAsia"/>
                      <w:spacing w:val="-10"/>
                      <w:szCs w:val="21"/>
                    </w:rPr>
                    <w:t>“</w:t>
                  </w:r>
                  <w:r>
                    <w:rPr>
                      <w:spacing w:val="-10"/>
                      <w:szCs w:val="21"/>
                    </w:rPr>
                    <w:t>十四五</w:t>
                  </w:r>
                  <w:r>
                    <w:rPr>
                      <w:rFonts w:hint="eastAsia"/>
                      <w:spacing w:val="-10"/>
                      <w:szCs w:val="21"/>
                    </w:rPr>
                    <w:t>”</w:t>
                  </w:r>
                  <w:r>
                    <w:rPr>
                      <w:spacing w:val="-10"/>
                      <w:szCs w:val="21"/>
                    </w:rPr>
                    <w:t>规划</w:t>
                  </w:r>
                </w:p>
              </w:tc>
              <w:tc>
                <w:tcPr>
                  <w:tcW w:w="2295" w:type="pct"/>
                  <w:gridSpan w:val="2"/>
                  <w:vAlign w:val="center"/>
                </w:tcPr>
                <w:p>
                  <w:pPr>
                    <w:spacing w:before="24" w:after="24" w:line="280" w:lineRule="exact"/>
                    <w:ind w:left="-105" w:leftChars="-50" w:right="-105" w:rightChars="-50"/>
                    <w:jc w:val="center"/>
                    <w:rPr>
                      <w:szCs w:val="21"/>
                    </w:rPr>
                  </w:pPr>
                  <w:r>
                    <w:rPr>
                      <w:rFonts w:hint="eastAsia"/>
                      <w:szCs w:val="21"/>
                    </w:rPr>
                    <w:t>三、</w:t>
                  </w:r>
                  <w:r>
                    <w:rPr>
                      <w:szCs w:val="21"/>
                    </w:rPr>
                    <w:t>(二)构建多元融合绿色低碳产业体系。推进工业绿色升级。巩固去产能成果，严格执行国家产能置换政策，坚决遏制</w:t>
                  </w:r>
                  <w:r>
                    <w:rPr>
                      <w:rFonts w:hint="eastAsia"/>
                      <w:szCs w:val="21"/>
                    </w:rPr>
                    <w:t>“</w:t>
                  </w:r>
                  <w:r>
                    <w:rPr>
                      <w:szCs w:val="21"/>
                    </w:rPr>
                    <w:t>两高</w:t>
                  </w:r>
                  <w:r>
                    <w:rPr>
                      <w:rFonts w:hint="eastAsia"/>
                      <w:szCs w:val="21"/>
                    </w:rPr>
                    <w:t>”</w:t>
                  </w:r>
                  <w:r>
                    <w:rPr>
                      <w:szCs w:val="21"/>
                    </w:rPr>
                    <w:t>项目盲目发展。以钢铁、化工、建材等行业为重点，大力实施工业节能低碳改造，加快推动制造业绿色发展。严把项目环境准入关口。鼓励各县(市、区)和产业园区根据主导产业和县域特色产业集群发展方向招商选资。严格</w:t>
                  </w:r>
                  <w:r>
                    <w:rPr>
                      <w:rFonts w:hint="eastAsia"/>
                      <w:szCs w:val="21"/>
                    </w:rPr>
                    <w:t>“</w:t>
                  </w:r>
                  <w:r>
                    <w:rPr>
                      <w:szCs w:val="21"/>
                    </w:rPr>
                    <w:t>两高</w:t>
                  </w:r>
                  <w:r>
                    <w:rPr>
                      <w:rFonts w:hint="eastAsia"/>
                      <w:szCs w:val="21"/>
                    </w:rPr>
                    <w:t>”</w:t>
                  </w:r>
                  <w:r>
                    <w:rPr>
                      <w:szCs w:val="21"/>
                    </w:rPr>
                    <w:t>项目环评审批，现代煤化工项目应纳入国家产业规划，新建、扩建焦化、化工、平板玻璃项目应严格落实产能置换相关要求，并布设在依法合规设立并经规划环评的产业园区。新增主要污染物排放量</w:t>
                  </w:r>
                  <w:r>
                    <w:rPr>
                      <w:rFonts w:hint="eastAsia"/>
                      <w:szCs w:val="21"/>
                    </w:rPr>
                    <w:t>“</w:t>
                  </w:r>
                  <w:r>
                    <w:rPr>
                      <w:szCs w:val="21"/>
                    </w:rPr>
                    <w:t>两高</w:t>
                  </w:r>
                  <w:r>
                    <w:rPr>
                      <w:rFonts w:hint="eastAsia"/>
                      <w:szCs w:val="21"/>
                    </w:rPr>
                    <w:t>”</w:t>
                  </w:r>
                  <w:r>
                    <w:rPr>
                      <w:szCs w:val="21"/>
                    </w:rPr>
                    <w:t>项目，要提出有效区域削减方案，主要污染物实行区域倍量削减。(五)推进资源全面节约高效利用。治理地下水超采。统筹考虑地表水、地下水、外调水和其他水源的利用，加强替代水源工程建设，减少地下水开采量。强化土地资源节约利用。严格保护耕地和永久基本农田。加快构建固体废物循环利用体系。</w:t>
                  </w:r>
                </w:p>
              </w:tc>
              <w:tc>
                <w:tcPr>
                  <w:tcW w:w="1297" w:type="pct"/>
                  <w:vAlign w:val="center"/>
                </w:tcPr>
                <w:p>
                  <w:pPr>
                    <w:spacing w:before="24" w:after="24" w:line="280" w:lineRule="exact"/>
                    <w:ind w:left="-105" w:leftChars="-50" w:right="-105" w:rightChars="-50"/>
                    <w:jc w:val="center"/>
                    <w:rPr>
                      <w:szCs w:val="21"/>
                    </w:rPr>
                  </w:pPr>
                  <w:r>
                    <w:rPr>
                      <w:szCs w:val="21"/>
                    </w:rPr>
                    <w:t>本项目为</w:t>
                  </w:r>
                  <w:r>
                    <w:rPr>
                      <w:rFonts w:hint="eastAsia"/>
                      <w:szCs w:val="21"/>
                    </w:rPr>
                    <w:t>配电箱（柜）生产项目</w:t>
                  </w:r>
                  <w:r>
                    <w:rPr>
                      <w:szCs w:val="21"/>
                    </w:rPr>
                    <w:t>，位于</w:t>
                  </w:r>
                  <w:r>
                    <w:rPr>
                      <w:rFonts w:hint="eastAsia"/>
                      <w:szCs w:val="21"/>
                    </w:rPr>
                    <w:t>河北新河经济开发区东区</w:t>
                  </w:r>
                  <w:r>
                    <w:rPr>
                      <w:rFonts w:hint="eastAsia"/>
                      <w:sz w:val="23"/>
                      <w:szCs w:val="23"/>
                    </w:rPr>
                    <w:t>新能源及配套循环产业区内</w:t>
                  </w:r>
                  <w:r>
                    <w:rPr>
                      <w:rFonts w:hint="eastAsia"/>
                      <w:szCs w:val="21"/>
                    </w:rPr>
                    <w:t>；占地为工业用地；不属于两高项目；不开采地下水；固废均合理处理、处置。</w:t>
                  </w:r>
                </w:p>
                <w:p>
                  <w:pPr>
                    <w:spacing w:before="24" w:after="24" w:line="280" w:lineRule="exact"/>
                    <w:ind w:left="-105" w:leftChars="-50" w:right="-105" w:rightChars="-50"/>
                    <w:jc w:val="center"/>
                    <w:rPr>
                      <w:szCs w:val="21"/>
                    </w:rPr>
                  </w:pPr>
                </w:p>
              </w:tc>
            </w:tr>
          </w:tbl>
          <w:p>
            <w:pPr>
              <w:autoSpaceDE w:val="0"/>
              <w:autoSpaceDN w:val="0"/>
              <w:adjustRightInd w:val="0"/>
              <w:snapToGrid w:val="0"/>
              <w:spacing w:before="120" w:beforeLines="50" w:line="360" w:lineRule="auto"/>
              <w:ind w:firstLine="480" w:firstLineChars="200"/>
              <w:rPr>
                <w:kern w:val="0"/>
                <w:sz w:val="24"/>
              </w:rPr>
            </w:pPr>
            <w:r>
              <w:rPr>
                <w:kern w:val="0"/>
                <w:sz w:val="24"/>
              </w:rPr>
              <w:t>由上表分析可知，</w:t>
            </w:r>
            <w:r>
              <w:rPr>
                <w:rFonts w:hint="eastAsia"/>
                <w:kern w:val="0"/>
                <w:sz w:val="24"/>
              </w:rPr>
              <w:t>本</w:t>
            </w:r>
            <w:r>
              <w:rPr>
                <w:kern w:val="0"/>
                <w:sz w:val="24"/>
              </w:rPr>
              <w:t>项目严格根据国家、河北省及邢台市等相关环保政策提出的污染防治要求进行污染治理设施设计，与相关的水、气、</w:t>
            </w:r>
            <w:r>
              <w:rPr>
                <w:rFonts w:hint="eastAsia"/>
                <w:kern w:val="0"/>
                <w:sz w:val="24"/>
              </w:rPr>
              <w:t>噪声、固体废物、</w:t>
            </w:r>
            <w:r>
              <w:rPr>
                <w:kern w:val="0"/>
                <w:sz w:val="24"/>
              </w:rPr>
              <w:t>土壤</w:t>
            </w:r>
            <w:r>
              <w:rPr>
                <w:rFonts w:hint="eastAsia"/>
                <w:kern w:val="0"/>
                <w:sz w:val="24"/>
              </w:rPr>
              <w:t>、“十四五”规划</w:t>
            </w:r>
            <w:r>
              <w:rPr>
                <w:kern w:val="0"/>
                <w:sz w:val="24"/>
              </w:rPr>
              <w:t>等环保政策均相符。</w:t>
            </w:r>
          </w:p>
          <w:p>
            <w:pPr>
              <w:numPr>
                <w:ilvl w:val="0"/>
                <w:numId w:val="2"/>
              </w:numPr>
              <w:autoSpaceDE w:val="0"/>
              <w:autoSpaceDN w:val="0"/>
              <w:adjustRightInd w:val="0"/>
              <w:snapToGrid w:val="0"/>
              <w:spacing w:line="360" w:lineRule="auto"/>
              <w:ind w:firstLine="482" w:firstLineChars="200"/>
              <w:rPr>
                <w:b/>
                <w:bCs/>
                <w:sz w:val="24"/>
                <w:szCs w:val="32"/>
              </w:rPr>
            </w:pPr>
            <w:r>
              <w:rPr>
                <w:b/>
                <w:bCs/>
                <w:kern w:val="0"/>
                <w:sz w:val="24"/>
              </w:rPr>
              <w:t>绩效分级指标分析</w:t>
            </w:r>
          </w:p>
          <w:p>
            <w:pPr>
              <w:autoSpaceDE w:val="0"/>
              <w:autoSpaceDN w:val="0"/>
              <w:adjustRightInd w:val="0"/>
              <w:snapToGrid w:val="0"/>
              <w:spacing w:line="360" w:lineRule="auto"/>
              <w:ind w:firstLine="480" w:firstLineChars="200"/>
              <w:rPr>
                <w:kern w:val="0"/>
                <w:szCs w:val="21"/>
              </w:rPr>
            </w:pPr>
            <w:r>
              <w:rPr>
                <w:kern w:val="0"/>
                <w:sz w:val="24"/>
              </w:rPr>
              <w:t>根据</w:t>
            </w:r>
            <w:r>
              <w:rPr>
                <w:rFonts w:hint="eastAsia"/>
                <w:kern w:val="0"/>
                <w:sz w:val="24"/>
              </w:rPr>
              <w:t>生态环境部</w:t>
            </w:r>
            <w:r>
              <w:rPr>
                <w:kern w:val="0"/>
                <w:sz w:val="24"/>
              </w:rPr>
              <w:t>《</w:t>
            </w:r>
            <w:r>
              <w:rPr>
                <w:rFonts w:hint="eastAsia"/>
                <w:kern w:val="0"/>
                <w:sz w:val="24"/>
              </w:rPr>
              <w:t>重污染天气重点行业应急减排措施指定技术指南</w:t>
            </w:r>
            <w:r>
              <w:rPr>
                <w:kern w:val="0"/>
                <w:sz w:val="24"/>
              </w:rPr>
              <w:t>》</w:t>
            </w:r>
            <w:r>
              <w:rPr>
                <w:rFonts w:hint="eastAsia"/>
                <w:kern w:val="0"/>
                <w:sz w:val="24"/>
              </w:rPr>
              <w:t>（2021年修订版）</w:t>
            </w:r>
            <w:r>
              <w:rPr>
                <w:kern w:val="0"/>
                <w:sz w:val="24"/>
              </w:rPr>
              <w:t>中“</w:t>
            </w:r>
            <w:r>
              <w:rPr>
                <w:rFonts w:hint="eastAsia"/>
                <w:kern w:val="0"/>
                <w:sz w:val="24"/>
              </w:rPr>
              <w:t>工业涂装</w:t>
            </w:r>
            <w:r>
              <w:rPr>
                <w:kern w:val="0"/>
                <w:sz w:val="24"/>
              </w:rPr>
              <w:t>”绩效分级指标对本项目相应建设情况进行分析，见</w:t>
            </w:r>
            <w:r>
              <w:rPr>
                <w:rFonts w:hint="eastAsia"/>
                <w:kern w:val="0"/>
                <w:sz w:val="24"/>
              </w:rPr>
              <w:t>表13</w:t>
            </w:r>
            <w:r>
              <w:rPr>
                <w:rFonts w:hint="eastAsia"/>
                <w:kern w:val="0"/>
                <w:szCs w:val="21"/>
              </w:rPr>
              <w:t>。</w:t>
            </w:r>
          </w:p>
          <w:p>
            <w:pPr>
              <w:pStyle w:val="19"/>
              <w:widowControl w:val="0"/>
              <w:tabs>
                <w:tab w:val="left" w:pos="3828"/>
              </w:tabs>
              <w:snapToGrid/>
              <w:spacing w:after="0" w:line="240" w:lineRule="auto"/>
              <w:ind w:firstLine="0" w:firstLineChars="0"/>
              <w:jc w:val="center"/>
              <w:rPr>
                <w:b/>
                <w:bCs/>
                <w:sz w:val="24"/>
                <w:szCs w:val="40"/>
              </w:rPr>
            </w:pPr>
            <w:r>
              <w:rPr>
                <w:b/>
                <w:bCs/>
                <w:sz w:val="24"/>
                <w:szCs w:val="40"/>
              </w:rPr>
              <w:t>表</w:t>
            </w:r>
            <w:r>
              <w:rPr>
                <w:rFonts w:hint="eastAsia"/>
                <w:b/>
                <w:bCs/>
                <w:sz w:val="24"/>
                <w:szCs w:val="40"/>
              </w:rPr>
              <w:t>13</w:t>
            </w:r>
            <w:r>
              <w:rPr>
                <w:b/>
                <w:bCs/>
                <w:sz w:val="24"/>
                <w:szCs w:val="40"/>
              </w:rPr>
              <w:t xml:space="preserve"> </w:t>
            </w:r>
            <w:r>
              <w:rPr>
                <w:rFonts w:hint="eastAsia"/>
                <w:b/>
                <w:bCs/>
                <w:sz w:val="24"/>
                <w:szCs w:val="40"/>
              </w:rPr>
              <w:t xml:space="preserve"> 项目绩效分级指标对照分析表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3913"/>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85" w:type="pct"/>
                  <w:vAlign w:val="bottom"/>
                </w:tcPr>
                <w:p>
                  <w:pPr>
                    <w:adjustRightInd w:val="0"/>
                    <w:snapToGrid w:val="0"/>
                    <w:spacing w:line="360" w:lineRule="auto"/>
                    <w:jc w:val="center"/>
                    <w:textAlignment w:val="center"/>
                    <w:rPr>
                      <w:b/>
                      <w:bCs/>
                    </w:rPr>
                  </w:pPr>
                  <w:r>
                    <w:rPr>
                      <w:b/>
                      <w:bCs/>
                    </w:rPr>
                    <w:t>差异化指标</w:t>
                  </w:r>
                </w:p>
              </w:tc>
              <w:tc>
                <w:tcPr>
                  <w:tcW w:w="2611" w:type="pct"/>
                  <w:vAlign w:val="bottom"/>
                </w:tcPr>
                <w:p>
                  <w:pPr>
                    <w:adjustRightInd w:val="0"/>
                    <w:snapToGrid w:val="0"/>
                    <w:spacing w:line="360" w:lineRule="auto"/>
                    <w:jc w:val="center"/>
                    <w:textAlignment w:val="center"/>
                    <w:rPr>
                      <w:b/>
                      <w:bCs/>
                    </w:rPr>
                  </w:pPr>
                  <w:r>
                    <w:rPr>
                      <w:b/>
                      <w:bCs/>
                    </w:rPr>
                    <w:t>B级企业</w:t>
                  </w:r>
                </w:p>
              </w:tc>
              <w:tc>
                <w:tcPr>
                  <w:tcW w:w="1502" w:type="pct"/>
                  <w:vAlign w:val="bottom"/>
                </w:tcPr>
                <w:p>
                  <w:pPr>
                    <w:adjustRightInd w:val="0"/>
                    <w:snapToGrid w:val="0"/>
                    <w:spacing w:line="360" w:lineRule="auto"/>
                    <w:jc w:val="center"/>
                    <w:textAlignment w:val="center"/>
                    <w:rPr>
                      <w:b/>
                      <w:bCs/>
                    </w:rPr>
                  </w:pPr>
                  <w:r>
                    <w:rPr>
                      <w:b/>
                      <w:bCs/>
                    </w:rPr>
                    <w:t>本项目建设情况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vAlign w:val="center"/>
                </w:tcPr>
                <w:p>
                  <w:pPr>
                    <w:adjustRightInd w:val="0"/>
                    <w:snapToGrid w:val="0"/>
                    <w:spacing w:line="360" w:lineRule="auto"/>
                    <w:jc w:val="center"/>
                  </w:pPr>
                  <w:r>
                    <w:t>原辅材料</w:t>
                  </w:r>
                </w:p>
              </w:tc>
              <w:tc>
                <w:tcPr>
                  <w:tcW w:w="2611" w:type="pct"/>
                  <w:vAlign w:val="center"/>
                </w:tcPr>
                <w:p>
                  <w:pPr>
                    <w:adjustRightInd w:val="0"/>
                    <w:snapToGrid w:val="0"/>
                  </w:pPr>
                  <w:r>
                    <w:t>1、使用符合《船舶涂料中有害物质限量》（GB38469-2019）、《木器涂料中有害物质限量》（GB18581-2020）、《车辆涂料中有害物质限量》（GB24409-2020）、《工业防护涂料中有害物质限量》（GB30981-2020）等标准规定的水性、无溶剂、辐射</w:t>
                  </w:r>
                  <w:r>
                    <w:rPr>
                      <w:rFonts w:hint="eastAsia"/>
                    </w:rPr>
                    <w:t>喷涂（固化）</w:t>
                  </w:r>
                  <w:r>
                    <w:t>涂料产品；2、使用符合《低挥发性有机化合物含量涂料产品技术要求》（GB/T38597-2020）规定的溶剂型涂料产品</w:t>
                  </w:r>
                </w:p>
              </w:tc>
              <w:tc>
                <w:tcPr>
                  <w:tcW w:w="1502" w:type="pct"/>
                  <w:vAlign w:val="center"/>
                </w:tcPr>
                <w:p>
                  <w:pPr>
                    <w:adjustRightInd w:val="0"/>
                    <w:snapToGrid w:val="0"/>
                    <w:spacing w:line="360" w:lineRule="auto"/>
                    <w:jc w:val="center"/>
                  </w:pPr>
                  <w:r>
                    <w:rPr>
                      <w:rFonts w:hint="eastAsia"/>
                    </w:rPr>
                    <w:t>本项目使用粉末涂料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vAlign w:val="center"/>
                </w:tcPr>
                <w:p>
                  <w:pPr>
                    <w:adjustRightInd w:val="0"/>
                    <w:snapToGrid w:val="0"/>
                    <w:spacing w:line="360" w:lineRule="auto"/>
                    <w:jc w:val="center"/>
                  </w:pPr>
                </w:p>
              </w:tc>
              <w:tc>
                <w:tcPr>
                  <w:tcW w:w="2611" w:type="pct"/>
                  <w:vAlign w:val="center"/>
                </w:tcPr>
                <w:p>
                  <w:pPr>
                    <w:adjustRightInd w:val="0"/>
                    <w:snapToGrid w:val="0"/>
                    <w:jc w:val="left"/>
                    <w:rPr>
                      <w:szCs w:val="21"/>
                    </w:rPr>
                  </w:pPr>
                  <w:r>
                    <w:t>备注：对于申报A、B级的企业，若某一工序使用的涂料无低VOCs含量涂料产品替代方案，其VOCs含量应满足《船舶涂料中有害物质限量》（GB38469-2019）、《木器涂料中有害物质限量》（GB18581-2020）、《车辆涂料中有害物质限量》（GB24409-2020）、《工业防护涂料中有害物质限量》（GB30981-2020）等标准的要求</w:t>
                  </w:r>
                </w:p>
              </w:tc>
              <w:tc>
                <w:tcPr>
                  <w:tcW w:w="1502" w:type="pct"/>
                  <w:vAlign w:val="center"/>
                </w:tcPr>
                <w:p>
                  <w:pPr>
                    <w:adjustRightInd w:val="0"/>
                    <w:snapToGrid w:val="0"/>
                    <w:spacing w:line="360" w:lineRule="auto"/>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pPr>
                    <w:adjustRightInd w:val="0"/>
                    <w:snapToGrid w:val="0"/>
                    <w:spacing w:line="360" w:lineRule="auto"/>
                    <w:jc w:val="center"/>
                  </w:pPr>
                  <w:r>
                    <w:t>无组织排放</w:t>
                  </w:r>
                </w:p>
              </w:tc>
              <w:tc>
                <w:tcPr>
                  <w:tcW w:w="2611" w:type="pct"/>
                  <w:vAlign w:val="center"/>
                </w:tcPr>
                <w:p>
                  <w:pPr>
                    <w:adjustRightInd w:val="0"/>
                    <w:snapToGrid w:val="0"/>
                    <w:jc w:val="left"/>
                  </w:pPr>
                  <w:r>
                    <w:t>1、满足《挥发性有机物无组织排放控制标准》（GB37822-2019）特别控制要求；2、VOCs物料存储于密闭容器或包装袋中，盛装VOCs物料的容器或包装袋存放于密闭负压的储库、料仓内；3、除大型工件特殊作业（例如，船舶制造行业的分段总组、船台、船坞、造船码头等涂装工序）外，调漆、喷漆、流平、烘干、清洗等工序在密闭设备或密闭负压空间内操作；4、密闭回收废清洗剂；5、建设干式喷漆房；使用湿式喷漆房时，循环水泵间和刮渣间应密闭，安装废气收集设施；6、采用静电喷涂、自动喷涂、高压无气喷涂或高流低压（HVLP）喷枪等高效涂装技术，不可使用手动空气喷涂技术</w:t>
                  </w:r>
                </w:p>
              </w:tc>
              <w:tc>
                <w:tcPr>
                  <w:tcW w:w="1502" w:type="pct"/>
                  <w:vAlign w:val="center"/>
                </w:tcPr>
                <w:p>
                  <w:pPr>
                    <w:adjustRightInd w:val="0"/>
                    <w:snapToGrid w:val="0"/>
                    <w:jc w:val="center"/>
                  </w:pPr>
                  <w:r>
                    <w:rPr>
                      <w:rFonts w:hint="eastAsia"/>
                    </w:rPr>
                    <w:t>1、企业VOCs废气排放可满足</w:t>
                  </w:r>
                  <w:r>
                    <w:t>《挥发性有机物无组织排放控制标准》（GB37822-2019）特别控制要求</w:t>
                  </w:r>
                  <w:r>
                    <w:rPr>
                      <w:rFonts w:hint="eastAsia"/>
                    </w:rPr>
                    <w:t>；2、塑粉存储于密闭包装桶或容器内，密闭保存；3、本项目使用固态塑粉，不涉及喷漆；企业设置自动喷涂烘干线，在密闭喷涂室和喷涂（固化）室内进行操作；4、本项目采用自动喷涂生产线，不使用手动喷涂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vAlign w:val="center"/>
                </w:tcPr>
                <w:p>
                  <w:pPr>
                    <w:adjustRightInd w:val="0"/>
                    <w:snapToGrid w:val="0"/>
                    <w:spacing w:line="360" w:lineRule="auto"/>
                    <w:jc w:val="center"/>
                  </w:pPr>
                  <w:r>
                    <w:t>VOC</w:t>
                  </w:r>
                  <w:r>
                    <w:rPr>
                      <w:vertAlign w:val="subscript"/>
                    </w:rPr>
                    <w:t>S</w:t>
                  </w:r>
                  <w:r>
                    <w:t>治污设施</w:t>
                  </w:r>
                </w:p>
              </w:tc>
              <w:tc>
                <w:tcPr>
                  <w:tcW w:w="2611" w:type="pct"/>
                  <w:vAlign w:val="center"/>
                </w:tcPr>
                <w:p>
                  <w:pPr>
                    <w:adjustRightInd w:val="0"/>
                    <w:snapToGrid w:val="0"/>
                    <w:jc w:val="left"/>
                  </w:pPr>
                  <w:r>
                    <w:t>1、喷涂废气设置干式的石灰石、纸盒或湿式</w:t>
                  </w:r>
                  <w:r>
                    <w:rPr>
                      <w:rFonts w:hint="eastAsia"/>
                    </w:rPr>
                    <w:t>的</w:t>
                  </w:r>
                  <w:r>
                    <w:t>文丘里等高时效雾漆处理</w:t>
                  </w:r>
                  <w:r>
                    <w:rPr>
                      <w:rFonts w:hint="eastAsia"/>
                    </w:rPr>
                    <w:t>装置；2、使用溶剂型涂料时，调漆、喷漆、流平、烘干清洗等工序含VOC</w:t>
                  </w:r>
                  <w:r>
                    <w:rPr>
                      <w:rFonts w:hint="eastAsia"/>
                      <w:vertAlign w:val="subscript"/>
                    </w:rPr>
                    <w:t>S</w:t>
                  </w:r>
                  <w:r>
                    <w:rPr>
                      <w:rFonts w:hint="eastAsia"/>
                    </w:rPr>
                    <w:t>废气采用</w:t>
                  </w:r>
                  <w:r>
                    <w:t>吸附浓缩+燃烧、燃烧等治理技术，处理效率≥85%；3、使用水性涂料（含水性UV）时，当车间或生产设施排气中NMHC初始排放速率≥2kg/h时，建设末端治污设施</w:t>
                  </w:r>
                </w:p>
              </w:tc>
              <w:tc>
                <w:tcPr>
                  <w:tcW w:w="1502" w:type="pct"/>
                  <w:vAlign w:val="center"/>
                </w:tcPr>
                <w:p>
                  <w:pPr>
                    <w:adjustRightInd w:val="0"/>
                    <w:snapToGrid w:val="0"/>
                    <w:spacing w:line="360" w:lineRule="auto"/>
                    <w:jc w:val="center"/>
                  </w:pPr>
                  <w:r>
                    <w:rPr>
                      <w:rFonts w:hint="eastAsia"/>
                    </w:rPr>
                    <w:t>本项目使用粉末涂料进行静电喷涂；不涉及喷漆等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vAlign w:val="center"/>
                </w:tcPr>
                <w:p>
                  <w:pPr>
                    <w:adjustRightInd w:val="0"/>
                    <w:snapToGrid w:val="0"/>
                    <w:spacing w:line="360" w:lineRule="auto"/>
                    <w:jc w:val="center"/>
                  </w:pPr>
                </w:p>
              </w:tc>
              <w:tc>
                <w:tcPr>
                  <w:tcW w:w="2611" w:type="pct"/>
                  <w:vAlign w:val="center"/>
                </w:tcPr>
                <w:p>
                  <w:pPr>
                    <w:adjustRightInd w:val="0"/>
                    <w:snapToGrid w:val="0"/>
                    <w:jc w:val="left"/>
                  </w:pPr>
                  <w:r>
                    <w:t>备注：采用粉末涂料或VOCs含量≤60g/L的无溶剂涂料时，排放浓度稳定达标且排放速率、排放绩效等满足相关规定的，相应生产工序可不要求建设末端治理设施</w:t>
                  </w:r>
                </w:p>
              </w:tc>
              <w:tc>
                <w:tcPr>
                  <w:tcW w:w="1502" w:type="pct"/>
                  <w:vAlign w:val="center"/>
                </w:tcPr>
                <w:p>
                  <w:pPr>
                    <w:adjustRightInd w:val="0"/>
                    <w:snapToGrid w:val="0"/>
                    <w:jc w:val="center"/>
                  </w:pPr>
                  <w:r>
                    <w:rPr>
                      <w:rFonts w:hint="eastAsia"/>
                    </w:rPr>
                    <w:t>本项目采用粉末涂料进行喷涂，经旋风除尘器+滤筒除尘器处理后，可达标排放，且可稳定排放。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vAlign w:val="center"/>
                </w:tcPr>
                <w:p>
                  <w:pPr>
                    <w:adjustRightInd w:val="0"/>
                    <w:snapToGrid w:val="0"/>
                    <w:spacing w:line="360" w:lineRule="auto"/>
                    <w:jc w:val="center"/>
                  </w:pPr>
                  <w:r>
                    <w:t>排放限值</w:t>
                  </w:r>
                </w:p>
              </w:tc>
              <w:tc>
                <w:tcPr>
                  <w:tcW w:w="2611" w:type="pct"/>
                  <w:vAlign w:val="center"/>
                </w:tcPr>
                <w:p>
                  <w:pPr>
                    <w:adjustRightInd w:val="0"/>
                    <w:snapToGrid w:val="0"/>
                    <w:jc w:val="left"/>
                  </w:pPr>
                  <w:r>
                    <w:t>1、在连续一年的监测数据中，车间或生产设施排气筒排放的NMHC为30-40mg/m</w:t>
                  </w:r>
                  <w:r>
                    <w:rPr>
                      <w:vertAlign w:val="superscript"/>
                    </w:rPr>
                    <w:t>3</w:t>
                  </w:r>
                  <w:r>
                    <w:t>、TVOC为50-60mg/m</w:t>
                  </w:r>
                  <w:r>
                    <w:rPr>
                      <w:vertAlign w:val="superscript"/>
                    </w:rPr>
                    <w:t>3</w:t>
                  </w:r>
                  <w:r>
                    <w:t>；2、厂区内无组织排放监控点NMHC的小时平均浓度值不超过6mg/m</w:t>
                  </w:r>
                  <w:r>
                    <w:rPr>
                      <w:vertAlign w:val="superscript"/>
                    </w:rPr>
                    <w:t>3</w:t>
                  </w:r>
                  <w:r>
                    <w:t>、任意一次浓度值不超过20mg/m</w:t>
                  </w:r>
                  <w:r>
                    <w:rPr>
                      <w:vertAlign w:val="superscript"/>
                    </w:rPr>
                    <w:t>3</w:t>
                  </w:r>
                  <w:r>
                    <w:t>；3、其他各项污染物稳定达到现行排放控制要求，并从严地方要求</w:t>
                  </w:r>
                </w:p>
              </w:tc>
              <w:tc>
                <w:tcPr>
                  <w:tcW w:w="1502" w:type="pct"/>
                  <w:vAlign w:val="center"/>
                </w:tcPr>
                <w:p>
                  <w:pPr>
                    <w:adjustRightInd w:val="0"/>
                    <w:snapToGrid w:val="0"/>
                    <w:jc w:val="center"/>
                  </w:pPr>
                  <w:r>
                    <w:rPr>
                      <w:rFonts w:hint="eastAsia"/>
                    </w:rPr>
                    <w:t>企业在后期运行管理中将严格执行此排放限值。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vAlign w:val="center"/>
                </w:tcPr>
                <w:p>
                  <w:pPr>
                    <w:adjustRightInd w:val="0"/>
                    <w:snapToGrid w:val="0"/>
                    <w:spacing w:line="360" w:lineRule="auto"/>
                    <w:jc w:val="center"/>
                  </w:pPr>
                </w:p>
              </w:tc>
              <w:tc>
                <w:tcPr>
                  <w:tcW w:w="2611" w:type="pct"/>
                  <w:vAlign w:val="center"/>
                </w:tcPr>
                <w:p>
                  <w:pPr>
                    <w:adjustRightInd w:val="0"/>
                    <w:snapToGrid w:val="0"/>
                    <w:jc w:val="left"/>
                  </w:pPr>
                  <w:r>
                    <w:t>备注：车间或生产设施排气筒排放的TVOC浓度限值要求待相应的监测标准发布后执行</w:t>
                  </w:r>
                </w:p>
              </w:tc>
              <w:tc>
                <w:tcPr>
                  <w:tcW w:w="1502" w:type="pct"/>
                  <w:vAlign w:val="center"/>
                </w:tcPr>
                <w:p>
                  <w:pPr>
                    <w:adjustRightInd w:val="0"/>
                    <w:snapToGrid w:val="0"/>
                    <w:spacing w:line="360" w:lineRule="auto"/>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pPr>
                    <w:adjustRightInd w:val="0"/>
                    <w:snapToGrid w:val="0"/>
                    <w:spacing w:line="360" w:lineRule="auto"/>
                    <w:jc w:val="center"/>
                  </w:pPr>
                  <w:r>
                    <w:t>监测监控水平</w:t>
                  </w:r>
                </w:p>
              </w:tc>
              <w:tc>
                <w:tcPr>
                  <w:tcW w:w="2611" w:type="pct"/>
                  <w:vAlign w:val="center"/>
                </w:tcPr>
                <w:p>
                  <w:pPr>
                    <w:adjustRightInd w:val="0"/>
                    <w:snapToGrid w:val="0"/>
                    <w:jc w:val="left"/>
                  </w:pPr>
                  <w:r>
                    <w:t>1、严格执行《排污许可证申请与核发技术规范总则》（HJ942－2018）以及相关行业排污许可证申请与核发技术规范规定的自行监测管理要求；2、重点排污企业风量大10000m</w:t>
                  </w:r>
                  <w:r>
                    <w:rPr>
                      <w:vertAlign w:val="superscript"/>
                    </w:rPr>
                    <w:t>3</w:t>
                  </w:r>
                  <w:r>
                    <w:t>/h的主要排放口，有机废气排放口安装NMHC在线监测设施（FID检测器），自动监控数据保存一年以上；3、安装DCS系统、PLC系统、仪器仪表等装置，记录治理设施主要参数，数据保存一年以上</w:t>
                  </w:r>
                </w:p>
              </w:tc>
              <w:tc>
                <w:tcPr>
                  <w:tcW w:w="1502" w:type="pct"/>
                  <w:vAlign w:val="center"/>
                </w:tcPr>
                <w:p>
                  <w:pPr>
                    <w:adjustRightInd w:val="0"/>
                    <w:snapToGrid w:val="0"/>
                    <w:jc w:val="center"/>
                  </w:pPr>
                  <w:r>
                    <w:rPr>
                      <w:rFonts w:hint="eastAsia"/>
                    </w:rPr>
                    <w:t>本项目运营期将严格执行《排污许可证申请与核发技术规范总则》（HJ942－2018）以及相关行业排污许可证申请与核发技术规范规定的自行监测管理要求；</w:t>
                  </w:r>
                  <w:r>
                    <w:rPr>
                      <w:rFonts w:hint="eastAsia"/>
                      <w:szCs w:val="21"/>
                    </w:rPr>
                    <w:t>本项目正式投产后按照B级要求管理。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vAlign w:val="center"/>
                </w:tcPr>
                <w:p>
                  <w:pPr>
                    <w:adjustRightInd w:val="0"/>
                    <w:snapToGrid w:val="0"/>
                    <w:spacing w:line="360" w:lineRule="auto"/>
                    <w:jc w:val="center"/>
                  </w:pPr>
                  <w:r>
                    <w:t>环境管理水平</w:t>
                  </w:r>
                </w:p>
              </w:tc>
              <w:tc>
                <w:tcPr>
                  <w:tcW w:w="2611" w:type="pct"/>
                  <w:vAlign w:val="center"/>
                </w:tcPr>
                <w:p>
                  <w:pPr>
                    <w:adjustRightInd w:val="0"/>
                    <w:snapToGrid w:val="0"/>
                    <w:jc w:val="left"/>
                  </w:pPr>
                  <w:r>
                    <w:t>环保档案齐全：1、环评批复文件；2、排污许可证及季度、年度执行报告；3、竣工验收文件；4、废气治理设施运行管理规程；5、一年内废气监测报告</w:t>
                  </w:r>
                </w:p>
              </w:tc>
              <w:tc>
                <w:tcPr>
                  <w:tcW w:w="1502" w:type="pct"/>
                  <w:vAlign w:val="center"/>
                </w:tcPr>
                <w:p>
                  <w:pPr>
                    <w:adjustRightInd w:val="0"/>
                    <w:snapToGrid w:val="0"/>
                    <w:jc w:val="center"/>
                  </w:pPr>
                  <w:r>
                    <w:rPr>
                      <w:rFonts w:hint="eastAsia"/>
                    </w:rPr>
                    <w:t>项目处于待建状态，将按照环保相关要求，依法办理各项相关手续，并定期进行监测。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vAlign w:val="center"/>
                </w:tcPr>
                <w:p>
                  <w:pPr>
                    <w:adjustRightInd w:val="0"/>
                    <w:snapToGrid w:val="0"/>
                    <w:spacing w:line="360" w:lineRule="auto"/>
                    <w:jc w:val="center"/>
                  </w:pPr>
                </w:p>
              </w:tc>
              <w:tc>
                <w:tcPr>
                  <w:tcW w:w="2611" w:type="pct"/>
                  <w:vAlign w:val="center"/>
                </w:tcPr>
                <w:p>
                  <w:pPr>
                    <w:adjustRightInd w:val="0"/>
                    <w:snapToGrid w:val="0"/>
                    <w:jc w:val="left"/>
                  </w:pPr>
                  <w:r>
                    <w:t>台账记录：1、生产设施运行管理信息（生产时间、运行负荷、产品产量等，必须具备近一年及以上所用涂料的密度、扣水后VOCs含量、含水率（水性涂料）等信息的检测报告）；2、废气污染治理设施运行管理信息（燃烧室温度、冷凝温度、过滤材料更换频次、吸附剂更换频次、催化剂更换频次）；3、监测记录信息（主要污染排放口废气排放记录（手工监测或在线监测）等）；4、主要原辅材料消耗记录；5、燃料（天然气）消耗记录</w:t>
                  </w:r>
                </w:p>
              </w:tc>
              <w:tc>
                <w:tcPr>
                  <w:tcW w:w="1502" w:type="pct"/>
                  <w:vAlign w:val="center"/>
                </w:tcPr>
                <w:p>
                  <w:pPr>
                    <w:adjustRightInd w:val="0"/>
                    <w:snapToGrid w:val="0"/>
                    <w:jc w:val="center"/>
                  </w:pPr>
                  <w:r>
                    <w:rPr>
                      <w:rFonts w:hint="eastAsia"/>
                    </w:rPr>
                    <w:t>建成投产后，将按照企业实际生产情况，认真填写台账信息。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vAlign w:val="center"/>
                </w:tcPr>
                <w:p>
                  <w:pPr>
                    <w:adjustRightInd w:val="0"/>
                    <w:snapToGrid w:val="0"/>
                    <w:spacing w:line="360" w:lineRule="auto"/>
                    <w:jc w:val="center"/>
                  </w:pPr>
                </w:p>
              </w:tc>
              <w:tc>
                <w:tcPr>
                  <w:tcW w:w="2611" w:type="pct"/>
                  <w:vAlign w:val="center"/>
                </w:tcPr>
                <w:p>
                  <w:pPr>
                    <w:adjustRightInd w:val="0"/>
                    <w:snapToGrid w:val="0"/>
                    <w:jc w:val="left"/>
                  </w:pPr>
                  <w:r>
                    <w:t>人员配置：设置环保部门，配备专职环保人员，并具备相应的环境管理能力</w:t>
                  </w:r>
                </w:p>
              </w:tc>
              <w:tc>
                <w:tcPr>
                  <w:tcW w:w="1502" w:type="pct"/>
                  <w:vAlign w:val="center"/>
                </w:tcPr>
                <w:p>
                  <w:pPr>
                    <w:adjustRightInd w:val="0"/>
                    <w:snapToGrid w:val="0"/>
                    <w:spacing w:line="300" w:lineRule="exact"/>
                    <w:jc w:val="center"/>
                  </w:pPr>
                  <w:r>
                    <w:rPr>
                      <w:rFonts w:hint="eastAsia"/>
                      <w:szCs w:val="21"/>
                    </w:rPr>
                    <w:t>本项目建成后将设</w:t>
                  </w:r>
                  <w:r>
                    <w:rPr>
                      <w:szCs w:val="21"/>
                    </w:rPr>
                    <w:t>置环保部门，配备专职环保人员，并具备相应的环境管理能力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pPr>
                    <w:adjustRightInd w:val="0"/>
                    <w:snapToGrid w:val="0"/>
                    <w:jc w:val="center"/>
                  </w:pPr>
                  <w:r>
                    <w:t>运输方式</w:t>
                  </w:r>
                </w:p>
              </w:tc>
              <w:tc>
                <w:tcPr>
                  <w:tcW w:w="2611" w:type="pct"/>
                  <w:vAlign w:val="center"/>
                </w:tcPr>
                <w:p>
                  <w:pPr>
                    <w:adjustRightInd w:val="0"/>
                    <w:snapToGrid w:val="0"/>
                    <w:jc w:val="left"/>
                  </w:pPr>
                  <w:r>
                    <w:t>1、物料公路运输使用达到国五及以上排放标准重型载货车辆（含燃气）或新能源车辆占比不低于80%，其他车辆达到国四排放标准；2、厂内运输使用达到国五及以上排放标准车辆（含燃气）或新能源车辆比例不低于80%，其他车辆达到国四排放标准；3、厂内非道路移动机械使用达到国三及以上排放标准或新能源机械比例不低于80%</w:t>
                  </w:r>
                </w:p>
              </w:tc>
              <w:tc>
                <w:tcPr>
                  <w:tcW w:w="1502" w:type="pct"/>
                  <w:vAlign w:val="center"/>
                </w:tcPr>
                <w:p>
                  <w:pPr>
                    <w:adjustRightInd w:val="0"/>
                    <w:snapToGrid w:val="0"/>
                    <w:spacing w:line="300" w:lineRule="exact"/>
                    <w:jc w:val="center"/>
                  </w:pPr>
                  <w:r>
                    <w:rPr>
                      <w:rFonts w:hint="eastAsia"/>
                      <w:szCs w:val="21"/>
                    </w:rPr>
                    <w:t>本项目建成后</w:t>
                  </w:r>
                  <w:r>
                    <w:rPr>
                      <w:szCs w:val="21"/>
                    </w:rPr>
                    <w:t>物料公路运输使用达到国五及以上排放标准重型载货车辆（含燃气）或新能源车辆占比不低于80%</w:t>
                  </w:r>
                  <w:r>
                    <w:rPr>
                      <w:rFonts w:hint="eastAsia"/>
                      <w:szCs w:val="21"/>
                    </w:rPr>
                    <w:t>，</w:t>
                  </w:r>
                  <w:r>
                    <w:rPr>
                      <w:szCs w:val="21"/>
                    </w:rPr>
                    <w:t>厂内运输使用达到国五及以上排放标准车辆（含燃气）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pPr>
                    <w:adjustRightInd w:val="0"/>
                    <w:snapToGrid w:val="0"/>
                    <w:jc w:val="center"/>
                  </w:pPr>
                  <w:r>
                    <w:t>运输监管</w:t>
                  </w:r>
                </w:p>
              </w:tc>
              <w:tc>
                <w:tcPr>
                  <w:tcW w:w="2611" w:type="pct"/>
                  <w:vAlign w:val="center"/>
                </w:tcPr>
                <w:p>
                  <w:pPr>
                    <w:adjustRightInd w:val="0"/>
                    <w:snapToGrid w:val="0"/>
                    <w:jc w:val="left"/>
                  </w:pPr>
                  <w:r>
                    <w:t>参照《重污染天气重点行业移动源应急管理技术指南》建立门禁系统和电子台账</w:t>
                  </w:r>
                </w:p>
              </w:tc>
              <w:tc>
                <w:tcPr>
                  <w:tcW w:w="1502" w:type="pct"/>
                  <w:vAlign w:val="center"/>
                </w:tcPr>
                <w:p>
                  <w:pPr>
                    <w:adjustRightInd w:val="0"/>
                    <w:snapToGrid w:val="0"/>
                    <w:spacing w:line="300" w:lineRule="exact"/>
                    <w:jc w:val="center"/>
                  </w:pPr>
                  <w:r>
                    <w:rPr>
                      <w:rFonts w:hint="eastAsia"/>
                      <w:szCs w:val="21"/>
                    </w:rPr>
                    <w:t>本项目建成后将</w:t>
                  </w:r>
                  <w:r>
                    <w:rPr>
                      <w:szCs w:val="21"/>
                    </w:rPr>
                    <w:t>建立门禁系统和电子台账</w:t>
                  </w:r>
                </w:p>
              </w:tc>
            </w:tr>
          </w:tbl>
          <w:p>
            <w:pPr>
              <w:autoSpaceDE w:val="0"/>
              <w:autoSpaceDN w:val="0"/>
              <w:spacing w:line="360" w:lineRule="auto"/>
              <w:ind w:firstLine="480" w:firstLineChars="200"/>
              <w:rPr>
                <w:kern w:val="0"/>
                <w:sz w:val="24"/>
              </w:rPr>
            </w:pPr>
            <w:r>
              <w:rPr>
                <w:rFonts w:hint="eastAsia"/>
                <w:kern w:val="0"/>
                <w:sz w:val="24"/>
              </w:rPr>
              <w:t>综上，企业采用绩效分级指标中要求的能源类型、污染治理及收集技术、无组织管控措施、监测监控水平的基础上，能够满足排放限值要求，再通过加强企业环境管理水平，控制运输方式及运输监管的前提下，项目能够达到B级水平。</w:t>
            </w:r>
          </w:p>
          <w:p>
            <w:pPr>
              <w:autoSpaceDE w:val="0"/>
              <w:autoSpaceDN w:val="0"/>
              <w:spacing w:line="360" w:lineRule="auto"/>
            </w:pPr>
          </w:p>
          <w:p>
            <w:pPr>
              <w:autoSpaceDE w:val="0"/>
              <w:autoSpaceDN w:val="0"/>
              <w:spacing w:line="360" w:lineRule="auto"/>
            </w:pPr>
          </w:p>
          <w:p>
            <w:pPr>
              <w:autoSpaceDE w:val="0"/>
              <w:autoSpaceDN w:val="0"/>
              <w:spacing w:line="360" w:lineRule="auto"/>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autoSpaceDE w:val="0"/>
              <w:autoSpaceDN w:val="0"/>
              <w:spacing w:line="360" w:lineRule="auto"/>
            </w:pPr>
          </w:p>
          <w:p>
            <w:pPr>
              <w:autoSpaceDE w:val="0"/>
              <w:autoSpaceDN w:val="0"/>
              <w:spacing w:line="360" w:lineRule="auto"/>
            </w:pPr>
          </w:p>
          <w:p>
            <w:pPr>
              <w:autoSpaceDE w:val="0"/>
              <w:autoSpaceDN w:val="0"/>
              <w:spacing w:line="360" w:lineRule="auto"/>
            </w:pPr>
          </w:p>
          <w:p>
            <w:pPr>
              <w:autoSpaceDE w:val="0"/>
              <w:autoSpaceDN w:val="0"/>
              <w:spacing w:line="360" w:lineRule="auto"/>
            </w:pPr>
          </w:p>
          <w:p>
            <w:pPr>
              <w:autoSpaceDE w:val="0"/>
              <w:autoSpaceDN w:val="0"/>
              <w:spacing w:line="360" w:lineRule="auto"/>
            </w:pPr>
          </w:p>
          <w:p>
            <w:pPr>
              <w:autoSpaceDE w:val="0"/>
              <w:autoSpaceDN w:val="0"/>
              <w:spacing w:line="360" w:lineRule="auto"/>
            </w:pPr>
          </w:p>
          <w:p>
            <w:pPr>
              <w:autoSpaceDE w:val="0"/>
              <w:autoSpaceDN w:val="0"/>
              <w:spacing w:line="360" w:lineRule="auto"/>
            </w:pPr>
          </w:p>
          <w:p>
            <w:pPr>
              <w:autoSpaceDE w:val="0"/>
              <w:autoSpaceDN w:val="0"/>
              <w:spacing w:line="360" w:lineRule="auto"/>
            </w:pPr>
          </w:p>
        </w:tc>
      </w:tr>
    </w:tbl>
    <w:p>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Cs w:val="21"/>
              </w:rPr>
            </w:pPr>
            <w:r>
              <w:rPr>
                <w:rFonts w:ascii="Times New Roman" w:hAnsi="Times New Roman"/>
                <w:szCs w:val="21"/>
              </w:rPr>
              <w:t>建设内容</w:t>
            </w:r>
          </w:p>
        </w:tc>
        <w:tc>
          <w:tcPr>
            <w:tcW w:w="8161" w:type="dxa"/>
          </w:tcPr>
          <w:p>
            <w:pPr>
              <w:pStyle w:val="2"/>
              <w:ind w:firstLine="482" w:firstLineChars="200"/>
              <w:rPr>
                <w:b/>
                <w:bCs/>
              </w:rPr>
            </w:pPr>
            <w:r>
              <w:rPr>
                <w:b/>
                <w:bCs/>
              </w:rPr>
              <w:t>1、项目概况</w:t>
            </w:r>
          </w:p>
          <w:p>
            <w:pPr>
              <w:adjustRightInd w:val="0"/>
              <w:snapToGrid w:val="0"/>
              <w:spacing w:line="360" w:lineRule="auto"/>
              <w:ind w:firstLine="480" w:firstLineChars="200"/>
              <w:rPr>
                <w:bCs/>
                <w:sz w:val="24"/>
                <w:szCs w:val="21"/>
              </w:rPr>
            </w:pPr>
            <w:r>
              <w:rPr>
                <w:bCs/>
                <w:sz w:val="24"/>
                <w:szCs w:val="21"/>
              </w:rPr>
              <w:t>近年来</w:t>
            </w:r>
            <w:r>
              <w:rPr>
                <w:rFonts w:hint="eastAsia"/>
                <w:bCs/>
                <w:sz w:val="24"/>
                <w:szCs w:val="21"/>
              </w:rPr>
              <w:t>配电设备及配套零部件</w:t>
            </w:r>
            <w:r>
              <w:rPr>
                <w:bCs/>
                <w:sz w:val="24"/>
                <w:szCs w:val="21"/>
              </w:rPr>
              <w:t>行业在不断发展，为此，</w:t>
            </w:r>
            <w:r>
              <w:rPr>
                <w:rFonts w:hint="eastAsia"/>
                <w:bCs/>
                <w:sz w:val="24"/>
                <w:szCs w:val="21"/>
              </w:rPr>
              <w:t>河北求实电气设备制造有限公司</w:t>
            </w:r>
            <w:r>
              <w:rPr>
                <w:bCs/>
                <w:sz w:val="24"/>
                <w:szCs w:val="21"/>
              </w:rPr>
              <w:t>在目前的产业形势下，在</w:t>
            </w:r>
            <w:r>
              <w:rPr>
                <w:rFonts w:hint="eastAsia"/>
                <w:bCs/>
                <w:sz w:val="24"/>
                <w:szCs w:val="21"/>
              </w:rPr>
              <w:t>新河县经济开发区东区经五路东侧</w:t>
            </w:r>
            <w:r>
              <w:rPr>
                <w:bCs/>
                <w:sz w:val="24"/>
                <w:szCs w:val="21"/>
              </w:rPr>
              <w:t>投资</w:t>
            </w:r>
            <w:r>
              <w:rPr>
                <w:rFonts w:hint="eastAsia"/>
                <w:bCs/>
                <w:sz w:val="24"/>
                <w:szCs w:val="21"/>
              </w:rPr>
              <w:t>20</w:t>
            </w:r>
            <w:r>
              <w:rPr>
                <w:bCs/>
                <w:sz w:val="24"/>
                <w:szCs w:val="21"/>
              </w:rPr>
              <w:t>000万元建设</w:t>
            </w:r>
            <w:r>
              <w:rPr>
                <w:rFonts w:hint="eastAsia"/>
                <w:bCs/>
                <w:sz w:val="24"/>
                <w:szCs w:val="21"/>
              </w:rPr>
              <w:t>高低压成套开关设备、自动化控制设备的生产研发、销售项目</w:t>
            </w:r>
            <w:r>
              <w:rPr>
                <w:bCs/>
                <w:sz w:val="24"/>
                <w:szCs w:val="21"/>
              </w:rPr>
              <w:t>。</w:t>
            </w:r>
          </w:p>
          <w:p>
            <w:pPr>
              <w:adjustRightInd w:val="0"/>
              <w:snapToGrid w:val="0"/>
              <w:spacing w:line="360" w:lineRule="auto"/>
              <w:ind w:firstLine="480" w:firstLineChars="200"/>
              <w:rPr>
                <w:bCs/>
                <w:sz w:val="24"/>
                <w:szCs w:val="21"/>
              </w:rPr>
            </w:pPr>
            <w:r>
              <w:rPr>
                <w:bCs/>
                <w:sz w:val="24"/>
                <w:szCs w:val="21"/>
              </w:rPr>
              <w:t>本项目属《建设项目环境影响评价分类管理名录》（2021年版）中“三十</w:t>
            </w:r>
            <w:r>
              <w:rPr>
                <w:rFonts w:hint="eastAsia"/>
                <w:bCs/>
                <w:sz w:val="24"/>
                <w:szCs w:val="21"/>
              </w:rPr>
              <w:t>五</w:t>
            </w:r>
            <w:r>
              <w:rPr>
                <w:bCs/>
                <w:sz w:val="24"/>
                <w:szCs w:val="21"/>
              </w:rPr>
              <w:t>、</w:t>
            </w:r>
            <w:r>
              <w:rPr>
                <w:rFonts w:hint="eastAsia"/>
                <w:bCs/>
                <w:sz w:val="24"/>
                <w:szCs w:val="21"/>
              </w:rPr>
              <w:t>电气机械和器材制造业</w:t>
            </w:r>
            <w:r>
              <w:rPr>
                <w:bCs/>
                <w:sz w:val="24"/>
                <w:szCs w:val="21"/>
              </w:rPr>
              <w:t>3</w:t>
            </w:r>
            <w:r>
              <w:rPr>
                <w:rFonts w:hint="eastAsia"/>
                <w:bCs/>
                <w:sz w:val="24"/>
                <w:szCs w:val="21"/>
              </w:rPr>
              <w:t>8</w:t>
            </w:r>
            <w:r>
              <w:rPr>
                <w:bCs/>
                <w:sz w:val="24"/>
                <w:szCs w:val="21"/>
              </w:rPr>
              <w:t>；</w:t>
            </w:r>
            <w:r>
              <w:rPr>
                <w:rFonts w:hint="eastAsia"/>
                <w:bCs/>
                <w:sz w:val="24"/>
                <w:szCs w:val="21"/>
              </w:rPr>
              <w:t>77.输配电及控制设备制造382</w:t>
            </w:r>
            <w:r>
              <w:rPr>
                <w:bCs/>
                <w:sz w:val="24"/>
                <w:szCs w:val="21"/>
              </w:rPr>
              <w:t>；其他（仅分割、焊接、组装的除外；年用非溶剂型低VOC</w:t>
            </w:r>
            <w:r>
              <w:rPr>
                <w:bCs/>
                <w:sz w:val="24"/>
                <w:szCs w:val="21"/>
                <w:vertAlign w:val="subscript"/>
              </w:rPr>
              <w:t>S</w:t>
            </w:r>
            <w:r>
              <w:rPr>
                <w:bCs/>
                <w:sz w:val="24"/>
                <w:szCs w:val="21"/>
              </w:rPr>
              <w:t>含量涂料10吨以下的除外）”类，故应编制环境影响报告表。我公司接受委托后，立即组织技术人员根据项目特点</w:t>
            </w:r>
            <w:r>
              <w:rPr>
                <w:rFonts w:hint="eastAsia"/>
                <w:bCs/>
                <w:sz w:val="24"/>
                <w:szCs w:val="21"/>
              </w:rPr>
              <w:t>进行</w:t>
            </w:r>
            <w:r>
              <w:rPr>
                <w:bCs/>
                <w:sz w:val="24"/>
                <w:szCs w:val="21"/>
              </w:rPr>
              <w:t>现场调查、收集资料，在此基础上，编制完成了</w:t>
            </w:r>
            <w:r>
              <w:rPr>
                <w:rFonts w:hint="eastAsia"/>
                <w:bCs/>
                <w:sz w:val="24"/>
                <w:szCs w:val="21"/>
              </w:rPr>
              <w:t>河北求实电气设备制造有限公司</w:t>
            </w:r>
            <w:r>
              <w:rPr>
                <w:bCs/>
                <w:sz w:val="24"/>
                <w:szCs w:val="21"/>
              </w:rPr>
              <w:t>《</w:t>
            </w:r>
            <w:r>
              <w:rPr>
                <w:rFonts w:hint="eastAsia"/>
                <w:bCs/>
                <w:sz w:val="24"/>
                <w:szCs w:val="21"/>
              </w:rPr>
              <w:t>高低压成套开关设备、自动化控制设备的生产研发、销售项目</w:t>
            </w:r>
            <w:r>
              <w:rPr>
                <w:bCs/>
                <w:sz w:val="24"/>
                <w:szCs w:val="21"/>
              </w:rPr>
              <w:t>环境影响报告表》。</w:t>
            </w:r>
          </w:p>
          <w:p>
            <w:pPr>
              <w:adjustRightInd w:val="0"/>
              <w:snapToGrid w:val="0"/>
              <w:spacing w:line="360" w:lineRule="auto"/>
              <w:ind w:firstLine="482" w:firstLineChars="200"/>
              <w:rPr>
                <w:b/>
                <w:bCs/>
                <w:sz w:val="24"/>
                <w:szCs w:val="21"/>
              </w:rPr>
            </w:pPr>
            <w:r>
              <w:rPr>
                <w:b/>
                <w:bCs/>
                <w:sz w:val="24"/>
                <w:szCs w:val="21"/>
              </w:rPr>
              <w:t>2、建设内容</w:t>
            </w:r>
          </w:p>
          <w:p>
            <w:pPr>
              <w:adjustRightInd w:val="0"/>
              <w:snapToGrid w:val="0"/>
              <w:spacing w:line="360" w:lineRule="auto"/>
              <w:ind w:firstLine="480" w:firstLineChars="200"/>
              <w:rPr>
                <w:bCs/>
                <w:sz w:val="24"/>
                <w:szCs w:val="21"/>
              </w:rPr>
            </w:pPr>
            <w:r>
              <w:rPr>
                <w:rFonts w:hint="eastAsia"/>
                <w:bCs/>
                <w:sz w:val="24"/>
                <w:szCs w:val="21"/>
              </w:rPr>
              <w:t>项目占地26.4亩，新建厂房、办公楼及相关附属设施共28000平米，计划引进新型生产配电箱（柜）流水线10条，全自动环保喷塑流水线1条，购置新型生产配电箱（柜）激光切割机3台，新型生产配电箱（柜）数控转塔冲床3台，全自动数控母线折弯机2台；新型环保全自动激光剪焊机5台，全自动包装打包机3台，全自动激光雕刻机1台等自动化生产设备，建成后年产配电箱（柜）20000台</w:t>
            </w:r>
            <w:r>
              <w:rPr>
                <w:bCs/>
                <w:sz w:val="24"/>
                <w:szCs w:val="21"/>
              </w:rPr>
              <w:t>。项目具体建设内容见下表</w:t>
            </w:r>
            <w:r>
              <w:rPr>
                <w:rFonts w:hint="eastAsia"/>
                <w:bCs/>
                <w:sz w:val="24"/>
                <w:szCs w:val="21"/>
              </w:rPr>
              <w:t>14</w:t>
            </w:r>
            <w:r>
              <w:rPr>
                <w:bCs/>
                <w:sz w:val="24"/>
                <w:szCs w:val="21"/>
              </w:rPr>
              <w:t>。</w:t>
            </w:r>
          </w:p>
          <w:p>
            <w:pPr>
              <w:adjustRightInd w:val="0"/>
              <w:snapToGrid w:val="0"/>
              <w:ind w:firstLine="482" w:firstLineChars="200"/>
              <w:jc w:val="center"/>
              <w:rPr>
                <w:b/>
                <w:sz w:val="24"/>
              </w:rPr>
            </w:pPr>
            <w:r>
              <w:rPr>
                <w:b/>
                <w:sz w:val="24"/>
              </w:rPr>
              <w:t>表</w:t>
            </w:r>
            <w:r>
              <w:rPr>
                <w:rFonts w:hint="eastAsia"/>
                <w:b/>
                <w:sz w:val="24"/>
              </w:rPr>
              <w:t>14</w:t>
            </w:r>
            <w:r>
              <w:rPr>
                <w:b/>
                <w:sz w:val="24"/>
              </w:rPr>
              <w:t xml:space="preserve">  项目建设内容一览表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937"/>
              <w:gridCol w:w="1835"/>
              <w:gridCol w:w="2009"/>
              <w:gridCol w:w="2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adjustRightInd w:val="0"/>
                    <w:snapToGrid w:val="0"/>
                    <w:jc w:val="center"/>
                    <w:rPr>
                      <w:b/>
                      <w:bCs/>
                      <w:szCs w:val="21"/>
                    </w:rPr>
                  </w:pPr>
                  <w:r>
                    <w:rPr>
                      <w:b/>
                      <w:bCs/>
                      <w:szCs w:val="21"/>
                    </w:rPr>
                    <w:t>项目</w:t>
                  </w:r>
                </w:p>
              </w:tc>
              <w:tc>
                <w:tcPr>
                  <w:tcW w:w="559" w:type="pct"/>
                  <w:vAlign w:val="center"/>
                </w:tcPr>
                <w:p>
                  <w:pPr>
                    <w:adjustRightInd w:val="0"/>
                    <w:snapToGrid w:val="0"/>
                    <w:jc w:val="center"/>
                    <w:rPr>
                      <w:b/>
                      <w:bCs/>
                      <w:szCs w:val="21"/>
                    </w:rPr>
                  </w:pPr>
                  <w:r>
                    <w:rPr>
                      <w:b/>
                      <w:bCs/>
                      <w:szCs w:val="21"/>
                    </w:rPr>
                    <w:t>建设内容</w:t>
                  </w:r>
                </w:p>
              </w:tc>
              <w:tc>
                <w:tcPr>
                  <w:tcW w:w="4014" w:type="pct"/>
                  <w:gridSpan w:val="3"/>
                  <w:vAlign w:val="center"/>
                </w:tcPr>
                <w:p>
                  <w:pPr>
                    <w:adjustRightInd w:val="0"/>
                    <w:snapToGrid w:val="0"/>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adjustRightInd w:val="0"/>
                    <w:snapToGrid w:val="0"/>
                    <w:jc w:val="center"/>
                    <w:rPr>
                      <w:szCs w:val="21"/>
                    </w:rPr>
                  </w:pPr>
                  <w:r>
                    <w:rPr>
                      <w:szCs w:val="21"/>
                    </w:rPr>
                    <w:t>主体工程</w:t>
                  </w:r>
                </w:p>
              </w:tc>
              <w:tc>
                <w:tcPr>
                  <w:tcW w:w="559" w:type="pct"/>
                  <w:vAlign w:val="center"/>
                </w:tcPr>
                <w:p>
                  <w:pPr>
                    <w:adjustRightInd w:val="0"/>
                    <w:snapToGrid w:val="0"/>
                    <w:jc w:val="center"/>
                    <w:rPr>
                      <w:szCs w:val="21"/>
                    </w:rPr>
                  </w:pPr>
                  <w:r>
                    <w:rPr>
                      <w:szCs w:val="21"/>
                    </w:rPr>
                    <w:t>生产车间</w:t>
                  </w:r>
                </w:p>
              </w:tc>
              <w:tc>
                <w:tcPr>
                  <w:tcW w:w="4014" w:type="pct"/>
                  <w:gridSpan w:val="3"/>
                  <w:vAlign w:val="center"/>
                </w:tcPr>
                <w:p>
                  <w:pPr>
                    <w:adjustRightInd w:val="0"/>
                    <w:snapToGrid w:val="0"/>
                    <w:jc w:val="left"/>
                    <w:rPr>
                      <w:szCs w:val="21"/>
                    </w:rPr>
                  </w:pPr>
                  <w:r>
                    <w:rPr>
                      <w:szCs w:val="21"/>
                    </w:rPr>
                    <w:t>1座，</w:t>
                  </w:r>
                  <w:r>
                    <w:rPr>
                      <w:rFonts w:hint="eastAsia"/>
                      <w:szCs w:val="21"/>
                    </w:rPr>
                    <w:t>2</w:t>
                  </w:r>
                  <w:r>
                    <w:rPr>
                      <w:szCs w:val="21"/>
                    </w:rPr>
                    <w:t>层，</w:t>
                  </w:r>
                  <w:r>
                    <w:rPr>
                      <w:rFonts w:hint="eastAsia"/>
                      <w:szCs w:val="21"/>
                    </w:rPr>
                    <w:t>占地面积10800，</w:t>
                  </w:r>
                  <w:r>
                    <w:rPr>
                      <w:szCs w:val="21"/>
                    </w:rPr>
                    <w:t>建筑面积</w:t>
                  </w:r>
                  <w:r>
                    <w:rPr>
                      <w:rFonts w:hint="eastAsia"/>
                      <w:szCs w:val="21"/>
                    </w:rPr>
                    <w:t>18328</w:t>
                  </w:r>
                  <w:r>
                    <w:rPr>
                      <w:szCs w:val="21"/>
                    </w:rPr>
                    <w:t>m</w:t>
                  </w:r>
                  <w:r>
                    <w:rPr>
                      <w:szCs w:val="21"/>
                      <w:vertAlign w:val="superscript"/>
                    </w:rPr>
                    <w:t>2</w:t>
                  </w:r>
                  <w:r>
                    <w:rPr>
                      <w:szCs w:val="21"/>
                    </w:rPr>
                    <w:t>，位于厂区中部，</w:t>
                  </w:r>
                  <w:r>
                    <w:rPr>
                      <w:rFonts w:hint="eastAsia"/>
                      <w:szCs w:val="21"/>
                    </w:rPr>
                    <w:t>区域内主要为机加工区、喷涂固化区和原料存放区，</w:t>
                  </w:r>
                  <w:r>
                    <w:rPr>
                      <w:szCs w:val="21"/>
                    </w:rPr>
                    <w:t>建成后年产</w:t>
                  </w:r>
                  <w:r>
                    <w:rPr>
                      <w:rFonts w:hint="eastAsia"/>
                      <w:szCs w:val="21"/>
                    </w:rPr>
                    <w:t>配电箱（柜）</w:t>
                  </w:r>
                  <w:r>
                    <w:rPr>
                      <w:szCs w:val="21"/>
                    </w:rPr>
                    <w:t>20000台。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adjustRightInd w:val="0"/>
                    <w:snapToGrid w:val="0"/>
                    <w:jc w:val="center"/>
                    <w:rPr>
                      <w:szCs w:val="21"/>
                    </w:rPr>
                  </w:pPr>
                  <w:r>
                    <w:rPr>
                      <w:rFonts w:hint="eastAsia"/>
                      <w:szCs w:val="21"/>
                    </w:rPr>
                    <w:t>储运工程</w:t>
                  </w:r>
                </w:p>
              </w:tc>
              <w:tc>
                <w:tcPr>
                  <w:tcW w:w="559" w:type="pct"/>
                  <w:vAlign w:val="center"/>
                </w:tcPr>
                <w:p>
                  <w:pPr>
                    <w:adjustRightInd w:val="0"/>
                    <w:snapToGrid w:val="0"/>
                    <w:jc w:val="center"/>
                    <w:rPr>
                      <w:szCs w:val="21"/>
                    </w:rPr>
                  </w:pPr>
                  <w:r>
                    <w:rPr>
                      <w:rFonts w:hint="eastAsia"/>
                      <w:szCs w:val="21"/>
                    </w:rPr>
                    <w:t>原料库</w:t>
                  </w:r>
                </w:p>
              </w:tc>
              <w:tc>
                <w:tcPr>
                  <w:tcW w:w="4014" w:type="pct"/>
                  <w:gridSpan w:val="3"/>
                  <w:vAlign w:val="center"/>
                </w:tcPr>
                <w:p>
                  <w:pPr>
                    <w:adjustRightInd w:val="0"/>
                    <w:snapToGrid w:val="0"/>
                    <w:jc w:val="left"/>
                    <w:rPr>
                      <w:szCs w:val="21"/>
                    </w:rPr>
                  </w:pPr>
                  <w:r>
                    <w:rPr>
                      <w:rFonts w:hint="eastAsia"/>
                      <w:szCs w:val="21"/>
                    </w:rPr>
                    <w:t>1座，无独立建筑，位于生产车间内，建筑面积为60m</w:t>
                  </w:r>
                  <w:r>
                    <w:rPr>
                      <w:rFonts w:hint="eastAsia"/>
                      <w:szCs w:val="21"/>
                      <w:vertAlign w:val="superscript"/>
                    </w:rPr>
                    <w:t>2</w:t>
                  </w:r>
                  <w:r>
                    <w:rPr>
                      <w:rFonts w:hint="eastAsia"/>
                      <w:szCs w:val="21"/>
                    </w:rPr>
                    <w:t>，用于存放机油、切削液等原辅材料。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vAlign w:val="center"/>
                </w:tcPr>
                <w:p>
                  <w:pPr>
                    <w:adjustRightInd w:val="0"/>
                    <w:snapToGrid w:val="0"/>
                    <w:jc w:val="center"/>
                    <w:rPr>
                      <w:szCs w:val="21"/>
                    </w:rPr>
                  </w:pPr>
                  <w:r>
                    <w:rPr>
                      <w:szCs w:val="21"/>
                    </w:rPr>
                    <w:t>辅助工程</w:t>
                  </w:r>
                </w:p>
              </w:tc>
              <w:tc>
                <w:tcPr>
                  <w:tcW w:w="559" w:type="pct"/>
                  <w:vAlign w:val="center"/>
                </w:tcPr>
                <w:p>
                  <w:pPr>
                    <w:adjustRightInd w:val="0"/>
                    <w:snapToGrid w:val="0"/>
                    <w:jc w:val="center"/>
                    <w:rPr>
                      <w:szCs w:val="21"/>
                    </w:rPr>
                  </w:pPr>
                  <w:r>
                    <w:rPr>
                      <w:szCs w:val="21"/>
                    </w:rPr>
                    <w:t>办公楼</w:t>
                  </w:r>
                </w:p>
              </w:tc>
              <w:tc>
                <w:tcPr>
                  <w:tcW w:w="4014" w:type="pct"/>
                  <w:gridSpan w:val="3"/>
                  <w:vAlign w:val="center"/>
                </w:tcPr>
                <w:p>
                  <w:pPr>
                    <w:adjustRightInd w:val="0"/>
                    <w:snapToGrid w:val="0"/>
                    <w:jc w:val="left"/>
                    <w:rPr>
                      <w:szCs w:val="21"/>
                    </w:rPr>
                  </w:pPr>
                  <w:r>
                    <w:rPr>
                      <w:szCs w:val="21"/>
                    </w:rPr>
                    <w:t>1座，3层，</w:t>
                  </w:r>
                  <w:r>
                    <w:rPr>
                      <w:rFonts w:hint="eastAsia"/>
                      <w:szCs w:val="21"/>
                    </w:rPr>
                    <w:t>占地面积1436m</w:t>
                  </w:r>
                  <w:r>
                    <w:rPr>
                      <w:rFonts w:hint="eastAsia"/>
                      <w:szCs w:val="21"/>
                      <w:vertAlign w:val="superscript"/>
                    </w:rPr>
                    <w:t>2</w:t>
                  </w:r>
                  <w:r>
                    <w:rPr>
                      <w:rFonts w:hint="eastAsia"/>
                      <w:szCs w:val="21"/>
                    </w:rPr>
                    <w:t>，</w:t>
                  </w:r>
                  <w:r>
                    <w:rPr>
                      <w:szCs w:val="21"/>
                    </w:rPr>
                    <w:t>建筑面积</w:t>
                  </w:r>
                  <w:r>
                    <w:rPr>
                      <w:rFonts w:hint="eastAsia"/>
                      <w:szCs w:val="21"/>
                    </w:rPr>
                    <w:t>4308</w:t>
                  </w:r>
                  <w:r>
                    <w:rPr>
                      <w:szCs w:val="21"/>
                    </w:rPr>
                    <w:t>m</w:t>
                  </w:r>
                  <w:r>
                    <w:rPr>
                      <w:szCs w:val="21"/>
                      <w:vertAlign w:val="superscript"/>
                    </w:rPr>
                    <w:t>2</w:t>
                  </w:r>
                  <w:r>
                    <w:rPr>
                      <w:szCs w:val="21"/>
                    </w:rPr>
                    <w:t>，位于厂区东北部，用于职工日常办公。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Align w:val="center"/>
                </w:tcPr>
                <w:p>
                  <w:pPr>
                    <w:adjustRightInd w:val="0"/>
                    <w:snapToGrid w:val="0"/>
                    <w:jc w:val="center"/>
                    <w:rPr>
                      <w:szCs w:val="21"/>
                    </w:rPr>
                  </w:pPr>
                  <w:r>
                    <w:rPr>
                      <w:rFonts w:hint="eastAsia"/>
                      <w:szCs w:val="21"/>
                    </w:rPr>
                    <w:t>门卫</w:t>
                  </w:r>
                </w:p>
              </w:tc>
              <w:tc>
                <w:tcPr>
                  <w:tcW w:w="4014" w:type="pct"/>
                  <w:gridSpan w:val="3"/>
                  <w:vAlign w:val="center"/>
                </w:tcPr>
                <w:p>
                  <w:pPr>
                    <w:adjustRightInd w:val="0"/>
                    <w:snapToGrid w:val="0"/>
                    <w:jc w:val="left"/>
                    <w:rPr>
                      <w:szCs w:val="21"/>
                      <w:highlight w:val="yellow"/>
                    </w:rPr>
                  </w:pPr>
                  <w:r>
                    <w:rPr>
                      <w:rFonts w:hint="eastAsia"/>
                      <w:szCs w:val="21"/>
                    </w:rPr>
                    <w:t>占地面积40m</w:t>
                  </w:r>
                  <w:r>
                    <w:rPr>
                      <w:rFonts w:hint="eastAsia"/>
                      <w:szCs w:val="21"/>
                      <w:vertAlign w:val="superscript"/>
                    </w:rPr>
                    <w:t>2</w:t>
                  </w:r>
                  <w:r>
                    <w:rPr>
                      <w:rFonts w:hint="eastAsia"/>
                      <w:szCs w:val="21"/>
                    </w:rPr>
                    <w:t>，一层，建筑面积为40m</w:t>
                  </w:r>
                  <w:r>
                    <w:rPr>
                      <w:rFonts w:hint="eastAsia"/>
                      <w:szCs w:val="21"/>
                      <w:vertAlign w:val="superscript"/>
                    </w:rPr>
                    <w:t>2</w:t>
                  </w:r>
                  <w:r>
                    <w:rPr>
                      <w:rFonts w:hint="eastAsia"/>
                      <w:szCs w:val="21"/>
                    </w:rPr>
                    <w:t>，用于工作人员值班看守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vAlign w:val="center"/>
                </w:tcPr>
                <w:p>
                  <w:pPr>
                    <w:adjustRightInd w:val="0"/>
                    <w:snapToGrid w:val="0"/>
                    <w:jc w:val="center"/>
                    <w:rPr>
                      <w:szCs w:val="21"/>
                    </w:rPr>
                  </w:pPr>
                  <w:r>
                    <w:rPr>
                      <w:szCs w:val="21"/>
                    </w:rPr>
                    <w:t>公用工程</w:t>
                  </w:r>
                </w:p>
              </w:tc>
              <w:tc>
                <w:tcPr>
                  <w:tcW w:w="559" w:type="pct"/>
                  <w:vAlign w:val="center"/>
                </w:tcPr>
                <w:p>
                  <w:pPr>
                    <w:adjustRightInd w:val="0"/>
                    <w:snapToGrid w:val="0"/>
                    <w:jc w:val="center"/>
                    <w:rPr>
                      <w:szCs w:val="21"/>
                    </w:rPr>
                  </w:pPr>
                  <w:r>
                    <w:rPr>
                      <w:szCs w:val="21"/>
                    </w:rPr>
                    <w:t>供电</w:t>
                  </w:r>
                </w:p>
              </w:tc>
              <w:tc>
                <w:tcPr>
                  <w:tcW w:w="4014" w:type="pct"/>
                  <w:gridSpan w:val="3"/>
                  <w:vAlign w:val="center"/>
                </w:tcPr>
                <w:p>
                  <w:pPr>
                    <w:adjustRightInd w:val="0"/>
                    <w:snapToGrid w:val="0"/>
                    <w:jc w:val="left"/>
                    <w:rPr>
                      <w:szCs w:val="21"/>
                    </w:rPr>
                  </w:pPr>
                  <w:r>
                    <w:rPr>
                      <w:szCs w:val="21"/>
                    </w:rPr>
                    <w:t>由园区供电系统提供，可满足项目用电需求。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Align w:val="center"/>
                </w:tcPr>
                <w:p>
                  <w:pPr>
                    <w:adjustRightInd w:val="0"/>
                    <w:snapToGrid w:val="0"/>
                    <w:jc w:val="center"/>
                    <w:rPr>
                      <w:szCs w:val="21"/>
                    </w:rPr>
                  </w:pPr>
                  <w:r>
                    <w:rPr>
                      <w:szCs w:val="21"/>
                    </w:rPr>
                    <w:t>供水</w:t>
                  </w:r>
                </w:p>
              </w:tc>
              <w:tc>
                <w:tcPr>
                  <w:tcW w:w="4014" w:type="pct"/>
                  <w:gridSpan w:val="3"/>
                  <w:vAlign w:val="center"/>
                </w:tcPr>
                <w:p>
                  <w:pPr>
                    <w:adjustRightInd w:val="0"/>
                    <w:snapToGrid w:val="0"/>
                    <w:jc w:val="left"/>
                    <w:rPr>
                      <w:szCs w:val="21"/>
                    </w:rPr>
                  </w:pPr>
                  <w:r>
                    <w:rPr>
                      <w:szCs w:val="21"/>
                    </w:rPr>
                    <w:t>由园区供水系统提供，可满足项目用水需求。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Align w:val="center"/>
                </w:tcPr>
                <w:p>
                  <w:pPr>
                    <w:adjustRightInd w:val="0"/>
                    <w:snapToGrid w:val="0"/>
                    <w:jc w:val="center"/>
                    <w:rPr>
                      <w:szCs w:val="21"/>
                    </w:rPr>
                  </w:pPr>
                  <w:r>
                    <w:rPr>
                      <w:szCs w:val="21"/>
                    </w:rPr>
                    <w:t>排水</w:t>
                  </w:r>
                </w:p>
              </w:tc>
              <w:tc>
                <w:tcPr>
                  <w:tcW w:w="4014" w:type="pct"/>
                  <w:gridSpan w:val="3"/>
                  <w:vAlign w:val="center"/>
                </w:tcPr>
                <w:p>
                  <w:pPr>
                    <w:adjustRightInd w:val="0"/>
                    <w:snapToGrid w:val="0"/>
                    <w:jc w:val="left"/>
                    <w:rPr>
                      <w:szCs w:val="21"/>
                    </w:rPr>
                  </w:pPr>
                  <w:r>
                    <w:rPr>
                      <w:szCs w:val="21"/>
                    </w:rPr>
                    <w:t>本项目无生产废水产生及外排；生活污水经化粪池处理后排入园区污水管网，最终进入</w:t>
                  </w:r>
                  <w:r>
                    <w:rPr>
                      <w:rFonts w:hint="eastAsia"/>
                      <w:szCs w:val="21"/>
                    </w:rPr>
                    <w:t>新河县城东污水处理厂。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Align w:val="center"/>
                </w:tcPr>
                <w:p>
                  <w:pPr>
                    <w:adjustRightInd w:val="0"/>
                    <w:snapToGrid w:val="0"/>
                    <w:jc w:val="center"/>
                    <w:rPr>
                      <w:szCs w:val="21"/>
                    </w:rPr>
                  </w:pPr>
                  <w:r>
                    <w:rPr>
                      <w:szCs w:val="21"/>
                    </w:rPr>
                    <w:t>供热</w:t>
                  </w:r>
                </w:p>
              </w:tc>
              <w:tc>
                <w:tcPr>
                  <w:tcW w:w="4014" w:type="pct"/>
                  <w:gridSpan w:val="3"/>
                  <w:vAlign w:val="center"/>
                </w:tcPr>
                <w:p>
                  <w:pPr>
                    <w:adjustRightInd w:val="0"/>
                    <w:snapToGrid w:val="0"/>
                    <w:jc w:val="left"/>
                    <w:rPr>
                      <w:szCs w:val="21"/>
                    </w:rPr>
                  </w:pPr>
                  <w:r>
                    <w:rPr>
                      <w:szCs w:val="21"/>
                    </w:rPr>
                    <w:t>项目生产过程</w:t>
                  </w:r>
                  <w:r>
                    <w:rPr>
                      <w:rFonts w:hint="eastAsia"/>
                      <w:szCs w:val="21"/>
                    </w:rPr>
                    <w:t>使用天然气进行加热</w:t>
                  </w:r>
                  <w:r>
                    <w:rPr>
                      <w:szCs w:val="21"/>
                    </w:rPr>
                    <w:t>，</w:t>
                  </w:r>
                  <w:r>
                    <w:rPr>
                      <w:rFonts w:hint="eastAsia"/>
                      <w:szCs w:val="21"/>
                    </w:rPr>
                    <w:t>天然气为中裕燃气公司进行提供，</w:t>
                  </w:r>
                  <w:r>
                    <w:rPr>
                      <w:szCs w:val="21"/>
                    </w:rPr>
                    <w:t>冬季取暖采用空调。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restart"/>
                  <w:vAlign w:val="center"/>
                </w:tcPr>
                <w:p>
                  <w:pPr>
                    <w:adjustRightInd w:val="0"/>
                    <w:snapToGrid w:val="0"/>
                    <w:jc w:val="center"/>
                    <w:rPr>
                      <w:szCs w:val="21"/>
                    </w:rPr>
                  </w:pPr>
                  <w:r>
                    <w:rPr>
                      <w:szCs w:val="21"/>
                    </w:rPr>
                    <w:t>环保工程</w:t>
                  </w:r>
                </w:p>
              </w:tc>
              <w:tc>
                <w:tcPr>
                  <w:tcW w:w="559" w:type="pct"/>
                  <w:vMerge w:val="restart"/>
                  <w:vAlign w:val="center"/>
                </w:tcPr>
                <w:p>
                  <w:pPr>
                    <w:adjustRightInd w:val="0"/>
                    <w:snapToGrid w:val="0"/>
                    <w:jc w:val="center"/>
                    <w:rPr>
                      <w:szCs w:val="21"/>
                    </w:rPr>
                  </w:pPr>
                  <w:r>
                    <w:rPr>
                      <w:szCs w:val="21"/>
                    </w:rPr>
                    <w:t>废气</w:t>
                  </w:r>
                </w:p>
              </w:tc>
              <w:tc>
                <w:tcPr>
                  <w:tcW w:w="1095" w:type="pct"/>
                  <w:vAlign w:val="center"/>
                </w:tcPr>
                <w:p>
                  <w:pPr>
                    <w:adjustRightInd w:val="0"/>
                    <w:snapToGrid w:val="0"/>
                    <w:jc w:val="center"/>
                    <w:rPr>
                      <w:szCs w:val="21"/>
                    </w:rPr>
                  </w:pPr>
                  <w:r>
                    <w:rPr>
                      <w:szCs w:val="21"/>
                    </w:rPr>
                    <w:t>焊接烟尘</w:t>
                  </w:r>
                </w:p>
              </w:tc>
              <w:tc>
                <w:tcPr>
                  <w:tcW w:w="1199" w:type="pct"/>
                  <w:vAlign w:val="center"/>
                </w:tcPr>
                <w:p>
                  <w:pPr>
                    <w:adjustRightInd w:val="0"/>
                    <w:snapToGrid w:val="0"/>
                    <w:jc w:val="center"/>
                    <w:rPr>
                      <w:szCs w:val="21"/>
                    </w:rPr>
                  </w:pPr>
                  <w:r>
                    <w:rPr>
                      <w:rFonts w:hint="eastAsia"/>
                      <w:szCs w:val="21"/>
                    </w:rPr>
                    <w:t>集气罩+布袋除尘器</w:t>
                  </w:r>
                </w:p>
              </w:tc>
              <w:tc>
                <w:tcPr>
                  <w:tcW w:w="1720" w:type="pct"/>
                  <w:vMerge w:val="restart"/>
                  <w:vAlign w:val="center"/>
                </w:tcPr>
                <w:p>
                  <w:pPr>
                    <w:adjustRightInd w:val="0"/>
                    <w:snapToGrid w:val="0"/>
                    <w:jc w:val="center"/>
                    <w:rPr>
                      <w:szCs w:val="21"/>
                    </w:rPr>
                  </w:pPr>
                  <w:r>
                    <w:rPr>
                      <w:rFonts w:hint="eastAsia"/>
                      <w:szCs w:val="21"/>
                    </w:rPr>
                    <w:t>+1根20m高排气筒（DA001）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adjustRightInd w:val="0"/>
                    <w:snapToGrid w:val="0"/>
                    <w:jc w:val="center"/>
                    <w:rPr>
                      <w:szCs w:val="21"/>
                    </w:rPr>
                  </w:pPr>
                  <w:r>
                    <w:rPr>
                      <w:rFonts w:hint="eastAsia"/>
                      <w:szCs w:val="21"/>
                    </w:rPr>
                    <w:t>激光切割</w:t>
                  </w:r>
                  <w:r>
                    <w:rPr>
                      <w:szCs w:val="21"/>
                    </w:rPr>
                    <w:t>废气</w:t>
                  </w:r>
                </w:p>
              </w:tc>
              <w:tc>
                <w:tcPr>
                  <w:tcW w:w="1199" w:type="pct"/>
                  <w:vAlign w:val="center"/>
                </w:tcPr>
                <w:p>
                  <w:pPr>
                    <w:adjustRightInd w:val="0"/>
                    <w:snapToGrid w:val="0"/>
                    <w:jc w:val="center"/>
                    <w:rPr>
                      <w:szCs w:val="21"/>
                    </w:rPr>
                  </w:pPr>
                  <w:r>
                    <w:rPr>
                      <w:rFonts w:hint="eastAsia"/>
                      <w:szCs w:val="21"/>
                    </w:rPr>
                    <w:t>集气装置+自带布袋除尘器</w:t>
                  </w:r>
                </w:p>
              </w:tc>
              <w:tc>
                <w:tcPr>
                  <w:tcW w:w="1720"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adjustRightInd w:val="0"/>
                    <w:snapToGrid w:val="0"/>
                    <w:jc w:val="center"/>
                    <w:rPr>
                      <w:szCs w:val="21"/>
                    </w:rPr>
                  </w:pPr>
                  <w:r>
                    <w:rPr>
                      <w:rFonts w:hint="eastAsia"/>
                      <w:szCs w:val="21"/>
                    </w:rPr>
                    <w:t>喷涂废气</w:t>
                  </w:r>
                </w:p>
              </w:tc>
              <w:tc>
                <w:tcPr>
                  <w:tcW w:w="2919" w:type="pct"/>
                  <w:gridSpan w:val="2"/>
                  <w:vAlign w:val="center"/>
                </w:tcPr>
                <w:p>
                  <w:pPr>
                    <w:adjustRightInd w:val="0"/>
                    <w:snapToGrid w:val="0"/>
                    <w:jc w:val="center"/>
                    <w:rPr>
                      <w:szCs w:val="21"/>
                    </w:rPr>
                  </w:pPr>
                  <w:r>
                    <w:rPr>
                      <w:rFonts w:hint="eastAsia"/>
                      <w:szCs w:val="21"/>
                    </w:rPr>
                    <w:t>集气装置+旋风除尘器+滤筒除尘器+1根20m高排气筒（DA002）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jc w:val="center"/>
                    <w:rPr>
                      <w:szCs w:val="21"/>
                    </w:rPr>
                  </w:pPr>
                  <w:r>
                    <w:rPr>
                      <w:rFonts w:hint="eastAsia"/>
                      <w:szCs w:val="21"/>
                    </w:rPr>
                    <w:t>天然气燃烧废气</w:t>
                  </w:r>
                </w:p>
              </w:tc>
              <w:tc>
                <w:tcPr>
                  <w:tcW w:w="1199" w:type="pct"/>
                  <w:vAlign w:val="center"/>
                </w:tcPr>
                <w:p>
                  <w:pPr>
                    <w:jc w:val="center"/>
                  </w:pPr>
                  <w:r>
                    <w:rPr>
                      <w:rFonts w:hint="eastAsia"/>
                    </w:rPr>
                    <w:t>天然气燃烧器设置低氮燃烧器，废气经集气装置收集</w:t>
                  </w:r>
                </w:p>
              </w:tc>
              <w:tc>
                <w:tcPr>
                  <w:tcW w:w="1720" w:type="pct"/>
                  <w:vMerge w:val="restart"/>
                  <w:vAlign w:val="center"/>
                </w:tcPr>
                <w:p>
                  <w:pPr>
                    <w:jc w:val="center"/>
                  </w:pPr>
                  <w:r>
                    <w:t>+</w:t>
                  </w:r>
                  <w:r>
                    <w:rPr>
                      <w:rFonts w:hint="eastAsia"/>
                    </w:rPr>
                    <w:t>干式过滤棉+活性炭吸附脱附催化燃烧装置</w:t>
                  </w:r>
                  <w:r>
                    <w:rPr>
                      <w:szCs w:val="21"/>
                    </w:rPr>
                    <w:t>+</w:t>
                  </w:r>
                  <w:r>
                    <w:rPr>
                      <w:rFonts w:hint="eastAsia"/>
                      <w:szCs w:val="21"/>
                    </w:rPr>
                    <w:t>20</w:t>
                  </w:r>
                  <w:r>
                    <w:rPr>
                      <w:szCs w:val="21"/>
                    </w:rPr>
                    <w:t>m排气筒</w:t>
                  </w:r>
                  <w:r>
                    <w:rPr>
                      <w:rFonts w:hint="eastAsia"/>
                      <w:szCs w:val="21"/>
                    </w:rPr>
                    <w:t>（</w:t>
                  </w:r>
                  <w:r>
                    <w:rPr>
                      <w:szCs w:val="21"/>
                    </w:rPr>
                    <w:t>DA00</w:t>
                  </w:r>
                  <w:r>
                    <w:rPr>
                      <w:rFonts w:hint="eastAsia"/>
                      <w:szCs w:val="21"/>
                    </w:rPr>
                    <w:t>3），设置VOCs超标报警装置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jc w:val="center"/>
                  </w:pPr>
                </w:p>
              </w:tc>
              <w:tc>
                <w:tcPr>
                  <w:tcW w:w="559" w:type="pct"/>
                  <w:vMerge w:val="continue"/>
                  <w:vAlign w:val="center"/>
                </w:tcPr>
                <w:p>
                  <w:pPr>
                    <w:jc w:val="center"/>
                  </w:pPr>
                </w:p>
              </w:tc>
              <w:tc>
                <w:tcPr>
                  <w:tcW w:w="1095" w:type="pct"/>
                  <w:vAlign w:val="center"/>
                </w:tcPr>
                <w:p>
                  <w:pPr>
                    <w:jc w:val="center"/>
                    <w:rPr>
                      <w:szCs w:val="21"/>
                    </w:rPr>
                  </w:pPr>
                  <w:r>
                    <w:rPr>
                      <w:rFonts w:hint="eastAsia"/>
                      <w:szCs w:val="21"/>
                    </w:rPr>
                    <w:t>固化</w:t>
                  </w:r>
                  <w:r>
                    <w:rPr>
                      <w:szCs w:val="21"/>
                    </w:rPr>
                    <w:t>废气</w:t>
                  </w:r>
                </w:p>
              </w:tc>
              <w:tc>
                <w:tcPr>
                  <w:tcW w:w="1199" w:type="pct"/>
                  <w:vAlign w:val="center"/>
                </w:tcPr>
                <w:p>
                  <w:pPr>
                    <w:jc w:val="center"/>
                    <w:rPr>
                      <w:szCs w:val="21"/>
                    </w:rPr>
                  </w:pPr>
                  <w:r>
                    <w:rPr>
                      <w:rFonts w:hint="eastAsia"/>
                      <w:szCs w:val="21"/>
                    </w:rPr>
                    <w:t>集气装置</w:t>
                  </w:r>
                </w:p>
              </w:tc>
              <w:tc>
                <w:tcPr>
                  <w:tcW w:w="1720"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adjustRightInd w:val="0"/>
                    <w:snapToGrid w:val="0"/>
                    <w:jc w:val="center"/>
                  </w:pPr>
                  <w:r>
                    <w:t>无组织废气</w:t>
                  </w:r>
                </w:p>
              </w:tc>
              <w:tc>
                <w:tcPr>
                  <w:tcW w:w="2919" w:type="pct"/>
                  <w:gridSpan w:val="2"/>
                </w:tcPr>
                <w:p>
                  <w:r>
                    <w:rPr>
                      <w:szCs w:val="21"/>
                    </w:rPr>
                    <w:t>未被集气罩</w:t>
                  </w:r>
                  <w:r>
                    <w:rPr>
                      <w:rFonts w:hint="eastAsia"/>
                      <w:szCs w:val="21"/>
                    </w:rPr>
                    <w:t>或集气设施</w:t>
                  </w:r>
                  <w:r>
                    <w:rPr>
                      <w:szCs w:val="21"/>
                    </w:rPr>
                    <w:t>收集的废气，在生产车间内以无组织形式逸散，车间密闭。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restart"/>
                  <w:vAlign w:val="center"/>
                </w:tcPr>
                <w:p>
                  <w:pPr>
                    <w:adjustRightInd w:val="0"/>
                    <w:snapToGrid w:val="0"/>
                    <w:jc w:val="center"/>
                    <w:rPr>
                      <w:szCs w:val="21"/>
                    </w:rPr>
                  </w:pPr>
                  <w:r>
                    <w:rPr>
                      <w:szCs w:val="21"/>
                    </w:rPr>
                    <w:t>废水</w:t>
                  </w:r>
                </w:p>
              </w:tc>
              <w:tc>
                <w:tcPr>
                  <w:tcW w:w="1095" w:type="pct"/>
                  <w:vAlign w:val="center"/>
                </w:tcPr>
                <w:p>
                  <w:pPr>
                    <w:adjustRightInd w:val="0"/>
                    <w:snapToGrid w:val="0"/>
                    <w:jc w:val="center"/>
                    <w:rPr>
                      <w:szCs w:val="21"/>
                    </w:rPr>
                  </w:pPr>
                  <w:r>
                    <w:rPr>
                      <w:szCs w:val="21"/>
                    </w:rPr>
                    <w:t>生产废水</w:t>
                  </w:r>
                </w:p>
              </w:tc>
              <w:tc>
                <w:tcPr>
                  <w:tcW w:w="2919" w:type="pct"/>
                  <w:gridSpan w:val="2"/>
                  <w:vAlign w:val="center"/>
                </w:tcPr>
                <w:p>
                  <w:pPr>
                    <w:adjustRightInd w:val="0"/>
                    <w:snapToGrid w:val="0"/>
                    <w:jc w:val="left"/>
                    <w:rPr>
                      <w:szCs w:val="21"/>
                    </w:rPr>
                  </w:pPr>
                  <w:r>
                    <w:rPr>
                      <w:szCs w:val="21"/>
                    </w:rPr>
                    <w:t xml:space="preserve">本项目无生产废水产生及外排。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adjustRightInd w:val="0"/>
                    <w:snapToGrid w:val="0"/>
                    <w:jc w:val="center"/>
                    <w:rPr>
                      <w:szCs w:val="21"/>
                    </w:rPr>
                  </w:pPr>
                  <w:r>
                    <w:rPr>
                      <w:szCs w:val="21"/>
                    </w:rPr>
                    <w:t>生活污水</w:t>
                  </w:r>
                </w:p>
              </w:tc>
              <w:tc>
                <w:tcPr>
                  <w:tcW w:w="2919" w:type="pct"/>
                  <w:gridSpan w:val="2"/>
                  <w:vAlign w:val="center"/>
                </w:tcPr>
                <w:p>
                  <w:pPr>
                    <w:adjustRightInd w:val="0"/>
                    <w:snapToGrid w:val="0"/>
                    <w:rPr>
                      <w:szCs w:val="21"/>
                    </w:rPr>
                  </w:pPr>
                  <w:r>
                    <w:rPr>
                      <w:szCs w:val="21"/>
                    </w:rPr>
                    <w:t>生活污水水量较少，</w:t>
                  </w:r>
                  <w:r>
                    <w:rPr>
                      <w:rFonts w:hint="eastAsia"/>
                    </w:rPr>
                    <w:t>生活污水经</w:t>
                  </w:r>
                  <w:r>
                    <w:t>化粪池处理后排入园区污水管网</w:t>
                  </w:r>
                  <w:r>
                    <w:rPr>
                      <w:rFonts w:hint="eastAsia"/>
                    </w:rPr>
                    <w:t>，</w:t>
                  </w:r>
                  <w:r>
                    <w:rPr>
                      <w:bCs/>
                      <w:szCs w:val="21"/>
                    </w:rPr>
                    <w:t>最终进入</w:t>
                  </w:r>
                  <w:r>
                    <w:rPr>
                      <w:rFonts w:hint="eastAsia"/>
                      <w:szCs w:val="21"/>
                    </w:rPr>
                    <w:t>新河县城东污水处理厂</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restart"/>
                  <w:vAlign w:val="center"/>
                </w:tcPr>
                <w:p>
                  <w:pPr>
                    <w:adjustRightInd w:val="0"/>
                    <w:snapToGrid w:val="0"/>
                    <w:jc w:val="center"/>
                    <w:rPr>
                      <w:szCs w:val="21"/>
                    </w:rPr>
                  </w:pPr>
                  <w:r>
                    <w:rPr>
                      <w:szCs w:val="21"/>
                    </w:rPr>
                    <w:t>固废</w:t>
                  </w:r>
                </w:p>
              </w:tc>
              <w:tc>
                <w:tcPr>
                  <w:tcW w:w="1095" w:type="pct"/>
                  <w:vAlign w:val="center"/>
                </w:tcPr>
                <w:p>
                  <w:pPr>
                    <w:tabs>
                      <w:tab w:val="left" w:pos="6593"/>
                    </w:tabs>
                    <w:adjustRightInd w:val="0"/>
                    <w:snapToGrid w:val="0"/>
                    <w:jc w:val="center"/>
                    <w:rPr>
                      <w:szCs w:val="21"/>
                      <w:u w:color="000000"/>
                    </w:rPr>
                  </w:pPr>
                  <w:r>
                    <w:rPr>
                      <w:rFonts w:hint="eastAsia"/>
                      <w:szCs w:val="21"/>
                      <w:u w:color="000000"/>
                    </w:rPr>
                    <w:t>切割下料工序产生</w:t>
                  </w:r>
                  <w:r>
                    <w:rPr>
                      <w:szCs w:val="21"/>
                      <w:u w:color="000000"/>
                    </w:rPr>
                    <w:t>边角料</w:t>
                  </w:r>
                </w:p>
              </w:tc>
              <w:tc>
                <w:tcPr>
                  <w:tcW w:w="2919" w:type="pct"/>
                  <w:gridSpan w:val="2"/>
                  <w:vMerge w:val="restart"/>
                  <w:vAlign w:val="center"/>
                </w:tcPr>
                <w:p>
                  <w:pPr>
                    <w:tabs>
                      <w:tab w:val="left" w:pos="6593"/>
                    </w:tabs>
                    <w:adjustRightInd w:val="0"/>
                    <w:snapToGrid w:val="0"/>
                    <w:jc w:val="center"/>
                    <w:rPr>
                      <w:szCs w:val="21"/>
                      <w:u w:color="000000"/>
                    </w:rPr>
                  </w:pPr>
                  <w:r>
                    <w:rPr>
                      <w:szCs w:val="21"/>
                      <w:u w:color="000000"/>
                    </w:rPr>
                    <w:t>厂内统一收集后外售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u w:color="000000"/>
                    </w:rPr>
                    <w:t>机械加工产生的下角料</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u w:color="000000"/>
                    </w:rPr>
                    <w:t>废焊渣</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szCs w:val="21"/>
                      <w:u w:color="000000"/>
                    </w:rPr>
                    <w:t>切割</w:t>
                  </w:r>
                  <w:r>
                    <w:rPr>
                      <w:rFonts w:hint="eastAsia"/>
                      <w:szCs w:val="21"/>
                      <w:u w:color="000000"/>
                    </w:rPr>
                    <w:t>工序布袋收集</w:t>
                  </w:r>
                  <w:r>
                    <w:rPr>
                      <w:szCs w:val="21"/>
                      <w:u w:color="000000"/>
                    </w:rPr>
                    <w:t>除尘灰</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u w:color="000000"/>
                    </w:rPr>
                    <w:t>焊接工序布袋收集除尘灰</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rPr>
                    <w:t>塑粉废包装袋</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u w:color="000000"/>
                    </w:rPr>
                    <w:t>废滤筒</w:t>
                  </w:r>
                </w:p>
              </w:tc>
              <w:tc>
                <w:tcPr>
                  <w:tcW w:w="2919" w:type="pct"/>
                  <w:gridSpan w:val="2"/>
                  <w:vAlign w:val="center"/>
                </w:tcPr>
                <w:p>
                  <w:pPr>
                    <w:tabs>
                      <w:tab w:val="left" w:pos="6593"/>
                    </w:tabs>
                    <w:adjustRightInd w:val="0"/>
                    <w:snapToGrid w:val="0"/>
                    <w:jc w:val="center"/>
                    <w:rPr>
                      <w:szCs w:val="21"/>
                      <w:u w:color="000000"/>
                    </w:rPr>
                  </w:pPr>
                  <w:r>
                    <w:rPr>
                      <w:rFonts w:hint="eastAsia"/>
                      <w:szCs w:val="21"/>
                      <w:u w:color="000000"/>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u w:color="000000"/>
                    </w:rPr>
                    <w:t>喷涂工序各除尘器收集塑粉</w:t>
                  </w:r>
                </w:p>
              </w:tc>
              <w:tc>
                <w:tcPr>
                  <w:tcW w:w="2919" w:type="pct"/>
                  <w:gridSpan w:val="2"/>
                  <w:vAlign w:val="center"/>
                </w:tcPr>
                <w:p>
                  <w:pPr>
                    <w:tabs>
                      <w:tab w:val="left" w:pos="6593"/>
                    </w:tabs>
                    <w:adjustRightInd w:val="0"/>
                    <w:snapToGrid w:val="0"/>
                    <w:jc w:val="center"/>
                    <w:rPr>
                      <w:szCs w:val="21"/>
                      <w:u w:color="000000"/>
                    </w:rPr>
                  </w:pPr>
                  <w:r>
                    <w:rPr>
                      <w:rFonts w:hint="eastAsia"/>
                      <w:szCs w:val="21"/>
                      <w:u w:color="000000"/>
                    </w:rPr>
                    <w:t>集中收集后回用于生产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rFonts w:hint="eastAsia"/>
                      <w:szCs w:val="21"/>
                    </w:rPr>
                    <w:t>废催化剂</w:t>
                  </w:r>
                </w:p>
              </w:tc>
              <w:tc>
                <w:tcPr>
                  <w:tcW w:w="2919" w:type="pct"/>
                  <w:gridSpan w:val="2"/>
                  <w:vMerge w:val="restart"/>
                  <w:vAlign w:val="center"/>
                </w:tcPr>
                <w:p>
                  <w:pPr>
                    <w:tabs>
                      <w:tab w:val="left" w:pos="6593"/>
                    </w:tabs>
                    <w:adjustRightInd w:val="0"/>
                    <w:snapToGrid w:val="0"/>
                    <w:jc w:val="left"/>
                    <w:rPr>
                      <w:szCs w:val="21"/>
                      <w:u w:color="000000"/>
                    </w:rPr>
                  </w:pPr>
                  <w:r>
                    <w:rPr>
                      <w:szCs w:val="21"/>
                    </w:rPr>
                    <w:t>厂区内设危险废物暂存间1座，位于生产车间西</w:t>
                  </w:r>
                  <w:r>
                    <w:rPr>
                      <w:rFonts w:hint="eastAsia"/>
                      <w:szCs w:val="21"/>
                    </w:rPr>
                    <w:t>北</w:t>
                  </w:r>
                  <w:r>
                    <w:rPr>
                      <w:szCs w:val="21"/>
                    </w:rPr>
                    <w:t>角，</w:t>
                  </w:r>
                  <w:r>
                    <w:rPr>
                      <w:rFonts w:hint="eastAsia"/>
                      <w:szCs w:val="21"/>
                    </w:rPr>
                    <w:t>危险废物</w:t>
                  </w:r>
                  <w:r>
                    <w:rPr>
                      <w:szCs w:val="21"/>
                    </w:rPr>
                    <w:t>暂存于危废暂存间（1</w:t>
                  </w:r>
                  <w:r>
                    <w:rPr>
                      <w:rFonts w:hint="eastAsia"/>
                      <w:szCs w:val="21"/>
                    </w:rPr>
                    <w:t>5</w:t>
                  </w:r>
                  <w:r>
                    <w:rPr>
                      <w:szCs w:val="21"/>
                    </w:rPr>
                    <w:t>m</w:t>
                  </w:r>
                  <w:r>
                    <w:rPr>
                      <w:szCs w:val="21"/>
                      <w:vertAlign w:val="superscript"/>
                    </w:rPr>
                    <w:t>2</w:t>
                  </w:r>
                  <w:r>
                    <w:rPr>
                      <w:szCs w:val="21"/>
                    </w:rPr>
                    <w:t>），定期交由有资质单位处置。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rFonts w:hint="eastAsia"/>
                      <w:szCs w:val="21"/>
                    </w:rPr>
                    <w:t>废过滤棉</w:t>
                  </w:r>
                </w:p>
              </w:tc>
              <w:tc>
                <w:tcPr>
                  <w:tcW w:w="2919" w:type="pct"/>
                  <w:gridSpan w:val="2"/>
                  <w:vMerge w:val="continue"/>
                  <w:vAlign w:val="center"/>
                </w:tcPr>
                <w:p>
                  <w:pPr>
                    <w:tabs>
                      <w:tab w:val="left" w:pos="6593"/>
                    </w:tabs>
                    <w:adjustRightInd w:val="0"/>
                    <w:snapToGrid w:val="0"/>
                    <w:jc w:val="left"/>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rFonts w:hint="eastAsia"/>
                      <w:szCs w:val="21"/>
                    </w:rPr>
                    <w:t>废活性炭</w:t>
                  </w:r>
                </w:p>
              </w:tc>
              <w:tc>
                <w:tcPr>
                  <w:tcW w:w="2919" w:type="pct"/>
                  <w:gridSpan w:val="2"/>
                  <w:vMerge w:val="continue"/>
                  <w:vAlign w:val="center"/>
                </w:tcPr>
                <w:p>
                  <w:pPr>
                    <w:tabs>
                      <w:tab w:val="left" w:pos="6593"/>
                    </w:tabs>
                    <w:adjustRightInd w:val="0"/>
                    <w:snapToGrid w:val="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szCs w:val="21"/>
                    </w:rPr>
                    <w:t>废机油</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szCs w:val="21"/>
                    </w:rPr>
                    <w:t>废机油桶</w:t>
                  </w:r>
                </w:p>
              </w:tc>
              <w:tc>
                <w:tcPr>
                  <w:tcW w:w="2919" w:type="pct"/>
                  <w:gridSpan w:val="2"/>
                  <w:vMerge w:val="continue"/>
                  <w:vAlign w:val="center"/>
                </w:tcPr>
                <w:p>
                  <w:pPr>
                    <w:tabs>
                      <w:tab w:val="left" w:pos="6593"/>
                    </w:tabs>
                    <w:adjustRightInd w:val="0"/>
                    <w:snapToGrid w:val="0"/>
                    <w:jc w:val="center"/>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szCs w:val="21"/>
                    </w:rPr>
                    <w:t>废切削液</w:t>
                  </w:r>
                </w:p>
              </w:tc>
              <w:tc>
                <w:tcPr>
                  <w:tcW w:w="2919" w:type="pct"/>
                  <w:gridSpan w:val="2"/>
                  <w:vMerge w:val="continue"/>
                  <w:vAlign w:val="center"/>
                </w:tcPr>
                <w:p>
                  <w:pPr>
                    <w:tabs>
                      <w:tab w:val="left" w:pos="6593"/>
                    </w:tabs>
                    <w:adjustRightInd w:val="0"/>
                    <w:snapToGrid w:val="0"/>
                    <w:jc w:val="left"/>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rPr>
                  </w:pPr>
                  <w:r>
                    <w:rPr>
                      <w:szCs w:val="21"/>
                    </w:rPr>
                    <w:t>废切削液桶</w:t>
                  </w:r>
                </w:p>
              </w:tc>
              <w:tc>
                <w:tcPr>
                  <w:tcW w:w="2919" w:type="pct"/>
                  <w:gridSpan w:val="2"/>
                  <w:vMerge w:val="continue"/>
                  <w:vAlign w:val="center"/>
                </w:tcPr>
                <w:p>
                  <w:pPr>
                    <w:tabs>
                      <w:tab w:val="left" w:pos="6593"/>
                    </w:tabs>
                    <w:adjustRightInd w:val="0"/>
                    <w:snapToGrid w:val="0"/>
                    <w:jc w:val="left"/>
                    <w:rPr>
                      <w:szCs w:val="21"/>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adjustRightInd w:val="0"/>
                    <w:snapToGrid w:val="0"/>
                    <w:jc w:val="center"/>
                    <w:rPr>
                      <w:szCs w:val="21"/>
                    </w:rPr>
                  </w:pPr>
                </w:p>
              </w:tc>
              <w:tc>
                <w:tcPr>
                  <w:tcW w:w="1095" w:type="pct"/>
                  <w:vAlign w:val="center"/>
                </w:tcPr>
                <w:p>
                  <w:pPr>
                    <w:tabs>
                      <w:tab w:val="left" w:pos="6593"/>
                    </w:tabs>
                    <w:adjustRightInd w:val="0"/>
                    <w:snapToGrid w:val="0"/>
                    <w:jc w:val="center"/>
                    <w:rPr>
                      <w:szCs w:val="21"/>
                      <w:u w:color="000000"/>
                    </w:rPr>
                  </w:pPr>
                  <w:r>
                    <w:rPr>
                      <w:szCs w:val="21"/>
                    </w:rPr>
                    <w:t>生活垃圾</w:t>
                  </w:r>
                </w:p>
              </w:tc>
              <w:tc>
                <w:tcPr>
                  <w:tcW w:w="2919" w:type="pct"/>
                  <w:gridSpan w:val="2"/>
                  <w:vAlign w:val="center"/>
                </w:tcPr>
                <w:p>
                  <w:pPr>
                    <w:tabs>
                      <w:tab w:val="left" w:pos="6593"/>
                    </w:tabs>
                    <w:adjustRightInd w:val="0"/>
                    <w:snapToGrid w:val="0"/>
                    <w:jc w:val="center"/>
                    <w:rPr>
                      <w:szCs w:val="21"/>
                      <w:u w:color="000000"/>
                    </w:rPr>
                  </w:pPr>
                  <w:r>
                    <w:rPr>
                      <w:szCs w:val="21"/>
                    </w:rPr>
                    <w:t>收集后委托环卫部门处理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Align w:val="center"/>
                </w:tcPr>
                <w:p>
                  <w:pPr>
                    <w:adjustRightInd w:val="0"/>
                    <w:snapToGrid w:val="0"/>
                    <w:jc w:val="center"/>
                    <w:rPr>
                      <w:szCs w:val="21"/>
                    </w:rPr>
                  </w:pPr>
                  <w:r>
                    <w:rPr>
                      <w:szCs w:val="21"/>
                    </w:rPr>
                    <w:t>噪声</w:t>
                  </w:r>
                </w:p>
              </w:tc>
              <w:tc>
                <w:tcPr>
                  <w:tcW w:w="4014" w:type="pct"/>
                  <w:gridSpan w:val="3"/>
                  <w:vAlign w:val="center"/>
                </w:tcPr>
                <w:p>
                  <w:pPr>
                    <w:adjustRightInd w:val="0"/>
                    <w:snapToGrid w:val="0"/>
                    <w:jc w:val="left"/>
                    <w:rPr>
                      <w:szCs w:val="21"/>
                    </w:rPr>
                  </w:pPr>
                  <w:r>
                    <w:rPr>
                      <w:szCs w:val="21"/>
                    </w:rPr>
                    <w:t>选用低噪声设备、基础减振、生产设备合理布局、厂房隔声等。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restart"/>
                  <w:vAlign w:val="center"/>
                </w:tcPr>
                <w:p>
                  <w:pPr>
                    <w:widowControl/>
                    <w:adjustRightInd w:val="0"/>
                    <w:snapToGrid w:val="0"/>
                    <w:jc w:val="center"/>
                    <w:rPr>
                      <w:kern w:val="0"/>
                      <w:szCs w:val="21"/>
                    </w:rPr>
                  </w:pPr>
                  <w:r>
                    <w:rPr>
                      <w:kern w:val="0"/>
                      <w:szCs w:val="21"/>
                    </w:rPr>
                    <w:t>防腐防渗</w:t>
                  </w:r>
                </w:p>
              </w:tc>
              <w:tc>
                <w:tcPr>
                  <w:tcW w:w="1095" w:type="pct"/>
                  <w:vAlign w:val="center"/>
                </w:tcPr>
                <w:p>
                  <w:pPr>
                    <w:widowControl/>
                    <w:adjustRightInd w:val="0"/>
                    <w:snapToGrid w:val="0"/>
                    <w:rPr>
                      <w:szCs w:val="21"/>
                    </w:rPr>
                  </w:pPr>
                  <w:r>
                    <w:rPr>
                      <w:szCs w:val="21"/>
                    </w:rPr>
                    <w:t>重点防渗区</w:t>
                  </w:r>
                </w:p>
              </w:tc>
              <w:tc>
                <w:tcPr>
                  <w:tcW w:w="2919" w:type="pct"/>
                  <w:gridSpan w:val="2"/>
                  <w:vAlign w:val="center"/>
                </w:tcPr>
                <w:p>
                  <w:pPr>
                    <w:widowControl/>
                    <w:adjustRightInd w:val="0"/>
                    <w:snapToGrid w:val="0"/>
                    <w:rPr>
                      <w:szCs w:val="21"/>
                    </w:rPr>
                  </w:pPr>
                  <w:r>
                    <w:rPr>
                      <w:kern w:val="0"/>
                      <w:szCs w:val="21"/>
                      <w:highlight w:val="yellow"/>
                    </w:rPr>
                    <w:t>危废间</w:t>
                  </w:r>
                  <w:r>
                    <w:rPr>
                      <w:rFonts w:hint="eastAsia"/>
                      <w:kern w:val="0"/>
                      <w:szCs w:val="21"/>
                      <w:highlight w:val="yellow"/>
                    </w:rPr>
                    <w:t>、原料库液态原料存放区</w:t>
                  </w:r>
                  <w:r>
                    <w:rPr>
                      <w:kern w:val="0"/>
                      <w:szCs w:val="21"/>
                      <w:highlight w:val="yellow"/>
                    </w:rPr>
                    <w:t>：参照《危险废物贮存污染控制标准》（GB18597-2001）及修改单要求，</w:t>
                  </w:r>
                  <w:r>
                    <w:rPr>
                      <w:szCs w:val="21"/>
                      <w:highlight w:val="yellow"/>
                    </w:rPr>
                    <w:t>等效黏土防渗层Mb≥6.0m，K≤1×10</w:t>
                  </w:r>
                  <w:r>
                    <w:rPr>
                      <w:szCs w:val="21"/>
                      <w:highlight w:val="yellow"/>
                      <w:vertAlign w:val="superscript"/>
                    </w:rPr>
                    <w:t>-10</w:t>
                  </w:r>
                  <w:r>
                    <w:rPr>
                      <w:szCs w:val="21"/>
                      <w:highlight w:val="yellow"/>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widowControl/>
                    <w:adjustRightInd w:val="0"/>
                    <w:snapToGrid w:val="0"/>
                    <w:jc w:val="center"/>
                    <w:rPr>
                      <w:kern w:val="0"/>
                      <w:szCs w:val="21"/>
                    </w:rPr>
                  </w:pPr>
                </w:p>
              </w:tc>
              <w:tc>
                <w:tcPr>
                  <w:tcW w:w="1095" w:type="pct"/>
                  <w:vAlign w:val="center"/>
                </w:tcPr>
                <w:p>
                  <w:pPr>
                    <w:widowControl/>
                    <w:adjustRightInd w:val="0"/>
                    <w:snapToGrid w:val="0"/>
                    <w:rPr>
                      <w:kern w:val="0"/>
                      <w:szCs w:val="21"/>
                    </w:rPr>
                  </w:pPr>
                  <w:r>
                    <w:rPr>
                      <w:kern w:val="0"/>
                      <w:szCs w:val="21"/>
                    </w:rPr>
                    <w:t>一般防渗区</w:t>
                  </w:r>
                </w:p>
              </w:tc>
              <w:tc>
                <w:tcPr>
                  <w:tcW w:w="2919" w:type="pct"/>
                  <w:gridSpan w:val="2"/>
                  <w:vAlign w:val="center"/>
                </w:tcPr>
                <w:p>
                  <w:pPr>
                    <w:widowControl/>
                    <w:adjustRightInd w:val="0"/>
                    <w:snapToGrid w:val="0"/>
                    <w:rPr>
                      <w:kern w:val="0"/>
                      <w:szCs w:val="21"/>
                      <w:highlight w:val="yellow"/>
                    </w:rPr>
                  </w:pPr>
                  <w:r>
                    <w:rPr>
                      <w:kern w:val="0"/>
                      <w:szCs w:val="21"/>
                      <w:highlight w:val="yellow"/>
                    </w:rPr>
                    <w:t>生产车间、化粪池：防渗水平应达到《环境影响评价技术导则地下水环境》（HJ610-2016）中一般防渗区防渗要求（等效黏土防渗层 Mb≥1.5m，渗透系数K≤1.0×10</w:t>
                  </w:r>
                  <w:r>
                    <w:rPr>
                      <w:kern w:val="0"/>
                      <w:szCs w:val="21"/>
                      <w:highlight w:val="yellow"/>
                      <w:vertAlign w:val="superscript"/>
                    </w:rPr>
                    <w:t>-7</w:t>
                  </w:r>
                  <w:r>
                    <w:rPr>
                      <w:kern w:val="0"/>
                      <w:szCs w:val="21"/>
                      <w:highlight w:val="yellow"/>
                    </w:rPr>
                    <w:t>cm/s；或参照GB16889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pPr>
                    <w:adjustRightInd w:val="0"/>
                    <w:snapToGrid w:val="0"/>
                    <w:jc w:val="center"/>
                    <w:rPr>
                      <w:szCs w:val="21"/>
                    </w:rPr>
                  </w:pPr>
                </w:p>
              </w:tc>
              <w:tc>
                <w:tcPr>
                  <w:tcW w:w="559" w:type="pct"/>
                  <w:vMerge w:val="continue"/>
                  <w:vAlign w:val="center"/>
                </w:tcPr>
                <w:p>
                  <w:pPr>
                    <w:widowControl/>
                    <w:adjustRightInd w:val="0"/>
                    <w:snapToGrid w:val="0"/>
                    <w:jc w:val="center"/>
                    <w:rPr>
                      <w:kern w:val="0"/>
                      <w:szCs w:val="21"/>
                    </w:rPr>
                  </w:pPr>
                </w:p>
              </w:tc>
              <w:tc>
                <w:tcPr>
                  <w:tcW w:w="1095" w:type="pct"/>
                  <w:vAlign w:val="center"/>
                </w:tcPr>
                <w:p>
                  <w:pPr>
                    <w:widowControl/>
                    <w:adjustRightInd w:val="0"/>
                    <w:snapToGrid w:val="0"/>
                    <w:rPr>
                      <w:kern w:val="0"/>
                      <w:szCs w:val="21"/>
                    </w:rPr>
                  </w:pPr>
                  <w:r>
                    <w:rPr>
                      <w:kern w:val="0"/>
                      <w:szCs w:val="21"/>
                    </w:rPr>
                    <w:t>简单防渗区</w:t>
                  </w:r>
                </w:p>
              </w:tc>
              <w:tc>
                <w:tcPr>
                  <w:tcW w:w="2919" w:type="pct"/>
                  <w:gridSpan w:val="2"/>
                  <w:vAlign w:val="center"/>
                </w:tcPr>
                <w:p>
                  <w:pPr>
                    <w:widowControl/>
                    <w:adjustRightInd w:val="0"/>
                    <w:snapToGrid w:val="0"/>
                    <w:rPr>
                      <w:kern w:val="0"/>
                      <w:szCs w:val="21"/>
                      <w:highlight w:val="yellow"/>
                    </w:rPr>
                  </w:pPr>
                  <w:r>
                    <w:rPr>
                      <w:kern w:val="0"/>
                      <w:szCs w:val="21"/>
                      <w:highlight w:val="yellow"/>
                    </w:rPr>
                    <w:t>厂区道路及其他区域：一般地面硬化</w:t>
                  </w:r>
                </w:p>
              </w:tc>
            </w:tr>
          </w:tbl>
          <w:p>
            <w:pPr>
              <w:adjustRightInd w:val="0"/>
              <w:snapToGrid w:val="0"/>
              <w:spacing w:line="360" w:lineRule="auto"/>
              <w:ind w:firstLine="482" w:firstLineChars="200"/>
              <w:rPr>
                <w:b/>
                <w:sz w:val="24"/>
                <w:szCs w:val="21"/>
              </w:rPr>
            </w:pPr>
            <w:r>
              <w:rPr>
                <w:b/>
                <w:sz w:val="24"/>
                <w:szCs w:val="21"/>
              </w:rPr>
              <w:t>3、构筑物情况</w:t>
            </w:r>
          </w:p>
          <w:p>
            <w:pPr>
              <w:pStyle w:val="16"/>
              <w:spacing w:line="360" w:lineRule="auto"/>
              <w:ind w:left="0" w:leftChars="0"/>
              <w:jc w:val="both"/>
              <w:rPr>
                <w:rFonts w:ascii="Times New Roman" w:hAnsi="Times New Roman"/>
              </w:rPr>
            </w:pPr>
            <w:r>
              <w:rPr>
                <w:rFonts w:ascii="Times New Roman" w:hAnsi="Times New Roman"/>
                <w:bCs/>
                <w:szCs w:val="21"/>
              </w:rPr>
              <w:t>项目构筑物情况见表</w:t>
            </w:r>
            <w:r>
              <w:rPr>
                <w:rFonts w:hint="eastAsia" w:ascii="Times New Roman" w:hAnsi="Times New Roman"/>
                <w:bCs/>
                <w:szCs w:val="21"/>
              </w:rPr>
              <w:t>15</w:t>
            </w:r>
            <w:r>
              <w:rPr>
                <w:rFonts w:ascii="Times New Roman" w:hAnsi="Times New Roman"/>
                <w:bCs/>
                <w:szCs w:val="21"/>
              </w:rPr>
              <w:t>。</w:t>
            </w:r>
          </w:p>
          <w:p>
            <w:pPr>
              <w:adjustRightInd w:val="0"/>
              <w:snapToGrid w:val="0"/>
              <w:jc w:val="center"/>
              <w:rPr>
                <w:b/>
                <w:bCs/>
                <w:sz w:val="24"/>
              </w:rPr>
            </w:pPr>
            <w:r>
              <w:rPr>
                <w:b/>
                <w:bCs/>
                <w:sz w:val="24"/>
              </w:rPr>
              <w:t>表</w:t>
            </w:r>
            <w:r>
              <w:rPr>
                <w:rFonts w:hint="eastAsia"/>
                <w:b/>
                <w:bCs/>
                <w:sz w:val="24"/>
              </w:rPr>
              <w:t>15</w:t>
            </w:r>
            <w:r>
              <w:rPr>
                <w:b/>
                <w:bCs/>
                <w:sz w:val="24"/>
              </w:rPr>
              <w:t xml:space="preserve">  厂区建设内容一览表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724"/>
              <w:gridCol w:w="1305"/>
              <w:gridCol w:w="973"/>
              <w:gridCol w:w="974"/>
              <w:gridCol w:w="973"/>
              <w:gridCol w:w="974"/>
              <w:gridCol w:w="108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Align w:val="center"/>
                </w:tcPr>
                <w:p>
                  <w:pPr>
                    <w:jc w:val="center"/>
                    <w:rPr>
                      <w:b/>
                      <w:bCs/>
                      <w:szCs w:val="21"/>
                    </w:rPr>
                  </w:pPr>
                  <w:r>
                    <w:rPr>
                      <w:b/>
                      <w:bCs/>
                      <w:szCs w:val="21"/>
                    </w:rPr>
                    <w:t>序号</w:t>
                  </w:r>
                </w:p>
              </w:tc>
              <w:tc>
                <w:tcPr>
                  <w:tcW w:w="1210" w:type="pct"/>
                  <w:gridSpan w:val="2"/>
                  <w:vAlign w:val="center"/>
                </w:tcPr>
                <w:p>
                  <w:pPr>
                    <w:jc w:val="center"/>
                    <w:rPr>
                      <w:b/>
                      <w:bCs/>
                      <w:szCs w:val="21"/>
                    </w:rPr>
                  </w:pPr>
                  <w:r>
                    <w:rPr>
                      <w:b/>
                      <w:bCs/>
                      <w:szCs w:val="21"/>
                    </w:rPr>
                    <w:t>名称</w:t>
                  </w:r>
                </w:p>
              </w:tc>
              <w:tc>
                <w:tcPr>
                  <w:tcW w:w="1161" w:type="pct"/>
                  <w:gridSpan w:val="2"/>
                  <w:vAlign w:val="center"/>
                </w:tcPr>
                <w:p>
                  <w:pPr>
                    <w:jc w:val="center"/>
                    <w:rPr>
                      <w:b/>
                      <w:bCs/>
                      <w:szCs w:val="21"/>
                    </w:rPr>
                  </w:pPr>
                  <w:r>
                    <w:rPr>
                      <w:b/>
                      <w:bCs/>
                      <w:szCs w:val="21"/>
                    </w:rPr>
                    <w:t>占地面积</w:t>
                  </w:r>
                </w:p>
              </w:tc>
              <w:tc>
                <w:tcPr>
                  <w:tcW w:w="1161" w:type="pct"/>
                  <w:gridSpan w:val="2"/>
                  <w:vAlign w:val="center"/>
                </w:tcPr>
                <w:p>
                  <w:pPr>
                    <w:jc w:val="center"/>
                    <w:rPr>
                      <w:b/>
                      <w:bCs/>
                      <w:szCs w:val="21"/>
                    </w:rPr>
                  </w:pPr>
                  <w:r>
                    <w:rPr>
                      <w:b/>
                      <w:bCs/>
                      <w:szCs w:val="21"/>
                    </w:rPr>
                    <w:t>建筑面积</w:t>
                  </w:r>
                </w:p>
              </w:tc>
              <w:tc>
                <w:tcPr>
                  <w:tcW w:w="647" w:type="pct"/>
                  <w:vAlign w:val="center"/>
                </w:tcPr>
                <w:p>
                  <w:pPr>
                    <w:jc w:val="center"/>
                    <w:rPr>
                      <w:b/>
                      <w:bCs/>
                      <w:szCs w:val="21"/>
                    </w:rPr>
                  </w:pPr>
                  <w:r>
                    <w:rPr>
                      <w:b/>
                      <w:bCs/>
                      <w:szCs w:val="21"/>
                    </w:rPr>
                    <w:t>结构</w:t>
                  </w:r>
                </w:p>
              </w:tc>
              <w:tc>
                <w:tcPr>
                  <w:tcW w:w="508" w:type="pct"/>
                  <w:vAlign w:val="center"/>
                </w:tcPr>
                <w:p>
                  <w:pPr>
                    <w:jc w:val="center"/>
                    <w:rPr>
                      <w:b/>
                      <w:bCs/>
                      <w:szCs w:val="21"/>
                    </w:rPr>
                  </w:pPr>
                  <w:r>
                    <w:rPr>
                      <w:b/>
                      <w:bCs/>
                      <w:szCs w:val="21"/>
                    </w:rPr>
                    <w:t>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Merge w:val="restart"/>
                  <w:vAlign w:val="center"/>
                </w:tcPr>
                <w:p>
                  <w:pPr>
                    <w:jc w:val="center"/>
                    <w:rPr>
                      <w:szCs w:val="21"/>
                    </w:rPr>
                  </w:pPr>
                  <w:r>
                    <w:rPr>
                      <w:szCs w:val="21"/>
                    </w:rPr>
                    <w:t>1</w:t>
                  </w:r>
                </w:p>
              </w:tc>
              <w:tc>
                <w:tcPr>
                  <w:tcW w:w="432" w:type="pct"/>
                  <w:vMerge w:val="restart"/>
                  <w:vAlign w:val="center"/>
                </w:tcPr>
                <w:p>
                  <w:pPr>
                    <w:jc w:val="center"/>
                    <w:rPr>
                      <w:szCs w:val="21"/>
                    </w:rPr>
                  </w:pPr>
                  <w:r>
                    <w:rPr>
                      <w:szCs w:val="21"/>
                    </w:rPr>
                    <w:t>生产车间</w:t>
                  </w:r>
                </w:p>
              </w:tc>
              <w:tc>
                <w:tcPr>
                  <w:tcW w:w="778" w:type="pct"/>
                  <w:vAlign w:val="center"/>
                </w:tcPr>
                <w:p>
                  <w:pPr>
                    <w:jc w:val="center"/>
                    <w:rPr>
                      <w:szCs w:val="21"/>
                    </w:rPr>
                  </w:pPr>
                  <w:r>
                    <w:rPr>
                      <w:rFonts w:hint="eastAsia"/>
                      <w:szCs w:val="21"/>
                    </w:rPr>
                    <w:t>生产区域</w:t>
                  </w:r>
                </w:p>
              </w:tc>
              <w:tc>
                <w:tcPr>
                  <w:tcW w:w="580" w:type="pct"/>
                  <w:vAlign w:val="center"/>
                </w:tcPr>
                <w:p>
                  <w:pPr>
                    <w:jc w:val="center"/>
                    <w:rPr>
                      <w:szCs w:val="21"/>
                    </w:rPr>
                  </w:pPr>
                  <w:r>
                    <w:rPr>
                      <w:rFonts w:hint="eastAsia"/>
                      <w:szCs w:val="21"/>
                    </w:rPr>
                    <w:t>10725m</w:t>
                  </w:r>
                  <w:r>
                    <w:rPr>
                      <w:rFonts w:hint="eastAsia"/>
                      <w:szCs w:val="21"/>
                      <w:vertAlign w:val="superscript"/>
                    </w:rPr>
                    <w:t>2</w:t>
                  </w:r>
                </w:p>
              </w:tc>
              <w:tc>
                <w:tcPr>
                  <w:tcW w:w="581" w:type="pct"/>
                  <w:vMerge w:val="restart"/>
                  <w:vAlign w:val="center"/>
                </w:tcPr>
                <w:p>
                  <w:pPr>
                    <w:jc w:val="center"/>
                    <w:rPr>
                      <w:szCs w:val="21"/>
                    </w:rPr>
                  </w:pPr>
                  <w:r>
                    <w:rPr>
                      <w:rFonts w:hint="eastAsia"/>
                      <w:szCs w:val="21"/>
                    </w:rPr>
                    <w:t>合计10800m</w:t>
                  </w:r>
                  <w:r>
                    <w:rPr>
                      <w:rFonts w:hint="eastAsia"/>
                      <w:szCs w:val="21"/>
                      <w:vertAlign w:val="superscript"/>
                    </w:rPr>
                    <w:t>2</w:t>
                  </w:r>
                </w:p>
              </w:tc>
              <w:tc>
                <w:tcPr>
                  <w:tcW w:w="580" w:type="pct"/>
                  <w:vAlign w:val="center"/>
                </w:tcPr>
                <w:p>
                  <w:pPr>
                    <w:jc w:val="center"/>
                    <w:rPr>
                      <w:szCs w:val="21"/>
                    </w:rPr>
                  </w:pPr>
                  <w:r>
                    <w:rPr>
                      <w:rFonts w:hint="eastAsia"/>
                      <w:szCs w:val="21"/>
                    </w:rPr>
                    <w:t>18253m</w:t>
                  </w:r>
                  <w:r>
                    <w:rPr>
                      <w:rFonts w:hint="eastAsia"/>
                      <w:szCs w:val="21"/>
                      <w:vertAlign w:val="superscript"/>
                    </w:rPr>
                    <w:t>2</w:t>
                  </w:r>
                </w:p>
              </w:tc>
              <w:tc>
                <w:tcPr>
                  <w:tcW w:w="581" w:type="pct"/>
                  <w:vMerge w:val="restart"/>
                  <w:vAlign w:val="center"/>
                </w:tcPr>
                <w:p>
                  <w:pPr>
                    <w:jc w:val="center"/>
                    <w:rPr>
                      <w:szCs w:val="21"/>
                    </w:rPr>
                  </w:pPr>
                  <w:r>
                    <w:rPr>
                      <w:rFonts w:hint="eastAsia"/>
                      <w:szCs w:val="21"/>
                    </w:rPr>
                    <w:t>合计18328m</w:t>
                  </w:r>
                  <w:r>
                    <w:rPr>
                      <w:rFonts w:hint="eastAsia"/>
                      <w:szCs w:val="21"/>
                      <w:vertAlign w:val="superscript"/>
                    </w:rPr>
                    <w:t>2</w:t>
                  </w:r>
                </w:p>
              </w:tc>
              <w:tc>
                <w:tcPr>
                  <w:tcW w:w="647" w:type="pct"/>
                  <w:vAlign w:val="center"/>
                </w:tcPr>
                <w:p>
                  <w:pPr>
                    <w:jc w:val="center"/>
                    <w:rPr>
                      <w:szCs w:val="21"/>
                    </w:rPr>
                  </w:pPr>
                  <w:r>
                    <w:rPr>
                      <w:szCs w:val="21"/>
                    </w:rPr>
                    <w:t>钢结构</w:t>
                  </w:r>
                </w:p>
              </w:tc>
              <w:tc>
                <w:tcPr>
                  <w:tcW w:w="508" w:type="pct"/>
                  <w:vAlign w:val="center"/>
                </w:tcPr>
                <w:p>
                  <w:pPr>
                    <w:jc w:val="center"/>
                    <w:rPr>
                      <w:szCs w:val="21"/>
                    </w:rPr>
                  </w:pPr>
                  <w:r>
                    <w:rPr>
                      <w:rFonts w:hint="eastAsia"/>
                      <w:szCs w:val="21"/>
                    </w:rPr>
                    <w:t>13.95</w:t>
                  </w:r>
                  <w:r>
                    <w:rPr>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Merge w:val="continue"/>
                  <w:vAlign w:val="center"/>
                </w:tcPr>
                <w:p>
                  <w:pPr>
                    <w:jc w:val="center"/>
                    <w:rPr>
                      <w:szCs w:val="21"/>
                    </w:rPr>
                  </w:pPr>
                </w:p>
              </w:tc>
              <w:tc>
                <w:tcPr>
                  <w:tcW w:w="432" w:type="pct"/>
                  <w:vMerge w:val="continue"/>
                  <w:vAlign w:val="center"/>
                </w:tcPr>
                <w:p>
                  <w:pPr>
                    <w:jc w:val="center"/>
                    <w:rPr>
                      <w:szCs w:val="21"/>
                    </w:rPr>
                  </w:pPr>
                </w:p>
              </w:tc>
              <w:tc>
                <w:tcPr>
                  <w:tcW w:w="778" w:type="pct"/>
                  <w:vAlign w:val="center"/>
                </w:tcPr>
                <w:p>
                  <w:pPr>
                    <w:jc w:val="center"/>
                    <w:rPr>
                      <w:szCs w:val="21"/>
                    </w:rPr>
                  </w:pPr>
                  <w:r>
                    <w:rPr>
                      <w:rFonts w:hint="eastAsia"/>
                      <w:szCs w:val="21"/>
                    </w:rPr>
                    <w:t>危废间</w:t>
                  </w:r>
                </w:p>
              </w:tc>
              <w:tc>
                <w:tcPr>
                  <w:tcW w:w="580" w:type="pct"/>
                  <w:vAlign w:val="center"/>
                </w:tcPr>
                <w:p>
                  <w:pPr>
                    <w:jc w:val="center"/>
                    <w:rPr>
                      <w:szCs w:val="21"/>
                    </w:rPr>
                  </w:pPr>
                  <w:r>
                    <w:rPr>
                      <w:rFonts w:hint="eastAsia"/>
                      <w:szCs w:val="21"/>
                    </w:rPr>
                    <w:t>15m</w:t>
                  </w:r>
                  <w:r>
                    <w:rPr>
                      <w:rFonts w:hint="eastAsia"/>
                      <w:szCs w:val="21"/>
                      <w:vertAlign w:val="superscript"/>
                    </w:rPr>
                    <w:t>2</w:t>
                  </w:r>
                </w:p>
              </w:tc>
              <w:tc>
                <w:tcPr>
                  <w:tcW w:w="581" w:type="pct"/>
                  <w:vMerge w:val="continue"/>
                  <w:vAlign w:val="center"/>
                </w:tcPr>
                <w:p>
                  <w:pPr>
                    <w:jc w:val="center"/>
                    <w:rPr>
                      <w:szCs w:val="21"/>
                    </w:rPr>
                  </w:pPr>
                </w:p>
              </w:tc>
              <w:tc>
                <w:tcPr>
                  <w:tcW w:w="580" w:type="pct"/>
                  <w:vAlign w:val="center"/>
                </w:tcPr>
                <w:p>
                  <w:pPr>
                    <w:jc w:val="center"/>
                    <w:rPr>
                      <w:szCs w:val="21"/>
                    </w:rPr>
                  </w:pPr>
                  <w:r>
                    <w:rPr>
                      <w:rFonts w:hint="eastAsia"/>
                      <w:szCs w:val="21"/>
                    </w:rPr>
                    <w:t>15m</w:t>
                  </w:r>
                  <w:r>
                    <w:rPr>
                      <w:rFonts w:hint="eastAsia"/>
                      <w:szCs w:val="21"/>
                      <w:vertAlign w:val="superscript"/>
                    </w:rPr>
                    <w:t>2</w:t>
                  </w:r>
                </w:p>
              </w:tc>
              <w:tc>
                <w:tcPr>
                  <w:tcW w:w="581" w:type="pct"/>
                  <w:vMerge w:val="continue"/>
                  <w:vAlign w:val="center"/>
                </w:tcPr>
                <w:p>
                  <w:pPr>
                    <w:jc w:val="center"/>
                    <w:rPr>
                      <w:szCs w:val="21"/>
                    </w:rPr>
                  </w:pPr>
                </w:p>
              </w:tc>
              <w:tc>
                <w:tcPr>
                  <w:tcW w:w="647" w:type="pct"/>
                  <w:vAlign w:val="center"/>
                </w:tcPr>
                <w:p>
                  <w:pPr>
                    <w:jc w:val="center"/>
                    <w:rPr>
                      <w:szCs w:val="21"/>
                    </w:rPr>
                  </w:pPr>
                  <w:r>
                    <w:rPr>
                      <w:szCs w:val="21"/>
                    </w:rPr>
                    <w:t>钢结构</w:t>
                  </w:r>
                </w:p>
              </w:tc>
              <w:tc>
                <w:tcPr>
                  <w:tcW w:w="508" w:type="pct"/>
                  <w:vAlign w:val="center"/>
                </w:tcPr>
                <w:p>
                  <w:pPr>
                    <w:jc w:val="center"/>
                    <w:rPr>
                      <w:szCs w:val="21"/>
                    </w:rPr>
                  </w:pPr>
                  <w:r>
                    <w:rPr>
                      <w:rFonts w:hint="eastAsia"/>
                      <w:szCs w:val="21"/>
                    </w:rPr>
                    <w:t>13.95m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Merge w:val="continue"/>
                  <w:vAlign w:val="center"/>
                </w:tcPr>
                <w:p>
                  <w:pPr>
                    <w:jc w:val="center"/>
                    <w:rPr>
                      <w:szCs w:val="21"/>
                    </w:rPr>
                  </w:pPr>
                </w:p>
              </w:tc>
              <w:tc>
                <w:tcPr>
                  <w:tcW w:w="432" w:type="pct"/>
                  <w:vMerge w:val="continue"/>
                  <w:vAlign w:val="center"/>
                </w:tcPr>
                <w:p>
                  <w:pPr>
                    <w:jc w:val="center"/>
                    <w:rPr>
                      <w:szCs w:val="21"/>
                    </w:rPr>
                  </w:pPr>
                </w:p>
              </w:tc>
              <w:tc>
                <w:tcPr>
                  <w:tcW w:w="778" w:type="pct"/>
                  <w:vAlign w:val="center"/>
                </w:tcPr>
                <w:p>
                  <w:pPr>
                    <w:jc w:val="center"/>
                    <w:rPr>
                      <w:szCs w:val="21"/>
                    </w:rPr>
                  </w:pPr>
                  <w:r>
                    <w:rPr>
                      <w:rFonts w:hint="eastAsia"/>
                      <w:szCs w:val="21"/>
                    </w:rPr>
                    <w:t>原料库</w:t>
                  </w:r>
                </w:p>
              </w:tc>
              <w:tc>
                <w:tcPr>
                  <w:tcW w:w="580" w:type="pct"/>
                  <w:vAlign w:val="center"/>
                </w:tcPr>
                <w:p>
                  <w:pPr>
                    <w:jc w:val="center"/>
                    <w:rPr>
                      <w:szCs w:val="21"/>
                    </w:rPr>
                  </w:pPr>
                  <w:r>
                    <w:rPr>
                      <w:rFonts w:hint="eastAsia"/>
                      <w:szCs w:val="21"/>
                    </w:rPr>
                    <w:t>60m</w:t>
                  </w:r>
                  <w:r>
                    <w:rPr>
                      <w:rFonts w:hint="eastAsia"/>
                      <w:szCs w:val="21"/>
                      <w:vertAlign w:val="superscript"/>
                    </w:rPr>
                    <w:t>2</w:t>
                  </w:r>
                </w:p>
              </w:tc>
              <w:tc>
                <w:tcPr>
                  <w:tcW w:w="581" w:type="pct"/>
                  <w:vMerge w:val="continue"/>
                  <w:vAlign w:val="center"/>
                </w:tcPr>
                <w:p>
                  <w:pPr>
                    <w:jc w:val="center"/>
                    <w:rPr>
                      <w:szCs w:val="21"/>
                    </w:rPr>
                  </w:pPr>
                </w:p>
              </w:tc>
              <w:tc>
                <w:tcPr>
                  <w:tcW w:w="580" w:type="pct"/>
                  <w:vAlign w:val="center"/>
                </w:tcPr>
                <w:p>
                  <w:pPr>
                    <w:jc w:val="center"/>
                    <w:rPr>
                      <w:szCs w:val="21"/>
                    </w:rPr>
                  </w:pPr>
                  <w:r>
                    <w:rPr>
                      <w:rFonts w:hint="eastAsia"/>
                      <w:szCs w:val="21"/>
                    </w:rPr>
                    <w:t>60m</w:t>
                  </w:r>
                  <w:r>
                    <w:rPr>
                      <w:rFonts w:hint="eastAsia"/>
                      <w:szCs w:val="21"/>
                      <w:vertAlign w:val="superscript"/>
                    </w:rPr>
                    <w:t>2</w:t>
                  </w:r>
                </w:p>
              </w:tc>
              <w:tc>
                <w:tcPr>
                  <w:tcW w:w="581" w:type="pct"/>
                  <w:vMerge w:val="continue"/>
                  <w:vAlign w:val="center"/>
                </w:tcPr>
                <w:p>
                  <w:pPr>
                    <w:jc w:val="center"/>
                    <w:rPr>
                      <w:szCs w:val="21"/>
                    </w:rPr>
                  </w:pPr>
                </w:p>
              </w:tc>
              <w:tc>
                <w:tcPr>
                  <w:tcW w:w="647" w:type="pct"/>
                  <w:vAlign w:val="center"/>
                </w:tcPr>
                <w:p>
                  <w:pPr>
                    <w:jc w:val="center"/>
                    <w:rPr>
                      <w:szCs w:val="21"/>
                    </w:rPr>
                  </w:pPr>
                  <w:r>
                    <w:rPr>
                      <w:szCs w:val="21"/>
                    </w:rPr>
                    <w:t>钢结构</w:t>
                  </w:r>
                </w:p>
              </w:tc>
              <w:tc>
                <w:tcPr>
                  <w:tcW w:w="508" w:type="pct"/>
                  <w:vAlign w:val="center"/>
                </w:tcPr>
                <w:p>
                  <w:pPr>
                    <w:jc w:val="center"/>
                    <w:rPr>
                      <w:szCs w:val="21"/>
                    </w:rPr>
                  </w:pPr>
                  <w:r>
                    <w:rPr>
                      <w:rFonts w:hint="eastAsia"/>
                      <w:szCs w:val="21"/>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Align w:val="center"/>
                </w:tcPr>
                <w:p>
                  <w:pPr>
                    <w:jc w:val="center"/>
                    <w:rPr>
                      <w:szCs w:val="21"/>
                    </w:rPr>
                  </w:pPr>
                  <w:r>
                    <w:rPr>
                      <w:szCs w:val="21"/>
                    </w:rPr>
                    <w:t>2</w:t>
                  </w:r>
                </w:p>
              </w:tc>
              <w:tc>
                <w:tcPr>
                  <w:tcW w:w="1210" w:type="pct"/>
                  <w:gridSpan w:val="2"/>
                  <w:vAlign w:val="center"/>
                </w:tcPr>
                <w:p>
                  <w:pPr>
                    <w:jc w:val="center"/>
                    <w:rPr>
                      <w:szCs w:val="21"/>
                    </w:rPr>
                  </w:pPr>
                  <w:r>
                    <w:rPr>
                      <w:szCs w:val="21"/>
                    </w:rPr>
                    <w:t>办公楼</w:t>
                  </w:r>
                </w:p>
              </w:tc>
              <w:tc>
                <w:tcPr>
                  <w:tcW w:w="1161" w:type="pct"/>
                  <w:gridSpan w:val="2"/>
                  <w:vAlign w:val="center"/>
                </w:tcPr>
                <w:p>
                  <w:pPr>
                    <w:jc w:val="center"/>
                    <w:rPr>
                      <w:szCs w:val="21"/>
                    </w:rPr>
                  </w:pPr>
                  <w:r>
                    <w:rPr>
                      <w:rFonts w:hint="eastAsia"/>
                      <w:szCs w:val="21"/>
                    </w:rPr>
                    <w:t>1436m</w:t>
                  </w:r>
                  <w:r>
                    <w:rPr>
                      <w:rFonts w:hint="eastAsia"/>
                      <w:szCs w:val="21"/>
                      <w:vertAlign w:val="superscript"/>
                    </w:rPr>
                    <w:t>2</w:t>
                  </w:r>
                </w:p>
              </w:tc>
              <w:tc>
                <w:tcPr>
                  <w:tcW w:w="1161" w:type="pct"/>
                  <w:gridSpan w:val="2"/>
                  <w:vAlign w:val="center"/>
                </w:tcPr>
                <w:p>
                  <w:pPr>
                    <w:jc w:val="center"/>
                    <w:rPr>
                      <w:szCs w:val="21"/>
                    </w:rPr>
                  </w:pPr>
                  <w:r>
                    <w:rPr>
                      <w:rFonts w:hint="eastAsia"/>
                      <w:szCs w:val="21"/>
                    </w:rPr>
                    <w:t>4308m</w:t>
                  </w:r>
                  <w:r>
                    <w:rPr>
                      <w:rFonts w:hint="eastAsia"/>
                      <w:szCs w:val="21"/>
                      <w:vertAlign w:val="superscript"/>
                    </w:rPr>
                    <w:t>2</w:t>
                  </w:r>
                </w:p>
              </w:tc>
              <w:tc>
                <w:tcPr>
                  <w:tcW w:w="647" w:type="pct"/>
                  <w:vAlign w:val="center"/>
                </w:tcPr>
                <w:p>
                  <w:pPr>
                    <w:jc w:val="center"/>
                    <w:rPr>
                      <w:szCs w:val="21"/>
                    </w:rPr>
                  </w:pPr>
                  <w:r>
                    <w:rPr>
                      <w:rFonts w:hint="eastAsia"/>
                      <w:szCs w:val="21"/>
                    </w:rPr>
                    <w:t>钢结构</w:t>
                  </w:r>
                </w:p>
              </w:tc>
              <w:tc>
                <w:tcPr>
                  <w:tcW w:w="508" w:type="pct"/>
                  <w:vAlign w:val="center"/>
                </w:tcPr>
                <w:p>
                  <w:pPr>
                    <w:jc w:val="center"/>
                    <w:rPr>
                      <w:szCs w:val="21"/>
                    </w:rPr>
                  </w:pPr>
                  <w:r>
                    <w:rPr>
                      <w:rFonts w:hint="eastAsia"/>
                      <w:szCs w:val="21"/>
                    </w:rPr>
                    <w:t>13.95</w:t>
                  </w:r>
                  <w:r>
                    <w:rPr>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Align w:val="center"/>
                </w:tcPr>
                <w:p>
                  <w:pPr>
                    <w:jc w:val="center"/>
                    <w:rPr>
                      <w:szCs w:val="21"/>
                    </w:rPr>
                  </w:pPr>
                  <w:r>
                    <w:rPr>
                      <w:rFonts w:hint="eastAsia"/>
                      <w:szCs w:val="21"/>
                    </w:rPr>
                    <w:t>3</w:t>
                  </w:r>
                </w:p>
              </w:tc>
              <w:tc>
                <w:tcPr>
                  <w:tcW w:w="1210" w:type="pct"/>
                  <w:gridSpan w:val="2"/>
                  <w:vAlign w:val="center"/>
                </w:tcPr>
                <w:p>
                  <w:pPr>
                    <w:jc w:val="center"/>
                    <w:rPr>
                      <w:szCs w:val="21"/>
                    </w:rPr>
                  </w:pPr>
                  <w:r>
                    <w:rPr>
                      <w:rFonts w:hint="eastAsia"/>
                      <w:szCs w:val="21"/>
                    </w:rPr>
                    <w:t>门卫</w:t>
                  </w:r>
                </w:p>
              </w:tc>
              <w:tc>
                <w:tcPr>
                  <w:tcW w:w="1161" w:type="pct"/>
                  <w:gridSpan w:val="2"/>
                  <w:vAlign w:val="center"/>
                </w:tcPr>
                <w:p>
                  <w:pPr>
                    <w:jc w:val="center"/>
                    <w:rPr>
                      <w:szCs w:val="21"/>
                    </w:rPr>
                  </w:pPr>
                  <w:r>
                    <w:rPr>
                      <w:rFonts w:hint="eastAsia"/>
                      <w:szCs w:val="21"/>
                    </w:rPr>
                    <w:t>40m</w:t>
                  </w:r>
                  <w:r>
                    <w:rPr>
                      <w:rFonts w:hint="eastAsia"/>
                      <w:szCs w:val="21"/>
                      <w:vertAlign w:val="superscript"/>
                    </w:rPr>
                    <w:t>2</w:t>
                  </w:r>
                </w:p>
              </w:tc>
              <w:tc>
                <w:tcPr>
                  <w:tcW w:w="1161" w:type="pct"/>
                  <w:gridSpan w:val="2"/>
                  <w:vAlign w:val="center"/>
                </w:tcPr>
                <w:p>
                  <w:pPr>
                    <w:jc w:val="center"/>
                    <w:rPr>
                      <w:szCs w:val="21"/>
                    </w:rPr>
                  </w:pPr>
                  <w:r>
                    <w:rPr>
                      <w:rFonts w:hint="eastAsia"/>
                      <w:szCs w:val="21"/>
                    </w:rPr>
                    <w:t>40m</w:t>
                  </w:r>
                  <w:r>
                    <w:rPr>
                      <w:rFonts w:hint="eastAsia"/>
                      <w:szCs w:val="21"/>
                      <w:vertAlign w:val="superscript"/>
                    </w:rPr>
                    <w:t>2</w:t>
                  </w:r>
                </w:p>
              </w:tc>
              <w:tc>
                <w:tcPr>
                  <w:tcW w:w="647" w:type="pct"/>
                  <w:vAlign w:val="center"/>
                </w:tcPr>
                <w:p>
                  <w:pPr>
                    <w:jc w:val="center"/>
                    <w:rPr>
                      <w:szCs w:val="21"/>
                    </w:rPr>
                  </w:pPr>
                  <w:r>
                    <w:rPr>
                      <w:szCs w:val="21"/>
                    </w:rPr>
                    <w:t>砖混</w:t>
                  </w:r>
                </w:p>
              </w:tc>
              <w:tc>
                <w:tcPr>
                  <w:tcW w:w="508" w:type="pct"/>
                  <w:vAlign w:val="center"/>
                </w:tcPr>
                <w:p>
                  <w:pPr>
                    <w:jc w:val="center"/>
                    <w:rPr>
                      <w:szCs w:val="21"/>
                    </w:rPr>
                  </w:pPr>
                  <w:r>
                    <w:rPr>
                      <w:rFonts w:hint="eastAsia"/>
                      <w:szCs w:val="21"/>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vAlign w:val="center"/>
                </w:tcPr>
                <w:p>
                  <w:pPr>
                    <w:jc w:val="center"/>
                    <w:rPr>
                      <w:szCs w:val="21"/>
                    </w:rPr>
                  </w:pPr>
                  <w:r>
                    <w:rPr>
                      <w:rFonts w:hint="eastAsia"/>
                      <w:szCs w:val="21"/>
                    </w:rPr>
                    <w:t>4</w:t>
                  </w:r>
                </w:p>
              </w:tc>
              <w:tc>
                <w:tcPr>
                  <w:tcW w:w="1210" w:type="pct"/>
                  <w:gridSpan w:val="2"/>
                  <w:vAlign w:val="center"/>
                </w:tcPr>
                <w:p>
                  <w:pPr>
                    <w:jc w:val="center"/>
                    <w:rPr>
                      <w:szCs w:val="21"/>
                    </w:rPr>
                  </w:pPr>
                  <w:r>
                    <w:rPr>
                      <w:szCs w:val="21"/>
                    </w:rPr>
                    <w:t>厂内道路及其他</w:t>
                  </w:r>
                </w:p>
              </w:tc>
              <w:tc>
                <w:tcPr>
                  <w:tcW w:w="1161" w:type="pct"/>
                  <w:gridSpan w:val="2"/>
                  <w:vAlign w:val="center"/>
                </w:tcPr>
                <w:p>
                  <w:pPr>
                    <w:jc w:val="center"/>
                    <w:rPr>
                      <w:szCs w:val="21"/>
                    </w:rPr>
                  </w:pPr>
                  <w:r>
                    <w:rPr>
                      <w:rFonts w:hint="eastAsia"/>
                      <w:szCs w:val="21"/>
                    </w:rPr>
                    <w:t>5324m</w:t>
                  </w:r>
                  <w:r>
                    <w:rPr>
                      <w:rFonts w:hint="eastAsia"/>
                      <w:szCs w:val="21"/>
                      <w:vertAlign w:val="superscript"/>
                    </w:rPr>
                    <w:t>2</w:t>
                  </w:r>
                </w:p>
              </w:tc>
              <w:tc>
                <w:tcPr>
                  <w:tcW w:w="1161" w:type="pct"/>
                  <w:gridSpan w:val="2"/>
                  <w:vAlign w:val="center"/>
                </w:tcPr>
                <w:p>
                  <w:pPr>
                    <w:jc w:val="center"/>
                    <w:rPr>
                      <w:szCs w:val="21"/>
                    </w:rPr>
                  </w:pPr>
                  <w:r>
                    <w:rPr>
                      <w:rFonts w:hint="eastAsia"/>
                      <w:szCs w:val="21"/>
                    </w:rPr>
                    <w:t>5324m</w:t>
                  </w:r>
                  <w:r>
                    <w:rPr>
                      <w:rFonts w:hint="eastAsia"/>
                      <w:szCs w:val="21"/>
                      <w:vertAlign w:val="superscript"/>
                    </w:rPr>
                    <w:t>2</w:t>
                  </w:r>
                </w:p>
              </w:tc>
              <w:tc>
                <w:tcPr>
                  <w:tcW w:w="647" w:type="pct"/>
                  <w:vAlign w:val="center"/>
                </w:tcPr>
                <w:p>
                  <w:pPr>
                    <w:jc w:val="center"/>
                    <w:rPr>
                      <w:szCs w:val="21"/>
                    </w:rPr>
                  </w:pPr>
                  <w:r>
                    <w:rPr>
                      <w:szCs w:val="21"/>
                    </w:rPr>
                    <w:t>--</w:t>
                  </w:r>
                </w:p>
              </w:tc>
              <w:tc>
                <w:tcPr>
                  <w:tcW w:w="508"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0" w:type="pct"/>
                  <w:gridSpan w:val="3"/>
                  <w:vAlign w:val="center"/>
                </w:tcPr>
                <w:p>
                  <w:pPr>
                    <w:jc w:val="center"/>
                    <w:rPr>
                      <w:b/>
                      <w:szCs w:val="21"/>
                    </w:rPr>
                  </w:pPr>
                  <w:r>
                    <w:rPr>
                      <w:b/>
                      <w:szCs w:val="21"/>
                    </w:rPr>
                    <w:t>合计</w:t>
                  </w:r>
                </w:p>
              </w:tc>
              <w:tc>
                <w:tcPr>
                  <w:tcW w:w="1161" w:type="pct"/>
                  <w:gridSpan w:val="2"/>
                  <w:vAlign w:val="center"/>
                </w:tcPr>
                <w:p>
                  <w:pPr>
                    <w:widowControl/>
                    <w:jc w:val="center"/>
                    <w:rPr>
                      <w:b/>
                      <w:szCs w:val="21"/>
                    </w:rPr>
                  </w:pPr>
                  <w:r>
                    <w:rPr>
                      <w:rFonts w:hint="eastAsia"/>
                      <w:b/>
                      <w:szCs w:val="21"/>
                    </w:rPr>
                    <w:t>17600</w:t>
                  </w:r>
                  <w:r>
                    <w:rPr>
                      <w:rFonts w:hint="eastAsia"/>
                      <w:szCs w:val="21"/>
                    </w:rPr>
                    <w:t>m</w:t>
                  </w:r>
                  <w:r>
                    <w:rPr>
                      <w:rFonts w:hint="eastAsia"/>
                      <w:szCs w:val="21"/>
                      <w:vertAlign w:val="superscript"/>
                    </w:rPr>
                    <w:t>2</w:t>
                  </w:r>
                </w:p>
              </w:tc>
              <w:tc>
                <w:tcPr>
                  <w:tcW w:w="1161" w:type="pct"/>
                  <w:gridSpan w:val="2"/>
                  <w:vAlign w:val="center"/>
                </w:tcPr>
                <w:p>
                  <w:pPr>
                    <w:widowControl/>
                    <w:jc w:val="center"/>
                    <w:rPr>
                      <w:b/>
                      <w:kern w:val="0"/>
                      <w:szCs w:val="21"/>
                    </w:rPr>
                  </w:pPr>
                  <w:r>
                    <w:rPr>
                      <w:rFonts w:hint="eastAsia"/>
                      <w:b/>
                      <w:kern w:val="0"/>
                      <w:szCs w:val="21"/>
                    </w:rPr>
                    <w:t>28000</w:t>
                  </w:r>
                  <w:r>
                    <w:rPr>
                      <w:rFonts w:hint="eastAsia"/>
                      <w:szCs w:val="21"/>
                    </w:rPr>
                    <w:t>m</w:t>
                  </w:r>
                  <w:r>
                    <w:rPr>
                      <w:rFonts w:hint="eastAsia"/>
                      <w:szCs w:val="21"/>
                      <w:vertAlign w:val="superscript"/>
                    </w:rPr>
                    <w:t>2</w:t>
                  </w:r>
                </w:p>
              </w:tc>
              <w:tc>
                <w:tcPr>
                  <w:tcW w:w="647" w:type="pct"/>
                  <w:vAlign w:val="center"/>
                </w:tcPr>
                <w:p>
                  <w:pPr>
                    <w:jc w:val="center"/>
                    <w:rPr>
                      <w:b/>
                      <w:szCs w:val="21"/>
                    </w:rPr>
                  </w:pPr>
                  <w:r>
                    <w:rPr>
                      <w:b/>
                      <w:szCs w:val="21"/>
                    </w:rPr>
                    <w:t>--</w:t>
                  </w:r>
                </w:p>
              </w:tc>
              <w:tc>
                <w:tcPr>
                  <w:tcW w:w="508" w:type="pct"/>
                  <w:vAlign w:val="center"/>
                </w:tcPr>
                <w:p>
                  <w:pPr>
                    <w:jc w:val="center"/>
                    <w:rPr>
                      <w:b/>
                      <w:szCs w:val="21"/>
                    </w:rPr>
                  </w:pPr>
                  <w:r>
                    <w:rPr>
                      <w:b/>
                      <w:szCs w:val="21"/>
                    </w:rPr>
                    <w:t>--</w:t>
                  </w:r>
                </w:p>
              </w:tc>
            </w:tr>
          </w:tbl>
          <w:p>
            <w:pPr>
              <w:adjustRightInd w:val="0"/>
              <w:snapToGrid w:val="0"/>
              <w:spacing w:line="360" w:lineRule="auto"/>
              <w:ind w:firstLine="482" w:firstLineChars="200"/>
              <w:rPr>
                <w:b/>
                <w:sz w:val="24"/>
                <w:szCs w:val="21"/>
                <w:highlight w:val="yellow"/>
              </w:rPr>
            </w:pPr>
            <w:r>
              <w:rPr>
                <w:b/>
                <w:sz w:val="24"/>
                <w:szCs w:val="21"/>
              </w:rPr>
              <w:t>4、主要产品及产能</w:t>
            </w:r>
          </w:p>
          <w:p>
            <w:pPr>
              <w:adjustRightInd w:val="0"/>
              <w:snapToGrid w:val="0"/>
              <w:spacing w:line="360" w:lineRule="auto"/>
              <w:ind w:firstLine="480" w:firstLineChars="200"/>
              <w:rPr>
                <w:bCs/>
                <w:sz w:val="24"/>
                <w:szCs w:val="21"/>
              </w:rPr>
            </w:pPr>
            <w:r>
              <w:rPr>
                <w:bCs/>
                <w:sz w:val="24"/>
                <w:szCs w:val="21"/>
              </w:rPr>
              <w:t>项目建成投产后年产</w:t>
            </w:r>
            <w:r>
              <w:rPr>
                <w:rFonts w:hint="eastAsia"/>
                <w:bCs/>
                <w:sz w:val="24"/>
                <w:szCs w:val="21"/>
              </w:rPr>
              <w:t>配电箱（柜）20000台</w:t>
            </w:r>
            <w:r>
              <w:rPr>
                <w:bCs/>
                <w:sz w:val="24"/>
                <w:szCs w:val="21"/>
              </w:rPr>
              <w:t>。项目产品一览表见下表1</w:t>
            </w:r>
            <w:r>
              <w:rPr>
                <w:rFonts w:hint="eastAsia"/>
                <w:bCs/>
                <w:sz w:val="24"/>
                <w:szCs w:val="21"/>
              </w:rPr>
              <w:t>6</w:t>
            </w:r>
            <w:r>
              <w:rPr>
                <w:bCs/>
                <w:sz w:val="24"/>
                <w:szCs w:val="21"/>
              </w:rPr>
              <w:t>。</w:t>
            </w:r>
          </w:p>
          <w:p>
            <w:pPr>
              <w:pStyle w:val="2"/>
              <w:spacing w:line="240" w:lineRule="auto"/>
              <w:jc w:val="center"/>
              <w:rPr>
                <w:b/>
                <w:bCs/>
              </w:rPr>
            </w:pPr>
            <w:r>
              <w:rPr>
                <w:b/>
                <w:bCs/>
              </w:rPr>
              <w:t>表1</w:t>
            </w:r>
            <w:r>
              <w:rPr>
                <w:rFonts w:hint="eastAsia"/>
                <w:b/>
                <w:bCs/>
              </w:rPr>
              <w:t>6</w:t>
            </w:r>
            <w:r>
              <w:rPr>
                <w:b/>
                <w:bCs/>
              </w:rPr>
              <w:t xml:space="preserve">  项目产品一览表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274"/>
              <w:gridCol w:w="1542"/>
              <w:gridCol w:w="734"/>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3" w:type="pct"/>
                  <w:vAlign w:val="center"/>
                </w:tcPr>
                <w:p>
                  <w:pPr>
                    <w:adjustRightInd w:val="0"/>
                    <w:snapToGrid w:val="0"/>
                    <w:jc w:val="center"/>
                    <w:rPr>
                      <w:b/>
                      <w:szCs w:val="21"/>
                    </w:rPr>
                  </w:pPr>
                  <w:r>
                    <w:rPr>
                      <w:b/>
                      <w:szCs w:val="21"/>
                    </w:rPr>
                    <w:t>序号</w:t>
                  </w:r>
                </w:p>
              </w:tc>
              <w:tc>
                <w:tcPr>
                  <w:tcW w:w="760" w:type="pct"/>
                  <w:vAlign w:val="center"/>
                </w:tcPr>
                <w:p>
                  <w:pPr>
                    <w:adjustRightInd w:val="0"/>
                    <w:snapToGrid w:val="0"/>
                    <w:jc w:val="center"/>
                    <w:rPr>
                      <w:b/>
                      <w:szCs w:val="21"/>
                    </w:rPr>
                  </w:pPr>
                  <w:r>
                    <w:rPr>
                      <w:b/>
                      <w:szCs w:val="21"/>
                    </w:rPr>
                    <w:t>产品名称</w:t>
                  </w:r>
                </w:p>
              </w:tc>
              <w:tc>
                <w:tcPr>
                  <w:tcW w:w="920" w:type="pct"/>
                  <w:vAlign w:val="center"/>
                </w:tcPr>
                <w:p>
                  <w:pPr>
                    <w:adjustRightInd w:val="0"/>
                    <w:snapToGrid w:val="0"/>
                    <w:jc w:val="center"/>
                    <w:rPr>
                      <w:b/>
                      <w:szCs w:val="21"/>
                    </w:rPr>
                  </w:pPr>
                  <w:r>
                    <w:rPr>
                      <w:b/>
                      <w:szCs w:val="21"/>
                    </w:rPr>
                    <w:t>产量</w:t>
                  </w:r>
                </w:p>
              </w:tc>
              <w:tc>
                <w:tcPr>
                  <w:tcW w:w="438" w:type="pct"/>
                  <w:vAlign w:val="center"/>
                </w:tcPr>
                <w:p>
                  <w:pPr>
                    <w:adjustRightInd w:val="0"/>
                    <w:snapToGrid w:val="0"/>
                    <w:jc w:val="center"/>
                    <w:rPr>
                      <w:b/>
                      <w:szCs w:val="21"/>
                    </w:rPr>
                  </w:pPr>
                  <w:r>
                    <w:rPr>
                      <w:b/>
                      <w:szCs w:val="21"/>
                    </w:rPr>
                    <w:t>规格</w:t>
                  </w:r>
                </w:p>
              </w:tc>
              <w:tc>
                <w:tcPr>
                  <w:tcW w:w="2517" w:type="pct"/>
                  <w:vAlign w:val="center"/>
                </w:tcPr>
                <w:p>
                  <w:pPr>
                    <w:adjustRightInd w:val="0"/>
                    <w:snapToGrid w:val="0"/>
                    <w:jc w:val="center"/>
                    <w:rPr>
                      <w:b/>
                      <w:szCs w:val="21"/>
                    </w:rPr>
                  </w:pPr>
                  <w:r>
                    <w:rPr>
                      <w:rFonts w:hint="eastAsia"/>
                      <w:b/>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 w:type="pct"/>
                  <w:vAlign w:val="center"/>
                </w:tcPr>
                <w:p>
                  <w:pPr>
                    <w:adjustRightInd w:val="0"/>
                    <w:snapToGrid w:val="0"/>
                    <w:jc w:val="center"/>
                    <w:rPr>
                      <w:bCs/>
                      <w:szCs w:val="21"/>
                    </w:rPr>
                  </w:pPr>
                  <w:r>
                    <w:rPr>
                      <w:bCs/>
                      <w:szCs w:val="21"/>
                    </w:rPr>
                    <w:t>1</w:t>
                  </w:r>
                </w:p>
              </w:tc>
              <w:tc>
                <w:tcPr>
                  <w:tcW w:w="760" w:type="pct"/>
                  <w:vMerge w:val="restart"/>
                  <w:vAlign w:val="center"/>
                </w:tcPr>
                <w:p>
                  <w:pPr>
                    <w:adjustRightInd w:val="0"/>
                    <w:snapToGrid w:val="0"/>
                    <w:jc w:val="center"/>
                    <w:rPr>
                      <w:bCs/>
                      <w:szCs w:val="21"/>
                    </w:rPr>
                  </w:pPr>
                  <w:r>
                    <w:rPr>
                      <w:rFonts w:hint="eastAsia"/>
                      <w:bCs/>
                      <w:szCs w:val="21"/>
                    </w:rPr>
                    <w:t>配电箱（柜）</w:t>
                  </w:r>
                </w:p>
              </w:tc>
              <w:tc>
                <w:tcPr>
                  <w:tcW w:w="920" w:type="pct"/>
                  <w:vAlign w:val="center"/>
                </w:tcPr>
                <w:p>
                  <w:pPr>
                    <w:adjustRightInd w:val="0"/>
                    <w:snapToGrid w:val="0"/>
                    <w:jc w:val="center"/>
                    <w:rPr>
                      <w:bCs/>
                      <w:szCs w:val="21"/>
                    </w:rPr>
                  </w:pPr>
                  <w:r>
                    <w:rPr>
                      <w:rFonts w:hint="eastAsia"/>
                      <w:bCs/>
                      <w:szCs w:val="21"/>
                    </w:rPr>
                    <w:t>10000</w:t>
                  </w:r>
                  <w:r>
                    <w:rPr>
                      <w:bCs/>
                      <w:szCs w:val="21"/>
                    </w:rPr>
                    <w:t>（</w:t>
                  </w:r>
                  <w:r>
                    <w:rPr>
                      <w:rFonts w:hint="eastAsia"/>
                      <w:bCs/>
                      <w:szCs w:val="21"/>
                    </w:rPr>
                    <w:t>台</w:t>
                  </w:r>
                  <w:r>
                    <w:rPr>
                      <w:bCs/>
                      <w:szCs w:val="21"/>
                    </w:rPr>
                    <w:t>）/a</w:t>
                  </w:r>
                </w:p>
              </w:tc>
              <w:tc>
                <w:tcPr>
                  <w:tcW w:w="438" w:type="pct"/>
                  <w:vAlign w:val="center"/>
                </w:tcPr>
                <w:p>
                  <w:pPr>
                    <w:adjustRightInd w:val="0"/>
                    <w:snapToGrid w:val="0"/>
                    <w:jc w:val="center"/>
                    <w:rPr>
                      <w:bCs/>
                      <w:szCs w:val="21"/>
                    </w:rPr>
                  </w:pPr>
                  <w:r>
                    <w:rPr>
                      <w:rFonts w:hint="eastAsia"/>
                      <w:bCs/>
                      <w:szCs w:val="21"/>
                    </w:rPr>
                    <w:t>CS</w:t>
                  </w:r>
                </w:p>
              </w:tc>
              <w:tc>
                <w:tcPr>
                  <w:tcW w:w="2517" w:type="pct"/>
                  <w:vAlign w:val="center"/>
                </w:tcPr>
                <w:p>
                  <w:pPr>
                    <w:adjustRightInd w:val="0"/>
                    <w:snapToGrid w:val="0"/>
                    <w:jc w:val="center"/>
                    <w:rPr>
                      <w:bCs/>
                      <w:szCs w:val="21"/>
                    </w:rPr>
                  </w:pPr>
                  <w:r>
                    <w:drawing>
                      <wp:inline distT="0" distB="0" distL="0" distR="0">
                        <wp:extent cx="2428875" cy="13716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8875" cy="1371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 w:type="pct"/>
                  <w:vAlign w:val="center"/>
                </w:tcPr>
                <w:p>
                  <w:pPr>
                    <w:adjustRightInd w:val="0"/>
                    <w:snapToGrid w:val="0"/>
                    <w:jc w:val="center"/>
                    <w:rPr>
                      <w:bCs/>
                      <w:color w:val="7030A0"/>
                      <w:szCs w:val="21"/>
                    </w:rPr>
                  </w:pPr>
                  <w:r>
                    <w:rPr>
                      <w:rFonts w:hint="eastAsia"/>
                      <w:bCs/>
                      <w:color w:val="7030A0"/>
                      <w:szCs w:val="21"/>
                    </w:rPr>
                    <w:t>2</w:t>
                  </w:r>
                </w:p>
              </w:tc>
              <w:tc>
                <w:tcPr>
                  <w:tcW w:w="760" w:type="pct"/>
                  <w:vMerge w:val="continue"/>
                  <w:vAlign w:val="center"/>
                </w:tcPr>
                <w:p>
                  <w:pPr>
                    <w:adjustRightInd w:val="0"/>
                    <w:snapToGrid w:val="0"/>
                    <w:jc w:val="center"/>
                    <w:rPr>
                      <w:bCs/>
                      <w:color w:val="7030A0"/>
                      <w:szCs w:val="21"/>
                    </w:rPr>
                  </w:pPr>
                </w:p>
              </w:tc>
              <w:tc>
                <w:tcPr>
                  <w:tcW w:w="920" w:type="pct"/>
                  <w:vAlign w:val="center"/>
                </w:tcPr>
                <w:p>
                  <w:pPr>
                    <w:adjustRightInd w:val="0"/>
                    <w:snapToGrid w:val="0"/>
                    <w:jc w:val="center"/>
                    <w:rPr>
                      <w:bCs/>
                      <w:szCs w:val="21"/>
                    </w:rPr>
                  </w:pPr>
                  <w:r>
                    <w:rPr>
                      <w:rFonts w:hint="eastAsia"/>
                      <w:bCs/>
                      <w:szCs w:val="21"/>
                    </w:rPr>
                    <w:t>10000</w:t>
                  </w:r>
                  <w:r>
                    <w:rPr>
                      <w:bCs/>
                      <w:szCs w:val="21"/>
                    </w:rPr>
                    <w:t>（</w:t>
                  </w:r>
                  <w:r>
                    <w:rPr>
                      <w:rFonts w:hint="eastAsia"/>
                      <w:bCs/>
                      <w:szCs w:val="21"/>
                    </w:rPr>
                    <w:t>台</w:t>
                  </w:r>
                  <w:r>
                    <w:rPr>
                      <w:bCs/>
                      <w:szCs w:val="21"/>
                    </w:rPr>
                    <w:t>）/a</w:t>
                  </w:r>
                </w:p>
              </w:tc>
              <w:tc>
                <w:tcPr>
                  <w:tcW w:w="438" w:type="pct"/>
                  <w:vAlign w:val="center"/>
                </w:tcPr>
                <w:p>
                  <w:pPr>
                    <w:adjustRightInd w:val="0"/>
                    <w:snapToGrid w:val="0"/>
                    <w:jc w:val="center"/>
                    <w:rPr>
                      <w:bCs/>
                      <w:szCs w:val="21"/>
                    </w:rPr>
                  </w:pPr>
                  <w:r>
                    <w:rPr>
                      <w:rFonts w:hint="eastAsia"/>
                      <w:bCs/>
                      <w:szCs w:val="21"/>
                    </w:rPr>
                    <w:t>xl-21</w:t>
                  </w:r>
                </w:p>
              </w:tc>
              <w:tc>
                <w:tcPr>
                  <w:tcW w:w="2517" w:type="pct"/>
                  <w:vAlign w:val="center"/>
                </w:tcPr>
                <w:p>
                  <w:pPr>
                    <w:adjustRightInd w:val="0"/>
                    <w:snapToGrid w:val="0"/>
                    <w:jc w:val="center"/>
                  </w:pPr>
                  <w:r>
                    <w:drawing>
                      <wp:inline distT="0" distB="0" distL="0" distR="0">
                        <wp:extent cx="1162050" cy="1743075"/>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2050" cy="1743075"/>
                                </a:xfrm>
                                <a:prstGeom prst="rect">
                                  <a:avLst/>
                                </a:prstGeom>
                                <a:noFill/>
                                <a:ln>
                                  <a:noFill/>
                                </a:ln>
                                <a:effectLst/>
                              </pic:spPr>
                            </pic:pic>
                          </a:graphicData>
                        </a:graphic>
                      </wp:inline>
                    </w:drawing>
                  </w:r>
                </w:p>
              </w:tc>
            </w:tr>
          </w:tbl>
          <w:p>
            <w:pPr>
              <w:spacing w:line="360" w:lineRule="auto"/>
              <w:ind w:firstLine="482" w:firstLineChars="200"/>
              <w:rPr>
                <w:b/>
                <w:bCs/>
                <w:sz w:val="24"/>
              </w:rPr>
            </w:pPr>
            <w:r>
              <w:rPr>
                <w:b/>
                <w:bCs/>
                <w:sz w:val="24"/>
              </w:rPr>
              <w:t>5、主要生产单元和主要工艺</w:t>
            </w:r>
          </w:p>
          <w:p>
            <w:pPr>
              <w:spacing w:line="360" w:lineRule="auto"/>
              <w:ind w:firstLine="480" w:firstLineChars="200"/>
              <w:rPr>
                <w:sz w:val="24"/>
              </w:rPr>
            </w:pPr>
            <w:r>
              <w:rPr>
                <w:sz w:val="24"/>
              </w:rPr>
              <w:t>①主要生产单元</w:t>
            </w:r>
          </w:p>
          <w:p>
            <w:pPr>
              <w:adjustRightInd w:val="0"/>
              <w:snapToGrid w:val="0"/>
              <w:spacing w:line="360" w:lineRule="auto"/>
              <w:ind w:firstLine="480" w:firstLineChars="200"/>
              <w:rPr>
                <w:bCs/>
                <w:sz w:val="24"/>
                <w:szCs w:val="21"/>
              </w:rPr>
            </w:pPr>
            <w:r>
              <w:rPr>
                <w:bCs/>
                <w:sz w:val="24"/>
                <w:szCs w:val="21"/>
              </w:rPr>
              <w:t>项目主要生产单元为下料切割、机械加工、焊接、</w:t>
            </w:r>
            <w:r>
              <w:rPr>
                <w:rFonts w:hint="eastAsia"/>
                <w:bCs/>
                <w:sz w:val="24"/>
                <w:szCs w:val="21"/>
              </w:rPr>
              <w:t>喷涂固化</w:t>
            </w:r>
            <w:r>
              <w:rPr>
                <w:bCs/>
                <w:sz w:val="24"/>
                <w:szCs w:val="21"/>
              </w:rPr>
              <w:t>、组装、</w:t>
            </w:r>
            <w:r>
              <w:rPr>
                <w:rFonts w:hint="eastAsia"/>
                <w:bCs/>
                <w:sz w:val="24"/>
                <w:szCs w:val="21"/>
              </w:rPr>
              <w:t>打包</w:t>
            </w:r>
            <w:r>
              <w:rPr>
                <w:bCs/>
                <w:sz w:val="24"/>
                <w:szCs w:val="21"/>
              </w:rPr>
              <w:t>、成品。</w:t>
            </w:r>
          </w:p>
          <w:p>
            <w:pPr>
              <w:spacing w:line="360" w:lineRule="auto"/>
              <w:ind w:firstLine="480" w:firstLineChars="200"/>
              <w:rPr>
                <w:sz w:val="24"/>
              </w:rPr>
            </w:pPr>
            <w:r>
              <w:rPr>
                <w:sz w:val="24"/>
              </w:rPr>
              <w:t>②主要工艺</w:t>
            </w:r>
          </w:p>
          <w:p>
            <w:pPr>
              <w:adjustRightInd w:val="0"/>
              <w:snapToGrid w:val="0"/>
              <w:spacing w:line="360" w:lineRule="auto"/>
              <w:ind w:firstLine="480" w:firstLineChars="200"/>
              <w:rPr>
                <w:bCs/>
                <w:sz w:val="24"/>
                <w:szCs w:val="21"/>
              </w:rPr>
            </w:pPr>
            <w:r>
              <w:rPr>
                <w:bCs/>
                <w:sz w:val="24"/>
                <w:szCs w:val="21"/>
              </w:rPr>
              <w:t>原料（</w:t>
            </w:r>
            <w:r>
              <w:rPr>
                <w:rFonts w:hint="eastAsia"/>
                <w:bCs/>
                <w:sz w:val="24"/>
                <w:szCs w:val="21"/>
              </w:rPr>
              <w:t>钢板</w:t>
            </w:r>
            <w:r>
              <w:rPr>
                <w:bCs/>
                <w:sz w:val="24"/>
                <w:szCs w:val="21"/>
              </w:rPr>
              <w:t>等）→下料切割→机械加工→焊接→</w:t>
            </w:r>
            <w:r>
              <w:rPr>
                <w:rFonts w:hint="eastAsia"/>
                <w:bCs/>
                <w:sz w:val="24"/>
                <w:szCs w:val="21"/>
              </w:rPr>
              <w:t>喷涂固化</w:t>
            </w:r>
            <w:r>
              <w:rPr>
                <w:bCs/>
                <w:sz w:val="24"/>
                <w:szCs w:val="21"/>
              </w:rPr>
              <w:t>→组装→</w:t>
            </w:r>
            <w:r>
              <w:rPr>
                <w:rFonts w:hint="eastAsia"/>
                <w:bCs/>
                <w:sz w:val="24"/>
                <w:szCs w:val="21"/>
              </w:rPr>
              <w:t xml:space="preserve">打包  </w:t>
            </w:r>
            <w:r>
              <w:rPr>
                <w:bCs/>
                <w:sz w:val="24"/>
                <w:szCs w:val="21"/>
              </w:rPr>
              <w:t>→成品。</w:t>
            </w:r>
          </w:p>
          <w:p>
            <w:pPr>
              <w:spacing w:line="360" w:lineRule="auto"/>
              <w:ind w:firstLine="482" w:firstLineChars="200"/>
              <w:rPr>
                <w:b/>
                <w:bCs/>
                <w:sz w:val="24"/>
              </w:rPr>
            </w:pPr>
            <w:r>
              <w:rPr>
                <w:b/>
                <w:bCs/>
                <w:sz w:val="24"/>
              </w:rPr>
              <w:t>6、主要设备</w:t>
            </w:r>
          </w:p>
          <w:p>
            <w:pPr>
              <w:spacing w:line="360" w:lineRule="auto"/>
              <w:ind w:firstLine="480" w:firstLineChars="200"/>
              <w:rPr>
                <w:sz w:val="24"/>
              </w:rPr>
            </w:pPr>
            <w:r>
              <w:rPr>
                <w:sz w:val="24"/>
              </w:rPr>
              <w:t>本项目主要设备见表1</w:t>
            </w:r>
            <w:r>
              <w:rPr>
                <w:rFonts w:hint="eastAsia"/>
                <w:sz w:val="24"/>
              </w:rPr>
              <w:t>7</w:t>
            </w:r>
            <w:r>
              <w:rPr>
                <w:sz w:val="24"/>
              </w:rPr>
              <w:t>。</w:t>
            </w:r>
          </w:p>
          <w:p>
            <w:pPr>
              <w:jc w:val="center"/>
              <w:rPr>
                <w:b/>
                <w:bCs/>
                <w:sz w:val="24"/>
              </w:rPr>
            </w:pPr>
            <w:r>
              <w:rPr>
                <w:b/>
                <w:bCs/>
                <w:sz w:val="24"/>
              </w:rPr>
              <w:t>表1</w:t>
            </w:r>
            <w:r>
              <w:rPr>
                <w:rFonts w:hint="eastAsia"/>
                <w:b/>
                <w:bCs/>
                <w:sz w:val="24"/>
              </w:rPr>
              <w:t>7</w:t>
            </w:r>
            <w:r>
              <w:rPr>
                <w:b/>
                <w:bCs/>
                <w:sz w:val="24"/>
              </w:rPr>
              <w:t xml:space="preserve">  项目主要设备一览表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354"/>
              <w:gridCol w:w="1129"/>
              <w:gridCol w:w="749"/>
              <w:gridCol w:w="999"/>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adjustRightInd w:val="0"/>
                    <w:snapToGrid w:val="0"/>
                    <w:jc w:val="center"/>
                    <w:rPr>
                      <w:b/>
                      <w:bCs/>
                      <w:szCs w:val="21"/>
                    </w:rPr>
                  </w:pPr>
                  <w:r>
                    <w:rPr>
                      <w:b/>
                      <w:bCs/>
                      <w:szCs w:val="21"/>
                    </w:rPr>
                    <w:t>序号</w:t>
                  </w:r>
                </w:p>
              </w:tc>
              <w:tc>
                <w:tcPr>
                  <w:tcW w:w="1405" w:type="pct"/>
                  <w:vAlign w:val="center"/>
                </w:tcPr>
                <w:p>
                  <w:pPr>
                    <w:adjustRightInd w:val="0"/>
                    <w:snapToGrid w:val="0"/>
                    <w:jc w:val="center"/>
                    <w:rPr>
                      <w:b/>
                      <w:bCs/>
                      <w:szCs w:val="21"/>
                    </w:rPr>
                  </w:pPr>
                  <w:r>
                    <w:rPr>
                      <w:b/>
                      <w:bCs/>
                      <w:szCs w:val="21"/>
                    </w:rPr>
                    <w:t>设备</w:t>
                  </w:r>
                </w:p>
              </w:tc>
              <w:tc>
                <w:tcPr>
                  <w:tcW w:w="673" w:type="pct"/>
                  <w:vAlign w:val="center"/>
                </w:tcPr>
                <w:p>
                  <w:pPr>
                    <w:adjustRightInd w:val="0"/>
                    <w:snapToGrid w:val="0"/>
                    <w:jc w:val="center"/>
                    <w:rPr>
                      <w:b/>
                      <w:bCs/>
                      <w:szCs w:val="21"/>
                    </w:rPr>
                  </w:pPr>
                  <w:r>
                    <w:rPr>
                      <w:b/>
                      <w:bCs/>
                      <w:szCs w:val="21"/>
                    </w:rPr>
                    <w:t>设备型号</w:t>
                  </w:r>
                </w:p>
              </w:tc>
              <w:tc>
                <w:tcPr>
                  <w:tcW w:w="447" w:type="pct"/>
                  <w:vAlign w:val="center"/>
                </w:tcPr>
                <w:p>
                  <w:pPr>
                    <w:adjustRightInd w:val="0"/>
                    <w:snapToGrid w:val="0"/>
                    <w:jc w:val="center"/>
                    <w:rPr>
                      <w:b/>
                      <w:bCs/>
                      <w:szCs w:val="21"/>
                    </w:rPr>
                  </w:pPr>
                  <w:r>
                    <w:rPr>
                      <w:b/>
                      <w:bCs/>
                      <w:szCs w:val="21"/>
                    </w:rPr>
                    <w:t>数量</w:t>
                  </w:r>
                </w:p>
              </w:tc>
              <w:tc>
                <w:tcPr>
                  <w:tcW w:w="596" w:type="pct"/>
                  <w:vAlign w:val="center"/>
                </w:tcPr>
                <w:p>
                  <w:pPr>
                    <w:adjustRightInd w:val="0"/>
                    <w:snapToGrid w:val="0"/>
                    <w:jc w:val="center"/>
                    <w:rPr>
                      <w:b/>
                      <w:bCs/>
                      <w:szCs w:val="21"/>
                    </w:rPr>
                  </w:pPr>
                  <w:r>
                    <w:rPr>
                      <w:b/>
                      <w:bCs/>
                      <w:szCs w:val="21"/>
                    </w:rPr>
                    <w:t>单位</w:t>
                  </w:r>
                </w:p>
              </w:tc>
              <w:tc>
                <w:tcPr>
                  <w:tcW w:w="1399" w:type="pct"/>
                  <w:vAlign w:val="center"/>
                </w:tcPr>
                <w:p>
                  <w:pPr>
                    <w:adjustRightInd w:val="0"/>
                    <w:snapToGrid w:val="0"/>
                    <w:jc w:val="center"/>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1</w:t>
                  </w:r>
                </w:p>
              </w:tc>
              <w:tc>
                <w:tcPr>
                  <w:tcW w:w="1405" w:type="pct"/>
                  <w:vAlign w:val="center"/>
                </w:tcPr>
                <w:p>
                  <w:pPr>
                    <w:widowControl/>
                    <w:jc w:val="center"/>
                    <w:rPr>
                      <w:szCs w:val="21"/>
                      <w:u w:color="000000"/>
                    </w:rPr>
                  </w:pPr>
                  <w:r>
                    <w:rPr>
                      <w:rFonts w:hint="eastAsia"/>
                      <w:szCs w:val="21"/>
                    </w:rPr>
                    <w:t>新型生产配电箱（柜）流水线</w:t>
                  </w:r>
                </w:p>
              </w:tc>
              <w:tc>
                <w:tcPr>
                  <w:tcW w:w="673" w:type="pct"/>
                  <w:vAlign w:val="center"/>
                </w:tcPr>
                <w:p>
                  <w:pPr>
                    <w:adjustRightInd w:val="0"/>
                    <w:snapToGrid w:val="0"/>
                    <w:jc w:val="center"/>
                    <w:rPr>
                      <w:szCs w:val="21"/>
                      <w:u w:color="000000"/>
                    </w:rPr>
                  </w:pPr>
                  <w:r>
                    <w:rPr>
                      <w:rFonts w:hint="eastAsia"/>
                      <w:szCs w:val="21"/>
                      <w:u w:color="000000"/>
                    </w:rPr>
                    <w:t>--</w:t>
                  </w:r>
                </w:p>
              </w:tc>
              <w:tc>
                <w:tcPr>
                  <w:tcW w:w="447" w:type="pct"/>
                  <w:vAlign w:val="center"/>
                </w:tcPr>
                <w:p>
                  <w:pPr>
                    <w:adjustRightInd w:val="0"/>
                    <w:snapToGrid w:val="0"/>
                    <w:jc w:val="center"/>
                    <w:rPr>
                      <w:szCs w:val="21"/>
                    </w:rPr>
                  </w:pPr>
                  <w:r>
                    <w:rPr>
                      <w:rFonts w:hint="eastAsia"/>
                      <w:szCs w:val="21"/>
                    </w:rPr>
                    <w:t>10</w:t>
                  </w:r>
                </w:p>
              </w:tc>
              <w:tc>
                <w:tcPr>
                  <w:tcW w:w="596" w:type="pct"/>
                  <w:vAlign w:val="center"/>
                </w:tcPr>
                <w:p>
                  <w:pPr>
                    <w:widowControl/>
                    <w:adjustRightInd w:val="0"/>
                    <w:snapToGrid w:val="0"/>
                    <w:jc w:val="center"/>
                    <w:rPr>
                      <w:szCs w:val="21"/>
                    </w:rPr>
                  </w:pPr>
                  <w:r>
                    <w:rPr>
                      <w:szCs w:val="21"/>
                    </w:rPr>
                    <w:t>套</w:t>
                  </w:r>
                </w:p>
              </w:tc>
              <w:tc>
                <w:tcPr>
                  <w:tcW w:w="1399" w:type="pct"/>
                  <w:vAlign w:val="center"/>
                </w:tcPr>
                <w:p>
                  <w:pPr>
                    <w:widowControl/>
                    <w:adjustRightInd w:val="0"/>
                    <w:snapToGrid w:val="0"/>
                    <w:jc w:val="center"/>
                    <w:rPr>
                      <w:szCs w:val="21"/>
                    </w:rPr>
                  </w:pPr>
                  <w:r>
                    <w:rPr>
                      <w:rFonts w:hint="eastAsia"/>
                      <w:szCs w:val="21"/>
                    </w:rPr>
                    <w:t>包括二氧化碳保护焊等加工设备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2</w:t>
                  </w:r>
                </w:p>
              </w:tc>
              <w:tc>
                <w:tcPr>
                  <w:tcW w:w="1405" w:type="pct"/>
                  <w:vAlign w:val="center"/>
                </w:tcPr>
                <w:p>
                  <w:pPr>
                    <w:widowControl/>
                    <w:jc w:val="center"/>
                    <w:rPr>
                      <w:szCs w:val="21"/>
                    </w:rPr>
                  </w:pPr>
                  <w:r>
                    <w:rPr>
                      <w:rFonts w:hint="eastAsia"/>
                      <w:szCs w:val="21"/>
                    </w:rPr>
                    <w:t>全自动环保喷塑流水线</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adjustRightInd w:val="0"/>
                    <w:snapToGrid w:val="0"/>
                    <w:jc w:val="center"/>
                    <w:rPr>
                      <w:szCs w:val="21"/>
                    </w:rPr>
                  </w:pPr>
                  <w:r>
                    <w:rPr>
                      <w:rFonts w:hint="eastAsia"/>
                      <w:szCs w:val="21"/>
                    </w:rPr>
                    <w:t>1</w:t>
                  </w:r>
                </w:p>
              </w:tc>
              <w:tc>
                <w:tcPr>
                  <w:tcW w:w="596" w:type="pct"/>
                  <w:vAlign w:val="center"/>
                </w:tcPr>
                <w:p>
                  <w:pPr>
                    <w:widowControl/>
                    <w:adjustRightInd w:val="0"/>
                    <w:snapToGrid w:val="0"/>
                    <w:jc w:val="center"/>
                    <w:rPr>
                      <w:szCs w:val="21"/>
                    </w:rPr>
                  </w:pPr>
                  <w:r>
                    <w:rPr>
                      <w:rFonts w:hint="eastAsia"/>
                      <w:szCs w:val="21"/>
                    </w:rPr>
                    <w:t>套</w:t>
                  </w:r>
                </w:p>
              </w:tc>
              <w:tc>
                <w:tcPr>
                  <w:tcW w:w="1399" w:type="pct"/>
                  <w:vAlign w:val="center"/>
                </w:tcPr>
                <w:p>
                  <w:pPr>
                    <w:widowControl/>
                    <w:adjustRightInd w:val="0"/>
                    <w:snapToGrid w:val="0"/>
                    <w:jc w:val="center"/>
                    <w:rPr>
                      <w:szCs w:val="21"/>
                    </w:rPr>
                  </w:pPr>
                  <w:r>
                    <w:rPr>
                      <w:rFonts w:hint="eastAsia"/>
                      <w:szCs w:val="21"/>
                    </w:rPr>
                    <w:t>包括烘干固化使用的热风炉、固化室等，其中热风炉型号为RS45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3</w:t>
                  </w:r>
                </w:p>
              </w:tc>
              <w:tc>
                <w:tcPr>
                  <w:tcW w:w="1405" w:type="pct"/>
                  <w:vAlign w:val="center"/>
                </w:tcPr>
                <w:p>
                  <w:pPr>
                    <w:widowControl/>
                    <w:jc w:val="center"/>
                    <w:rPr>
                      <w:szCs w:val="21"/>
                    </w:rPr>
                  </w:pPr>
                  <w:r>
                    <w:rPr>
                      <w:rFonts w:hint="eastAsia"/>
                      <w:szCs w:val="21"/>
                    </w:rPr>
                    <w:t>激光切割机</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3</w:t>
                  </w:r>
                </w:p>
              </w:tc>
              <w:tc>
                <w:tcPr>
                  <w:tcW w:w="596" w:type="pct"/>
                  <w:vAlign w:val="center"/>
                </w:tcPr>
                <w:p>
                  <w:pPr>
                    <w:widowControl/>
                    <w:adjustRightInd w:val="0"/>
                    <w:snapToGrid w:val="0"/>
                    <w:jc w:val="center"/>
                    <w:rPr>
                      <w:szCs w:val="21"/>
                    </w:rPr>
                  </w:pPr>
                  <w:r>
                    <w:rPr>
                      <w:szCs w:val="21"/>
                    </w:rPr>
                    <w:t>台</w:t>
                  </w:r>
                </w:p>
              </w:tc>
              <w:tc>
                <w:tcPr>
                  <w:tcW w:w="1399" w:type="pct"/>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4</w:t>
                  </w:r>
                </w:p>
              </w:tc>
              <w:tc>
                <w:tcPr>
                  <w:tcW w:w="1405" w:type="pct"/>
                  <w:vAlign w:val="center"/>
                </w:tcPr>
                <w:p>
                  <w:pPr>
                    <w:widowControl/>
                    <w:jc w:val="center"/>
                    <w:rPr>
                      <w:szCs w:val="21"/>
                    </w:rPr>
                  </w:pPr>
                  <w:r>
                    <w:rPr>
                      <w:rFonts w:hint="eastAsia"/>
                      <w:szCs w:val="21"/>
                    </w:rPr>
                    <w:t>数控砖塔冲机床</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3</w:t>
                  </w:r>
                </w:p>
              </w:tc>
              <w:tc>
                <w:tcPr>
                  <w:tcW w:w="596" w:type="pct"/>
                  <w:vAlign w:val="center"/>
                </w:tcPr>
                <w:p>
                  <w:pPr>
                    <w:widowControl/>
                    <w:adjustRightInd w:val="0"/>
                    <w:snapToGrid w:val="0"/>
                    <w:jc w:val="center"/>
                    <w:rPr>
                      <w:szCs w:val="21"/>
                    </w:rPr>
                  </w:pPr>
                  <w:r>
                    <w:rPr>
                      <w:szCs w:val="21"/>
                    </w:rPr>
                    <w:t>台</w:t>
                  </w:r>
                </w:p>
              </w:tc>
              <w:tc>
                <w:tcPr>
                  <w:tcW w:w="1399" w:type="pct"/>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5</w:t>
                  </w:r>
                </w:p>
              </w:tc>
              <w:tc>
                <w:tcPr>
                  <w:tcW w:w="1405" w:type="pct"/>
                  <w:vAlign w:val="center"/>
                </w:tcPr>
                <w:p>
                  <w:pPr>
                    <w:widowControl/>
                    <w:jc w:val="center"/>
                    <w:rPr>
                      <w:szCs w:val="21"/>
                    </w:rPr>
                  </w:pPr>
                  <w:r>
                    <w:rPr>
                      <w:rFonts w:hint="eastAsia"/>
                      <w:szCs w:val="21"/>
                    </w:rPr>
                    <w:t>全自动数控母线折弯机</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2</w:t>
                  </w:r>
                </w:p>
              </w:tc>
              <w:tc>
                <w:tcPr>
                  <w:tcW w:w="596" w:type="pct"/>
                  <w:vAlign w:val="center"/>
                </w:tcPr>
                <w:p>
                  <w:pPr>
                    <w:widowControl/>
                    <w:adjustRightInd w:val="0"/>
                    <w:snapToGrid w:val="0"/>
                    <w:jc w:val="center"/>
                    <w:rPr>
                      <w:szCs w:val="21"/>
                    </w:rPr>
                  </w:pPr>
                  <w:r>
                    <w:rPr>
                      <w:szCs w:val="21"/>
                    </w:rPr>
                    <w:t>台</w:t>
                  </w:r>
                </w:p>
              </w:tc>
              <w:tc>
                <w:tcPr>
                  <w:tcW w:w="1399" w:type="pct"/>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6</w:t>
                  </w:r>
                </w:p>
              </w:tc>
              <w:tc>
                <w:tcPr>
                  <w:tcW w:w="1405" w:type="pct"/>
                  <w:vAlign w:val="center"/>
                </w:tcPr>
                <w:p>
                  <w:pPr>
                    <w:widowControl/>
                    <w:adjustRightInd w:val="0"/>
                    <w:snapToGrid w:val="0"/>
                    <w:jc w:val="center"/>
                    <w:rPr>
                      <w:szCs w:val="21"/>
                    </w:rPr>
                  </w:pPr>
                  <w:r>
                    <w:rPr>
                      <w:rFonts w:hint="eastAsia"/>
                      <w:szCs w:val="21"/>
                    </w:rPr>
                    <w:t>新型环保全自动激光剪焊机</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5</w:t>
                  </w:r>
                </w:p>
              </w:tc>
              <w:tc>
                <w:tcPr>
                  <w:tcW w:w="596" w:type="pct"/>
                  <w:vAlign w:val="center"/>
                </w:tcPr>
                <w:p>
                  <w:pPr>
                    <w:widowControl/>
                    <w:adjustRightInd w:val="0"/>
                    <w:snapToGrid w:val="0"/>
                    <w:jc w:val="center"/>
                    <w:rPr>
                      <w:szCs w:val="21"/>
                    </w:rPr>
                  </w:pPr>
                  <w:r>
                    <w:rPr>
                      <w:rFonts w:hint="eastAsia"/>
                      <w:szCs w:val="21"/>
                    </w:rPr>
                    <w:t>台</w:t>
                  </w:r>
                </w:p>
              </w:tc>
              <w:tc>
                <w:tcPr>
                  <w:tcW w:w="1399" w:type="pct"/>
                  <w:vAlign w:val="center"/>
                </w:tcPr>
                <w:p>
                  <w:pPr>
                    <w:widowControl/>
                    <w:adjustRightInd w:val="0"/>
                    <w:snapToGrid w:val="0"/>
                    <w:jc w:val="center"/>
                    <w:rPr>
                      <w:szCs w:val="21"/>
                    </w:rPr>
                  </w:pPr>
                  <w:r>
                    <w:rPr>
                      <w:rFonts w:hint="eastAsia"/>
                      <w:szCs w:val="21"/>
                    </w:rPr>
                    <w:t>使用普通焊材焊接：焊条、焊丝等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7</w:t>
                  </w:r>
                </w:p>
              </w:tc>
              <w:tc>
                <w:tcPr>
                  <w:tcW w:w="1405" w:type="pct"/>
                  <w:vAlign w:val="center"/>
                </w:tcPr>
                <w:p>
                  <w:pPr>
                    <w:widowControl/>
                    <w:jc w:val="center"/>
                    <w:rPr>
                      <w:szCs w:val="21"/>
                    </w:rPr>
                  </w:pPr>
                  <w:r>
                    <w:rPr>
                      <w:rFonts w:hint="eastAsia"/>
                      <w:szCs w:val="21"/>
                    </w:rPr>
                    <w:t>全自动包装打包机</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3</w:t>
                  </w:r>
                </w:p>
              </w:tc>
              <w:tc>
                <w:tcPr>
                  <w:tcW w:w="596" w:type="pct"/>
                  <w:vAlign w:val="center"/>
                </w:tcPr>
                <w:p>
                  <w:pPr>
                    <w:widowControl/>
                    <w:adjustRightInd w:val="0"/>
                    <w:snapToGrid w:val="0"/>
                    <w:jc w:val="center"/>
                    <w:rPr>
                      <w:szCs w:val="21"/>
                    </w:rPr>
                  </w:pPr>
                  <w:r>
                    <w:rPr>
                      <w:szCs w:val="21"/>
                    </w:rPr>
                    <w:t>台</w:t>
                  </w:r>
                </w:p>
              </w:tc>
              <w:tc>
                <w:tcPr>
                  <w:tcW w:w="1399" w:type="pct"/>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Align w:val="center"/>
                </w:tcPr>
                <w:p>
                  <w:pPr>
                    <w:jc w:val="center"/>
                    <w:rPr>
                      <w:szCs w:val="21"/>
                    </w:rPr>
                  </w:pPr>
                  <w:r>
                    <w:rPr>
                      <w:szCs w:val="21"/>
                    </w:rPr>
                    <w:t>8</w:t>
                  </w:r>
                </w:p>
              </w:tc>
              <w:tc>
                <w:tcPr>
                  <w:tcW w:w="1405" w:type="pct"/>
                  <w:vAlign w:val="center"/>
                </w:tcPr>
                <w:p>
                  <w:pPr>
                    <w:widowControl/>
                    <w:jc w:val="center"/>
                    <w:rPr>
                      <w:szCs w:val="21"/>
                    </w:rPr>
                  </w:pPr>
                  <w:r>
                    <w:rPr>
                      <w:rFonts w:hint="eastAsia"/>
                      <w:szCs w:val="21"/>
                    </w:rPr>
                    <w:t>全自动激光雕刻机</w:t>
                  </w:r>
                </w:p>
              </w:tc>
              <w:tc>
                <w:tcPr>
                  <w:tcW w:w="673" w:type="pct"/>
                  <w:vAlign w:val="center"/>
                </w:tcPr>
                <w:p>
                  <w:pPr>
                    <w:adjustRightInd w:val="0"/>
                    <w:snapToGrid w:val="0"/>
                    <w:jc w:val="center"/>
                    <w:rPr>
                      <w:szCs w:val="21"/>
                    </w:rPr>
                  </w:pPr>
                  <w:r>
                    <w:rPr>
                      <w:rFonts w:hint="eastAsia"/>
                      <w:szCs w:val="21"/>
                    </w:rPr>
                    <w:t>--</w:t>
                  </w:r>
                </w:p>
              </w:tc>
              <w:tc>
                <w:tcPr>
                  <w:tcW w:w="447" w:type="pct"/>
                  <w:vAlign w:val="center"/>
                </w:tcPr>
                <w:p>
                  <w:pPr>
                    <w:widowControl/>
                    <w:jc w:val="center"/>
                    <w:rPr>
                      <w:szCs w:val="21"/>
                    </w:rPr>
                  </w:pPr>
                  <w:r>
                    <w:rPr>
                      <w:rFonts w:hint="eastAsia"/>
                      <w:szCs w:val="21"/>
                    </w:rPr>
                    <w:t>1</w:t>
                  </w:r>
                </w:p>
              </w:tc>
              <w:tc>
                <w:tcPr>
                  <w:tcW w:w="596" w:type="pct"/>
                  <w:vAlign w:val="center"/>
                </w:tcPr>
                <w:p>
                  <w:pPr>
                    <w:widowControl/>
                    <w:adjustRightInd w:val="0"/>
                    <w:snapToGrid w:val="0"/>
                    <w:jc w:val="center"/>
                    <w:rPr>
                      <w:szCs w:val="21"/>
                    </w:rPr>
                  </w:pPr>
                  <w:r>
                    <w:rPr>
                      <w:szCs w:val="21"/>
                    </w:rPr>
                    <w:t>台</w:t>
                  </w:r>
                </w:p>
              </w:tc>
              <w:tc>
                <w:tcPr>
                  <w:tcW w:w="1399" w:type="pct"/>
                  <w:vAlign w:val="center"/>
                </w:tcPr>
                <w:p>
                  <w:pPr>
                    <w:widowControl/>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7" w:type="pct"/>
                  <w:gridSpan w:val="3"/>
                  <w:vAlign w:val="center"/>
                </w:tcPr>
                <w:p>
                  <w:pPr>
                    <w:jc w:val="center"/>
                    <w:rPr>
                      <w:szCs w:val="21"/>
                    </w:rPr>
                  </w:pPr>
                  <w:r>
                    <w:rPr>
                      <w:szCs w:val="21"/>
                    </w:rPr>
                    <w:t>合计</w:t>
                  </w:r>
                </w:p>
              </w:tc>
              <w:tc>
                <w:tcPr>
                  <w:tcW w:w="447" w:type="pct"/>
                  <w:vAlign w:val="center"/>
                </w:tcPr>
                <w:p>
                  <w:pPr>
                    <w:widowControl/>
                    <w:jc w:val="center"/>
                    <w:rPr>
                      <w:szCs w:val="21"/>
                    </w:rPr>
                  </w:pPr>
                  <w:r>
                    <w:rPr>
                      <w:rFonts w:hint="eastAsia"/>
                      <w:szCs w:val="21"/>
                    </w:rPr>
                    <w:t>28</w:t>
                  </w:r>
                </w:p>
              </w:tc>
              <w:tc>
                <w:tcPr>
                  <w:tcW w:w="596" w:type="pct"/>
                  <w:vAlign w:val="center"/>
                </w:tcPr>
                <w:p>
                  <w:pPr>
                    <w:jc w:val="center"/>
                    <w:rPr>
                      <w:szCs w:val="21"/>
                    </w:rPr>
                  </w:pPr>
                  <w:r>
                    <w:rPr>
                      <w:szCs w:val="21"/>
                    </w:rPr>
                    <w:t>台/套</w:t>
                  </w:r>
                </w:p>
              </w:tc>
              <w:tc>
                <w:tcPr>
                  <w:tcW w:w="1399" w:type="pct"/>
                  <w:vAlign w:val="center"/>
                </w:tcPr>
                <w:p>
                  <w:pPr>
                    <w:jc w:val="center"/>
                    <w:rPr>
                      <w:szCs w:val="21"/>
                    </w:rPr>
                  </w:pPr>
                  <w:r>
                    <w:rPr>
                      <w:rFonts w:hint="eastAsia"/>
                      <w:szCs w:val="21"/>
                    </w:rPr>
                    <w:t>--</w:t>
                  </w:r>
                </w:p>
              </w:tc>
            </w:tr>
          </w:tbl>
          <w:p>
            <w:pPr>
              <w:spacing w:line="360" w:lineRule="auto"/>
              <w:ind w:firstLine="482" w:firstLineChars="200"/>
              <w:rPr>
                <w:b/>
                <w:bCs/>
                <w:sz w:val="24"/>
              </w:rPr>
            </w:pPr>
            <w:r>
              <w:rPr>
                <w:b/>
                <w:bCs/>
                <w:sz w:val="24"/>
              </w:rPr>
              <w:t>7、原辅材料及能源消耗</w:t>
            </w:r>
          </w:p>
          <w:p>
            <w:pPr>
              <w:spacing w:line="360" w:lineRule="auto"/>
              <w:ind w:firstLine="480" w:firstLineChars="200"/>
              <w:rPr>
                <w:sz w:val="24"/>
              </w:rPr>
            </w:pPr>
            <w:r>
              <w:rPr>
                <w:sz w:val="24"/>
              </w:rPr>
              <w:t>①主要原辅材料及能源使用情况</w:t>
            </w:r>
          </w:p>
          <w:p>
            <w:pPr>
              <w:jc w:val="center"/>
              <w:rPr>
                <w:b/>
                <w:bCs/>
                <w:sz w:val="24"/>
              </w:rPr>
            </w:pPr>
            <w:r>
              <w:rPr>
                <w:b/>
                <w:bCs/>
                <w:sz w:val="24"/>
              </w:rPr>
              <w:t>表1</w:t>
            </w:r>
            <w:r>
              <w:rPr>
                <w:rFonts w:hint="eastAsia"/>
                <w:b/>
                <w:bCs/>
                <w:sz w:val="24"/>
              </w:rPr>
              <w:t>8</w:t>
            </w:r>
            <w:r>
              <w:rPr>
                <w:b/>
                <w:bCs/>
                <w:sz w:val="24"/>
              </w:rPr>
              <w:t xml:space="preserve">  项目主要原辅材料及能源消耗一览表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642"/>
              <w:gridCol w:w="1966"/>
              <w:gridCol w:w="997"/>
              <w:gridCol w:w="1190"/>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27" w:type="pct"/>
                  <w:vAlign w:val="center"/>
                </w:tcPr>
                <w:p>
                  <w:pPr>
                    <w:adjustRightInd w:val="0"/>
                    <w:snapToGrid w:val="0"/>
                    <w:jc w:val="center"/>
                    <w:rPr>
                      <w:b/>
                      <w:kern w:val="0"/>
                      <w:szCs w:val="21"/>
                    </w:rPr>
                  </w:pPr>
                  <w:r>
                    <w:rPr>
                      <w:b/>
                      <w:kern w:val="0"/>
                      <w:szCs w:val="21"/>
                    </w:rPr>
                    <w:t>序号</w:t>
                  </w:r>
                </w:p>
              </w:tc>
              <w:tc>
                <w:tcPr>
                  <w:tcW w:w="1556" w:type="pct"/>
                  <w:gridSpan w:val="2"/>
                  <w:vAlign w:val="center"/>
                </w:tcPr>
                <w:p>
                  <w:pPr>
                    <w:adjustRightInd w:val="0"/>
                    <w:snapToGrid w:val="0"/>
                    <w:jc w:val="center"/>
                    <w:rPr>
                      <w:b/>
                      <w:kern w:val="0"/>
                      <w:szCs w:val="21"/>
                    </w:rPr>
                  </w:pPr>
                  <w:r>
                    <w:rPr>
                      <w:b/>
                      <w:kern w:val="0"/>
                      <w:szCs w:val="21"/>
                    </w:rPr>
                    <w:t>名称</w:t>
                  </w:r>
                </w:p>
              </w:tc>
              <w:tc>
                <w:tcPr>
                  <w:tcW w:w="595" w:type="pct"/>
                  <w:vAlign w:val="center"/>
                </w:tcPr>
                <w:p>
                  <w:pPr>
                    <w:adjustRightInd w:val="0"/>
                    <w:snapToGrid w:val="0"/>
                    <w:jc w:val="center"/>
                    <w:rPr>
                      <w:b/>
                      <w:kern w:val="0"/>
                      <w:szCs w:val="21"/>
                    </w:rPr>
                  </w:pPr>
                  <w:r>
                    <w:rPr>
                      <w:b/>
                      <w:kern w:val="0"/>
                      <w:szCs w:val="21"/>
                    </w:rPr>
                    <w:t>消耗量</w:t>
                  </w:r>
                </w:p>
              </w:tc>
              <w:tc>
                <w:tcPr>
                  <w:tcW w:w="710" w:type="pct"/>
                  <w:vAlign w:val="center"/>
                </w:tcPr>
                <w:p>
                  <w:pPr>
                    <w:adjustRightInd w:val="0"/>
                    <w:snapToGrid w:val="0"/>
                    <w:jc w:val="center"/>
                    <w:rPr>
                      <w:b/>
                      <w:kern w:val="0"/>
                      <w:szCs w:val="21"/>
                    </w:rPr>
                  </w:pPr>
                  <w:r>
                    <w:rPr>
                      <w:b/>
                      <w:kern w:val="0"/>
                      <w:szCs w:val="21"/>
                    </w:rPr>
                    <w:t>单位</w:t>
                  </w:r>
                </w:p>
              </w:tc>
              <w:tc>
                <w:tcPr>
                  <w:tcW w:w="1710" w:type="pct"/>
                  <w:vAlign w:val="center"/>
                </w:tcPr>
                <w:p>
                  <w:pPr>
                    <w:adjustRightInd w:val="0"/>
                    <w:snapToGrid w:val="0"/>
                    <w:jc w:val="center"/>
                    <w:rPr>
                      <w:b/>
                      <w:kern w:val="0"/>
                      <w:szCs w:val="21"/>
                    </w:rPr>
                  </w:pPr>
                  <w:r>
                    <w:rPr>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1</w:t>
                  </w:r>
                </w:p>
              </w:tc>
              <w:tc>
                <w:tcPr>
                  <w:tcW w:w="383" w:type="pct"/>
                  <w:vMerge w:val="restart"/>
                  <w:vAlign w:val="center"/>
                </w:tcPr>
                <w:p>
                  <w:pPr>
                    <w:adjustRightInd w:val="0"/>
                    <w:snapToGrid w:val="0"/>
                    <w:jc w:val="center"/>
                    <w:rPr>
                      <w:szCs w:val="21"/>
                    </w:rPr>
                  </w:pPr>
                  <w:r>
                    <w:rPr>
                      <w:szCs w:val="21"/>
                    </w:rPr>
                    <w:t>原辅材料</w:t>
                  </w:r>
                </w:p>
              </w:tc>
              <w:tc>
                <w:tcPr>
                  <w:tcW w:w="1172" w:type="pct"/>
                  <w:vAlign w:val="center"/>
                </w:tcPr>
                <w:p>
                  <w:pPr>
                    <w:jc w:val="center"/>
                    <w:rPr>
                      <w:kern w:val="0"/>
                      <w:szCs w:val="21"/>
                    </w:rPr>
                  </w:pPr>
                  <w:r>
                    <w:rPr>
                      <w:rFonts w:hint="eastAsia"/>
                      <w:kern w:val="0"/>
                      <w:szCs w:val="21"/>
                    </w:rPr>
                    <w:t>钢板</w:t>
                  </w:r>
                </w:p>
              </w:tc>
              <w:tc>
                <w:tcPr>
                  <w:tcW w:w="595" w:type="pct"/>
                  <w:vAlign w:val="center"/>
                </w:tcPr>
                <w:p>
                  <w:pPr>
                    <w:adjustRightInd w:val="0"/>
                    <w:snapToGrid w:val="0"/>
                    <w:jc w:val="center"/>
                    <w:rPr>
                      <w:szCs w:val="21"/>
                    </w:rPr>
                  </w:pPr>
                  <w:r>
                    <w:rPr>
                      <w:rFonts w:hint="eastAsia"/>
                      <w:szCs w:val="21"/>
                    </w:rPr>
                    <w:t>200</w:t>
                  </w:r>
                </w:p>
              </w:tc>
              <w:tc>
                <w:tcPr>
                  <w:tcW w:w="710" w:type="pct"/>
                  <w:vAlign w:val="center"/>
                </w:tcPr>
                <w:p>
                  <w:pPr>
                    <w:adjustRightInd w:val="0"/>
                    <w:snapToGrid w:val="0"/>
                    <w:jc w:val="center"/>
                    <w:rPr>
                      <w:szCs w:val="21"/>
                    </w:rPr>
                  </w:pPr>
                  <w:r>
                    <w:rPr>
                      <w:szCs w:val="21"/>
                    </w:rPr>
                    <w:t>t/a</w:t>
                  </w:r>
                </w:p>
              </w:tc>
              <w:tc>
                <w:tcPr>
                  <w:tcW w:w="1710" w:type="pct"/>
                  <w:vAlign w:val="center"/>
                </w:tcPr>
                <w:p>
                  <w:pPr>
                    <w:widowControl/>
                    <w:adjustRightInd w:val="0"/>
                    <w:snapToGrid w:val="0"/>
                    <w:jc w:val="center"/>
                    <w:textAlignment w:val="center"/>
                    <w:rPr>
                      <w:szCs w:val="21"/>
                    </w:rPr>
                  </w:pPr>
                  <w:r>
                    <w:rPr>
                      <w:szCs w:val="21"/>
                    </w:rPr>
                    <w:t>外购</w:t>
                  </w:r>
                  <w:r>
                    <w:rPr>
                      <w:rFonts w:hint="eastAsia"/>
                      <w:szCs w:val="21"/>
                    </w:rPr>
                    <w:t>，卷材，型号为SD1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2</w:t>
                  </w:r>
                </w:p>
              </w:tc>
              <w:tc>
                <w:tcPr>
                  <w:tcW w:w="383" w:type="pct"/>
                  <w:vMerge w:val="continue"/>
                  <w:vAlign w:val="center"/>
                </w:tcPr>
                <w:p>
                  <w:pPr>
                    <w:adjustRightInd w:val="0"/>
                    <w:snapToGrid w:val="0"/>
                    <w:jc w:val="center"/>
                    <w:rPr>
                      <w:szCs w:val="21"/>
                    </w:rPr>
                  </w:pPr>
                </w:p>
              </w:tc>
              <w:tc>
                <w:tcPr>
                  <w:tcW w:w="1172" w:type="pct"/>
                  <w:vAlign w:val="center"/>
                </w:tcPr>
                <w:p>
                  <w:pPr>
                    <w:jc w:val="center"/>
                    <w:rPr>
                      <w:rFonts w:eastAsia="Calibri"/>
                      <w:kern w:val="0"/>
                      <w:szCs w:val="21"/>
                    </w:rPr>
                  </w:pPr>
                  <w:r>
                    <w:t>半成品零部件</w:t>
                  </w:r>
                </w:p>
              </w:tc>
              <w:tc>
                <w:tcPr>
                  <w:tcW w:w="595" w:type="pct"/>
                  <w:vAlign w:val="center"/>
                </w:tcPr>
                <w:p>
                  <w:pPr>
                    <w:adjustRightInd w:val="0"/>
                    <w:snapToGrid w:val="0"/>
                    <w:jc w:val="center"/>
                    <w:rPr>
                      <w:szCs w:val="21"/>
                    </w:rPr>
                  </w:pPr>
                  <w:r>
                    <w:rPr>
                      <w:rFonts w:hint="eastAsia"/>
                      <w:szCs w:val="21"/>
                    </w:rPr>
                    <w:t>20000</w:t>
                  </w:r>
                </w:p>
              </w:tc>
              <w:tc>
                <w:tcPr>
                  <w:tcW w:w="710" w:type="pct"/>
                  <w:vAlign w:val="center"/>
                </w:tcPr>
                <w:p>
                  <w:pPr>
                    <w:adjustRightInd w:val="0"/>
                    <w:snapToGrid w:val="0"/>
                    <w:jc w:val="center"/>
                    <w:rPr>
                      <w:szCs w:val="21"/>
                    </w:rPr>
                  </w:pPr>
                  <w:r>
                    <w:rPr>
                      <w:rFonts w:hint="eastAsia"/>
                      <w:szCs w:val="21"/>
                    </w:rPr>
                    <w:t>套</w:t>
                  </w:r>
                  <w:r>
                    <w:rPr>
                      <w:szCs w:val="21"/>
                    </w:rPr>
                    <w:t>/a</w:t>
                  </w:r>
                </w:p>
              </w:tc>
              <w:tc>
                <w:tcPr>
                  <w:tcW w:w="1710" w:type="pct"/>
                  <w:vAlign w:val="center"/>
                </w:tcPr>
                <w:p>
                  <w:pPr>
                    <w:widowControl/>
                    <w:adjustRightInd w:val="0"/>
                    <w:snapToGrid w:val="0"/>
                    <w:jc w:val="center"/>
                    <w:textAlignment w:val="center"/>
                    <w:rPr>
                      <w:szCs w:val="21"/>
                    </w:rPr>
                  </w:pPr>
                  <w:r>
                    <w:rPr>
                      <w:szCs w:val="21"/>
                    </w:rPr>
                    <w:t>外购</w:t>
                  </w:r>
                  <w:r>
                    <w:rPr>
                      <w:rFonts w:hint="eastAsia"/>
                      <w:szCs w:val="21"/>
                    </w:rPr>
                    <w:t>，锁子、门轴、铰链、螺丝螺母等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3</w:t>
                  </w:r>
                </w:p>
              </w:tc>
              <w:tc>
                <w:tcPr>
                  <w:tcW w:w="383" w:type="pct"/>
                  <w:vMerge w:val="continue"/>
                  <w:vAlign w:val="center"/>
                </w:tcPr>
                <w:p>
                  <w:pPr>
                    <w:adjustRightInd w:val="0"/>
                    <w:snapToGrid w:val="0"/>
                    <w:jc w:val="center"/>
                    <w:rPr>
                      <w:szCs w:val="21"/>
                    </w:rPr>
                  </w:pPr>
                </w:p>
              </w:tc>
              <w:tc>
                <w:tcPr>
                  <w:tcW w:w="1172" w:type="pct"/>
                  <w:vAlign w:val="center"/>
                </w:tcPr>
                <w:p>
                  <w:pPr>
                    <w:widowControl/>
                    <w:jc w:val="center"/>
                    <w:rPr>
                      <w:kern w:val="0"/>
                      <w:szCs w:val="21"/>
                    </w:rPr>
                  </w:pPr>
                  <w:r>
                    <w:rPr>
                      <w:kern w:val="0"/>
                      <w:szCs w:val="21"/>
                    </w:rPr>
                    <w:t>焊丝</w:t>
                  </w:r>
                </w:p>
              </w:tc>
              <w:tc>
                <w:tcPr>
                  <w:tcW w:w="595" w:type="pct"/>
                  <w:vAlign w:val="center"/>
                </w:tcPr>
                <w:p>
                  <w:pPr>
                    <w:adjustRightInd w:val="0"/>
                    <w:snapToGrid w:val="0"/>
                    <w:jc w:val="center"/>
                    <w:rPr>
                      <w:szCs w:val="21"/>
                    </w:rPr>
                  </w:pPr>
                  <w:r>
                    <w:rPr>
                      <w:szCs w:val="21"/>
                    </w:rPr>
                    <w:t>5</w:t>
                  </w:r>
                </w:p>
              </w:tc>
              <w:tc>
                <w:tcPr>
                  <w:tcW w:w="710" w:type="pct"/>
                  <w:vAlign w:val="center"/>
                </w:tcPr>
                <w:p>
                  <w:pPr>
                    <w:adjustRightInd w:val="0"/>
                    <w:snapToGrid w:val="0"/>
                    <w:jc w:val="center"/>
                    <w:rPr>
                      <w:szCs w:val="21"/>
                    </w:rPr>
                  </w:pPr>
                  <w:r>
                    <w:rPr>
                      <w:szCs w:val="21"/>
                    </w:rPr>
                    <w:t>t/a</w:t>
                  </w:r>
                </w:p>
              </w:tc>
              <w:tc>
                <w:tcPr>
                  <w:tcW w:w="1710" w:type="pct"/>
                  <w:vAlign w:val="center"/>
                </w:tcPr>
                <w:p>
                  <w:pPr>
                    <w:widowControl/>
                    <w:adjustRightInd w:val="0"/>
                    <w:snapToGrid w:val="0"/>
                    <w:jc w:val="center"/>
                    <w:textAlignment w:val="center"/>
                    <w:rPr>
                      <w:szCs w:val="21"/>
                    </w:rPr>
                  </w:pPr>
                  <w:r>
                    <w:rPr>
                      <w:szCs w:val="21"/>
                    </w:rPr>
                    <w:t>外购</w:t>
                  </w:r>
                  <w:r>
                    <w:rPr>
                      <w:rFonts w:hint="eastAsia"/>
                      <w:szCs w:val="21"/>
                    </w:rPr>
                    <w:t>，30kg/轴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4</w:t>
                  </w:r>
                </w:p>
              </w:tc>
              <w:tc>
                <w:tcPr>
                  <w:tcW w:w="383" w:type="pct"/>
                  <w:vMerge w:val="continue"/>
                  <w:vAlign w:val="center"/>
                </w:tcPr>
                <w:p>
                  <w:pPr>
                    <w:adjustRightInd w:val="0"/>
                    <w:snapToGrid w:val="0"/>
                    <w:jc w:val="center"/>
                    <w:rPr>
                      <w:szCs w:val="21"/>
                    </w:rPr>
                  </w:pPr>
                </w:p>
              </w:tc>
              <w:tc>
                <w:tcPr>
                  <w:tcW w:w="1172" w:type="pct"/>
                  <w:vAlign w:val="center"/>
                </w:tcPr>
                <w:p>
                  <w:pPr>
                    <w:widowControl/>
                    <w:jc w:val="center"/>
                    <w:rPr>
                      <w:kern w:val="0"/>
                      <w:szCs w:val="21"/>
                    </w:rPr>
                  </w:pPr>
                  <w:r>
                    <w:rPr>
                      <w:rFonts w:hint="eastAsia"/>
                      <w:kern w:val="0"/>
                      <w:szCs w:val="21"/>
                    </w:rPr>
                    <w:t>环氧树脂塑粉</w:t>
                  </w:r>
                </w:p>
              </w:tc>
              <w:tc>
                <w:tcPr>
                  <w:tcW w:w="595" w:type="pct"/>
                  <w:vAlign w:val="center"/>
                </w:tcPr>
                <w:p>
                  <w:pPr>
                    <w:adjustRightInd w:val="0"/>
                    <w:snapToGrid w:val="0"/>
                    <w:jc w:val="center"/>
                    <w:rPr>
                      <w:szCs w:val="21"/>
                    </w:rPr>
                  </w:pPr>
                  <w:r>
                    <w:rPr>
                      <w:rFonts w:hint="eastAsia"/>
                      <w:szCs w:val="21"/>
                    </w:rPr>
                    <w:t>25</w:t>
                  </w:r>
                </w:p>
              </w:tc>
              <w:tc>
                <w:tcPr>
                  <w:tcW w:w="710" w:type="pct"/>
                  <w:vAlign w:val="center"/>
                </w:tcPr>
                <w:p>
                  <w:pPr>
                    <w:adjustRightInd w:val="0"/>
                    <w:snapToGrid w:val="0"/>
                    <w:jc w:val="center"/>
                    <w:rPr>
                      <w:szCs w:val="21"/>
                    </w:rPr>
                  </w:pPr>
                  <w:r>
                    <w:rPr>
                      <w:szCs w:val="21"/>
                    </w:rPr>
                    <w:t>t/a</w:t>
                  </w:r>
                </w:p>
              </w:tc>
              <w:tc>
                <w:tcPr>
                  <w:tcW w:w="1710" w:type="pct"/>
                  <w:vAlign w:val="center"/>
                </w:tcPr>
                <w:p>
                  <w:pPr>
                    <w:widowControl/>
                    <w:adjustRightInd w:val="0"/>
                    <w:snapToGrid w:val="0"/>
                    <w:jc w:val="center"/>
                    <w:textAlignment w:val="center"/>
                    <w:rPr>
                      <w:szCs w:val="21"/>
                    </w:rPr>
                  </w:pPr>
                  <w:r>
                    <w:rPr>
                      <w:szCs w:val="21"/>
                    </w:rPr>
                    <w:t>桶装，</w:t>
                  </w:r>
                  <w:r>
                    <w:rPr>
                      <w:rFonts w:hint="eastAsia"/>
                      <w:szCs w:val="21"/>
                    </w:rPr>
                    <w:t>25kg/包</w:t>
                  </w:r>
                  <w:r>
                    <w:rPr>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5</w:t>
                  </w:r>
                </w:p>
              </w:tc>
              <w:tc>
                <w:tcPr>
                  <w:tcW w:w="383" w:type="pct"/>
                  <w:vMerge w:val="continue"/>
                  <w:vAlign w:val="center"/>
                </w:tcPr>
                <w:p>
                  <w:pPr>
                    <w:adjustRightInd w:val="0"/>
                    <w:snapToGrid w:val="0"/>
                    <w:jc w:val="center"/>
                    <w:rPr>
                      <w:szCs w:val="21"/>
                    </w:rPr>
                  </w:pPr>
                </w:p>
              </w:tc>
              <w:tc>
                <w:tcPr>
                  <w:tcW w:w="1172" w:type="pct"/>
                  <w:vAlign w:val="center"/>
                </w:tcPr>
                <w:p>
                  <w:pPr>
                    <w:widowControl/>
                    <w:jc w:val="center"/>
                    <w:rPr>
                      <w:kern w:val="0"/>
                      <w:szCs w:val="21"/>
                    </w:rPr>
                  </w:pPr>
                  <w:r>
                    <w:rPr>
                      <w:kern w:val="0"/>
                      <w:szCs w:val="21"/>
                    </w:rPr>
                    <w:t>二氧化碳（保护气）</w:t>
                  </w:r>
                </w:p>
              </w:tc>
              <w:tc>
                <w:tcPr>
                  <w:tcW w:w="595" w:type="pct"/>
                  <w:vAlign w:val="center"/>
                </w:tcPr>
                <w:p>
                  <w:pPr>
                    <w:adjustRightInd w:val="0"/>
                    <w:snapToGrid w:val="0"/>
                    <w:jc w:val="center"/>
                    <w:rPr>
                      <w:szCs w:val="21"/>
                    </w:rPr>
                  </w:pPr>
                  <w:r>
                    <w:rPr>
                      <w:szCs w:val="21"/>
                    </w:rPr>
                    <w:t>50</w:t>
                  </w:r>
                </w:p>
              </w:tc>
              <w:tc>
                <w:tcPr>
                  <w:tcW w:w="710" w:type="pct"/>
                  <w:vAlign w:val="center"/>
                </w:tcPr>
                <w:p>
                  <w:pPr>
                    <w:adjustRightInd w:val="0"/>
                    <w:snapToGrid w:val="0"/>
                    <w:jc w:val="center"/>
                    <w:rPr>
                      <w:szCs w:val="21"/>
                    </w:rPr>
                  </w:pPr>
                  <w:r>
                    <w:rPr>
                      <w:szCs w:val="21"/>
                    </w:rPr>
                    <w:t>瓶/a</w:t>
                  </w:r>
                </w:p>
              </w:tc>
              <w:tc>
                <w:tcPr>
                  <w:tcW w:w="1710" w:type="pct"/>
                  <w:vAlign w:val="center"/>
                </w:tcPr>
                <w:p>
                  <w:pPr>
                    <w:widowControl/>
                    <w:adjustRightInd w:val="0"/>
                    <w:snapToGrid w:val="0"/>
                    <w:jc w:val="center"/>
                    <w:textAlignment w:val="center"/>
                    <w:rPr>
                      <w:szCs w:val="21"/>
                    </w:rPr>
                  </w:pPr>
                  <w:r>
                    <w:rPr>
                      <w:szCs w:val="21"/>
                    </w:rPr>
                    <w:t>瓶装，25kg/瓶，外购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6</w:t>
                  </w:r>
                </w:p>
              </w:tc>
              <w:tc>
                <w:tcPr>
                  <w:tcW w:w="383" w:type="pct"/>
                  <w:vMerge w:val="continue"/>
                  <w:vAlign w:val="center"/>
                </w:tcPr>
                <w:p>
                  <w:pPr>
                    <w:adjustRightInd w:val="0"/>
                    <w:snapToGrid w:val="0"/>
                    <w:jc w:val="center"/>
                    <w:rPr>
                      <w:szCs w:val="21"/>
                    </w:rPr>
                  </w:pPr>
                </w:p>
              </w:tc>
              <w:tc>
                <w:tcPr>
                  <w:tcW w:w="1172" w:type="pct"/>
                  <w:vAlign w:val="center"/>
                </w:tcPr>
                <w:p>
                  <w:pPr>
                    <w:widowControl/>
                    <w:jc w:val="center"/>
                    <w:rPr>
                      <w:kern w:val="0"/>
                      <w:szCs w:val="21"/>
                    </w:rPr>
                  </w:pPr>
                  <w:r>
                    <w:rPr>
                      <w:kern w:val="0"/>
                      <w:szCs w:val="21"/>
                    </w:rPr>
                    <w:t>机油</w:t>
                  </w:r>
                </w:p>
              </w:tc>
              <w:tc>
                <w:tcPr>
                  <w:tcW w:w="595" w:type="pct"/>
                  <w:vAlign w:val="center"/>
                </w:tcPr>
                <w:p>
                  <w:pPr>
                    <w:adjustRightInd w:val="0"/>
                    <w:snapToGrid w:val="0"/>
                    <w:jc w:val="center"/>
                    <w:rPr>
                      <w:szCs w:val="21"/>
                    </w:rPr>
                  </w:pPr>
                  <w:r>
                    <w:rPr>
                      <w:rFonts w:hint="eastAsia"/>
                      <w:szCs w:val="21"/>
                    </w:rPr>
                    <w:t>0.6</w:t>
                  </w:r>
                </w:p>
              </w:tc>
              <w:tc>
                <w:tcPr>
                  <w:tcW w:w="710" w:type="pct"/>
                  <w:vAlign w:val="center"/>
                </w:tcPr>
                <w:p>
                  <w:pPr>
                    <w:adjustRightInd w:val="0"/>
                    <w:snapToGrid w:val="0"/>
                    <w:jc w:val="center"/>
                    <w:rPr>
                      <w:szCs w:val="21"/>
                    </w:rPr>
                  </w:pPr>
                  <w:r>
                    <w:rPr>
                      <w:szCs w:val="21"/>
                    </w:rPr>
                    <w:t>t/a</w:t>
                  </w:r>
                </w:p>
              </w:tc>
              <w:tc>
                <w:tcPr>
                  <w:tcW w:w="1710" w:type="pct"/>
                  <w:vAlign w:val="center"/>
                </w:tcPr>
                <w:p>
                  <w:pPr>
                    <w:widowControl/>
                    <w:adjustRightInd w:val="0"/>
                    <w:snapToGrid w:val="0"/>
                    <w:jc w:val="center"/>
                    <w:textAlignment w:val="center"/>
                    <w:rPr>
                      <w:szCs w:val="21"/>
                    </w:rPr>
                  </w:pPr>
                  <w:r>
                    <w:rPr>
                      <w:szCs w:val="21"/>
                    </w:rPr>
                    <w:t>桶装，</w:t>
                  </w:r>
                  <w:r>
                    <w:rPr>
                      <w:rFonts w:hint="eastAsia"/>
                      <w:szCs w:val="21"/>
                    </w:rPr>
                    <w:t>2</w:t>
                  </w:r>
                  <w:r>
                    <w:rPr>
                      <w:szCs w:val="21"/>
                    </w:rPr>
                    <w:t>0kg/桶，外购</w:t>
                  </w:r>
                  <w:r>
                    <w:rPr>
                      <w:rFonts w:hint="eastAsia"/>
                      <w:szCs w:val="21"/>
                    </w:rPr>
                    <w:t>，存放于原料库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Align w:val="center"/>
                </w:tcPr>
                <w:p>
                  <w:pPr>
                    <w:widowControl/>
                    <w:adjustRightInd w:val="0"/>
                    <w:snapToGrid w:val="0"/>
                    <w:jc w:val="center"/>
                    <w:rPr>
                      <w:kern w:val="0"/>
                      <w:szCs w:val="21"/>
                    </w:rPr>
                  </w:pPr>
                  <w:r>
                    <w:rPr>
                      <w:kern w:val="0"/>
                      <w:szCs w:val="21"/>
                    </w:rPr>
                    <w:t>7</w:t>
                  </w:r>
                </w:p>
              </w:tc>
              <w:tc>
                <w:tcPr>
                  <w:tcW w:w="383" w:type="pct"/>
                  <w:vMerge w:val="continue"/>
                  <w:vAlign w:val="center"/>
                </w:tcPr>
                <w:p>
                  <w:pPr>
                    <w:adjustRightInd w:val="0"/>
                    <w:snapToGrid w:val="0"/>
                    <w:jc w:val="center"/>
                    <w:rPr>
                      <w:szCs w:val="21"/>
                    </w:rPr>
                  </w:pPr>
                </w:p>
              </w:tc>
              <w:tc>
                <w:tcPr>
                  <w:tcW w:w="1172" w:type="pct"/>
                  <w:vAlign w:val="center"/>
                </w:tcPr>
                <w:p>
                  <w:pPr>
                    <w:widowControl/>
                    <w:jc w:val="center"/>
                    <w:rPr>
                      <w:kern w:val="0"/>
                      <w:szCs w:val="21"/>
                    </w:rPr>
                  </w:pPr>
                  <w:r>
                    <w:rPr>
                      <w:kern w:val="0"/>
                      <w:szCs w:val="21"/>
                    </w:rPr>
                    <w:t>切削液</w:t>
                  </w:r>
                </w:p>
              </w:tc>
              <w:tc>
                <w:tcPr>
                  <w:tcW w:w="595" w:type="pct"/>
                  <w:vAlign w:val="center"/>
                </w:tcPr>
                <w:p>
                  <w:pPr>
                    <w:adjustRightInd w:val="0"/>
                    <w:snapToGrid w:val="0"/>
                    <w:jc w:val="center"/>
                    <w:rPr>
                      <w:szCs w:val="21"/>
                    </w:rPr>
                  </w:pPr>
                  <w:r>
                    <w:rPr>
                      <w:rFonts w:hint="eastAsia"/>
                      <w:szCs w:val="21"/>
                    </w:rPr>
                    <w:t>1</w:t>
                  </w:r>
                </w:p>
              </w:tc>
              <w:tc>
                <w:tcPr>
                  <w:tcW w:w="710" w:type="pct"/>
                  <w:vAlign w:val="center"/>
                </w:tcPr>
                <w:p>
                  <w:pPr>
                    <w:adjustRightInd w:val="0"/>
                    <w:snapToGrid w:val="0"/>
                    <w:jc w:val="center"/>
                    <w:rPr>
                      <w:szCs w:val="21"/>
                    </w:rPr>
                  </w:pPr>
                  <w:r>
                    <w:rPr>
                      <w:szCs w:val="21"/>
                    </w:rPr>
                    <w:t>t/a</w:t>
                  </w:r>
                </w:p>
              </w:tc>
              <w:tc>
                <w:tcPr>
                  <w:tcW w:w="1710" w:type="pct"/>
                  <w:vAlign w:val="center"/>
                </w:tcPr>
                <w:p>
                  <w:pPr>
                    <w:widowControl/>
                    <w:adjustRightInd w:val="0"/>
                    <w:snapToGrid w:val="0"/>
                    <w:jc w:val="center"/>
                    <w:textAlignment w:val="center"/>
                    <w:rPr>
                      <w:szCs w:val="21"/>
                    </w:rPr>
                  </w:pPr>
                  <w:r>
                    <w:rPr>
                      <w:szCs w:val="21"/>
                    </w:rPr>
                    <w:t>桶装，20kg/桶，外购</w:t>
                  </w:r>
                  <w:r>
                    <w:rPr>
                      <w:rFonts w:hint="eastAsia"/>
                      <w:szCs w:val="21"/>
                    </w:rPr>
                    <w:t>，存放于原料库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27" w:type="pct"/>
                  <w:vAlign w:val="center"/>
                </w:tcPr>
                <w:p>
                  <w:pPr>
                    <w:widowControl/>
                    <w:adjustRightInd w:val="0"/>
                    <w:snapToGrid w:val="0"/>
                    <w:jc w:val="center"/>
                    <w:rPr>
                      <w:kern w:val="0"/>
                      <w:szCs w:val="21"/>
                    </w:rPr>
                  </w:pPr>
                  <w:r>
                    <w:rPr>
                      <w:rFonts w:hint="eastAsia"/>
                      <w:kern w:val="0"/>
                      <w:szCs w:val="21"/>
                    </w:rPr>
                    <w:t>8</w:t>
                  </w:r>
                </w:p>
              </w:tc>
              <w:tc>
                <w:tcPr>
                  <w:tcW w:w="383" w:type="pct"/>
                  <w:vMerge w:val="restart"/>
                  <w:vAlign w:val="center"/>
                </w:tcPr>
                <w:p>
                  <w:pPr>
                    <w:widowControl/>
                    <w:adjustRightInd w:val="0"/>
                    <w:snapToGrid w:val="0"/>
                    <w:jc w:val="center"/>
                    <w:rPr>
                      <w:kern w:val="0"/>
                      <w:szCs w:val="21"/>
                    </w:rPr>
                  </w:pPr>
                  <w:r>
                    <w:rPr>
                      <w:kern w:val="0"/>
                      <w:szCs w:val="21"/>
                    </w:rPr>
                    <w:t>能源</w:t>
                  </w:r>
                </w:p>
              </w:tc>
              <w:tc>
                <w:tcPr>
                  <w:tcW w:w="1172" w:type="pct"/>
                  <w:vAlign w:val="center"/>
                </w:tcPr>
                <w:p>
                  <w:pPr>
                    <w:widowControl/>
                    <w:adjustRightInd w:val="0"/>
                    <w:snapToGrid w:val="0"/>
                    <w:jc w:val="center"/>
                    <w:rPr>
                      <w:kern w:val="0"/>
                      <w:szCs w:val="21"/>
                    </w:rPr>
                  </w:pPr>
                  <w:r>
                    <w:rPr>
                      <w:kern w:val="0"/>
                      <w:szCs w:val="21"/>
                    </w:rPr>
                    <w:t>新鲜水</w:t>
                  </w:r>
                </w:p>
              </w:tc>
              <w:tc>
                <w:tcPr>
                  <w:tcW w:w="595" w:type="pct"/>
                  <w:vAlign w:val="center"/>
                </w:tcPr>
                <w:p>
                  <w:pPr>
                    <w:adjustRightInd w:val="0"/>
                    <w:snapToGrid w:val="0"/>
                    <w:jc w:val="center"/>
                    <w:rPr>
                      <w:szCs w:val="21"/>
                    </w:rPr>
                  </w:pPr>
                  <w:r>
                    <w:rPr>
                      <w:rFonts w:hint="eastAsia"/>
                      <w:szCs w:val="21"/>
                    </w:rPr>
                    <w:t>900</w:t>
                  </w:r>
                </w:p>
              </w:tc>
              <w:tc>
                <w:tcPr>
                  <w:tcW w:w="710" w:type="pct"/>
                  <w:vAlign w:val="center"/>
                </w:tcPr>
                <w:p>
                  <w:pPr>
                    <w:pStyle w:val="54"/>
                    <w:snapToGrid w:val="0"/>
                  </w:pPr>
                  <w:r>
                    <w:t>m</w:t>
                  </w:r>
                  <w:r>
                    <w:rPr>
                      <w:vertAlign w:val="superscript"/>
                    </w:rPr>
                    <w:t>3</w:t>
                  </w:r>
                  <w:r>
                    <w:t>/a</w:t>
                  </w:r>
                </w:p>
              </w:tc>
              <w:tc>
                <w:tcPr>
                  <w:tcW w:w="1710" w:type="pct"/>
                  <w:vAlign w:val="center"/>
                </w:tcPr>
                <w:p>
                  <w:pPr>
                    <w:adjustRightInd w:val="0"/>
                    <w:snapToGrid w:val="0"/>
                    <w:jc w:val="center"/>
                    <w:rPr>
                      <w:szCs w:val="21"/>
                    </w:rPr>
                  </w:pPr>
                  <w:r>
                    <w:rPr>
                      <w:szCs w:val="21"/>
                    </w:rPr>
                    <w:t>园区供水系统提供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27" w:type="pct"/>
                  <w:vAlign w:val="center"/>
                </w:tcPr>
                <w:p>
                  <w:pPr>
                    <w:widowControl/>
                    <w:adjustRightInd w:val="0"/>
                    <w:snapToGrid w:val="0"/>
                    <w:jc w:val="center"/>
                    <w:rPr>
                      <w:kern w:val="0"/>
                      <w:szCs w:val="21"/>
                    </w:rPr>
                  </w:pPr>
                  <w:r>
                    <w:rPr>
                      <w:rFonts w:hint="eastAsia"/>
                      <w:kern w:val="0"/>
                      <w:szCs w:val="21"/>
                    </w:rPr>
                    <w:t>9</w:t>
                  </w:r>
                </w:p>
              </w:tc>
              <w:tc>
                <w:tcPr>
                  <w:tcW w:w="383" w:type="pct"/>
                  <w:vMerge w:val="continue"/>
                  <w:vAlign w:val="center"/>
                </w:tcPr>
                <w:p>
                  <w:pPr>
                    <w:widowControl/>
                    <w:adjustRightInd w:val="0"/>
                    <w:snapToGrid w:val="0"/>
                    <w:jc w:val="center"/>
                    <w:rPr>
                      <w:kern w:val="0"/>
                      <w:szCs w:val="21"/>
                    </w:rPr>
                  </w:pPr>
                </w:p>
              </w:tc>
              <w:tc>
                <w:tcPr>
                  <w:tcW w:w="1172" w:type="pct"/>
                  <w:vAlign w:val="center"/>
                </w:tcPr>
                <w:p>
                  <w:pPr>
                    <w:widowControl/>
                    <w:adjustRightInd w:val="0"/>
                    <w:snapToGrid w:val="0"/>
                    <w:jc w:val="center"/>
                    <w:rPr>
                      <w:kern w:val="0"/>
                      <w:szCs w:val="21"/>
                    </w:rPr>
                  </w:pPr>
                  <w:r>
                    <w:rPr>
                      <w:kern w:val="0"/>
                      <w:szCs w:val="21"/>
                    </w:rPr>
                    <w:t>电</w:t>
                  </w:r>
                </w:p>
              </w:tc>
              <w:tc>
                <w:tcPr>
                  <w:tcW w:w="595" w:type="pct"/>
                  <w:vAlign w:val="center"/>
                </w:tcPr>
                <w:p>
                  <w:pPr>
                    <w:adjustRightInd w:val="0"/>
                    <w:snapToGrid w:val="0"/>
                    <w:jc w:val="center"/>
                    <w:rPr>
                      <w:szCs w:val="21"/>
                    </w:rPr>
                  </w:pPr>
                  <w:r>
                    <w:rPr>
                      <w:rFonts w:hint="eastAsia"/>
                      <w:szCs w:val="21"/>
                    </w:rPr>
                    <w:t>100</w:t>
                  </w:r>
                </w:p>
              </w:tc>
              <w:tc>
                <w:tcPr>
                  <w:tcW w:w="710" w:type="pct"/>
                  <w:vAlign w:val="center"/>
                </w:tcPr>
                <w:p>
                  <w:pPr>
                    <w:pStyle w:val="54"/>
                    <w:snapToGrid w:val="0"/>
                  </w:pPr>
                  <w:r>
                    <w:t>10</w:t>
                  </w:r>
                  <w:r>
                    <w:rPr>
                      <w:vertAlign w:val="superscript"/>
                    </w:rPr>
                    <w:t>4</w:t>
                  </w:r>
                  <w:r>
                    <w:t>kW·h</w:t>
                  </w:r>
                </w:p>
              </w:tc>
              <w:tc>
                <w:tcPr>
                  <w:tcW w:w="1710" w:type="pct"/>
                  <w:vAlign w:val="center"/>
                </w:tcPr>
                <w:p>
                  <w:pPr>
                    <w:adjustRightInd w:val="0"/>
                    <w:snapToGrid w:val="0"/>
                    <w:jc w:val="center"/>
                    <w:rPr>
                      <w:szCs w:val="21"/>
                    </w:rPr>
                  </w:pPr>
                  <w:r>
                    <w:rPr>
                      <w:szCs w:val="21"/>
                    </w:rPr>
                    <w:t>园区供电系统提供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27" w:type="pct"/>
                  <w:vAlign w:val="center"/>
                </w:tcPr>
                <w:p>
                  <w:pPr>
                    <w:widowControl/>
                    <w:adjustRightInd w:val="0"/>
                    <w:snapToGrid w:val="0"/>
                    <w:jc w:val="center"/>
                    <w:rPr>
                      <w:kern w:val="0"/>
                      <w:szCs w:val="21"/>
                    </w:rPr>
                  </w:pPr>
                  <w:r>
                    <w:rPr>
                      <w:rFonts w:hint="eastAsia"/>
                      <w:kern w:val="0"/>
                      <w:szCs w:val="21"/>
                    </w:rPr>
                    <w:t>10</w:t>
                  </w:r>
                </w:p>
              </w:tc>
              <w:tc>
                <w:tcPr>
                  <w:tcW w:w="383" w:type="pct"/>
                  <w:vMerge w:val="continue"/>
                  <w:vAlign w:val="center"/>
                </w:tcPr>
                <w:p>
                  <w:pPr>
                    <w:widowControl/>
                    <w:adjustRightInd w:val="0"/>
                    <w:snapToGrid w:val="0"/>
                    <w:jc w:val="center"/>
                    <w:rPr>
                      <w:kern w:val="0"/>
                      <w:szCs w:val="21"/>
                    </w:rPr>
                  </w:pPr>
                </w:p>
              </w:tc>
              <w:tc>
                <w:tcPr>
                  <w:tcW w:w="1172" w:type="pct"/>
                  <w:vAlign w:val="center"/>
                </w:tcPr>
                <w:p>
                  <w:pPr>
                    <w:widowControl/>
                    <w:adjustRightInd w:val="0"/>
                    <w:snapToGrid w:val="0"/>
                    <w:jc w:val="center"/>
                    <w:rPr>
                      <w:kern w:val="0"/>
                      <w:szCs w:val="21"/>
                    </w:rPr>
                  </w:pPr>
                  <w:r>
                    <w:rPr>
                      <w:rFonts w:hint="eastAsia"/>
                      <w:kern w:val="0"/>
                      <w:szCs w:val="21"/>
                    </w:rPr>
                    <w:t>天然气</w:t>
                  </w:r>
                </w:p>
              </w:tc>
              <w:tc>
                <w:tcPr>
                  <w:tcW w:w="595" w:type="pct"/>
                  <w:vAlign w:val="center"/>
                </w:tcPr>
                <w:p>
                  <w:pPr>
                    <w:adjustRightInd w:val="0"/>
                    <w:snapToGrid w:val="0"/>
                    <w:jc w:val="center"/>
                    <w:rPr>
                      <w:szCs w:val="21"/>
                    </w:rPr>
                  </w:pPr>
                  <w:r>
                    <w:rPr>
                      <w:rFonts w:hint="eastAsia"/>
                      <w:szCs w:val="21"/>
                    </w:rPr>
                    <w:t>19</w:t>
                  </w:r>
                </w:p>
              </w:tc>
              <w:tc>
                <w:tcPr>
                  <w:tcW w:w="710" w:type="pct"/>
                  <w:vAlign w:val="center"/>
                </w:tcPr>
                <w:p>
                  <w:pPr>
                    <w:pStyle w:val="54"/>
                    <w:snapToGrid w:val="0"/>
                  </w:pPr>
                  <w:r>
                    <w:rPr>
                      <w:rFonts w:hint="eastAsia"/>
                    </w:rPr>
                    <w:t>万m</w:t>
                  </w:r>
                  <w:r>
                    <w:rPr>
                      <w:rFonts w:hint="eastAsia"/>
                      <w:vertAlign w:val="superscript"/>
                    </w:rPr>
                    <w:t>3</w:t>
                  </w:r>
                  <w:r>
                    <w:rPr>
                      <w:rFonts w:hint="eastAsia"/>
                    </w:rPr>
                    <w:t>/a</w:t>
                  </w:r>
                </w:p>
              </w:tc>
              <w:tc>
                <w:tcPr>
                  <w:tcW w:w="1710" w:type="pct"/>
                  <w:vAlign w:val="center"/>
                </w:tcPr>
                <w:p>
                  <w:pPr>
                    <w:adjustRightInd w:val="0"/>
                    <w:snapToGrid w:val="0"/>
                    <w:jc w:val="center"/>
                    <w:rPr>
                      <w:szCs w:val="21"/>
                    </w:rPr>
                  </w:pPr>
                  <w:r>
                    <w:rPr>
                      <w:rFonts w:hint="eastAsia"/>
                      <w:szCs w:val="21"/>
                    </w:rPr>
                    <w:t>由中裕燃气公司供给</w:t>
                  </w:r>
                </w:p>
              </w:tc>
            </w:tr>
          </w:tbl>
          <w:p>
            <w:pPr>
              <w:widowControl/>
              <w:spacing w:line="360" w:lineRule="auto"/>
              <w:ind w:firstLine="480" w:firstLineChars="200"/>
              <w:textAlignment w:val="baseline"/>
              <w:rPr>
                <w:sz w:val="24"/>
              </w:rPr>
            </w:pPr>
            <w:r>
              <w:rPr>
                <w:sz w:val="24"/>
              </w:rPr>
              <w:t>②主要物料理化性质：</w:t>
            </w:r>
          </w:p>
          <w:p>
            <w:pPr>
              <w:spacing w:line="360" w:lineRule="auto"/>
              <w:ind w:firstLine="482" w:firstLineChars="200"/>
              <w:rPr>
                <w:sz w:val="24"/>
              </w:rPr>
            </w:pPr>
            <w:r>
              <w:rPr>
                <w:rFonts w:hint="eastAsia"/>
                <w:b/>
                <w:bCs/>
                <w:sz w:val="24"/>
              </w:rPr>
              <w:t>环氧树脂粉：</w:t>
            </w:r>
            <w:r>
              <w:rPr>
                <w:rFonts w:hint="eastAsia"/>
                <w:sz w:val="24"/>
              </w:rPr>
              <w:t>本项目所使用的塑粉为聚酯环氧混合型树脂。塑粉购买后直接使用，塑粉成分主要为饱和聚氨酯树脂、环氧树脂、流平剂、安息香、蜡粉、钛白粉、硫酸钡以及其他颜料助剂（无铅、无毒、环保）；根据粉末涂料检验报告（TW212750W1），挥发性有机化合物（VOC）含量（施工状态）≤420g/L，符合《低挥发性有机化合物含量涂料产品技术要求》（GB T 38597-2020）表3无溶剂涂料中VOC含量的要求（VOC含量≤60g/L）。</w:t>
            </w:r>
          </w:p>
          <w:p>
            <w:pPr>
              <w:spacing w:line="360" w:lineRule="auto"/>
              <w:ind w:firstLine="482" w:firstLineChars="200"/>
              <w:rPr>
                <w:b/>
                <w:bCs/>
                <w:sz w:val="24"/>
              </w:rPr>
            </w:pPr>
            <w:r>
              <w:rPr>
                <w:b/>
                <w:bCs/>
                <w:sz w:val="24"/>
              </w:rPr>
              <w:t>机油：</w:t>
            </w:r>
            <w:r>
              <w:rPr>
                <w:sz w:val="24"/>
              </w:rPr>
              <w:t>英文名称：Engine oil，密度约为0.91×10³（kg/m³）能对发动机起到润滑减磨、辅助冷却降温、密封防漏、防锈防蚀、减震缓冲等作用。机油由基础油和添加剂两部分组成。</w:t>
            </w:r>
          </w:p>
          <w:p>
            <w:pPr>
              <w:spacing w:line="360" w:lineRule="auto"/>
              <w:ind w:firstLine="482" w:firstLineChars="200"/>
              <w:rPr>
                <w:b/>
                <w:bCs/>
                <w:sz w:val="24"/>
              </w:rPr>
            </w:pPr>
            <w:r>
              <w:rPr>
                <w:b/>
                <w:bCs/>
                <w:sz w:val="24"/>
              </w:rPr>
              <w:t>切削液：</w:t>
            </w:r>
            <w:r>
              <w:rPr>
                <w:sz w:val="24"/>
              </w:rPr>
              <w:t>切削液（cutting fluid, coolant）是一种用在金属切削、磨加工过程中，用来冷却和润滑刀具和加工件的工业用液体，切削液由多种超强功能助剂经科学复合配合而成，同时具备良好的冷却性能、润滑性能、防锈性能、除油清洗功能、防腐功能、易稀释特点。</w:t>
            </w:r>
            <w:r>
              <w:rPr>
                <w:rFonts w:hint="eastAsia"/>
                <w:sz w:val="24"/>
              </w:rPr>
              <w:t>本项目所购置切削液可直接使用，不用加水稀释。</w:t>
            </w:r>
          </w:p>
          <w:p>
            <w:pPr>
              <w:spacing w:line="360" w:lineRule="auto"/>
              <w:ind w:firstLine="482" w:firstLineChars="200"/>
              <w:rPr>
                <w:b/>
                <w:bCs/>
                <w:sz w:val="24"/>
              </w:rPr>
            </w:pPr>
            <w:r>
              <w:rPr>
                <w:rFonts w:hint="eastAsia"/>
                <w:b/>
                <w:sz w:val="24"/>
                <w:szCs w:val="21"/>
              </w:rPr>
              <w:t>天然气：</w:t>
            </w:r>
            <w:r>
              <w:rPr>
                <w:rFonts w:hint="eastAsia"/>
                <w:bCs/>
                <w:sz w:val="24"/>
                <w:szCs w:val="21"/>
              </w:rPr>
              <w:t>天然气是存在于地下岩石储集层中以烃为主体的混合气体的统称，比重约0.65，比空气轻，具有无色、无味、无毒之特性。天然气主要成分烷烃，其中甲烷占绝大多数，另有少量的乙烷、丙烷和丁烷，此外一般有硫化氢、二氧化碳、氮和水气和少量一氧化碳及微量的稀有气体，如氦和氩等。天然气在送到最终用户之前，为助于泄漏检测，还要用硫醇、四氢噻吩等来给天然气添加气味。天然气不溶于水，密度为0.7174kg/Nm</w:t>
            </w:r>
            <w:r>
              <w:rPr>
                <w:rFonts w:hint="eastAsia"/>
                <w:bCs/>
                <w:sz w:val="24"/>
                <w:szCs w:val="21"/>
                <w:vertAlign w:val="superscript"/>
              </w:rPr>
              <w:t>3</w:t>
            </w:r>
            <w:r>
              <w:rPr>
                <w:rFonts w:hint="eastAsia"/>
                <w:bCs/>
                <w:sz w:val="24"/>
                <w:szCs w:val="21"/>
              </w:rPr>
              <w:t>，相对密度（水）为约0.45(液化)燃点(℃)为650，爆炸极限(V%)为5-15。在标准状况下，甲烷至丁烷以气体状态存在，戊烷以上为液体。甲烷是最短和最轻的烃分子。天然气每立方燃烧热值为8000大卡至8500大卡，天然气成分表见表19。</w:t>
            </w:r>
          </w:p>
          <w:p>
            <w:pPr>
              <w:ind w:firstLine="482" w:firstLineChars="200"/>
              <w:jc w:val="center"/>
              <w:rPr>
                <w:b/>
                <w:bCs/>
                <w:sz w:val="24"/>
              </w:rPr>
            </w:pPr>
            <w:r>
              <w:rPr>
                <w:b/>
                <w:bCs/>
                <w:sz w:val="24"/>
              </w:rPr>
              <w:t>表1</w:t>
            </w:r>
            <w:r>
              <w:rPr>
                <w:rFonts w:hint="eastAsia"/>
                <w:b/>
                <w:bCs/>
                <w:sz w:val="24"/>
              </w:rPr>
              <w:t>9</w:t>
            </w:r>
            <w:r>
              <w:rPr>
                <w:b/>
                <w:bCs/>
                <w:sz w:val="24"/>
              </w:rPr>
              <w:t xml:space="preserve">  项目天然气成分一览表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919"/>
              <w:gridCol w:w="2730"/>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rPr>
                      <w:b/>
                      <w:bCs/>
                      <w:snapToGrid w:val="0"/>
                    </w:rPr>
                  </w:pPr>
                  <w:r>
                    <w:rPr>
                      <w:b/>
                      <w:bCs/>
                      <w:snapToGrid w:val="0"/>
                    </w:rPr>
                    <w:t>组分</w:t>
                  </w:r>
                </w:p>
              </w:tc>
              <w:tc>
                <w:tcPr>
                  <w:tcW w:w="1145" w:type="pct"/>
                  <w:vAlign w:val="center"/>
                </w:tcPr>
                <w:p>
                  <w:pPr>
                    <w:pStyle w:val="68"/>
                    <w:rPr>
                      <w:b/>
                      <w:bCs/>
                      <w:snapToGrid w:val="0"/>
                    </w:rPr>
                  </w:pPr>
                  <w:r>
                    <w:rPr>
                      <w:b/>
                      <w:bCs/>
                      <w:snapToGrid w:val="0"/>
                    </w:rPr>
                    <w:t>（%mol）</w:t>
                  </w:r>
                </w:p>
              </w:tc>
              <w:tc>
                <w:tcPr>
                  <w:tcW w:w="1629" w:type="pct"/>
                  <w:vAlign w:val="center"/>
                </w:tcPr>
                <w:p>
                  <w:pPr>
                    <w:pStyle w:val="68"/>
                    <w:rPr>
                      <w:b/>
                      <w:bCs/>
                      <w:snapToGrid w:val="0"/>
                    </w:rPr>
                  </w:pPr>
                  <w:r>
                    <w:rPr>
                      <w:b/>
                      <w:bCs/>
                      <w:snapToGrid w:val="0"/>
                    </w:rPr>
                    <w:t>组分</w:t>
                  </w:r>
                </w:p>
              </w:tc>
              <w:tc>
                <w:tcPr>
                  <w:tcW w:w="1407" w:type="pct"/>
                  <w:vAlign w:val="center"/>
                </w:tcPr>
                <w:p>
                  <w:pPr>
                    <w:pStyle w:val="68"/>
                    <w:rPr>
                      <w:b/>
                      <w:bCs/>
                      <w:snapToGrid w:val="0"/>
                    </w:rPr>
                  </w:pPr>
                  <w:r>
                    <w:rPr>
                      <w:b/>
                      <w:bCs/>
                      <w:snapToGrid w:val="0"/>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rPr>
                      <w:snapToGrid w:val="0"/>
                    </w:rPr>
                  </w:pPr>
                  <w:r>
                    <w:rPr>
                      <w:snapToGrid w:val="0"/>
                    </w:rPr>
                    <w:t>甲烷</w:t>
                  </w:r>
                </w:p>
              </w:tc>
              <w:tc>
                <w:tcPr>
                  <w:tcW w:w="1145" w:type="pct"/>
                  <w:vAlign w:val="center"/>
                </w:tcPr>
                <w:p>
                  <w:pPr>
                    <w:pStyle w:val="68"/>
                    <w:rPr>
                      <w:snapToGrid w:val="0"/>
                    </w:rPr>
                  </w:pPr>
                  <w:r>
                    <w:rPr>
                      <w:snapToGrid w:val="0"/>
                    </w:rPr>
                    <w:t>93.0244</w:t>
                  </w:r>
                </w:p>
              </w:tc>
              <w:tc>
                <w:tcPr>
                  <w:tcW w:w="1629" w:type="pct"/>
                  <w:vAlign w:val="center"/>
                </w:tcPr>
                <w:p>
                  <w:pPr>
                    <w:pStyle w:val="68"/>
                  </w:pPr>
                  <w:r>
                    <w:t>氮气</w:t>
                  </w:r>
                </w:p>
              </w:tc>
              <w:tc>
                <w:tcPr>
                  <w:tcW w:w="1407" w:type="pct"/>
                  <w:vAlign w:val="center"/>
                </w:tcPr>
                <w:p>
                  <w:pPr>
                    <w:pStyle w:val="68"/>
                  </w:pPr>
                  <w:r>
                    <w:t>0.6247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乙烷</w:t>
                  </w:r>
                </w:p>
              </w:tc>
              <w:tc>
                <w:tcPr>
                  <w:tcW w:w="1145" w:type="pct"/>
                  <w:vAlign w:val="center"/>
                </w:tcPr>
                <w:p>
                  <w:pPr>
                    <w:pStyle w:val="68"/>
                  </w:pPr>
                  <w:r>
                    <w:t>3.6709</w:t>
                  </w:r>
                </w:p>
              </w:tc>
              <w:tc>
                <w:tcPr>
                  <w:tcW w:w="1629" w:type="pct"/>
                  <w:vAlign w:val="center"/>
                </w:tcPr>
                <w:p>
                  <w:pPr>
                    <w:pStyle w:val="68"/>
                  </w:pPr>
                  <w:r>
                    <w:t>二氧化碳</w:t>
                  </w:r>
                </w:p>
              </w:tc>
              <w:tc>
                <w:tcPr>
                  <w:tcW w:w="1407" w:type="pct"/>
                  <w:vAlign w:val="center"/>
                </w:tcPr>
                <w:p>
                  <w:pPr>
                    <w:pStyle w:val="68"/>
                  </w:pPr>
                  <w:r>
                    <w:t>1.6396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丙烷</w:t>
                  </w:r>
                </w:p>
              </w:tc>
              <w:tc>
                <w:tcPr>
                  <w:tcW w:w="1145" w:type="pct"/>
                  <w:vAlign w:val="center"/>
                </w:tcPr>
                <w:p>
                  <w:pPr>
                    <w:pStyle w:val="68"/>
                  </w:pPr>
                  <w:r>
                    <w:t>0.6590</w:t>
                  </w:r>
                </w:p>
              </w:tc>
              <w:tc>
                <w:tcPr>
                  <w:tcW w:w="1629" w:type="pct"/>
                  <w:vAlign w:val="center"/>
                </w:tcPr>
                <w:p>
                  <w:pPr>
                    <w:pStyle w:val="68"/>
                  </w:pPr>
                  <w:r>
                    <w:t>高热值</w:t>
                  </w:r>
                </w:p>
              </w:tc>
              <w:tc>
                <w:tcPr>
                  <w:tcW w:w="1407" w:type="pct"/>
                  <w:vAlign w:val="center"/>
                </w:tcPr>
                <w:p>
                  <w:pPr>
                    <w:pStyle w:val="68"/>
                  </w:pPr>
                  <w:r>
                    <w:t>38.0708</w:t>
                  </w:r>
                  <w:r>
                    <w:rPr>
                      <w:snapToGrid w:val="0"/>
                    </w:rPr>
                    <w:t>MJ/m</w:t>
                  </w:r>
                  <w:r>
                    <w:rPr>
                      <w:snapToGrid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正丁烷</w:t>
                  </w:r>
                </w:p>
              </w:tc>
              <w:tc>
                <w:tcPr>
                  <w:tcW w:w="1145" w:type="pct"/>
                  <w:vAlign w:val="center"/>
                </w:tcPr>
                <w:p>
                  <w:pPr>
                    <w:pStyle w:val="68"/>
                  </w:pPr>
                  <w:r>
                    <w:t>0.1131</w:t>
                  </w:r>
                </w:p>
              </w:tc>
              <w:tc>
                <w:tcPr>
                  <w:tcW w:w="1629" w:type="pct"/>
                  <w:vAlign w:val="center"/>
                </w:tcPr>
                <w:p>
                  <w:pPr>
                    <w:pStyle w:val="68"/>
                  </w:pPr>
                  <w:r>
                    <w:t>低热值</w:t>
                  </w:r>
                </w:p>
              </w:tc>
              <w:tc>
                <w:tcPr>
                  <w:tcW w:w="1407" w:type="pct"/>
                  <w:vAlign w:val="center"/>
                </w:tcPr>
                <w:p>
                  <w:pPr>
                    <w:pStyle w:val="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异丁烷</w:t>
                  </w:r>
                </w:p>
              </w:tc>
              <w:tc>
                <w:tcPr>
                  <w:tcW w:w="1145" w:type="pct"/>
                  <w:vAlign w:val="center"/>
                </w:tcPr>
                <w:p>
                  <w:pPr>
                    <w:pStyle w:val="68"/>
                  </w:pPr>
                  <w:r>
                    <w:t>0.1135</w:t>
                  </w:r>
                </w:p>
              </w:tc>
              <w:tc>
                <w:tcPr>
                  <w:tcW w:w="1629" w:type="pct"/>
                  <w:vAlign w:val="center"/>
                </w:tcPr>
                <w:p>
                  <w:pPr>
                    <w:pStyle w:val="68"/>
                  </w:pPr>
                  <w:r>
                    <w:t>水露点</w:t>
                  </w:r>
                </w:p>
              </w:tc>
              <w:tc>
                <w:tcPr>
                  <w:tcW w:w="1407" w:type="pct"/>
                  <w:vAlign w:val="center"/>
                </w:tcPr>
                <w:p>
                  <w:pPr>
                    <w:pStyle w:val="68"/>
                  </w:pPr>
                  <w: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正戊烷</w:t>
                  </w:r>
                </w:p>
              </w:tc>
              <w:tc>
                <w:tcPr>
                  <w:tcW w:w="1145" w:type="pct"/>
                  <w:vAlign w:val="center"/>
                </w:tcPr>
                <w:p>
                  <w:pPr>
                    <w:pStyle w:val="68"/>
                  </w:pPr>
                  <w:r>
                    <w:t>0.0997</w:t>
                  </w:r>
                </w:p>
              </w:tc>
              <w:tc>
                <w:tcPr>
                  <w:tcW w:w="1629" w:type="pct"/>
                  <w:vAlign w:val="center"/>
                </w:tcPr>
                <w:p>
                  <w:pPr>
                    <w:pStyle w:val="68"/>
                  </w:pPr>
                  <w:r>
                    <w:t>相对密度</w:t>
                  </w:r>
                </w:p>
              </w:tc>
              <w:tc>
                <w:tcPr>
                  <w:tcW w:w="1407" w:type="pct"/>
                  <w:vAlign w:val="center"/>
                </w:tcPr>
                <w:p>
                  <w:pPr>
                    <w:pStyle w:val="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异戊烷</w:t>
                  </w:r>
                </w:p>
              </w:tc>
              <w:tc>
                <w:tcPr>
                  <w:tcW w:w="1145" w:type="pct"/>
                  <w:vAlign w:val="center"/>
                </w:tcPr>
                <w:p>
                  <w:pPr>
                    <w:pStyle w:val="68"/>
                  </w:pPr>
                  <w:r>
                    <w:t>0.0226</w:t>
                  </w:r>
                </w:p>
              </w:tc>
              <w:tc>
                <w:tcPr>
                  <w:tcW w:w="1629" w:type="pct"/>
                  <w:vAlign w:val="center"/>
                </w:tcPr>
                <w:p>
                  <w:pPr>
                    <w:pStyle w:val="68"/>
                  </w:pPr>
                  <w:r>
                    <w:t>高位发热量</w:t>
                  </w:r>
                </w:p>
              </w:tc>
              <w:tc>
                <w:tcPr>
                  <w:tcW w:w="1407" w:type="pct"/>
                  <w:vAlign w:val="center"/>
                </w:tcPr>
                <w:p>
                  <w:pPr>
                    <w:pStyle w:val="68"/>
                  </w:pPr>
                  <w:r>
                    <w:rPr>
                      <w:snapToGrid w:val="0"/>
                    </w:rPr>
                    <w:t>＞31.4MJ/m</w:t>
                  </w:r>
                  <w:r>
                    <w:rPr>
                      <w:snapToGrid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7" w:type="pct"/>
                  <w:vAlign w:val="center"/>
                </w:tcPr>
                <w:p>
                  <w:pPr>
                    <w:pStyle w:val="68"/>
                  </w:pPr>
                  <w:r>
                    <w:t>辛戊烷</w:t>
                  </w:r>
                </w:p>
              </w:tc>
              <w:tc>
                <w:tcPr>
                  <w:tcW w:w="1145" w:type="pct"/>
                  <w:vAlign w:val="center"/>
                </w:tcPr>
                <w:p>
                  <w:pPr>
                    <w:pStyle w:val="68"/>
                  </w:pPr>
                  <w:r>
                    <w:t>0.0488</w:t>
                  </w:r>
                </w:p>
              </w:tc>
              <w:tc>
                <w:tcPr>
                  <w:tcW w:w="1629" w:type="pct"/>
                  <w:vAlign w:val="center"/>
                </w:tcPr>
                <w:p>
                  <w:pPr>
                    <w:pStyle w:val="68"/>
                  </w:pPr>
                  <w:r>
                    <w:t>总硫（以硫计）</w:t>
                  </w:r>
                </w:p>
              </w:tc>
              <w:tc>
                <w:tcPr>
                  <w:tcW w:w="1407" w:type="pct"/>
                  <w:vAlign w:val="center"/>
                </w:tcPr>
                <w:p>
                  <w:pPr>
                    <w:pStyle w:val="68"/>
                  </w:pPr>
                  <w:r>
                    <w:rPr>
                      <w:snapToGrid w:val="0"/>
                    </w:rPr>
                    <w:t>≤200mg/m</w:t>
                  </w:r>
                  <w:r>
                    <w:rPr>
                      <w:snapToGrid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17" w:type="pct"/>
                  <w:vAlign w:val="center"/>
                </w:tcPr>
                <w:p>
                  <w:pPr>
                    <w:pStyle w:val="68"/>
                  </w:pPr>
                  <w:r>
                    <w:t>C</w:t>
                  </w:r>
                  <w:r>
                    <w:rPr>
                      <w:vertAlign w:val="subscript"/>
                    </w:rPr>
                    <w:t>6</w:t>
                  </w:r>
                  <w:r>
                    <w:rPr>
                      <w:vertAlign w:val="superscript"/>
                    </w:rPr>
                    <w:t>+</w:t>
                  </w:r>
                </w:p>
              </w:tc>
              <w:tc>
                <w:tcPr>
                  <w:tcW w:w="1145" w:type="pct"/>
                  <w:vAlign w:val="center"/>
                </w:tcPr>
                <w:p>
                  <w:pPr>
                    <w:pStyle w:val="68"/>
                  </w:pPr>
                  <w:r>
                    <w:t>0.0834</w:t>
                  </w:r>
                </w:p>
              </w:tc>
              <w:tc>
                <w:tcPr>
                  <w:tcW w:w="1629" w:type="pct"/>
                  <w:vAlign w:val="center"/>
                </w:tcPr>
                <w:p>
                  <w:pPr>
                    <w:pStyle w:val="68"/>
                    <w:rPr>
                      <w:b/>
                      <w:bCs/>
                    </w:rPr>
                  </w:pPr>
                  <w:r>
                    <w:rPr>
                      <w:b/>
                      <w:bCs/>
                    </w:rPr>
                    <w:t>硫化氢</w:t>
                  </w:r>
                </w:p>
              </w:tc>
              <w:tc>
                <w:tcPr>
                  <w:tcW w:w="1407" w:type="pct"/>
                  <w:vAlign w:val="center"/>
                </w:tcPr>
                <w:p>
                  <w:pPr>
                    <w:pStyle w:val="68"/>
                    <w:rPr>
                      <w:b/>
                      <w:bCs/>
                    </w:rPr>
                  </w:pPr>
                  <w:r>
                    <w:rPr>
                      <w:b/>
                      <w:bCs/>
                      <w:snapToGrid w:val="0"/>
                    </w:rPr>
                    <w:t>≤20mg/m</w:t>
                  </w:r>
                  <w:r>
                    <w:rPr>
                      <w:b/>
                      <w:bCs/>
                      <w:snapToGrid w:val="0"/>
                      <w:vertAlign w:val="superscript"/>
                    </w:rPr>
                    <w:t>3</w:t>
                  </w:r>
                </w:p>
              </w:tc>
            </w:tr>
          </w:tbl>
          <w:p>
            <w:pPr>
              <w:spacing w:line="360" w:lineRule="auto"/>
              <w:ind w:firstLine="482" w:firstLineChars="200"/>
              <w:rPr>
                <w:b/>
                <w:sz w:val="24"/>
                <w:szCs w:val="21"/>
              </w:rPr>
            </w:pPr>
            <w:r>
              <w:rPr>
                <w:b/>
                <w:sz w:val="24"/>
                <w:szCs w:val="21"/>
              </w:rPr>
              <w:t>8、公用工程</w:t>
            </w:r>
          </w:p>
          <w:p>
            <w:pPr>
              <w:spacing w:line="360" w:lineRule="auto"/>
              <w:ind w:firstLine="482" w:firstLineChars="200"/>
              <w:rPr>
                <w:b/>
                <w:sz w:val="24"/>
                <w:szCs w:val="21"/>
              </w:rPr>
            </w:pPr>
            <w:r>
              <w:rPr>
                <w:b/>
                <w:sz w:val="24"/>
                <w:szCs w:val="21"/>
              </w:rPr>
              <w:t>（1）给排水</w:t>
            </w:r>
          </w:p>
          <w:p>
            <w:pPr>
              <w:adjustRightInd w:val="0"/>
              <w:snapToGrid w:val="0"/>
              <w:spacing w:line="360" w:lineRule="auto"/>
              <w:ind w:firstLine="480" w:firstLineChars="200"/>
              <w:rPr>
                <w:bCs/>
                <w:sz w:val="24"/>
                <w:szCs w:val="21"/>
              </w:rPr>
            </w:pPr>
            <w:r>
              <w:rPr>
                <w:bCs/>
                <w:sz w:val="24"/>
                <w:szCs w:val="21"/>
              </w:rPr>
              <w:t>①供水</w:t>
            </w:r>
          </w:p>
          <w:p>
            <w:pPr>
              <w:adjustRightInd w:val="0"/>
              <w:snapToGrid w:val="0"/>
              <w:spacing w:line="360" w:lineRule="auto"/>
              <w:ind w:firstLine="480" w:firstLineChars="200"/>
              <w:rPr>
                <w:bCs/>
                <w:sz w:val="24"/>
                <w:szCs w:val="21"/>
              </w:rPr>
            </w:pPr>
            <w:r>
              <w:rPr>
                <w:bCs/>
                <w:sz w:val="24"/>
                <w:szCs w:val="21"/>
              </w:rPr>
              <w:t>本项目用水由园区供水管网供给，可满足项目用水需求。</w:t>
            </w:r>
            <w:r>
              <w:rPr>
                <w:bCs/>
                <w:sz w:val="24"/>
              </w:rPr>
              <w:t>项目生产无需用水，用水主要为职工生活用水，</w:t>
            </w:r>
            <w:r>
              <w:rPr>
                <w:sz w:val="24"/>
              </w:rPr>
              <w:t>根据河北省用水定额《生活与服务业用水定额 第1部分：居民生活》（DT13/T5450.1-2021）中规定的用水标准，生活用水量按50L/d·人计。本项目共有员工</w:t>
            </w:r>
            <w:r>
              <w:rPr>
                <w:rFonts w:hint="eastAsia"/>
                <w:sz w:val="24"/>
              </w:rPr>
              <w:t>60</w:t>
            </w:r>
            <w:r>
              <w:rPr>
                <w:sz w:val="24"/>
              </w:rPr>
              <w:t>人，则新鲜水用量</w:t>
            </w:r>
            <w:r>
              <w:rPr>
                <w:rFonts w:hint="eastAsia"/>
                <w:sz w:val="24"/>
              </w:rPr>
              <w:t>3</w:t>
            </w:r>
            <w:r>
              <w:rPr>
                <w:sz w:val="24"/>
              </w:rPr>
              <w:t>m</w:t>
            </w:r>
            <w:r>
              <w:rPr>
                <w:sz w:val="24"/>
                <w:vertAlign w:val="superscript"/>
              </w:rPr>
              <w:t>3</w:t>
            </w:r>
            <w:r>
              <w:rPr>
                <w:sz w:val="24"/>
              </w:rPr>
              <w:t>/d，年用水量</w:t>
            </w:r>
            <w:r>
              <w:rPr>
                <w:rFonts w:hint="eastAsia"/>
                <w:sz w:val="24"/>
              </w:rPr>
              <w:t>900</w:t>
            </w:r>
            <w:r>
              <w:rPr>
                <w:sz w:val="24"/>
              </w:rPr>
              <w:t>m</w:t>
            </w:r>
            <w:r>
              <w:rPr>
                <w:sz w:val="24"/>
                <w:vertAlign w:val="superscript"/>
              </w:rPr>
              <w:t>3</w:t>
            </w:r>
            <w:r>
              <w:rPr>
                <w:sz w:val="24"/>
              </w:rPr>
              <w:t>/a（按300天计）</w:t>
            </w:r>
            <w:r>
              <w:rPr>
                <w:bCs/>
                <w:sz w:val="24"/>
                <w:szCs w:val="21"/>
              </w:rPr>
              <w:t>。</w:t>
            </w:r>
          </w:p>
          <w:p>
            <w:pPr>
              <w:spacing w:line="360" w:lineRule="auto"/>
              <w:ind w:firstLine="480" w:firstLineChars="200"/>
              <w:rPr>
                <w:bCs/>
                <w:sz w:val="24"/>
                <w:szCs w:val="21"/>
              </w:rPr>
            </w:pPr>
            <w:r>
              <w:rPr>
                <w:bCs/>
                <w:sz w:val="24"/>
                <w:szCs w:val="21"/>
              </w:rPr>
              <w:t>②排水</w:t>
            </w:r>
          </w:p>
          <w:p>
            <w:pPr>
              <w:spacing w:line="360" w:lineRule="auto"/>
              <w:ind w:firstLine="480" w:firstLineChars="200"/>
              <w:rPr>
                <w:sz w:val="24"/>
              </w:rPr>
            </w:pPr>
            <w:r>
              <w:rPr>
                <w:sz w:val="24"/>
              </w:rPr>
              <w:t>本项目无生产废水产生及外排，废水主要为职工生活污水。</w:t>
            </w:r>
          </w:p>
          <w:p>
            <w:pPr>
              <w:spacing w:line="360" w:lineRule="auto"/>
              <w:ind w:firstLine="480" w:firstLineChars="200"/>
              <w:rPr>
                <w:sz w:val="24"/>
              </w:rPr>
            </w:pPr>
            <w:r>
              <w:rPr>
                <w:sz w:val="24"/>
              </w:rPr>
              <w:t>职工生活污水产生量按用水量的80%计，即废水产生量</w:t>
            </w:r>
            <w:r>
              <w:rPr>
                <w:rFonts w:hint="eastAsia"/>
                <w:sz w:val="24"/>
              </w:rPr>
              <w:t>2.4</w:t>
            </w:r>
            <w:r>
              <w:rPr>
                <w:sz w:val="24"/>
              </w:rPr>
              <w:t>m</w:t>
            </w:r>
            <w:r>
              <w:rPr>
                <w:sz w:val="24"/>
                <w:vertAlign w:val="superscript"/>
              </w:rPr>
              <w:t>3</w:t>
            </w:r>
            <w:r>
              <w:rPr>
                <w:sz w:val="24"/>
              </w:rPr>
              <w:t>/d（</w:t>
            </w:r>
            <w:r>
              <w:rPr>
                <w:rFonts w:hint="eastAsia"/>
                <w:sz w:val="24"/>
              </w:rPr>
              <w:t>720</w:t>
            </w:r>
            <w:r>
              <w:rPr>
                <w:sz w:val="24"/>
              </w:rPr>
              <w:t>m</w:t>
            </w:r>
            <w:r>
              <w:rPr>
                <w:sz w:val="24"/>
                <w:vertAlign w:val="superscript"/>
              </w:rPr>
              <w:t>3</w:t>
            </w:r>
            <w:r>
              <w:rPr>
                <w:sz w:val="24"/>
              </w:rPr>
              <w:t>/a），产生量较少且水质简单，经厂内化粪池处理后，进入污水管网，排入</w:t>
            </w:r>
            <w:r>
              <w:rPr>
                <w:rFonts w:hint="eastAsia"/>
                <w:sz w:val="24"/>
              </w:rPr>
              <w:t>新河县城东污水处理厂</w:t>
            </w:r>
            <w:r>
              <w:rPr>
                <w:sz w:val="24"/>
              </w:rPr>
              <w:t>进一步处理。</w:t>
            </w:r>
          </w:p>
          <w:p>
            <w:pPr>
              <w:spacing w:line="360" w:lineRule="auto"/>
              <w:ind w:firstLine="480" w:firstLineChars="200"/>
              <w:rPr>
                <w:sz w:val="24"/>
              </w:rPr>
            </w:pPr>
            <w:r>
              <w:rPr>
                <w:sz w:val="24"/>
              </w:rPr>
              <w:t>本项目给排水平衡情况见图2。</w:t>
            </w:r>
          </w:p>
          <w:p>
            <w:pPr>
              <w:widowControl/>
              <w:spacing w:line="360" w:lineRule="auto"/>
              <w:jc w:val="center"/>
              <w:textAlignment w:val="baseline"/>
              <w:rPr>
                <w:szCs w:val="21"/>
              </w:rPr>
            </w:pPr>
            <w:r>
              <w:rPr>
                <w:szCs w:val="21"/>
              </w:rPr>
              <w:object>
                <v:shape id="_x0000_i1025" o:spt="75" type="#_x0000_t75" style="height:78pt;width:348.45pt;" o:ole="t" filled="f" o:preferrelative="t" stroked="f" coordsize="21600,21600">
                  <v:path/>
                  <v:fill on="f" focussize="0,0"/>
                  <v:stroke on="f" joinstyle="miter"/>
                  <v:imagedata r:id="rId12" croptop="23243f" cropbottom="24524f" o:title=""/>
                  <o:lock v:ext="edit" aspectratio="f"/>
                  <w10:wrap type="none"/>
                  <w10:anchorlock/>
                </v:shape>
                <o:OLEObject Type="Embed" ProgID="Visio.Drawing.11" ShapeID="_x0000_i1025" DrawAspect="Content" ObjectID="_1468075725">
                  <o:LockedField>false</o:LockedField>
                </o:OLEObject>
              </w:object>
            </w:r>
          </w:p>
          <w:p>
            <w:pPr>
              <w:widowControl/>
              <w:spacing w:line="360" w:lineRule="auto"/>
              <w:jc w:val="center"/>
              <w:textAlignment w:val="baseline"/>
              <w:rPr>
                <w:b/>
                <w:bCs/>
                <w:sz w:val="24"/>
                <w:szCs w:val="32"/>
              </w:rPr>
            </w:pPr>
            <w:r>
              <w:rPr>
                <w:b/>
                <w:bCs/>
                <w:sz w:val="24"/>
                <w:szCs w:val="32"/>
              </w:rPr>
              <w:t>图2  项目水平衡图</w:t>
            </w:r>
            <w:r>
              <w:rPr>
                <w:b/>
                <w:bCs/>
                <w:szCs w:val="21"/>
              </w:rPr>
              <w:t>（单位：m</w:t>
            </w:r>
            <w:r>
              <w:rPr>
                <w:b/>
                <w:bCs/>
                <w:szCs w:val="21"/>
                <w:vertAlign w:val="superscript"/>
              </w:rPr>
              <w:t>3</w:t>
            </w:r>
            <w:r>
              <w:rPr>
                <w:b/>
                <w:bCs/>
                <w:szCs w:val="21"/>
              </w:rPr>
              <w:t>/d）</w:t>
            </w:r>
          </w:p>
          <w:p>
            <w:pPr>
              <w:widowControl/>
              <w:spacing w:line="360" w:lineRule="auto"/>
              <w:ind w:firstLine="482" w:firstLineChars="200"/>
              <w:textAlignment w:val="baseline"/>
              <w:rPr>
                <w:b/>
                <w:bCs/>
                <w:sz w:val="24"/>
              </w:rPr>
            </w:pPr>
            <w:r>
              <w:rPr>
                <w:b/>
                <w:bCs/>
                <w:sz w:val="24"/>
              </w:rPr>
              <w:t>（2）供电</w:t>
            </w:r>
          </w:p>
          <w:p>
            <w:pPr>
              <w:widowControl/>
              <w:spacing w:line="360" w:lineRule="auto"/>
              <w:ind w:firstLine="480" w:firstLineChars="200"/>
              <w:textAlignment w:val="baseline"/>
              <w:rPr>
                <w:bCs/>
                <w:sz w:val="24"/>
              </w:rPr>
            </w:pPr>
            <w:r>
              <w:rPr>
                <w:bCs/>
                <w:sz w:val="24"/>
              </w:rPr>
              <w:t>本项目用电由园区供电系统提供，年耗电量</w:t>
            </w:r>
            <w:r>
              <w:rPr>
                <w:rFonts w:hint="eastAsia"/>
                <w:bCs/>
                <w:sz w:val="24"/>
              </w:rPr>
              <w:t>100</w:t>
            </w:r>
            <w:r>
              <w:rPr>
                <w:bCs/>
                <w:sz w:val="24"/>
              </w:rPr>
              <w:t>万kW•h，可满足本项目用电需求。</w:t>
            </w:r>
          </w:p>
          <w:p>
            <w:pPr>
              <w:widowControl/>
              <w:spacing w:line="360" w:lineRule="auto"/>
              <w:ind w:firstLine="482" w:firstLineChars="200"/>
              <w:textAlignment w:val="baseline"/>
              <w:rPr>
                <w:b/>
                <w:bCs/>
                <w:sz w:val="24"/>
              </w:rPr>
            </w:pPr>
            <w:r>
              <w:rPr>
                <w:b/>
                <w:bCs/>
                <w:sz w:val="24"/>
              </w:rPr>
              <w:t>（3）供热、制冷</w:t>
            </w:r>
          </w:p>
          <w:p>
            <w:pPr>
              <w:widowControl/>
              <w:spacing w:line="360" w:lineRule="auto"/>
              <w:ind w:firstLine="480" w:firstLineChars="200"/>
              <w:textAlignment w:val="baseline"/>
              <w:rPr>
                <w:bCs/>
                <w:sz w:val="24"/>
              </w:rPr>
            </w:pPr>
            <w:r>
              <w:rPr>
                <w:bCs/>
                <w:sz w:val="24"/>
              </w:rPr>
              <w:t>项目生产用热采用天然气</w:t>
            </w:r>
            <w:r>
              <w:rPr>
                <w:rFonts w:hint="eastAsia"/>
                <w:sz w:val="24"/>
                <w:szCs w:val="32"/>
              </w:rPr>
              <w:t>热风炉</w:t>
            </w:r>
            <w:r>
              <w:rPr>
                <w:bCs/>
                <w:sz w:val="24"/>
              </w:rPr>
              <w:t>进行加热，</w:t>
            </w:r>
            <w:r>
              <w:rPr>
                <w:rFonts w:hint="eastAsia"/>
                <w:bCs/>
                <w:sz w:val="24"/>
              </w:rPr>
              <w:t>热风炉配备的</w:t>
            </w:r>
            <w:r>
              <w:rPr>
                <w:bCs/>
                <w:sz w:val="24"/>
              </w:rPr>
              <w:t>天然气燃烧器型号RS45，年耗天燃气约19万m</w:t>
            </w:r>
            <w:r>
              <w:rPr>
                <w:bCs/>
                <w:sz w:val="24"/>
                <w:vertAlign w:val="superscript"/>
              </w:rPr>
              <w:t>3</w:t>
            </w:r>
            <w:r>
              <w:rPr>
                <w:bCs/>
                <w:sz w:val="24"/>
              </w:rPr>
              <w:t>，职工办公生活采暖及制冷均使用空调。</w:t>
            </w:r>
          </w:p>
          <w:p>
            <w:pPr>
              <w:widowControl/>
              <w:spacing w:line="360" w:lineRule="auto"/>
              <w:ind w:firstLine="482" w:firstLineChars="200"/>
              <w:textAlignment w:val="baseline"/>
              <w:rPr>
                <w:b/>
                <w:bCs/>
                <w:sz w:val="24"/>
              </w:rPr>
            </w:pPr>
            <w:r>
              <w:rPr>
                <w:b/>
                <w:bCs/>
                <w:sz w:val="24"/>
              </w:rPr>
              <w:t>9、劳动定员及生产制度</w:t>
            </w:r>
          </w:p>
          <w:p>
            <w:pPr>
              <w:adjustRightInd w:val="0"/>
              <w:snapToGrid w:val="0"/>
              <w:spacing w:line="360" w:lineRule="auto"/>
              <w:ind w:firstLine="480" w:firstLineChars="200"/>
              <w:rPr>
                <w:bCs/>
                <w:sz w:val="24"/>
                <w:szCs w:val="21"/>
              </w:rPr>
            </w:pPr>
            <w:r>
              <w:rPr>
                <w:bCs/>
                <w:sz w:val="24"/>
                <w:szCs w:val="21"/>
              </w:rPr>
              <w:t>本项目劳动定员</w:t>
            </w:r>
            <w:r>
              <w:rPr>
                <w:rFonts w:hint="eastAsia"/>
                <w:bCs/>
                <w:sz w:val="24"/>
                <w:szCs w:val="21"/>
              </w:rPr>
              <w:t>60</w:t>
            </w:r>
            <w:r>
              <w:rPr>
                <w:bCs/>
                <w:sz w:val="24"/>
                <w:szCs w:val="21"/>
              </w:rPr>
              <w:t>人，年工作300天，1班工作制，每班</w:t>
            </w:r>
            <w:r>
              <w:rPr>
                <w:rFonts w:hint="eastAsia"/>
                <w:bCs/>
                <w:sz w:val="24"/>
                <w:szCs w:val="21"/>
              </w:rPr>
              <w:t>12</w:t>
            </w:r>
            <w:r>
              <w:rPr>
                <w:bCs/>
                <w:sz w:val="24"/>
                <w:szCs w:val="21"/>
              </w:rPr>
              <w:t>小时。</w:t>
            </w:r>
          </w:p>
          <w:p>
            <w:pPr>
              <w:adjustRightInd w:val="0"/>
              <w:snapToGrid w:val="0"/>
              <w:spacing w:line="360" w:lineRule="auto"/>
              <w:ind w:firstLine="482" w:firstLineChars="200"/>
              <w:rPr>
                <w:b/>
                <w:sz w:val="24"/>
                <w:szCs w:val="21"/>
              </w:rPr>
            </w:pPr>
            <w:r>
              <w:rPr>
                <w:b/>
                <w:sz w:val="24"/>
                <w:szCs w:val="21"/>
              </w:rPr>
              <w:t>10、平面布置</w:t>
            </w:r>
          </w:p>
          <w:p>
            <w:pPr>
              <w:adjustRightInd w:val="0"/>
              <w:snapToGrid w:val="0"/>
              <w:spacing w:line="360" w:lineRule="auto"/>
              <w:ind w:firstLine="480" w:firstLineChars="200"/>
              <w:rPr>
                <w:bCs/>
                <w:sz w:val="24"/>
                <w:szCs w:val="21"/>
              </w:rPr>
            </w:pPr>
            <w:r>
              <w:rPr>
                <w:bCs/>
                <w:sz w:val="24"/>
                <w:szCs w:val="21"/>
              </w:rPr>
              <w:t>本项目占地</w:t>
            </w:r>
            <w:r>
              <w:rPr>
                <w:rFonts w:hint="eastAsia"/>
                <w:bCs/>
                <w:sz w:val="24"/>
                <w:szCs w:val="21"/>
              </w:rPr>
              <w:t>26.4亩</w:t>
            </w:r>
            <w:r>
              <w:rPr>
                <w:bCs/>
                <w:sz w:val="24"/>
                <w:szCs w:val="21"/>
              </w:rPr>
              <w:t>，总建筑面积</w:t>
            </w:r>
            <w:r>
              <w:rPr>
                <w:rFonts w:hint="eastAsia"/>
                <w:bCs/>
                <w:sz w:val="24"/>
                <w:szCs w:val="21"/>
              </w:rPr>
              <w:t>28000</w:t>
            </w:r>
            <w:r>
              <w:rPr>
                <w:bCs/>
                <w:sz w:val="24"/>
                <w:szCs w:val="21"/>
              </w:rPr>
              <w:t>平方米。生产车间位于厂区中部，办公楼位于厂区</w:t>
            </w:r>
            <w:r>
              <w:rPr>
                <w:rFonts w:hint="eastAsia"/>
                <w:bCs/>
                <w:sz w:val="24"/>
                <w:szCs w:val="21"/>
              </w:rPr>
              <w:t>南</w:t>
            </w:r>
            <w:r>
              <w:rPr>
                <w:bCs/>
                <w:sz w:val="24"/>
                <w:szCs w:val="21"/>
              </w:rPr>
              <w:t>侧，危废暂存间位于</w:t>
            </w:r>
            <w:r>
              <w:rPr>
                <w:rFonts w:hint="eastAsia"/>
                <w:bCs/>
                <w:sz w:val="24"/>
                <w:szCs w:val="21"/>
              </w:rPr>
              <w:t>生产车间</w:t>
            </w:r>
            <w:r>
              <w:rPr>
                <w:bCs/>
                <w:sz w:val="24"/>
                <w:szCs w:val="21"/>
              </w:rPr>
              <w:t>内西北角</w:t>
            </w:r>
            <w:r>
              <w:rPr>
                <w:rFonts w:hint="eastAsia"/>
                <w:bCs/>
                <w:sz w:val="24"/>
                <w:szCs w:val="21"/>
              </w:rPr>
              <w:t>，原料库位于生产车间西南角</w:t>
            </w:r>
            <w:r>
              <w:rPr>
                <w:bCs/>
                <w:sz w:val="24"/>
                <w:szCs w:val="21"/>
              </w:rPr>
              <w:t>。项目具体平面布置图详见附图3。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Cs w:val="21"/>
              </w:rPr>
            </w:pPr>
            <w:r>
              <w:rPr>
                <w:rFonts w:ascii="Times New Roman" w:hAnsi="Times New Roman"/>
                <w:szCs w:val="21"/>
              </w:rPr>
              <w:t>工艺流程和产排污环节</w:t>
            </w:r>
          </w:p>
        </w:tc>
        <w:tc>
          <w:tcPr>
            <w:tcW w:w="8161" w:type="dxa"/>
          </w:tcPr>
          <w:p>
            <w:pPr>
              <w:adjustRightInd w:val="0"/>
              <w:snapToGrid w:val="0"/>
              <w:spacing w:line="360" w:lineRule="auto"/>
              <w:ind w:firstLine="480" w:firstLineChars="200"/>
              <w:rPr>
                <w:sz w:val="24"/>
              </w:rPr>
            </w:pPr>
            <w:r>
              <w:rPr>
                <w:sz w:val="24"/>
              </w:rPr>
              <w:t>（1）生产工艺</w:t>
            </w:r>
          </w:p>
          <w:p>
            <w:pPr>
              <w:adjustRightInd w:val="0"/>
              <w:snapToGrid w:val="0"/>
              <w:spacing w:line="360" w:lineRule="auto"/>
              <w:ind w:firstLine="480" w:firstLineChars="200"/>
              <w:rPr>
                <w:sz w:val="24"/>
                <w:highlight w:val="yellow"/>
              </w:rPr>
            </w:pPr>
            <w:r>
              <w:rPr>
                <w:sz w:val="24"/>
              </w:rPr>
              <w:t>本项目</w:t>
            </w:r>
            <w:r>
              <w:rPr>
                <w:rFonts w:hint="eastAsia"/>
                <w:sz w:val="24"/>
              </w:rPr>
              <w:t>设置配电箱（柜）生产线</w:t>
            </w:r>
            <w:r>
              <w:rPr>
                <w:sz w:val="24"/>
              </w:rPr>
              <w:t>，</w:t>
            </w:r>
            <w:r>
              <w:rPr>
                <w:rFonts w:hint="eastAsia"/>
                <w:sz w:val="24"/>
              </w:rPr>
              <w:t>进行配电箱（柜）的研发、生产及销售活动；项目生产</w:t>
            </w:r>
            <w:r>
              <w:rPr>
                <w:sz w:val="24"/>
              </w:rPr>
              <w:t>主要工艺为</w:t>
            </w:r>
            <w:r>
              <w:rPr>
                <w:rFonts w:hint="eastAsia"/>
                <w:sz w:val="24"/>
              </w:rPr>
              <w:t>电脑绘图研发、</w:t>
            </w:r>
            <w:r>
              <w:rPr>
                <w:sz w:val="24"/>
              </w:rPr>
              <w:t>下料切割、机械加工、焊接、</w:t>
            </w:r>
            <w:r>
              <w:rPr>
                <w:rFonts w:hint="eastAsia"/>
                <w:sz w:val="24"/>
              </w:rPr>
              <w:t>喷涂、烘干固化</w:t>
            </w:r>
            <w:r>
              <w:rPr>
                <w:sz w:val="24"/>
              </w:rPr>
              <w:t>、组装、调试检测，项目建成后，年产</w:t>
            </w:r>
            <w:r>
              <w:rPr>
                <w:rFonts w:hint="eastAsia"/>
                <w:sz w:val="24"/>
              </w:rPr>
              <w:t>配电箱（柜）20000台</w:t>
            </w:r>
            <w:r>
              <w:rPr>
                <w:sz w:val="24"/>
              </w:rPr>
              <w:t>。</w:t>
            </w:r>
          </w:p>
          <w:p>
            <w:pPr>
              <w:adjustRightInd w:val="0"/>
              <w:snapToGrid w:val="0"/>
              <w:spacing w:line="360" w:lineRule="auto"/>
              <w:ind w:firstLine="480" w:firstLineChars="200"/>
              <w:rPr>
                <w:bCs/>
                <w:sz w:val="24"/>
                <w:szCs w:val="21"/>
              </w:rPr>
            </w:pPr>
            <w:r>
              <w:rPr>
                <w:sz w:val="24"/>
              </w:rPr>
              <w:t>本项目</w:t>
            </w:r>
            <w:r>
              <w:rPr>
                <w:bCs/>
                <w:sz w:val="24"/>
                <w:szCs w:val="21"/>
              </w:rPr>
              <w:t>生产工艺流程情况见图3。</w:t>
            </w:r>
          </w:p>
          <w:p>
            <w:pPr>
              <w:adjustRightInd w:val="0"/>
              <w:snapToGrid w:val="0"/>
              <w:spacing w:line="360" w:lineRule="auto"/>
              <w:jc w:val="right"/>
              <w:rPr>
                <w:b/>
                <w:sz w:val="24"/>
              </w:rPr>
            </w:pPr>
          </w:p>
          <w:p>
            <w:pPr>
              <w:adjustRightInd w:val="0"/>
              <w:snapToGrid w:val="0"/>
              <w:spacing w:line="360" w:lineRule="auto"/>
              <w:jc w:val="right"/>
              <w:rPr>
                <w:b/>
                <w:sz w:val="24"/>
              </w:rPr>
            </w:pPr>
            <w:r>
              <w:rPr>
                <w:b/>
                <w:sz w:val="24"/>
              </w:rPr>
              <w:object>
                <v:shape id="_x0000_i1026" o:spt="75" type="#_x0000_t75" style="height:77.1pt;width:421.85pt;" o:ole="t" filled="f" o:preferrelative="t" stroked="f" coordsize="21600,21600">
                  <v:path/>
                  <v:fill on="f" focussize="0,0"/>
                  <v:stroke on="f" joinstyle="miter"/>
                  <v:imagedata r:id="rId13" o:title=""/>
                  <o:lock v:ext="edit" aspectratio="f"/>
                  <w10:wrap type="none"/>
                  <w10:anchorlock/>
                </v:shape>
                <o:OLEObject Type="Embed" ProgID="Visio.Drawing.11" ShapeID="_x0000_i1026" DrawAspect="Content" ObjectID="_1468075726">
                  <o:LockedField>false</o:LockedField>
                </o:OLEObject>
              </w:object>
            </w:r>
            <w:r>
              <w:rPr>
                <w:bCs/>
                <w:szCs w:val="21"/>
              </w:rPr>
              <w:t>G：废气 N：噪声 S：固废</w:t>
            </w:r>
          </w:p>
          <w:p>
            <w:pPr>
              <w:adjustRightInd w:val="0"/>
              <w:snapToGrid w:val="0"/>
              <w:spacing w:line="360" w:lineRule="auto"/>
              <w:ind w:firstLine="482" w:firstLineChars="200"/>
              <w:jc w:val="center"/>
              <w:rPr>
                <w:bCs/>
                <w:sz w:val="24"/>
              </w:rPr>
            </w:pPr>
            <w:r>
              <w:rPr>
                <w:b/>
                <w:sz w:val="24"/>
              </w:rPr>
              <w:t>图3  项目生产工艺流程及排污节点图</w:t>
            </w:r>
          </w:p>
          <w:p>
            <w:pPr>
              <w:adjustRightInd w:val="0"/>
              <w:snapToGrid w:val="0"/>
              <w:spacing w:line="360" w:lineRule="auto"/>
              <w:ind w:firstLine="480" w:firstLineChars="200"/>
              <w:rPr>
                <w:bCs/>
                <w:sz w:val="24"/>
                <w:szCs w:val="21"/>
              </w:rPr>
            </w:pPr>
            <w:r>
              <w:rPr>
                <w:bCs/>
                <w:sz w:val="24"/>
                <w:szCs w:val="21"/>
              </w:rPr>
              <w:t>生产工艺流程：</w:t>
            </w:r>
          </w:p>
          <w:p>
            <w:pPr>
              <w:pStyle w:val="16"/>
              <w:spacing w:line="360" w:lineRule="auto"/>
              <w:ind w:left="0" w:leftChars="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 1 \* GB3 </w:instrText>
            </w:r>
            <w:r>
              <w:rPr>
                <w:rFonts w:ascii="Times New Roman" w:hAnsi="Times New Roman"/>
                <w:szCs w:val="24"/>
              </w:rPr>
              <w:fldChar w:fldCharType="separate"/>
            </w:r>
            <w:r>
              <w:rPr>
                <w:rFonts w:ascii="Times New Roman" w:hAnsi="Times New Roman"/>
                <w:szCs w:val="24"/>
              </w:rPr>
              <w:t>①</w:t>
            </w:r>
            <w:r>
              <w:rPr>
                <w:rFonts w:ascii="Times New Roman" w:hAnsi="Times New Roman"/>
                <w:szCs w:val="24"/>
              </w:rPr>
              <w:fldChar w:fldCharType="end"/>
            </w:r>
            <w:r>
              <w:rPr>
                <w:rFonts w:hint="eastAsia" w:ascii="Times New Roman" w:hAnsi="Times New Roman"/>
                <w:szCs w:val="24"/>
              </w:rPr>
              <w:t>电脑绘图研发：项目研发主要为电脑绘制设计图等，此工序不会产生污染物。</w:t>
            </w:r>
          </w:p>
          <w:p>
            <w:pPr>
              <w:pStyle w:val="16"/>
              <w:spacing w:line="360" w:lineRule="auto"/>
              <w:ind w:left="0" w:leftChars="0"/>
              <w:jc w:val="both"/>
              <w:rPr>
                <w:rFonts w:ascii="Times New Roman" w:hAnsi="Times New Roman"/>
                <w:szCs w:val="21"/>
              </w:rPr>
            </w:pPr>
            <w:r>
              <w:rPr>
                <w:rFonts w:hint="eastAsia" w:cs="宋体"/>
                <w:szCs w:val="24"/>
              </w:rPr>
              <w:t>②</w:t>
            </w:r>
            <w:r>
              <w:rPr>
                <w:rFonts w:ascii="Times New Roman" w:hAnsi="Times New Roman"/>
                <w:szCs w:val="24"/>
              </w:rPr>
              <w:t>下料切割：</w:t>
            </w:r>
            <w:r>
              <w:rPr>
                <w:rFonts w:hint="eastAsia"/>
              </w:rPr>
              <w:t>根据设计好的产品形态及要求，</w:t>
            </w:r>
            <w:r>
              <w:rPr>
                <w:rFonts w:ascii="Times New Roman" w:hAnsi="Times New Roman"/>
                <w:szCs w:val="24"/>
              </w:rPr>
              <w:t>将入厂的原料（</w:t>
            </w:r>
            <w:r>
              <w:rPr>
                <w:rFonts w:hint="eastAsia" w:ascii="Times New Roman" w:hAnsi="Times New Roman"/>
                <w:szCs w:val="24"/>
              </w:rPr>
              <w:t>钢板</w:t>
            </w:r>
            <w:r>
              <w:rPr>
                <w:rFonts w:ascii="Times New Roman" w:hAnsi="Times New Roman"/>
                <w:szCs w:val="24"/>
              </w:rPr>
              <w:t>）</w:t>
            </w:r>
            <w:r>
              <w:rPr>
                <w:rFonts w:hint="eastAsia"/>
              </w:rPr>
              <w:t>按照图纸尺寸要求</w:t>
            </w:r>
            <w:r>
              <w:rPr>
                <w:rFonts w:ascii="Times New Roman" w:hAnsi="Times New Roman"/>
                <w:szCs w:val="24"/>
              </w:rPr>
              <w:t>通过</w:t>
            </w:r>
            <w:r>
              <w:rPr>
                <w:rFonts w:hint="eastAsia" w:ascii="Times New Roman" w:hAnsi="Times New Roman"/>
                <w:szCs w:val="24"/>
              </w:rPr>
              <w:t>激光</w:t>
            </w:r>
            <w:r>
              <w:rPr>
                <w:rFonts w:ascii="Times New Roman" w:hAnsi="Times New Roman"/>
                <w:szCs w:val="24"/>
              </w:rPr>
              <w:t>切割机进行分切，切割成符合机加工要求的规格，本项目采用</w:t>
            </w:r>
            <w:r>
              <w:rPr>
                <w:rFonts w:hint="eastAsia" w:ascii="Times New Roman" w:hAnsi="Times New Roman"/>
                <w:szCs w:val="24"/>
              </w:rPr>
              <w:t>激光</w:t>
            </w:r>
            <w:r>
              <w:rPr>
                <w:rFonts w:ascii="Times New Roman" w:hAnsi="Times New Roman"/>
                <w:szCs w:val="24"/>
              </w:rPr>
              <w:t>切割机，切割工序产生少量粉尘，经</w:t>
            </w:r>
            <w:r>
              <w:rPr>
                <w:rFonts w:hint="eastAsia" w:ascii="Times New Roman" w:hAnsi="Times New Roman"/>
                <w:szCs w:val="24"/>
              </w:rPr>
              <w:t>自带布袋除尘器处理后进入1套布袋除尘器进行处理</w:t>
            </w:r>
            <w:r>
              <w:rPr>
                <w:rFonts w:ascii="Times New Roman" w:hAnsi="Times New Roman"/>
                <w:szCs w:val="21"/>
              </w:rPr>
              <w:t>。</w:t>
            </w:r>
          </w:p>
          <w:p>
            <w:pPr>
              <w:pStyle w:val="16"/>
              <w:spacing w:line="360" w:lineRule="auto"/>
              <w:ind w:left="0" w:leftChars="0" w:firstLine="482"/>
              <w:jc w:val="both"/>
              <w:rPr>
                <w:rFonts w:ascii="Times New Roman" w:hAnsi="Times New Roman"/>
                <w:b/>
                <w:szCs w:val="24"/>
              </w:rPr>
            </w:pPr>
            <w:r>
              <w:rPr>
                <w:rFonts w:ascii="Times New Roman" w:hAnsi="Times New Roman"/>
                <w:b/>
                <w:szCs w:val="21"/>
              </w:rPr>
              <w:t>排污节点：此工序产生切割粉尘G1、切割机运行噪声N1、产生切割</w:t>
            </w:r>
            <w:r>
              <w:rPr>
                <w:rFonts w:hint="eastAsia" w:ascii="Times New Roman" w:hAnsi="Times New Roman"/>
                <w:b/>
                <w:szCs w:val="21"/>
              </w:rPr>
              <w:t>边角料</w:t>
            </w:r>
            <w:r>
              <w:rPr>
                <w:rFonts w:ascii="Times New Roman" w:hAnsi="Times New Roman"/>
                <w:b/>
                <w:szCs w:val="21"/>
              </w:rPr>
              <w:t>S1、</w:t>
            </w:r>
            <w:r>
              <w:rPr>
                <w:rFonts w:hint="eastAsia" w:ascii="Times New Roman" w:hAnsi="Times New Roman"/>
                <w:b/>
                <w:szCs w:val="21"/>
              </w:rPr>
              <w:t>布袋除尘器</w:t>
            </w:r>
            <w:r>
              <w:rPr>
                <w:rFonts w:ascii="Times New Roman" w:hAnsi="Times New Roman"/>
                <w:b/>
                <w:szCs w:val="21"/>
              </w:rPr>
              <w:t>收集的收尘灰S2。</w:t>
            </w:r>
          </w:p>
          <w:p>
            <w:pPr>
              <w:pStyle w:val="57"/>
              <w:ind w:firstLine="480" w:firstLineChars="200"/>
            </w:pPr>
            <w:r>
              <w:rPr>
                <w:rFonts w:hint="eastAsia" w:ascii="宋体" w:hAnsi="宋体" w:cs="宋体"/>
              </w:rPr>
              <w:t>③</w:t>
            </w:r>
            <w:r>
              <w:t>机械加工：将切割后的原料通过</w:t>
            </w:r>
            <w:r>
              <w:rPr>
                <w:rFonts w:hint="eastAsia"/>
              </w:rPr>
              <w:t>冲床、折弯、流水线</w:t>
            </w:r>
            <w:r>
              <w:t>等相应设备分步骤进行加工，经加工后的原料可进行下一步工序。</w:t>
            </w:r>
          </w:p>
          <w:p>
            <w:pPr>
              <w:pStyle w:val="57"/>
              <w:ind w:firstLine="482" w:firstLineChars="200"/>
              <w:rPr>
                <w:b/>
              </w:rPr>
            </w:pPr>
            <w:r>
              <w:rPr>
                <w:b/>
                <w:szCs w:val="21"/>
              </w:rPr>
              <w:t>排污节点：</w:t>
            </w:r>
            <w:r>
              <w:rPr>
                <w:b/>
              </w:rPr>
              <w:t>此工序产生机械加工设备运行噪声N2；产生机械加工</w:t>
            </w:r>
            <w:r>
              <w:rPr>
                <w:rFonts w:hint="eastAsia"/>
                <w:b/>
              </w:rPr>
              <w:t>下角料</w:t>
            </w:r>
            <w:r>
              <w:rPr>
                <w:b/>
              </w:rPr>
              <w:t>S3</w:t>
            </w:r>
            <w:r>
              <w:rPr>
                <w:b/>
                <w:szCs w:val="21"/>
              </w:rPr>
              <w:t>、废机油及废切削液S</w:t>
            </w:r>
            <w:r>
              <w:rPr>
                <w:rFonts w:hint="eastAsia"/>
                <w:b/>
                <w:szCs w:val="21"/>
              </w:rPr>
              <w:t>4</w:t>
            </w:r>
            <w:r>
              <w:rPr>
                <w:b/>
                <w:szCs w:val="21"/>
              </w:rPr>
              <w:t>、废机油桶及废切削液桶S</w:t>
            </w:r>
            <w:r>
              <w:rPr>
                <w:rFonts w:hint="eastAsia"/>
                <w:b/>
                <w:szCs w:val="21"/>
              </w:rPr>
              <w:t>5</w:t>
            </w:r>
            <w:r>
              <w:rPr>
                <w:b/>
              </w:rPr>
              <w:t>。</w:t>
            </w:r>
          </w:p>
          <w:p>
            <w:pPr>
              <w:spacing w:line="360" w:lineRule="auto"/>
              <w:ind w:firstLine="480" w:firstLineChars="200"/>
              <w:rPr>
                <w:sz w:val="24"/>
              </w:rPr>
            </w:pPr>
            <w:r>
              <w:rPr>
                <w:rFonts w:hint="eastAsia" w:ascii="宋体" w:hAnsi="宋体" w:cs="宋体"/>
                <w:sz w:val="24"/>
              </w:rPr>
              <w:t>④</w:t>
            </w:r>
            <w:r>
              <w:rPr>
                <w:sz w:val="24"/>
              </w:rPr>
              <w:t>焊接：经机械加工后的原料进行焊接，本项目采用二氧化碳保护焊</w:t>
            </w:r>
            <w:r>
              <w:rPr>
                <w:rFonts w:hint="eastAsia"/>
                <w:sz w:val="24"/>
              </w:rPr>
              <w:t>、全自动激光剪焊机等焊机进行焊接</w:t>
            </w:r>
            <w:r>
              <w:rPr>
                <w:sz w:val="24"/>
              </w:rPr>
              <w:t>，焊接产生的焊接烟尘经</w:t>
            </w:r>
            <w:r>
              <w:rPr>
                <w:rFonts w:hint="eastAsia"/>
                <w:sz w:val="24"/>
              </w:rPr>
              <w:t>集气罩收集后经1套布袋除尘器处理</w:t>
            </w:r>
            <w:r>
              <w:rPr>
                <w:sz w:val="24"/>
              </w:rPr>
              <w:t>；</w:t>
            </w:r>
          </w:p>
          <w:p>
            <w:pPr>
              <w:adjustRightInd w:val="0"/>
              <w:snapToGrid w:val="0"/>
              <w:spacing w:line="360" w:lineRule="auto"/>
              <w:ind w:firstLine="482" w:firstLineChars="200"/>
              <w:rPr>
                <w:b/>
                <w:sz w:val="24"/>
                <w:szCs w:val="22"/>
              </w:rPr>
            </w:pPr>
            <w:r>
              <w:rPr>
                <w:b/>
                <w:sz w:val="24"/>
                <w:szCs w:val="22"/>
              </w:rPr>
              <w:t>排污节点：此工序产生焊接烟尘G</w:t>
            </w:r>
            <w:r>
              <w:rPr>
                <w:rFonts w:hint="eastAsia"/>
                <w:b/>
                <w:sz w:val="24"/>
                <w:szCs w:val="22"/>
              </w:rPr>
              <w:t>2</w:t>
            </w:r>
            <w:r>
              <w:rPr>
                <w:b/>
                <w:sz w:val="24"/>
                <w:szCs w:val="22"/>
              </w:rPr>
              <w:t>；产生焊机运行噪声N3</w:t>
            </w:r>
            <w:r>
              <w:rPr>
                <w:rFonts w:hint="eastAsia"/>
                <w:b/>
                <w:sz w:val="24"/>
                <w:szCs w:val="22"/>
              </w:rPr>
              <w:t>；产生废焊渣S6，布袋收集粉尘S7</w:t>
            </w:r>
            <w:r>
              <w:rPr>
                <w:b/>
                <w:sz w:val="24"/>
                <w:szCs w:val="22"/>
              </w:rPr>
              <w:t>。</w:t>
            </w:r>
          </w:p>
          <w:p>
            <w:pPr>
              <w:adjustRightInd w:val="0"/>
              <w:snapToGrid w:val="0"/>
              <w:spacing w:line="360" w:lineRule="auto"/>
              <w:ind w:firstLine="480" w:firstLineChars="200"/>
              <w:rPr>
                <w:sz w:val="24"/>
                <w:szCs w:val="22"/>
              </w:rPr>
            </w:pPr>
            <w:r>
              <w:rPr>
                <w:rFonts w:hint="eastAsia" w:ascii="宋体" w:hAnsi="宋体" w:cs="宋体"/>
                <w:sz w:val="24"/>
                <w:szCs w:val="22"/>
              </w:rPr>
              <w:t>⑤</w:t>
            </w:r>
            <w:r>
              <w:rPr>
                <w:rFonts w:hint="eastAsia"/>
                <w:sz w:val="24"/>
                <w:szCs w:val="22"/>
              </w:rPr>
              <w:t>喷涂：本项目设置1条塑粉喷涂流水线，将加工好的毛坯件送入喷室进行喷涂，</w:t>
            </w:r>
            <w:r>
              <w:rPr>
                <w:rFonts w:hint="eastAsia"/>
                <w:sz w:val="24"/>
                <w:szCs w:val="32"/>
              </w:rPr>
              <w:t>该工序</w:t>
            </w:r>
            <w:r>
              <w:rPr>
                <w:rFonts w:hint="eastAsia"/>
                <w:sz w:val="24"/>
                <w:szCs w:val="22"/>
              </w:rPr>
              <w:t>在密闭的喷室内进行。喷涂过程中产生的粉尘先经旋风除尘器进行回收，回收后经设备自带粉管回到粉盒中继续使用，未回收塑粉则进入滤筒除尘器进行收集，之后再进入1套袋除尘器进行处理。</w:t>
            </w:r>
            <w:r>
              <w:rPr>
                <w:rFonts w:hint="eastAsia"/>
                <w:sz w:val="24"/>
                <w:szCs w:val="32"/>
              </w:rPr>
              <w:t>喷涂过程中，每喷完同一颜色批次的塑粉后，便将各除尘器内收集的塑粉进行统一回收后回用</w:t>
            </w:r>
            <w:r>
              <w:rPr>
                <w:rFonts w:hint="eastAsia"/>
              </w:rPr>
              <w:t>。</w:t>
            </w:r>
          </w:p>
          <w:p>
            <w:pPr>
              <w:adjustRightInd w:val="0"/>
              <w:snapToGrid w:val="0"/>
              <w:spacing w:line="360" w:lineRule="auto"/>
              <w:ind w:firstLine="482" w:firstLineChars="200"/>
              <w:rPr>
                <w:b/>
                <w:sz w:val="24"/>
                <w:szCs w:val="22"/>
              </w:rPr>
            </w:pPr>
            <w:r>
              <w:rPr>
                <w:b/>
                <w:sz w:val="24"/>
                <w:szCs w:val="22"/>
              </w:rPr>
              <w:t>排污节点：此工序产生</w:t>
            </w:r>
            <w:r>
              <w:rPr>
                <w:rFonts w:hint="eastAsia"/>
                <w:b/>
                <w:sz w:val="24"/>
                <w:szCs w:val="22"/>
              </w:rPr>
              <w:t>喷涂废气</w:t>
            </w:r>
            <w:r>
              <w:rPr>
                <w:b/>
                <w:sz w:val="24"/>
                <w:szCs w:val="22"/>
              </w:rPr>
              <w:t>G</w:t>
            </w:r>
            <w:r>
              <w:rPr>
                <w:rFonts w:hint="eastAsia"/>
                <w:b/>
                <w:sz w:val="24"/>
                <w:szCs w:val="22"/>
              </w:rPr>
              <w:t>3</w:t>
            </w:r>
            <w:r>
              <w:rPr>
                <w:b/>
                <w:sz w:val="24"/>
                <w:szCs w:val="22"/>
              </w:rPr>
              <w:t>；产生</w:t>
            </w:r>
            <w:r>
              <w:rPr>
                <w:rFonts w:hint="eastAsia"/>
                <w:b/>
                <w:sz w:val="24"/>
                <w:szCs w:val="22"/>
              </w:rPr>
              <w:t>喷涂流水线</w:t>
            </w:r>
            <w:r>
              <w:rPr>
                <w:b/>
                <w:sz w:val="24"/>
                <w:szCs w:val="22"/>
              </w:rPr>
              <w:t>运行噪声N</w:t>
            </w:r>
            <w:r>
              <w:rPr>
                <w:rFonts w:hint="eastAsia"/>
                <w:b/>
                <w:sz w:val="24"/>
                <w:szCs w:val="22"/>
              </w:rPr>
              <w:t>4</w:t>
            </w:r>
            <w:r>
              <w:rPr>
                <w:b/>
                <w:sz w:val="24"/>
                <w:szCs w:val="22"/>
              </w:rPr>
              <w:t>；产生</w:t>
            </w:r>
            <w:r>
              <w:rPr>
                <w:rFonts w:hint="eastAsia"/>
                <w:b/>
                <w:sz w:val="24"/>
                <w:szCs w:val="22"/>
              </w:rPr>
              <w:t>除尘器收集的塑粉S8、废滤筒S9</w:t>
            </w:r>
            <w:r>
              <w:rPr>
                <w:b/>
                <w:sz w:val="24"/>
                <w:szCs w:val="22"/>
              </w:rPr>
              <w:t>。</w:t>
            </w:r>
          </w:p>
          <w:p>
            <w:pPr>
              <w:adjustRightInd w:val="0"/>
              <w:snapToGrid w:val="0"/>
              <w:spacing w:line="360" w:lineRule="auto"/>
              <w:ind w:firstLine="480" w:firstLineChars="200"/>
              <w:rPr>
                <w:b/>
                <w:sz w:val="24"/>
                <w:szCs w:val="21"/>
              </w:rPr>
            </w:pPr>
            <w:r>
              <w:rPr>
                <w:rFonts w:hint="eastAsia" w:ascii="宋体" w:hAnsi="宋体" w:cs="宋体"/>
                <w:sz w:val="24"/>
              </w:rPr>
              <w:t>⑥</w:t>
            </w:r>
            <w:r>
              <w:rPr>
                <w:rFonts w:hint="eastAsia"/>
                <w:sz w:val="24"/>
              </w:rPr>
              <w:t>烘干固化</w:t>
            </w:r>
            <w:r>
              <w:rPr>
                <w:sz w:val="24"/>
                <w:szCs w:val="22"/>
              </w:rPr>
              <w:t>：本项目</w:t>
            </w:r>
            <w:r>
              <w:rPr>
                <w:rFonts w:hint="eastAsia"/>
                <w:sz w:val="24"/>
                <w:szCs w:val="22"/>
              </w:rPr>
              <w:t>喷涂线配备1条烘干固化线，固化线为全自动固化线，自动线上部分设置吊钩，毛坯件悬挂在吊钩上，经喷涂后自动送入固化室进行固化，固化温度为180℃左右，固化时间为30分钟，固化使用天然气热风炉燃烧天然气产生的烟气直接进行加热</w:t>
            </w:r>
            <w:r>
              <w:rPr>
                <w:sz w:val="24"/>
                <w:szCs w:val="22"/>
              </w:rPr>
              <w:t>。</w:t>
            </w:r>
          </w:p>
          <w:p>
            <w:pPr>
              <w:adjustRightInd w:val="0"/>
              <w:snapToGrid w:val="0"/>
              <w:spacing w:line="360" w:lineRule="auto"/>
              <w:ind w:firstLine="482" w:firstLineChars="200"/>
              <w:rPr>
                <w:b/>
                <w:sz w:val="24"/>
                <w:szCs w:val="22"/>
              </w:rPr>
            </w:pPr>
            <w:r>
              <w:rPr>
                <w:b/>
                <w:sz w:val="24"/>
                <w:szCs w:val="22"/>
              </w:rPr>
              <w:t>排污节点：此工序产生</w:t>
            </w:r>
            <w:r>
              <w:rPr>
                <w:rFonts w:hint="eastAsia"/>
                <w:b/>
                <w:sz w:val="24"/>
                <w:szCs w:val="22"/>
              </w:rPr>
              <w:t>天然气燃烧废气G4，烘干固化废气</w:t>
            </w:r>
            <w:r>
              <w:rPr>
                <w:b/>
                <w:sz w:val="24"/>
                <w:szCs w:val="22"/>
              </w:rPr>
              <w:t>G</w:t>
            </w:r>
            <w:r>
              <w:rPr>
                <w:rFonts w:hint="eastAsia"/>
                <w:b/>
                <w:sz w:val="24"/>
                <w:szCs w:val="22"/>
              </w:rPr>
              <w:t>5</w:t>
            </w:r>
            <w:r>
              <w:rPr>
                <w:b/>
                <w:sz w:val="24"/>
                <w:szCs w:val="22"/>
              </w:rPr>
              <w:t>；产生</w:t>
            </w:r>
            <w:r>
              <w:rPr>
                <w:rFonts w:hint="eastAsia"/>
                <w:b/>
                <w:sz w:val="24"/>
                <w:szCs w:val="22"/>
              </w:rPr>
              <w:t>热风炉运行噪声N5、固化室</w:t>
            </w:r>
            <w:r>
              <w:rPr>
                <w:b/>
                <w:sz w:val="24"/>
                <w:szCs w:val="22"/>
              </w:rPr>
              <w:t>运行噪声N</w:t>
            </w:r>
            <w:r>
              <w:rPr>
                <w:rFonts w:hint="eastAsia"/>
                <w:b/>
                <w:sz w:val="24"/>
                <w:szCs w:val="22"/>
              </w:rPr>
              <w:t>6</w:t>
            </w:r>
            <w:r>
              <w:rPr>
                <w:b/>
                <w:sz w:val="24"/>
                <w:szCs w:val="22"/>
              </w:rPr>
              <w:t>；</w:t>
            </w:r>
            <w:r>
              <w:rPr>
                <w:rFonts w:hint="eastAsia"/>
                <w:b/>
                <w:sz w:val="24"/>
                <w:szCs w:val="22"/>
              </w:rPr>
              <w:t>有机废气处理装置</w:t>
            </w:r>
            <w:r>
              <w:rPr>
                <w:b/>
                <w:sz w:val="24"/>
                <w:szCs w:val="22"/>
              </w:rPr>
              <w:t>产生</w:t>
            </w:r>
            <w:r>
              <w:rPr>
                <w:rFonts w:hint="eastAsia"/>
                <w:b/>
                <w:sz w:val="24"/>
                <w:szCs w:val="22"/>
              </w:rPr>
              <w:t>定期更换的废催化剂</w:t>
            </w:r>
            <w:r>
              <w:rPr>
                <w:rFonts w:hint="eastAsia"/>
              </w:rPr>
              <w:t>、</w:t>
            </w:r>
            <w:r>
              <w:rPr>
                <w:rFonts w:hint="eastAsia"/>
                <w:b/>
                <w:sz w:val="24"/>
                <w:szCs w:val="22"/>
              </w:rPr>
              <w:t>废过滤棉、废活性炭</w:t>
            </w:r>
            <w:r>
              <w:rPr>
                <w:b/>
                <w:sz w:val="24"/>
                <w:szCs w:val="22"/>
              </w:rPr>
              <w:t>S</w:t>
            </w:r>
            <w:r>
              <w:rPr>
                <w:rFonts w:hint="eastAsia"/>
                <w:b/>
                <w:sz w:val="24"/>
                <w:szCs w:val="22"/>
              </w:rPr>
              <w:t>10</w:t>
            </w:r>
            <w:r>
              <w:rPr>
                <w:b/>
                <w:sz w:val="24"/>
                <w:szCs w:val="22"/>
              </w:rPr>
              <w:t>。</w:t>
            </w:r>
          </w:p>
          <w:p>
            <w:pPr>
              <w:adjustRightInd w:val="0"/>
              <w:snapToGrid w:val="0"/>
              <w:spacing w:line="360" w:lineRule="auto"/>
              <w:ind w:firstLine="480" w:firstLineChars="200"/>
              <w:rPr>
                <w:sz w:val="24"/>
              </w:rPr>
            </w:pPr>
            <w:r>
              <w:rPr>
                <w:rFonts w:hint="eastAsia" w:ascii="宋体" w:hAnsi="宋体" w:cs="宋体"/>
                <w:sz w:val="24"/>
              </w:rPr>
              <w:t>⑦</w:t>
            </w:r>
            <w:r>
              <w:rPr>
                <w:sz w:val="24"/>
              </w:rPr>
              <w:t>组装：将</w:t>
            </w:r>
            <w:r>
              <w:rPr>
                <w:rFonts w:hint="eastAsia"/>
                <w:sz w:val="24"/>
              </w:rPr>
              <w:t>固化</w:t>
            </w:r>
            <w:r>
              <w:rPr>
                <w:sz w:val="24"/>
              </w:rPr>
              <w:t>后的半成品</w:t>
            </w:r>
            <w:r>
              <w:rPr>
                <w:rFonts w:hint="eastAsia"/>
                <w:sz w:val="24"/>
              </w:rPr>
              <w:t>与外购的配件（锁子、门轴、铰链、螺丝螺母等）</w:t>
            </w:r>
            <w:r>
              <w:rPr>
                <w:sz w:val="24"/>
              </w:rPr>
              <w:t>进行组装。</w:t>
            </w:r>
          </w:p>
          <w:p>
            <w:pPr>
              <w:adjustRightInd w:val="0"/>
              <w:snapToGrid w:val="0"/>
              <w:spacing w:line="360" w:lineRule="auto"/>
              <w:ind w:firstLine="482" w:firstLineChars="200"/>
              <w:rPr>
                <w:b/>
                <w:sz w:val="24"/>
                <w:szCs w:val="22"/>
              </w:rPr>
            </w:pPr>
            <w:r>
              <w:rPr>
                <w:b/>
                <w:sz w:val="24"/>
                <w:szCs w:val="22"/>
              </w:rPr>
              <w:t>排污节点：此工序产生</w:t>
            </w:r>
            <w:r>
              <w:rPr>
                <w:rFonts w:hint="eastAsia"/>
                <w:b/>
                <w:sz w:val="24"/>
                <w:szCs w:val="22"/>
              </w:rPr>
              <w:t>组装</w:t>
            </w:r>
            <w:r>
              <w:rPr>
                <w:b/>
                <w:sz w:val="24"/>
                <w:szCs w:val="22"/>
              </w:rPr>
              <w:t>噪声N</w:t>
            </w:r>
            <w:r>
              <w:rPr>
                <w:rFonts w:hint="eastAsia"/>
                <w:b/>
                <w:sz w:val="24"/>
                <w:szCs w:val="22"/>
              </w:rPr>
              <w:t>7</w:t>
            </w:r>
            <w:r>
              <w:rPr>
                <w:b/>
                <w:sz w:val="24"/>
                <w:szCs w:val="22"/>
              </w:rPr>
              <w:t>。</w:t>
            </w:r>
          </w:p>
          <w:p>
            <w:pPr>
              <w:adjustRightInd w:val="0"/>
              <w:snapToGrid w:val="0"/>
              <w:spacing w:line="360" w:lineRule="auto"/>
              <w:ind w:firstLine="480" w:firstLineChars="200"/>
              <w:rPr>
                <w:sz w:val="24"/>
              </w:rPr>
            </w:pPr>
            <w:r>
              <w:rPr>
                <w:rFonts w:hint="eastAsia" w:ascii="宋体" w:hAnsi="宋体" w:cs="宋体"/>
                <w:sz w:val="24"/>
              </w:rPr>
              <w:t>⑧</w:t>
            </w:r>
            <w:r>
              <w:rPr>
                <w:rFonts w:hint="eastAsia"/>
                <w:sz w:val="24"/>
              </w:rPr>
              <w:t>打包</w:t>
            </w:r>
            <w:r>
              <w:rPr>
                <w:sz w:val="24"/>
              </w:rPr>
              <w:t>：组装好的成品</w:t>
            </w:r>
            <w:r>
              <w:rPr>
                <w:rFonts w:hint="eastAsia"/>
                <w:sz w:val="24"/>
              </w:rPr>
              <w:t>使用全自动包装打包机进行打包，入库</w:t>
            </w:r>
            <w:r>
              <w:rPr>
                <w:sz w:val="24"/>
              </w:rPr>
              <w:t>。</w:t>
            </w:r>
          </w:p>
          <w:p>
            <w:pPr>
              <w:adjustRightInd w:val="0"/>
              <w:snapToGrid w:val="0"/>
              <w:spacing w:line="360" w:lineRule="auto"/>
              <w:ind w:firstLine="482" w:firstLineChars="200"/>
              <w:rPr>
                <w:b/>
                <w:sz w:val="24"/>
                <w:szCs w:val="22"/>
              </w:rPr>
            </w:pPr>
            <w:r>
              <w:rPr>
                <w:b/>
                <w:sz w:val="24"/>
                <w:szCs w:val="22"/>
              </w:rPr>
              <w:t>排污节点：此工序产生</w:t>
            </w:r>
            <w:r>
              <w:rPr>
                <w:rFonts w:hint="eastAsia"/>
                <w:b/>
                <w:sz w:val="24"/>
                <w:szCs w:val="22"/>
              </w:rPr>
              <w:t>打包机运行</w:t>
            </w:r>
            <w:r>
              <w:rPr>
                <w:b/>
                <w:sz w:val="24"/>
                <w:szCs w:val="22"/>
              </w:rPr>
              <w:t>噪声N</w:t>
            </w:r>
            <w:r>
              <w:rPr>
                <w:rFonts w:hint="eastAsia"/>
                <w:b/>
                <w:sz w:val="24"/>
                <w:szCs w:val="22"/>
              </w:rPr>
              <w:t>8</w:t>
            </w:r>
            <w:r>
              <w:rPr>
                <w:b/>
                <w:sz w:val="24"/>
                <w:szCs w:val="22"/>
              </w:rPr>
              <w:t>。</w:t>
            </w:r>
          </w:p>
          <w:p>
            <w:pPr>
              <w:adjustRightInd w:val="0"/>
              <w:snapToGrid w:val="0"/>
              <w:spacing w:line="360" w:lineRule="auto"/>
              <w:ind w:firstLine="480" w:firstLineChars="200"/>
              <w:rPr>
                <w:sz w:val="24"/>
              </w:rPr>
            </w:pPr>
            <w:r>
              <w:rPr>
                <w:sz w:val="24"/>
              </w:rPr>
              <w:t>（2）产排污情况</w:t>
            </w:r>
          </w:p>
          <w:p>
            <w:pPr>
              <w:adjustRightInd w:val="0"/>
              <w:snapToGrid w:val="0"/>
              <w:spacing w:line="360" w:lineRule="auto"/>
              <w:ind w:firstLine="480" w:firstLineChars="200"/>
              <w:rPr>
                <w:sz w:val="24"/>
              </w:rPr>
            </w:pPr>
            <w:r>
              <w:rPr>
                <w:sz w:val="24"/>
              </w:rPr>
              <w:t>本项目生产过程中产排污节点及处理措施情况如下：</w:t>
            </w:r>
          </w:p>
          <w:p>
            <w:pPr>
              <w:adjustRightInd w:val="0"/>
              <w:snapToGrid w:val="0"/>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废气</w:t>
            </w:r>
          </w:p>
          <w:p>
            <w:pPr>
              <w:adjustRightInd w:val="0"/>
              <w:snapToGrid w:val="0"/>
              <w:spacing w:line="360" w:lineRule="auto"/>
              <w:ind w:firstLine="480" w:firstLineChars="200"/>
              <w:rPr>
                <w:sz w:val="24"/>
              </w:rPr>
            </w:pPr>
            <w:r>
              <w:rPr>
                <w:sz w:val="24"/>
              </w:rPr>
              <w:t>本项目生产过程中废气主要为切割废气（G1）、焊接废气（G</w:t>
            </w:r>
            <w:r>
              <w:rPr>
                <w:rFonts w:hint="eastAsia"/>
                <w:sz w:val="24"/>
              </w:rPr>
              <w:t>2</w:t>
            </w:r>
            <w:r>
              <w:rPr>
                <w:sz w:val="24"/>
              </w:rPr>
              <w:t>）</w:t>
            </w:r>
            <w:r>
              <w:rPr>
                <w:rFonts w:hint="eastAsia"/>
                <w:sz w:val="24"/>
              </w:rPr>
              <w:t>、喷涂废气（G3）</w:t>
            </w:r>
            <w:r>
              <w:rPr>
                <w:sz w:val="24"/>
              </w:rPr>
              <w:t>，主要污染物为颗粒物；</w:t>
            </w:r>
            <w:r>
              <w:rPr>
                <w:rFonts w:hint="eastAsia"/>
                <w:sz w:val="24"/>
              </w:rPr>
              <w:t>天然气燃烧废气（G4），主要污染物为颗粒物、SO</w:t>
            </w:r>
            <w:r>
              <w:rPr>
                <w:rFonts w:hint="eastAsia"/>
                <w:sz w:val="24"/>
                <w:vertAlign w:val="subscript"/>
              </w:rPr>
              <w:t>2</w:t>
            </w:r>
            <w:r>
              <w:rPr>
                <w:rFonts w:hint="eastAsia"/>
                <w:sz w:val="24"/>
              </w:rPr>
              <w:t>、NO</w:t>
            </w:r>
            <w:r>
              <w:rPr>
                <w:rFonts w:hint="eastAsia"/>
                <w:sz w:val="24"/>
                <w:vertAlign w:val="subscript"/>
              </w:rPr>
              <w:t>X</w:t>
            </w:r>
            <w:r>
              <w:rPr>
                <w:rFonts w:hint="eastAsia"/>
                <w:sz w:val="24"/>
              </w:rPr>
              <w:t>、烟气黑度；烘干固化</w:t>
            </w:r>
            <w:r>
              <w:rPr>
                <w:sz w:val="24"/>
              </w:rPr>
              <w:t>废气（G</w:t>
            </w:r>
            <w:r>
              <w:rPr>
                <w:rFonts w:hint="eastAsia"/>
                <w:sz w:val="24"/>
              </w:rPr>
              <w:t>5</w:t>
            </w:r>
            <w:r>
              <w:rPr>
                <w:sz w:val="24"/>
              </w:rPr>
              <w:t>），主要污染物为非甲烷总烃。</w:t>
            </w:r>
          </w:p>
          <w:p>
            <w:pPr>
              <w:adjustRightInd w:val="0"/>
              <w:snapToGrid w:val="0"/>
              <w:spacing w:line="360" w:lineRule="auto"/>
              <w:ind w:firstLine="480" w:firstLineChars="200"/>
              <w:rPr>
                <w:sz w:val="24"/>
              </w:rPr>
            </w:pPr>
            <w:r>
              <w:rPr>
                <w:sz w:val="24"/>
              </w:rPr>
              <w:t>本项目拟在焊接工序</w:t>
            </w:r>
            <w:r>
              <w:rPr>
                <w:rFonts w:hint="eastAsia"/>
                <w:sz w:val="24"/>
              </w:rPr>
              <w:t>固定工位，在工位上方设置集气罩，废气经集气罩收集进入1套布袋除尘器进行处理后经1根20m高排气筒外排</w:t>
            </w:r>
            <w:r>
              <w:rPr>
                <w:sz w:val="24"/>
              </w:rPr>
              <w:t>；</w:t>
            </w:r>
            <w:r>
              <w:rPr>
                <w:rFonts w:hint="eastAsia"/>
                <w:sz w:val="24"/>
              </w:rPr>
              <w:t>激光切割工序产生的废气经自带布袋除尘器处理，处理后与焊接烟尘共用1根20m高排气筒（DA001）排放；喷涂工序在密闭喷室内进行，产生的喷涂废气经旋风+滤筒除尘处理后经1根20m高排气筒（DA002）排放；热风炉中天然气燃烧器安装低氮燃烧器，产生的烟气直接进入固化室进行工件的固化烘干，天然气燃烧废气与固化废气经集气系统收集后，进入1套干式过滤棉+活性炭吸附脱附催化燃烧装置进行处理后</w:t>
            </w:r>
            <w:r>
              <w:rPr>
                <w:sz w:val="24"/>
              </w:rPr>
              <w:t>，经1根</w:t>
            </w:r>
            <w:r>
              <w:rPr>
                <w:rFonts w:hint="eastAsia"/>
                <w:sz w:val="24"/>
              </w:rPr>
              <w:t>20</w:t>
            </w:r>
            <w:r>
              <w:rPr>
                <w:sz w:val="24"/>
              </w:rPr>
              <w:t>m排气筒（DA00</w:t>
            </w:r>
            <w:r>
              <w:rPr>
                <w:rFonts w:hint="eastAsia"/>
                <w:sz w:val="24"/>
              </w:rPr>
              <w:t>3</w:t>
            </w:r>
            <w:r>
              <w:rPr>
                <w:sz w:val="24"/>
              </w:rPr>
              <w:t>）排放。</w:t>
            </w:r>
          </w:p>
          <w:p>
            <w:pPr>
              <w:adjustRightInd w:val="0"/>
              <w:snapToGrid w:val="0"/>
              <w:spacing w:line="360" w:lineRule="auto"/>
              <w:ind w:firstLine="480" w:firstLineChars="200"/>
              <w:rPr>
                <w:sz w:val="24"/>
              </w:rPr>
            </w:pPr>
            <w:r>
              <w:rPr>
                <w:sz w:val="24"/>
              </w:rPr>
              <w:t>切割、焊接、</w:t>
            </w:r>
            <w:r>
              <w:rPr>
                <w:rFonts w:hint="eastAsia"/>
                <w:sz w:val="24"/>
              </w:rPr>
              <w:t>固化</w:t>
            </w:r>
            <w:r>
              <w:rPr>
                <w:sz w:val="24"/>
              </w:rPr>
              <w:t>工序未被收集废气以无组织形式逸散，生产车间密闭。</w:t>
            </w:r>
          </w:p>
          <w:p>
            <w:pPr>
              <w:adjustRightInd w:val="0"/>
              <w:snapToGrid w:val="0"/>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废水</w:t>
            </w:r>
          </w:p>
          <w:p>
            <w:pPr>
              <w:adjustRightInd w:val="0"/>
              <w:snapToGrid w:val="0"/>
              <w:spacing w:line="360" w:lineRule="auto"/>
              <w:ind w:firstLine="480" w:firstLineChars="200"/>
              <w:rPr>
                <w:sz w:val="24"/>
              </w:rPr>
            </w:pPr>
            <w:r>
              <w:rPr>
                <w:sz w:val="24"/>
              </w:rPr>
              <w:t>本项目在生产运行过程中无生产废水产生。废水主要为职工生活污水，主要污染物为</w:t>
            </w:r>
            <w:r>
              <w:rPr>
                <w:rFonts w:hint="eastAsia"/>
                <w:sz w:val="24"/>
              </w:rPr>
              <w:t>pH、</w:t>
            </w:r>
            <w:r>
              <w:rPr>
                <w:sz w:val="24"/>
              </w:rPr>
              <w:t>COD、NH</w:t>
            </w:r>
            <w:r>
              <w:rPr>
                <w:sz w:val="24"/>
                <w:vertAlign w:val="subscript"/>
              </w:rPr>
              <w:t>3</w:t>
            </w:r>
            <w:r>
              <w:rPr>
                <w:sz w:val="24"/>
              </w:rPr>
              <w:t>-N、BOD</w:t>
            </w:r>
            <w:r>
              <w:rPr>
                <w:sz w:val="24"/>
                <w:vertAlign w:val="subscript"/>
              </w:rPr>
              <w:t>5</w:t>
            </w:r>
            <w:r>
              <w:rPr>
                <w:sz w:val="24"/>
              </w:rPr>
              <w:t>、SS</w:t>
            </w:r>
            <w:r>
              <w:rPr>
                <w:rFonts w:hint="eastAsia"/>
                <w:sz w:val="24"/>
              </w:rPr>
              <w:t>、总磷、总氮</w:t>
            </w:r>
            <w:r>
              <w:rPr>
                <w:sz w:val="24"/>
              </w:rPr>
              <w:t>。</w:t>
            </w:r>
          </w:p>
          <w:p>
            <w:pPr>
              <w:adjustRightInd w:val="0"/>
              <w:snapToGrid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噪声</w:t>
            </w:r>
          </w:p>
          <w:p>
            <w:pPr>
              <w:adjustRightInd w:val="0"/>
              <w:snapToGrid w:val="0"/>
              <w:spacing w:line="360" w:lineRule="auto"/>
              <w:ind w:firstLine="480" w:firstLineChars="200"/>
              <w:rPr>
                <w:sz w:val="24"/>
              </w:rPr>
            </w:pPr>
            <w:r>
              <w:rPr>
                <w:sz w:val="24"/>
              </w:rPr>
              <w:t>生产过程中切割机、焊接机、机械加工</w:t>
            </w:r>
            <w:r>
              <w:rPr>
                <w:rFonts w:hint="eastAsia"/>
                <w:sz w:val="24"/>
              </w:rPr>
              <w:t>、喷涂、固化</w:t>
            </w:r>
            <w:r>
              <w:rPr>
                <w:sz w:val="24"/>
              </w:rPr>
              <w:t>等生产设备运行产生的噪声（N1~N</w:t>
            </w:r>
            <w:r>
              <w:rPr>
                <w:rFonts w:hint="eastAsia"/>
                <w:sz w:val="24"/>
              </w:rPr>
              <w:t>8</w:t>
            </w:r>
            <w:r>
              <w:rPr>
                <w:sz w:val="24"/>
              </w:rPr>
              <w:t>）。</w:t>
            </w:r>
          </w:p>
          <w:p>
            <w:pPr>
              <w:adjustRightInd w:val="0"/>
              <w:snapToGrid w:val="0"/>
              <w:spacing w:line="360" w:lineRule="auto"/>
              <w:ind w:firstLine="480" w:firstLineChars="200"/>
              <w:rPr>
                <w:sz w:val="24"/>
              </w:rPr>
            </w:pPr>
            <w:r>
              <w:rPr>
                <w:sz w:val="24"/>
              </w:rPr>
              <w:fldChar w:fldCharType="begin"/>
            </w:r>
            <w:r>
              <w:rPr>
                <w:sz w:val="24"/>
              </w:rPr>
              <w:instrText xml:space="preserve"> = 4 \* GB3 </w:instrText>
            </w:r>
            <w:r>
              <w:rPr>
                <w:sz w:val="24"/>
              </w:rPr>
              <w:fldChar w:fldCharType="separate"/>
            </w:r>
            <w:r>
              <w:rPr>
                <w:sz w:val="24"/>
              </w:rPr>
              <w:t>④</w:t>
            </w:r>
            <w:r>
              <w:rPr>
                <w:sz w:val="24"/>
              </w:rPr>
              <w:fldChar w:fldCharType="end"/>
            </w:r>
            <w:r>
              <w:rPr>
                <w:sz w:val="24"/>
              </w:rPr>
              <w:t>固废</w:t>
            </w:r>
          </w:p>
          <w:p>
            <w:pPr>
              <w:adjustRightInd w:val="0"/>
              <w:snapToGrid w:val="0"/>
              <w:spacing w:line="360" w:lineRule="auto"/>
              <w:ind w:firstLine="480" w:firstLineChars="200"/>
              <w:rPr>
                <w:sz w:val="24"/>
              </w:rPr>
            </w:pPr>
            <w:r>
              <w:rPr>
                <w:sz w:val="24"/>
              </w:rPr>
              <w:t>项目产生的固废主要有：切割产生的</w:t>
            </w:r>
            <w:r>
              <w:rPr>
                <w:rFonts w:hint="eastAsia"/>
                <w:sz w:val="24"/>
              </w:rPr>
              <w:t>边</w:t>
            </w:r>
            <w:r>
              <w:rPr>
                <w:sz w:val="24"/>
              </w:rPr>
              <w:t>脚料（S1）、</w:t>
            </w:r>
            <w:r>
              <w:rPr>
                <w:rFonts w:hint="eastAsia"/>
                <w:sz w:val="24"/>
              </w:rPr>
              <w:t>激光切割自带布袋除尘器收集除尘灰（S2），</w:t>
            </w:r>
            <w:r>
              <w:rPr>
                <w:sz w:val="24"/>
              </w:rPr>
              <w:t>机械加工工序产生的</w:t>
            </w:r>
            <w:r>
              <w:rPr>
                <w:rFonts w:hint="eastAsia"/>
                <w:sz w:val="24"/>
              </w:rPr>
              <w:t>下角料</w:t>
            </w:r>
            <w:r>
              <w:rPr>
                <w:sz w:val="24"/>
              </w:rPr>
              <w:t>（S3）、机械加工工序产生的废机油及废切削液（S</w:t>
            </w:r>
            <w:r>
              <w:rPr>
                <w:rFonts w:hint="eastAsia"/>
                <w:sz w:val="24"/>
              </w:rPr>
              <w:t>4</w:t>
            </w:r>
            <w:r>
              <w:rPr>
                <w:sz w:val="24"/>
              </w:rPr>
              <w:t>）、废机油桶及废切削液桶（S</w:t>
            </w:r>
            <w:r>
              <w:rPr>
                <w:rFonts w:hint="eastAsia"/>
                <w:sz w:val="24"/>
              </w:rPr>
              <w:t>5</w:t>
            </w:r>
            <w:r>
              <w:rPr>
                <w:sz w:val="24"/>
              </w:rPr>
              <w:t>）、</w:t>
            </w:r>
            <w:r>
              <w:rPr>
                <w:rFonts w:hint="eastAsia"/>
                <w:sz w:val="24"/>
              </w:rPr>
              <w:t>废焊渣（S6），焊接工序布袋除尘器收集粉尘（S7），喷涂工序各除尘器收集塑粉（S8）、废滤筒（S9），废催化剂、废活性炭和废过滤棉</w:t>
            </w:r>
            <w:r>
              <w:rPr>
                <w:sz w:val="24"/>
              </w:rPr>
              <w:t>（S</w:t>
            </w:r>
            <w:r>
              <w:rPr>
                <w:rFonts w:hint="eastAsia"/>
                <w:sz w:val="24"/>
              </w:rPr>
              <w:t>10</w:t>
            </w:r>
            <w:r>
              <w:rPr>
                <w:sz w:val="24"/>
              </w:rPr>
              <w:t>）、</w:t>
            </w:r>
            <w:r>
              <w:rPr>
                <w:rFonts w:hint="eastAsia"/>
                <w:sz w:val="24"/>
              </w:rPr>
              <w:t>废塑粉包装袋和</w:t>
            </w:r>
            <w:r>
              <w:rPr>
                <w:sz w:val="24"/>
              </w:rPr>
              <w:t>职工生活垃圾。</w:t>
            </w:r>
          </w:p>
          <w:p>
            <w:pPr>
              <w:adjustRightInd w:val="0"/>
              <w:snapToGrid w:val="0"/>
              <w:spacing w:line="360" w:lineRule="auto"/>
              <w:ind w:firstLine="480" w:firstLineChars="200"/>
              <w:rPr>
                <w:sz w:val="24"/>
              </w:rPr>
            </w:pPr>
            <w:r>
              <w:rPr>
                <w:sz w:val="24"/>
              </w:rPr>
              <w:t>其中切割产生的</w:t>
            </w:r>
            <w:r>
              <w:rPr>
                <w:rFonts w:hint="eastAsia"/>
                <w:sz w:val="24"/>
              </w:rPr>
              <w:t>边角</w:t>
            </w:r>
            <w:r>
              <w:rPr>
                <w:sz w:val="24"/>
              </w:rPr>
              <w:t>料、机械加工工序产生的</w:t>
            </w:r>
            <w:r>
              <w:rPr>
                <w:rFonts w:hint="eastAsia"/>
                <w:sz w:val="24"/>
              </w:rPr>
              <w:t>下角料</w:t>
            </w:r>
            <w:r>
              <w:rPr>
                <w:sz w:val="24"/>
              </w:rPr>
              <w:t>、</w:t>
            </w:r>
            <w:r>
              <w:rPr>
                <w:rFonts w:hint="eastAsia"/>
                <w:sz w:val="24"/>
              </w:rPr>
              <w:t>废焊渣和焊接工序布袋除尘器收集粉尘、激光切割自带布袋除尘器收集粉尘、废塑粉包装袋集中收集后外售</w:t>
            </w:r>
            <w:r>
              <w:rPr>
                <w:sz w:val="24"/>
              </w:rPr>
              <w:t>；</w:t>
            </w:r>
            <w:r>
              <w:rPr>
                <w:rFonts w:hint="eastAsia"/>
                <w:sz w:val="24"/>
              </w:rPr>
              <w:t>废滤筒厂家回收；</w:t>
            </w:r>
            <w:r>
              <w:rPr>
                <w:sz w:val="24"/>
              </w:rPr>
              <w:t>生活垃圾厂内收集后交由环卫部门统一处理；</w:t>
            </w:r>
            <w:r>
              <w:rPr>
                <w:rFonts w:hint="eastAsia"/>
                <w:sz w:val="24"/>
              </w:rPr>
              <w:t>喷涂工序各除尘器收集塑粉集中收集后回用于生产（</w:t>
            </w:r>
            <w:r>
              <w:rPr>
                <w:rFonts w:hint="eastAsia"/>
                <w:sz w:val="24"/>
                <w:szCs w:val="32"/>
              </w:rPr>
              <w:t>喷涂过程中，每喷完同一颜色批次的塑粉后，便将各除尘器内收集的塑粉进行统一回收后回用）</w:t>
            </w:r>
            <w:r>
              <w:rPr>
                <w:rFonts w:hint="eastAsia"/>
                <w:sz w:val="24"/>
              </w:rPr>
              <w:t>；生产</w:t>
            </w:r>
            <w:r>
              <w:rPr>
                <w:sz w:val="24"/>
              </w:rPr>
              <w:t>过程中产生的废机油及废切削液、废机油桶及废切削液桶</w:t>
            </w:r>
            <w:r>
              <w:rPr>
                <w:rFonts w:hint="eastAsia"/>
                <w:sz w:val="24"/>
              </w:rPr>
              <w:t>、废活性炭、废过滤棉、废催化剂</w:t>
            </w:r>
            <w:r>
              <w:rPr>
                <w:sz w:val="24"/>
              </w:rPr>
              <w:t>均属危险废物</w:t>
            </w:r>
            <w:r>
              <w:rPr>
                <w:rFonts w:hint="eastAsia"/>
                <w:sz w:val="24"/>
              </w:rPr>
              <w:t>，</w:t>
            </w:r>
            <w:r>
              <w:rPr>
                <w:sz w:val="24"/>
              </w:rPr>
              <w:t>采用带有标志的专用容器分类收集、封口密闭后贮存于危废暂存间，定期委托有资质单位处理处置。</w:t>
            </w:r>
          </w:p>
          <w:p>
            <w:pPr>
              <w:adjustRightInd w:val="0"/>
              <w:snapToGrid w:val="0"/>
              <w:spacing w:line="360" w:lineRule="auto"/>
              <w:ind w:firstLine="480" w:firstLineChars="200"/>
              <w:rPr>
                <w:sz w:val="24"/>
              </w:rPr>
            </w:pPr>
            <w:r>
              <w:rPr>
                <w:sz w:val="24"/>
              </w:rPr>
              <w:t>其项目产排污节点情况见表</w:t>
            </w:r>
            <w:r>
              <w:rPr>
                <w:rFonts w:hint="eastAsia"/>
                <w:sz w:val="24"/>
              </w:rPr>
              <w:t>20</w:t>
            </w:r>
            <w:r>
              <w:rPr>
                <w:sz w:val="24"/>
              </w:rPr>
              <w:t>。</w:t>
            </w:r>
          </w:p>
          <w:p>
            <w:pPr>
              <w:ind w:firstLine="482" w:firstLineChars="200"/>
              <w:jc w:val="center"/>
              <w:rPr>
                <w:sz w:val="24"/>
              </w:rPr>
            </w:pPr>
            <w:r>
              <w:rPr>
                <w:b/>
                <w:sz w:val="24"/>
              </w:rPr>
              <w:t>表</w:t>
            </w:r>
            <w:r>
              <w:rPr>
                <w:rFonts w:hint="eastAsia"/>
                <w:b/>
                <w:sz w:val="24"/>
              </w:rPr>
              <w:t>20</w:t>
            </w:r>
            <w:r>
              <w:rPr>
                <w:b/>
                <w:sz w:val="24"/>
              </w:rPr>
              <w:t xml:space="preserve">  项目产污节点一览表</w:t>
            </w:r>
          </w:p>
          <w:tbl>
            <w:tblPr>
              <w:tblStyle w:val="24"/>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834"/>
              <w:gridCol w:w="1208"/>
              <w:gridCol w:w="2008"/>
              <w:gridCol w:w="1479"/>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2"/>
                    <w:adjustRightInd w:val="0"/>
                    <w:snapToGrid w:val="0"/>
                    <w:spacing w:line="240" w:lineRule="auto"/>
                    <w:ind w:firstLine="0"/>
                    <w:jc w:val="center"/>
                    <w:rPr>
                      <w:b/>
                      <w:bCs/>
                      <w:sz w:val="21"/>
                      <w:szCs w:val="21"/>
                    </w:rPr>
                  </w:pPr>
                  <w:r>
                    <w:rPr>
                      <w:b/>
                      <w:bCs/>
                      <w:sz w:val="21"/>
                      <w:szCs w:val="21"/>
                    </w:rPr>
                    <w:t>类型</w:t>
                  </w:r>
                </w:p>
              </w:tc>
              <w:tc>
                <w:tcPr>
                  <w:tcW w:w="501" w:type="pct"/>
                  <w:vAlign w:val="center"/>
                </w:tcPr>
                <w:p>
                  <w:pPr>
                    <w:pStyle w:val="2"/>
                    <w:adjustRightInd w:val="0"/>
                    <w:snapToGrid w:val="0"/>
                    <w:spacing w:line="240" w:lineRule="auto"/>
                    <w:ind w:firstLine="0"/>
                    <w:jc w:val="center"/>
                    <w:rPr>
                      <w:b/>
                      <w:bCs/>
                      <w:sz w:val="21"/>
                      <w:szCs w:val="21"/>
                    </w:rPr>
                  </w:pPr>
                  <w:r>
                    <w:rPr>
                      <w:b/>
                      <w:bCs/>
                      <w:sz w:val="21"/>
                      <w:szCs w:val="21"/>
                    </w:rPr>
                    <w:t>序号</w:t>
                  </w:r>
                </w:p>
              </w:tc>
              <w:tc>
                <w:tcPr>
                  <w:tcW w:w="726" w:type="pct"/>
                  <w:vAlign w:val="center"/>
                </w:tcPr>
                <w:p>
                  <w:pPr>
                    <w:pStyle w:val="2"/>
                    <w:adjustRightInd w:val="0"/>
                    <w:snapToGrid w:val="0"/>
                    <w:spacing w:line="240" w:lineRule="auto"/>
                    <w:ind w:firstLine="0"/>
                    <w:jc w:val="center"/>
                    <w:rPr>
                      <w:b/>
                      <w:bCs/>
                      <w:sz w:val="21"/>
                      <w:szCs w:val="21"/>
                    </w:rPr>
                  </w:pPr>
                  <w:r>
                    <w:rPr>
                      <w:b/>
                      <w:bCs/>
                      <w:sz w:val="21"/>
                      <w:szCs w:val="21"/>
                    </w:rPr>
                    <w:t>排污节点</w:t>
                  </w:r>
                </w:p>
              </w:tc>
              <w:tc>
                <w:tcPr>
                  <w:tcW w:w="1207" w:type="pct"/>
                  <w:vAlign w:val="center"/>
                </w:tcPr>
                <w:p>
                  <w:pPr>
                    <w:pStyle w:val="2"/>
                    <w:adjustRightInd w:val="0"/>
                    <w:snapToGrid w:val="0"/>
                    <w:spacing w:line="240" w:lineRule="auto"/>
                    <w:ind w:firstLine="0"/>
                    <w:jc w:val="center"/>
                    <w:rPr>
                      <w:b/>
                      <w:bCs/>
                      <w:sz w:val="21"/>
                      <w:szCs w:val="21"/>
                    </w:rPr>
                  </w:pPr>
                  <w:r>
                    <w:rPr>
                      <w:b/>
                      <w:bCs/>
                      <w:sz w:val="21"/>
                      <w:szCs w:val="21"/>
                    </w:rPr>
                    <w:t>主要污染物</w:t>
                  </w:r>
                </w:p>
              </w:tc>
              <w:tc>
                <w:tcPr>
                  <w:tcW w:w="2156" w:type="pct"/>
                  <w:gridSpan w:val="2"/>
                  <w:vAlign w:val="center"/>
                </w:tcPr>
                <w:p>
                  <w:pPr>
                    <w:pStyle w:val="2"/>
                    <w:adjustRightInd w:val="0"/>
                    <w:snapToGrid w:val="0"/>
                    <w:spacing w:line="240" w:lineRule="auto"/>
                    <w:ind w:firstLine="0"/>
                    <w:jc w:val="center"/>
                    <w:rPr>
                      <w:b/>
                      <w:bCs/>
                      <w:sz w:val="21"/>
                      <w:szCs w:val="21"/>
                    </w:rPr>
                  </w:pPr>
                  <w:r>
                    <w:rPr>
                      <w:b/>
                      <w:bCs/>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Merge w:val="restart"/>
                  <w:vAlign w:val="center"/>
                </w:tcPr>
                <w:p>
                  <w:pPr>
                    <w:pStyle w:val="2"/>
                    <w:adjustRightInd w:val="0"/>
                    <w:snapToGrid w:val="0"/>
                    <w:spacing w:line="240" w:lineRule="auto"/>
                    <w:ind w:firstLine="0"/>
                    <w:jc w:val="center"/>
                    <w:rPr>
                      <w:sz w:val="21"/>
                      <w:szCs w:val="21"/>
                    </w:rPr>
                  </w:pPr>
                  <w:r>
                    <w:rPr>
                      <w:sz w:val="21"/>
                      <w:szCs w:val="21"/>
                    </w:rPr>
                    <w:t>废气</w:t>
                  </w:r>
                </w:p>
              </w:tc>
              <w:tc>
                <w:tcPr>
                  <w:tcW w:w="501" w:type="pct"/>
                  <w:vAlign w:val="center"/>
                </w:tcPr>
                <w:p>
                  <w:pPr>
                    <w:adjustRightInd w:val="0"/>
                    <w:snapToGrid w:val="0"/>
                    <w:jc w:val="center"/>
                    <w:rPr>
                      <w:szCs w:val="21"/>
                    </w:rPr>
                  </w:pPr>
                  <w:r>
                    <w:rPr>
                      <w:szCs w:val="21"/>
                    </w:rPr>
                    <w:t>G1</w:t>
                  </w:r>
                </w:p>
              </w:tc>
              <w:tc>
                <w:tcPr>
                  <w:tcW w:w="726" w:type="pct"/>
                  <w:vAlign w:val="center"/>
                </w:tcPr>
                <w:p>
                  <w:pPr>
                    <w:adjustRightInd w:val="0"/>
                    <w:snapToGrid w:val="0"/>
                    <w:jc w:val="center"/>
                    <w:rPr>
                      <w:szCs w:val="21"/>
                    </w:rPr>
                  </w:pPr>
                  <w:r>
                    <w:rPr>
                      <w:rFonts w:hint="eastAsia"/>
                      <w:szCs w:val="21"/>
                    </w:rPr>
                    <w:t>激光</w:t>
                  </w:r>
                  <w:r>
                    <w:rPr>
                      <w:szCs w:val="21"/>
                    </w:rPr>
                    <w:t>切割工序</w:t>
                  </w:r>
                </w:p>
              </w:tc>
              <w:tc>
                <w:tcPr>
                  <w:tcW w:w="1207" w:type="pct"/>
                  <w:vAlign w:val="center"/>
                </w:tcPr>
                <w:p>
                  <w:pPr>
                    <w:adjustRightInd w:val="0"/>
                    <w:snapToGrid w:val="0"/>
                    <w:jc w:val="center"/>
                    <w:rPr>
                      <w:szCs w:val="21"/>
                    </w:rPr>
                  </w:pPr>
                  <w:r>
                    <w:rPr>
                      <w:szCs w:val="21"/>
                    </w:rPr>
                    <w:t>颗粒物</w:t>
                  </w:r>
                </w:p>
              </w:tc>
              <w:tc>
                <w:tcPr>
                  <w:tcW w:w="889" w:type="pct"/>
                  <w:vAlign w:val="center"/>
                </w:tcPr>
                <w:p>
                  <w:pPr>
                    <w:adjustRightInd w:val="0"/>
                    <w:snapToGrid w:val="0"/>
                    <w:jc w:val="center"/>
                    <w:rPr>
                      <w:szCs w:val="21"/>
                    </w:rPr>
                  </w:pPr>
                  <w:r>
                    <w:rPr>
                      <w:rFonts w:hint="eastAsia"/>
                      <w:szCs w:val="21"/>
                    </w:rPr>
                    <w:t>集气装置+自带布袋除尘器</w:t>
                  </w:r>
                </w:p>
              </w:tc>
              <w:tc>
                <w:tcPr>
                  <w:tcW w:w="1267" w:type="pct"/>
                  <w:vMerge w:val="restart"/>
                  <w:vAlign w:val="center"/>
                </w:tcPr>
                <w:p>
                  <w:pPr>
                    <w:adjustRightInd w:val="0"/>
                    <w:snapToGrid w:val="0"/>
                    <w:jc w:val="center"/>
                    <w:rPr>
                      <w:szCs w:val="21"/>
                    </w:rPr>
                  </w:pPr>
                  <w:r>
                    <w:rPr>
                      <w:rFonts w:hint="eastAsia"/>
                      <w:szCs w:val="21"/>
                    </w:rPr>
                    <w:t>+20m高排气筒（DA001）排放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Merge w:val="continue"/>
                  <w:vAlign w:val="center"/>
                </w:tcPr>
                <w:p>
                  <w:pPr>
                    <w:pStyle w:val="2"/>
                    <w:adjustRightInd w:val="0"/>
                    <w:snapToGrid w:val="0"/>
                    <w:spacing w:line="240" w:lineRule="auto"/>
                    <w:ind w:firstLine="0"/>
                    <w:jc w:val="center"/>
                    <w:rPr>
                      <w:sz w:val="21"/>
                      <w:szCs w:val="21"/>
                    </w:rPr>
                  </w:pPr>
                </w:p>
              </w:tc>
              <w:tc>
                <w:tcPr>
                  <w:tcW w:w="501" w:type="pct"/>
                  <w:vAlign w:val="center"/>
                </w:tcPr>
                <w:p>
                  <w:pPr>
                    <w:adjustRightInd w:val="0"/>
                    <w:snapToGrid w:val="0"/>
                    <w:jc w:val="center"/>
                    <w:rPr>
                      <w:szCs w:val="21"/>
                    </w:rPr>
                  </w:pPr>
                  <w:r>
                    <w:rPr>
                      <w:szCs w:val="21"/>
                    </w:rPr>
                    <w:t>G2</w:t>
                  </w:r>
                </w:p>
              </w:tc>
              <w:tc>
                <w:tcPr>
                  <w:tcW w:w="726" w:type="pct"/>
                  <w:vAlign w:val="center"/>
                </w:tcPr>
                <w:p>
                  <w:pPr>
                    <w:adjustRightInd w:val="0"/>
                    <w:snapToGrid w:val="0"/>
                    <w:jc w:val="center"/>
                    <w:rPr>
                      <w:szCs w:val="21"/>
                    </w:rPr>
                  </w:pPr>
                  <w:r>
                    <w:rPr>
                      <w:szCs w:val="21"/>
                    </w:rPr>
                    <w:t>焊接工序</w:t>
                  </w:r>
                </w:p>
              </w:tc>
              <w:tc>
                <w:tcPr>
                  <w:tcW w:w="1207" w:type="pct"/>
                  <w:vAlign w:val="center"/>
                </w:tcPr>
                <w:p>
                  <w:pPr>
                    <w:adjustRightInd w:val="0"/>
                    <w:snapToGrid w:val="0"/>
                    <w:jc w:val="center"/>
                    <w:rPr>
                      <w:szCs w:val="21"/>
                    </w:rPr>
                  </w:pPr>
                  <w:r>
                    <w:rPr>
                      <w:szCs w:val="21"/>
                    </w:rPr>
                    <w:t>颗粒物</w:t>
                  </w:r>
                </w:p>
              </w:tc>
              <w:tc>
                <w:tcPr>
                  <w:tcW w:w="889" w:type="pct"/>
                  <w:vAlign w:val="center"/>
                </w:tcPr>
                <w:p>
                  <w:pPr>
                    <w:adjustRightInd w:val="0"/>
                    <w:snapToGrid w:val="0"/>
                    <w:jc w:val="center"/>
                    <w:rPr>
                      <w:szCs w:val="21"/>
                    </w:rPr>
                  </w:pPr>
                  <w:r>
                    <w:rPr>
                      <w:rFonts w:hint="eastAsia"/>
                      <w:szCs w:val="21"/>
                    </w:rPr>
                    <w:t>集气罩+布袋除尘器</w:t>
                  </w:r>
                </w:p>
              </w:tc>
              <w:tc>
                <w:tcPr>
                  <w:tcW w:w="1267"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Merge w:val="continue"/>
                  <w:vAlign w:val="center"/>
                </w:tcPr>
                <w:p>
                  <w:pPr>
                    <w:pStyle w:val="2"/>
                    <w:adjustRightInd w:val="0"/>
                    <w:snapToGrid w:val="0"/>
                    <w:spacing w:line="240" w:lineRule="auto"/>
                    <w:ind w:firstLine="0"/>
                    <w:jc w:val="center"/>
                    <w:rPr>
                      <w:sz w:val="21"/>
                      <w:szCs w:val="21"/>
                    </w:rPr>
                  </w:pPr>
                </w:p>
              </w:tc>
              <w:tc>
                <w:tcPr>
                  <w:tcW w:w="501" w:type="pct"/>
                  <w:vAlign w:val="center"/>
                </w:tcPr>
                <w:p>
                  <w:pPr>
                    <w:adjustRightInd w:val="0"/>
                    <w:snapToGrid w:val="0"/>
                    <w:jc w:val="center"/>
                    <w:rPr>
                      <w:szCs w:val="21"/>
                    </w:rPr>
                  </w:pPr>
                  <w:r>
                    <w:rPr>
                      <w:szCs w:val="21"/>
                    </w:rPr>
                    <w:t>G3</w:t>
                  </w:r>
                </w:p>
              </w:tc>
              <w:tc>
                <w:tcPr>
                  <w:tcW w:w="726" w:type="pct"/>
                  <w:vAlign w:val="center"/>
                </w:tcPr>
                <w:p>
                  <w:pPr>
                    <w:adjustRightInd w:val="0"/>
                    <w:snapToGrid w:val="0"/>
                    <w:jc w:val="center"/>
                    <w:rPr>
                      <w:szCs w:val="21"/>
                    </w:rPr>
                  </w:pPr>
                  <w:r>
                    <w:rPr>
                      <w:rFonts w:hint="eastAsia"/>
                      <w:szCs w:val="21"/>
                    </w:rPr>
                    <w:t>喷涂工序</w:t>
                  </w:r>
                </w:p>
              </w:tc>
              <w:tc>
                <w:tcPr>
                  <w:tcW w:w="1207" w:type="pct"/>
                  <w:vAlign w:val="center"/>
                </w:tcPr>
                <w:p>
                  <w:pPr>
                    <w:adjustRightInd w:val="0"/>
                    <w:snapToGrid w:val="0"/>
                    <w:jc w:val="center"/>
                    <w:rPr>
                      <w:szCs w:val="21"/>
                    </w:rPr>
                  </w:pPr>
                  <w:r>
                    <w:rPr>
                      <w:rFonts w:hint="eastAsia"/>
                      <w:szCs w:val="21"/>
                    </w:rPr>
                    <w:t>颗粒物</w:t>
                  </w:r>
                </w:p>
              </w:tc>
              <w:tc>
                <w:tcPr>
                  <w:tcW w:w="2156" w:type="pct"/>
                  <w:gridSpan w:val="2"/>
                  <w:vAlign w:val="center"/>
                </w:tcPr>
                <w:p>
                  <w:pPr>
                    <w:adjustRightInd w:val="0"/>
                    <w:snapToGrid w:val="0"/>
                    <w:jc w:val="center"/>
                    <w:rPr>
                      <w:szCs w:val="21"/>
                    </w:rPr>
                  </w:pPr>
                  <w:r>
                    <w:rPr>
                      <w:rFonts w:hint="eastAsia"/>
                      <w:szCs w:val="21"/>
                    </w:rPr>
                    <w:t>集气装置+旋风除尘器+滤筒除尘器</w:t>
                  </w:r>
                </w:p>
                <w:p>
                  <w:pPr>
                    <w:adjustRightInd w:val="0"/>
                    <w:snapToGrid w:val="0"/>
                    <w:jc w:val="center"/>
                    <w:rPr>
                      <w:szCs w:val="21"/>
                    </w:rPr>
                  </w:pPr>
                  <w:r>
                    <w:rPr>
                      <w:rFonts w:hint="eastAsia"/>
                      <w:szCs w:val="21"/>
                    </w:rPr>
                    <w:t>+20m高排气筒（DA002）排放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Merge w:val="continue"/>
                  <w:vAlign w:val="center"/>
                </w:tcPr>
                <w:p>
                  <w:pPr>
                    <w:pStyle w:val="2"/>
                    <w:adjustRightInd w:val="0"/>
                    <w:snapToGrid w:val="0"/>
                    <w:spacing w:line="240" w:lineRule="auto"/>
                    <w:ind w:firstLine="0"/>
                    <w:jc w:val="center"/>
                    <w:rPr>
                      <w:sz w:val="21"/>
                      <w:szCs w:val="21"/>
                    </w:rPr>
                  </w:pPr>
                </w:p>
              </w:tc>
              <w:tc>
                <w:tcPr>
                  <w:tcW w:w="501" w:type="pct"/>
                  <w:vAlign w:val="center"/>
                </w:tcPr>
                <w:p>
                  <w:pPr>
                    <w:adjustRightInd w:val="0"/>
                    <w:snapToGrid w:val="0"/>
                    <w:jc w:val="center"/>
                    <w:rPr>
                      <w:szCs w:val="21"/>
                    </w:rPr>
                  </w:pPr>
                  <w:r>
                    <w:rPr>
                      <w:szCs w:val="21"/>
                    </w:rPr>
                    <w:t>G4</w:t>
                  </w:r>
                </w:p>
              </w:tc>
              <w:tc>
                <w:tcPr>
                  <w:tcW w:w="726" w:type="pct"/>
                  <w:vAlign w:val="center"/>
                </w:tcPr>
                <w:p>
                  <w:pPr>
                    <w:adjustRightInd w:val="0"/>
                    <w:snapToGrid w:val="0"/>
                    <w:jc w:val="center"/>
                    <w:rPr>
                      <w:szCs w:val="21"/>
                    </w:rPr>
                  </w:pPr>
                  <w:r>
                    <w:rPr>
                      <w:rFonts w:hint="eastAsia"/>
                      <w:szCs w:val="21"/>
                    </w:rPr>
                    <w:t>天然气燃烧</w:t>
                  </w:r>
                </w:p>
              </w:tc>
              <w:tc>
                <w:tcPr>
                  <w:tcW w:w="1207" w:type="pct"/>
                  <w:vAlign w:val="center"/>
                </w:tcPr>
                <w:p>
                  <w:pPr>
                    <w:adjustRightInd w:val="0"/>
                    <w:snapToGrid w:val="0"/>
                    <w:jc w:val="center"/>
                    <w:rPr>
                      <w:szCs w:val="21"/>
                    </w:rPr>
                  </w:pPr>
                  <w:r>
                    <w:rPr>
                      <w:szCs w:val="21"/>
                    </w:rPr>
                    <w:t>颗粒物、</w:t>
                  </w: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、烟气黑度</w:t>
                  </w:r>
                </w:p>
              </w:tc>
              <w:tc>
                <w:tcPr>
                  <w:tcW w:w="889" w:type="pct"/>
                  <w:vAlign w:val="center"/>
                </w:tcPr>
                <w:p>
                  <w:pPr>
                    <w:jc w:val="center"/>
                    <w:rPr>
                      <w:szCs w:val="21"/>
                    </w:rPr>
                  </w:pPr>
                  <w:r>
                    <w:rPr>
                      <w:rFonts w:hint="eastAsia"/>
                    </w:rPr>
                    <w:t>低氮燃烧器+集气装置</w:t>
                  </w:r>
                </w:p>
              </w:tc>
              <w:tc>
                <w:tcPr>
                  <w:tcW w:w="1267" w:type="pct"/>
                  <w:vMerge w:val="restart"/>
                  <w:vAlign w:val="center"/>
                </w:tcPr>
                <w:p>
                  <w:pPr>
                    <w:adjustRightInd w:val="0"/>
                    <w:snapToGrid w:val="0"/>
                    <w:jc w:val="center"/>
                    <w:rPr>
                      <w:szCs w:val="21"/>
                    </w:rPr>
                  </w:pPr>
                  <w:r>
                    <w:t>+</w:t>
                  </w:r>
                  <w:r>
                    <w:rPr>
                      <w:rFonts w:hint="eastAsia"/>
                    </w:rPr>
                    <w:t>干式过滤棉+活性炭吸附脱附催化燃烧装置</w:t>
                  </w:r>
                  <w:r>
                    <w:rPr>
                      <w:szCs w:val="21"/>
                    </w:rPr>
                    <w:t>+</w:t>
                  </w:r>
                  <w:r>
                    <w:rPr>
                      <w:rFonts w:hint="eastAsia"/>
                      <w:szCs w:val="21"/>
                    </w:rPr>
                    <w:t>20</w:t>
                  </w:r>
                  <w:r>
                    <w:rPr>
                      <w:szCs w:val="21"/>
                    </w:rPr>
                    <w:t>m排气筒</w:t>
                  </w:r>
                  <w:r>
                    <w:rPr>
                      <w:rFonts w:hint="eastAsia"/>
                      <w:szCs w:val="21"/>
                    </w:rPr>
                    <w:t>（</w:t>
                  </w:r>
                  <w:r>
                    <w:rPr>
                      <w:szCs w:val="21"/>
                    </w:rPr>
                    <w:t>DA00</w:t>
                  </w:r>
                  <w:r>
                    <w:rPr>
                      <w:rFonts w:hint="eastAsia"/>
                      <w:szCs w:val="21"/>
                    </w:rPr>
                    <w:t>3），设置VOCs超标报警装置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8" w:type="pct"/>
                  <w:vMerge w:val="continue"/>
                  <w:vAlign w:val="center"/>
                </w:tcPr>
                <w:p>
                  <w:pPr>
                    <w:adjustRightInd w:val="0"/>
                    <w:snapToGrid w:val="0"/>
                    <w:jc w:val="center"/>
                  </w:pPr>
                </w:p>
              </w:tc>
              <w:tc>
                <w:tcPr>
                  <w:tcW w:w="501" w:type="pct"/>
                  <w:vAlign w:val="center"/>
                </w:tcPr>
                <w:p>
                  <w:pPr>
                    <w:adjustRightInd w:val="0"/>
                    <w:snapToGrid w:val="0"/>
                    <w:jc w:val="center"/>
                    <w:rPr>
                      <w:szCs w:val="21"/>
                    </w:rPr>
                  </w:pPr>
                  <w:r>
                    <w:rPr>
                      <w:rFonts w:hint="eastAsia"/>
                      <w:szCs w:val="21"/>
                    </w:rPr>
                    <w:t>G5</w:t>
                  </w:r>
                </w:p>
              </w:tc>
              <w:tc>
                <w:tcPr>
                  <w:tcW w:w="726" w:type="pct"/>
                  <w:vAlign w:val="center"/>
                </w:tcPr>
                <w:p>
                  <w:pPr>
                    <w:adjustRightInd w:val="0"/>
                    <w:snapToGrid w:val="0"/>
                    <w:jc w:val="center"/>
                    <w:rPr>
                      <w:szCs w:val="21"/>
                    </w:rPr>
                  </w:pPr>
                  <w:r>
                    <w:rPr>
                      <w:rFonts w:hint="eastAsia"/>
                      <w:szCs w:val="21"/>
                    </w:rPr>
                    <w:t>烘干固化</w:t>
                  </w:r>
                </w:p>
              </w:tc>
              <w:tc>
                <w:tcPr>
                  <w:tcW w:w="1207" w:type="pct"/>
                  <w:vAlign w:val="center"/>
                </w:tcPr>
                <w:p>
                  <w:pPr>
                    <w:adjustRightInd w:val="0"/>
                    <w:snapToGrid w:val="0"/>
                    <w:jc w:val="center"/>
                    <w:rPr>
                      <w:szCs w:val="21"/>
                    </w:rPr>
                  </w:pPr>
                  <w:r>
                    <w:rPr>
                      <w:rFonts w:hint="eastAsia"/>
                      <w:szCs w:val="21"/>
                    </w:rPr>
                    <w:t>非甲烷总烃</w:t>
                  </w:r>
                </w:p>
              </w:tc>
              <w:tc>
                <w:tcPr>
                  <w:tcW w:w="889" w:type="pct"/>
                  <w:vAlign w:val="center"/>
                </w:tcPr>
                <w:p>
                  <w:pPr>
                    <w:jc w:val="center"/>
                    <w:rPr>
                      <w:szCs w:val="21"/>
                    </w:rPr>
                  </w:pPr>
                  <w:r>
                    <w:rPr>
                      <w:rFonts w:hint="eastAsia"/>
                      <w:szCs w:val="21"/>
                    </w:rPr>
                    <w:t>集气装置</w:t>
                  </w:r>
                </w:p>
              </w:tc>
              <w:tc>
                <w:tcPr>
                  <w:tcW w:w="1267"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2"/>
                    <w:adjustRightInd w:val="0"/>
                    <w:snapToGrid w:val="0"/>
                    <w:spacing w:line="240" w:lineRule="auto"/>
                    <w:ind w:firstLine="0"/>
                    <w:jc w:val="center"/>
                    <w:rPr>
                      <w:sz w:val="21"/>
                      <w:szCs w:val="21"/>
                    </w:rPr>
                  </w:pPr>
                  <w:r>
                    <w:rPr>
                      <w:sz w:val="21"/>
                      <w:szCs w:val="21"/>
                    </w:rPr>
                    <w:t>废水</w:t>
                  </w:r>
                </w:p>
              </w:tc>
              <w:tc>
                <w:tcPr>
                  <w:tcW w:w="501" w:type="pct"/>
                  <w:vAlign w:val="center"/>
                </w:tcPr>
                <w:p>
                  <w:pPr>
                    <w:adjustRightInd w:val="0"/>
                    <w:snapToGrid w:val="0"/>
                    <w:jc w:val="center"/>
                    <w:rPr>
                      <w:szCs w:val="21"/>
                    </w:rPr>
                  </w:pPr>
                  <w:r>
                    <w:rPr>
                      <w:szCs w:val="21"/>
                    </w:rPr>
                    <w:t>--</w:t>
                  </w:r>
                </w:p>
              </w:tc>
              <w:tc>
                <w:tcPr>
                  <w:tcW w:w="726" w:type="pct"/>
                  <w:vAlign w:val="center"/>
                </w:tcPr>
                <w:p>
                  <w:pPr>
                    <w:adjustRightInd w:val="0"/>
                    <w:snapToGrid w:val="0"/>
                    <w:jc w:val="center"/>
                    <w:rPr>
                      <w:szCs w:val="21"/>
                    </w:rPr>
                  </w:pPr>
                  <w:r>
                    <w:rPr>
                      <w:szCs w:val="21"/>
                    </w:rPr>
                    <w:t>生活污水</w:t>
                  </w:r>
                </w:p>
              </w:tc>
              <w:tc>
                <w:tcPr>
                  <w:tcW w:w="1207" w:type="pct"/>
                  <w:vAlign w:val="center"/>
                </w:tcPr>
                <w:p>
                  <w:pPr>
                    <w:adjustRightInd w:val="0"/>
                    <w:snapToGrid w:val="0"/>
                    <w:jc w:val="center"/>
                    <w:rPr>
                      <w:bCs/>
                      <w:szCs w:val="21"/>
                    </w:rPr>
                  </w:pPr>
                  <w:r>
                    <w:rPr>
                      <w:rFonts w:hint="eastAsia"/>
                      <w:bCs/>
                      <w:szCs w:val="21"/>
                    </w:rPr>
                    <w:t>pH、</w:t>
                  </w:r>
                  <w:r>
                    <w:rPr>
                      <w:bCs/>
                      <w:szCs w:val="21"/>
                    </w:rPr>
                    <w:t>COD、BOD</w:t>
                  </w:r>
                  <w:r>
                    <w:rPr>
                      <w:bCs/>
                      <w:szCs w:val="21"/>
                      <w:vertAlign w:val="subscript"/>
                    </w:rPr>
                    <w:t>5</w:t>
                  </w:r>
                  <w:r>
                    <w:rPr>
                      <w:bCs/>
                      <w:szCs w:val="21"/>
                    </w:rPr>
                    <w:t>、SS、氨氮</w:t>
                  </w:r>
                  <w:r>
                    <w:rPr>
                      <w:rFonts w:hint="eastAsia"/>
                      <w:bCs/>
                      <w:szCs w:val="21"/>
                    </w:rPr>
                    <w:t>、总磷、总氮</w:t>
                  </w:r>
                </w:p>
              </w:tc>
              <w:tc>
                <w:tcPr>
                  <w:tcW w:w="2156" w:type="pct"/>
                  <w:gridSpan w:val="2"/>
                  <w:vAlign w:val="center"/>
                </w:tcPr>
                <w:p>
                  <w:pPr>
                    <w:adjustRightInd w:val="0"/>
                    <w:snapToGrid w:val="0"/>
                    <w:jc w:val="center"/>
                    <w:rPr>
                      <w:bCs/>
                      <w:szCs w:val="21"/>
                    </w:rPr>
                  </w:pPr>
                  <w:r>
                    <w:rPr>
                      <w:bCs/>
                      <w:szCs w:val="21"/>
                    </w:rPr>
                    <w:t>经厂内化粪池处理后，进入污水管网，排入</w:t>
                  </w:r>
                  <w:r>
                    <w:rPr>
                      <w:rFonts w:hint="eastAsia"/>
                      <w:bCs/>
                      <w:szCs w:val="21"/>
                    </w:rPr>
                    <w:t>新河县城东污水处理厂</w:t>
                  </w:r>
                  <w:r>
                    <w:rPr>
                      <w:bCs/>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2"/>
                    <w:adjustRightInd w:val="0"/>
                    <w:snapToGrid w:val="0"/>
                    <w:spacing w:line="240" w:lineRule="auto"/>
                    <w:ind w:firstLine="0"/>
                    <w:jc w:val="center"/>
                    <w:rPr>
                      <w:sz w:val="21"/>
                      <w:szCs w:val="21"/>
                    </w:rPr>
                  </w:pPr>
                  <w:r>
                    <w:rPr>
                      <w:sz w:val="21"/>
                      <w:szCs w:val="21"/>
                    </w:rPr>
                    <w:t>噪声</w:t>
                  </w:r>
                </w:p>
              </w:tc>
              <w:tc>
                <w:tcPr>
                  <w:tcW w:w="501" w:type="pct"/>
                  <w:vAlign w:val="center"/>
                </w:tcPr>
                <w:p>
                  <w:pPr>
                    <w:pStyle w:val="2"/>
                    <w:adjustRightInd w:val="0"/>
                    <w:snapToGrid w:val="0"/>
                    <w:spacing w:line="240" w:lineRule="auto"/>
                    <w:ind w:firstLine="0"/>
                    <w:jc w:val="center"/>
                    <w:rPr>
                      <w:sz w:val="21"/>
                      <w:szCs w:val="21"/>
                    </w:rPr>
                  </w:pPr>
                  <w:r>
                    <w:rPr>
                      <w:sz w:val="21"/>
                      <w:szCs w:val="21"/>
                    </w:rPr>
                    <w:t>N1-</w:t>
                  </w:r>
                  <w:r>
                    <w:rPr>
                      <w:rFonts w:hint="eastAsia"/>
                      <w:sz w:val="21"/>
                      <w:szCs w:val="21"/>
                    </w:rPr>
                    <w:t>N8</w:t>
                  </w:r>
                </w:p>
              </w:tc>
              <w:tc>
                <w:tcPr>
                  <w:tcW w:w="726" w:type="pct"/>
                  <w:vAlign w:val="center"/>
                </w:tcPr>
                <w:p>
                  <w:pPr>
                    <w:pStyle w:val="2"/>
                    <w:adjustRightInd w:val="0"/>
                    <w:snapToGrid w:val="0"/>
                    <w:spacing w:line="240" w:lineRule="auto"/>
                    <w:ind w:firstLine="0"/>
                    <w:jc w:val="center"/>
                    <w:rPr>
                      <w:sz w:val="21"/>
                      <w:szCs w:val="21"/>
                    </w:rPr>
                  </w:pPr>
                  <w:r>
                    <w:rPr>
                      <w:sz w:val="21"/>
                      <w:szCs w:val="21"/>
                    </w:rPr>
                    <w:t>生产设备</w:t>
                  </w:r>
                </w:p>
              </w:tc>
              <w:tc>
                <w:tcPr>
                  <w:tcW w:w="1207" w:type="pct"/>
                  <w:vAlign w:val="center"/>
                </w:tcPr>
                <w:p>
                  <w:pPr>
                    <w:pStyle w:val="2"/>
                    <w:adjustRightInd w:val="0"/>
                    <w:snapToGrid w:val="0"/>
                    <w:spacing w:line="240" w:lineRule="auto"/>
                    <w:ind w:firstLine="0"/>
                    <w:jc w:val="center"/>
                    <w:rPr>
                      <w:sz w:val="21"/>
                      <w:szCs w:val="21"/>
                    </w:rPr>
                  </w:pPr>
                  <w:r>
                    <w:rPr>
                      <w:sz w:val="21"/>
                      <w:szCs w:val="21"/>
                    </w:rPr>
                    <w:t>等效连续A声级</w:t>
                  </w:r>
                </w:p>
              </w:tc>
              <w:tc>
                <w:tcPr>
                  <w:tcW w:w="2156" w:type="pct"/>
                  <w:gridSpan w:val="2"/>
                  <w:vAlign w:val="center"/>
                </w:tcPr>
                <w:p>
                  <w:pPr>
                    <w:pStyle w:val="2"/>
                    <w:adjustRightInd w:val="0"/>
                    <w:snapToGrid w:val="0"/>
                    <w:spacing w:line="240" w:lineRule="auto"/>
                    <w:ind w:firstLine="0"/>
                    <w:jc w:val="center"/>
                    <w:rPr>
                      <w:sz w:val="21"/>
                      <w:szCs w:val="21"/>
                    </w:rPr>
                  </w:pPr>
                  <w:r>
                    <w:rPr>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restart"/>
                  <w:vAlign w:val="center"/>
                </w:tcPr>
                <w:p>
                  <w:pPr>
                    <w:pStyle w:val="2"/>
                    <w:adjustRightInd w:val="0"/>
                    <w:snapToGrid w:val="0"/>
                    <w:spacing w:line="240" w:lineRule="auto"/>
                    <w:ind w:firstLine="0"/>
                    <w:jc w:val="center"/>
                    <w:rPr>
                      <w:sz w:val="21"/>
                      <w:szCs w:val="21"/>
                    </w:rPr>
                  </w:pPr>
                  <w:r>
                    <w:rPr>
                      <w:sz w:val="21"/>
                      <w:szCs w:val="21"/>
                    </w:rPr>
                    <w:t>固废</w:t>
                  </w:r>
                </w:p>
              </w:tc>
              <w:tc>
                <w:tcPr>
                  <w:tcW w:w="501" w:type="pct"/>
                  <w:vAlign w:val="center"/>
                </w:tcPr>
                <w:p>
                  <w:pPr>
                    <w:tabs>
                      <w:tab w:val="left" w:pos="6593"/>
                    </w:tabs>
                    <w:adjustRightInd w:val="0"/>
                    <w:snapToGrid w:val="0"/>
                    <w:jc w:val="center"/>
                    <w:rPr>
                      <w:szCs w:val="21"/>
                    </w:rPr>
                  </w:pPr>
                  <w:r>
                    <w:rPr>
                      <w:szCs w:val="21"/>
                    </w:rPr>
                    <w:t>S1</w:t>
                  </w:r>
                </w:p>
              </w:tc>
              <w:tc>
                <w:tcPr>
                  <w:tcW w:w="726" w:type="pct"/>
                  <w:vAlign w:val="center"/>
                </w:tcPr>
                <w:p>
                  <w:pPr>
                    <w:tabs>
                      <w:tab w:val="left" w:pos="6593"/>
                    </w:tabs>
                    <w:adjustRightInd w:val="0"/>
                    <w:snapToGrid w:val="0"/>
                    <w:jc w:val="center"/>
                    <w:rPr>
                      <w:szCs w:val="21"/>
                    </w:rPr>
                  </w:pPr>
                  <w:r>
                    <w:rPr>
                      <w:szCs w:val="21"/>
                    </w:rPr>
                    <w:t>切割工序</w:t>
                  </w:r>
                </w:p>
              </w:tc>
              <w:tc>
                <w:tcPr>
                  <w:tcW w:w="1207" w:type="pct"/>
                  <w:vAlign w:val="center"/>
                </w:tcPr>
                <w:p>
                  <w:pPr>
                    <w:tabs>
                      <w:tab w:val="left" w:pos="6593"/>
                    </w:tabs>
                    <w:adjustRightInd w:val="0"/>
                    <w:snapToGrid w:val="0"/>
                    <w:jc w:val="center"/>
                    <w:rPr>
                      <w:szCs w:val="21"/>
                    </w:rPr>
                  </w:pPr>
                  <w:r>
                    <w:rPr>
                      <w:rFonts w:hint="eastAsia"/>
                      <w:szCs w:val="21"/>
                    </w:rPr>
                    <w:t>边角</w:t>
                  </w:r>
                  <w:r>
                    <w:rPr>
                      <w:szCs w:val="21"/>
                    </w:rPr>
                    <w:t>料</w:t>
                  </w:r>
                </w:p>
              </w:tc>
              <w:tc>
                <w:tcPr>
                  <w:tcW w:w="2156" w:type="pct"/>
                  <w:gridSpan w:val="2"/>
                  <w:vAlign w:val="center"/>
                </w:tcPr>
                <w:p>
                  <w:pPr>
                    <w:tabs>
                      <w:tab w:val="left" w:pos="6593"/>
                    </w:tabs>
                    <w:adjustRightInd w:val="0"/>
                    <w:snapToGrid w:val="0"/>
                    <w:jc w:val="center"/>
                    <w:rPr>
                      <w:szCs w:val="21"/>
                    </w:rPr>
                  </w:pPr>
                  <w:r>
                    <w:rPr>
                      <w:szCs w:val="21"/>
                    </w:rPr>
                    <w:t>厂内收集后外售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vAlign w:val="center"/>
                </w:tcPr>
                <w:p>
                  <w:pPr>
                    <w:widowControl/>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szCs w:val="21"/>
                    </w:rPr>
                    <w:t>S2</w:t>
                  </w:r>
                </w:p>
              </w:tc>
              <w:tc>
                <w:tcPr>
                  <w:tcW w:w="726" w:type="pct"/>
                  <w:vAlign w:val="center"/>
                </w:tcPr>
                <w:p>
                  <w:pPr>
                    <w:tabs>
                      <w:tab w:val="left" w:pos="6593"/>
                    </w:tabs>
                    <w:adjustRightInd w:val="0"/>
                    <w:snapToGrid w:val="0"/>
                    <w:jc w:val="center"/>
                    <w:rPr>
                      <w:szCs w:val="21"/>
                    </w:rPr>
                  </w:pPr>
                  <w:r>
                    <w:rPr>
                      <w:szCs w:val="21"/>
                    </w:rPr>
                    <w:t>切割工序</w:t>
                  </w:r>
                </w:p>
              </w:tc>
              <w:tc>
                <w:tcPr>
                  <w:tcW w:w="1207" w:type="pct"/>
                  <w:vAlign w:val="center"/>
                </w:tcPr>
                <w:p>
                  <w:pPr>
                    <w:tabs>
                      <w:tab w:val="left" w:pos="6593"/>
                    </w:tabs>
                    <w:adjustRightInd w:val="0"/>
                    <w:snapToGrid w:val="0"/>
                    <w:jc w:val="center"/>
                    <w:rPr>
                      <w:szCs w:val="21"/>
                    </w:rPr>
                  </w:pPr>
                  <w:r>
                    <w:rPr>
                      <w:rFonts w:hint="eastAsia"/>
                      <w:szCs w:val="21"/>
                    </w:rPr>
                    <w:t>自带布袋除尘器除</w:t>
                  </w:r>
                  <w:r>
                    <w:rPr>
                      <w:szCs w:val="21"/>
                    </w:rPr>
                    <w:t>尘灰</w:t>
                  </w:r>
                </w:p>
              </w:tc>
              <w:tc>
                <w:tcPr>
                  <w:tcW w:w="2156" w:type="pct"/>
                  <w:gridSpan w:val="2"/>
                  <w:vAlign w:val="center"/>
                </w:tcPr>
                <w:p>
                  <w:pPr>
                    <w:tabs>
                      <w:tab w:val="left" w:pos="6593"/>
                    </w:tabs>
                    <w:adjustRightInd w:val="0"/>
                    <w:snapToGrid w:val="0"/>
                    <w:jc w:val="center"/>
                    <w:rPr>
                      <w:szCs w:val="21"/>
                    </w:rPr>
                  </w:pPr>
                  <w:r>
                    <w:rPr>
                      <w:szCs w:val="21"/>
                    </w:rPr>
                    <w:t>厂内收集后外售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8" w:type="pct"/>
                  <w:vMerge w:val="continue"/>
                  <w:vAlign w:val="center"/>
                </w:tcPr>
                <w:p>
                  <w:pPr>
                    <w:widowControl/>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szCs w:val="21"/>
                    </w:rPr>
                    <w:t>S3</w:t>
                  </w:r>
                </w:p>
              </w:tc>
              <w:tc>
                <w:tcPr>
                  <w:tcW w:w="726" w:type="pct"/>
                  <w:vAlign w:val="center"/>
                </w:tcPr>
                <w:p>
                  <w:pPr>
                    <w:tabs>
                      <w:tab w:val="left" w:pos="6593"/>
                    </w:tabs>
                    <w:adjustRightInd w:val="0"/>
                    <w:snapToGrid w:val="0"/>
                    <w:jc w:val="center"/>
                    <w:rPr>
                      <w:szCs w:val="21"/>
                    </w:rPr>
                  </w:pPr>
                  <w:r>
                    <w:rPr>
                      <w:szCs w:val="21"/>
                    </w:rPr>
                    <w:t>机械加工</w:t>
                  </w:r>
                </w:p>
              </w:tc>
              <w:tc>
                <w:tcPr>
                  <w:tcW w:w="1207" w:type="pct"/>
                  <w:vAlign w:val="center"/>
                </w:tcPr>
                <w:p>
                  <w:pPr>
                    <w:tabs>
                      <w:tab w:val="left" w:pos="6593"/>
                    </w:tabs>
                    <w:adjustRightInd w:val="0"/>
                    <w:snapToGrid w:val="0"/>
                    <w:jc w:val="center"/>
                    <w:rPr>
                      <w:szCs w:val="21"/>
                    </w:rPr>
                  </w:pPr>
                  <w:r>
                    <w:rPr>
                      <w:rFonts w:hint="eastAsia"/>
                      <w:szCs w:val="21"/>
                    </w:rPr>
                    <w:t>下角料</w:t>
                  </w:r>
                </w:p>
              </w:tc>
              <w:tc>
                <w:tcPr>
                  <w:tcW w:w="2156" w:type="pct"/>
                  <w:gridSpan w:val="2"/>
                  <w:vMerge w:val="restart"/>
                  <w:vAlign w:val="center"/>
                </w:tcPr>
                <w:p>
                  <w:pPr>
                    <w:tabs>
                      <w:tab w:val="left" w:pos="6593"/>
                    </w:tabs>
                    <w:adjustRightInd w:val="0"/>
                    <w:snapToGrid w:val="0"/>
                    <w:jc w:val="center"/>
                    <w:rPr>
                      <w:szCs w:val="21"/>
                    </w:rPr>
                  </w:pPr>
                  <w:r>
                    <w:rPr>
                      <w:szCs w:val="21"/>
                    </w:rPr>
                    <w:t>厂内收集后外售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8" w:type="pct"/>
                  <w:vMerge w:val="continue"/>
                  <w:vAlign w:val="center"/>
                </w:tcPr>
                <w:p>
                  <w:pPr>
                    <w:tabs>
                      <w:tab w:val="left" w:pos="6593"/>
                    </w:tabs>
                    <w:adjustRightInd w:val="0"/>
                    <w:snapToGrid w:val="0"/>
                    <w:jc w:val="center"/>
                  </w:pPr>
                </w:p>
              </w:tc>
              <w:tc>
                <w:tcPr>
                  <w:tcW w:w="501" w:type="pct"/>
                  <w:vAlign w:val="center"/>
                </w:tcPr>
                <w:p>
                  <w:pPr>
                    <w:tabs>
                      <w:tab w:val="left" w:pos="6593"/>
                    </w:tabs>
                    <w:adjustRightInd w:val="0"/>
                    <w:snapToGrid w:val="0"/>
                    <w:jc w:val="center"/>
                    <w:rPr>
                      <w:szCs w:val="21"/>
                    </w:rPr>
                  </w:pPr>
                  <w:r>
                    <w:rPr>
                      <w:szCs w:val="21"/>
                    </w:rPr>
                    <w:t>S</w:t>
                  </w:r>
                  <w:r>
                    <w:rPr>
                      <w:rFonts w:hint="eastAsia"/>
                      <w:szCs w:val="21"/>
                    </w:rPr>
                    <w:t>6</w:t>
                  </w:r>
                </w:p>
              </w:tc>
              <w:tc>
                <w:tcPr>
                  <w:tcW w:w="726" w:type="pct"/>
                  <w:vAlign w:val="center"/>
                </w:tcPr>
                <w:p>
                  <w:pPr>
                    <w:tabs>
                      <w:tab w:val="left" w:pos="6593"/>
                    </w:tabs>
                    <w:adjustRightInd w:val="0"/>
                    <w:snapToGrid w:val="0"/>
                    <w:jc w:val="center"/>
                    <w:rPr>
                      <w:szCs w:val="21"/>
                    </w:rPr>
                  </w:pPr>
                  <w:r>
                    <w:rPr>
                      <w:szCs w:val="21"/>
                    </w:rPr>
                    <w:t>焊接工序</w:t>
                  </w:r>
                </w:p>
              </w:tc>
              <w:tc>
                <w:tcPr>
                  <w:tcW w:w="1207" w:type="pct"/>
                  <w:vAlign w:val="center"/>
                </w:tcPr>
                <w:p>
                  <w:pPr>
                    <w:tabs>
                      <w:tab w:val="left" w:pos="6593"/>
                    </w:tabs>
                    <w:adjustRightInd w:val="0"/>
                    <w:snapToGrid w:val="0"/>
                    <w:jc w:val="center"/>
                    <w:rPr>
                      <w:szCs w:val="21"/>
                    </w:rPr>
                  </w:pPr>
                  <w:r>
                    <w:rPr>
                      <w:rFonts w:hint="eastAsia"/>
                      <w:szCs w:val="21"/>
                    </w:rPr>
                    <w:t>废焊渣</w:t>
                  </w:r>
                </w:p>
              </w:tc>
              <w:tc>
                <w:tcPr>
                  <w:tcW w:w="2156" w:type="pct"/>
                  <w:gridSpan w:val="2"/>
                  <w:vMerge w:val="continue"/>
                  <w:vAlign w:val="center"/>
                </w:tcPr>
                <w:p>
                  <w:pPr>
                    <w:tabs>
                      <w:tab w:val="left" w:pos="6593"/>
                    </w:tabs>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8" w:type="pct"/>
                  <w:vMerge w:val="continue"/>
                  <w:vAlign w:val="center"/>
                </w:tcPr>
                <w:p>
                  <w:pPr>
                    <w:tabs>
                      <w:tab w:val="left" w:pos="6593"/>
                    </w:tabs>
                    <w:adjustRightInd w:val="0"/>
                    <w:snapToGrid w:val="0"/>
                    <w:jc w:val="center"/>
                  </w:pPr>
                </w:p>
              </w:tc>
              <w:tc>
                <w:tcPr>
                  <w:tcW w:w="501" w:type="pct"/>
                  <w:vAlign w:val="center"/>
                </w:tcPr>
                <w:p>
                  <w:pPr>
                    <w:tabs>
                      <w:tab w:val="left" w:pos="6593"/>
                    </w:tabs>
                    <w:adjustRightInd w:val="0"/>
                    <w:snapToGrid w:val="0"/>
                    <w:jc w:val="center"/>
                    <w:rPr>
                      <w:szCs w:val="21"/>
                    </w:rPr>
                  </w:pPr>
                  <w:r>
                    <w:rPr>
                      <w:rFonts w:hint="eastAsia"/>
                      <w:szCs w:val="21"/>
                    </w:rPr>
                    <w:t>S7</w:t>
                  </w:r>
                </w:p>
              </w:tc>
              <w:tc>
                <w:tcPr>
                  <w:tcW w:w="726" w:type="pct"/>
                  <w:vAlign w:val="center"/>
                </w:tcPr>
                <w:p>
                  <w:pPr>
                    <w:tabs>
                      <w:tab w:val="left" w:pos="6593"/>
                    </w:tabs>
                    <w:adjustRightInd w:val="0"/>
                    <w:snapToGrid w:val="0"/>
                    <w:jc w:val="center"/>
                    <w:rPr>
                      <w:szCs w:val="21"/>
                    </w:rPr>
                  </w:pPr>
                  <w:r>
                    <w:rPr>
                      <w:rFonts w:hint="eastAsia"/>
                      <w:szCs w:val="21"/>
                    </w:rPr>
                    <w:t>焊接工序</w:t>
                  </w:r>
                </w:p>
              </w:tc>
              <w:tc>
                <w:tcPr>
                  <w:tcW w:w="1207" w:type="pct"/>
                  <w:vAlign w:val="center"/>
                </w:tcPr>
                <w:p>
                  <w:pPr>
                    <w:tabs>
                      <w:tab w:val="left" w:pos="6593"/>
                    </w:tabs>
                    <w:adjustRightInd w:val="0"/>
                    <w:snapToGrid w:val="0"/>
                    <w:jc w:val="center"/>
                    <w:rPr>
                      <w:szCs w:val="21"/>
                    </w:rPr>
                  </w:pPr>
                  <w:r>
                    <w:rPr>
                      <w:rFonts w:hint="eastAsia"/>
                      <w:szCs w:val="21"/>
                    </w:rPr>
                    <w:t>布袋收集粉尘</w:t>
                  </w:r>
                </w:p>
              </w:tc>
              <w:tc>
                <w:tcPr>
                  <w:tcW w:w="2156" w:type="pct"/>
                  <w:gridSpan w:val="2"/>
                  <w:vMerge w:val="continue"/>
                  <w:vAlign w:val="center"/>
                </w:tcPr>
                <w:p>
                  <w:pPr>
                    <w:tabs>
                      <w:tab w:val="left" w:pos="6593"/>
                    </w:tabs>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8" w:type="pct"/>
                  <w:vMerge w:val="continue"/>
                  <w:vAlign w:val="center"/>
                </w:tcPr>
                <w:p>
                  <w:pPr>
                    <w:tabs>
                      <w:tab w:val="left" w:pos="6593"/>
                    </w:tabs>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szCs w:val="21"/>
                    </w:rPr>
                    <w:t>S</w:t>
                  </w:r>
                  <w:r>
                    <w:rPr>
                      <w:rFonts w:hint="eastAsia"/>
                      <w:szCs w:val="21"/>
                    </w:rPr>
                    <w:t>4</w:t>
                  </w:r>
                </w:p>
              </w:tc>
              <w:tc>
                <w:tcPr>
                  <w:tcW w:w="726" w:type="pct"/>
                  <w:vMerge w:val="restart"/>
                  <w:vAlign w:val="center"/>
                </w:tcPr>
                <w:p>
                  <w:pPr>
                    <w:tabs>
                      <w:tab w:val="left" w:pos="6593"/>
                    </w:tabs>
                    <w:adjustRightInd w:val="0"/>
                    <w:snapToGrid w:val="0"/>
                    <w:jc w:val="center"/>
                    <w:rPr>
                      <w:szCs w:val="21"/>
                    </w:rPr>
                  </w:pPr>
                  <w:r>
                    <w:rPr>
                      <w:szCs w:val="21"/>
                    </w:rPr>
                    <w:t>机械加工</w:t>
                  </w:r>
                </w:p>
              </w:tc>
              <w:tc>
                <w:tcPr>
                  <w:tcW w:w="1207" w:type="pct"/>
                  <w:vAlign w:val="center"/>
                </w:tcPr>
                <w:p>
                  <w:pPr>
                    <w:tabs>
                      <w:tab w:val="left" w:pos="6593"/>
                    </w:tabs>
                    <w:adjustRightInd w:val="0"/>
                    <w:snapToGrid w:val="0"/>
                    <w:jc w:val="center"/>
                    <w:rPr>
                      <w:szCs w:val="21"/>
                    </w:rPr>
                  </w:pPr>
                  <w:r>
                    <w:rPr>
                      <w:szCs w:val="21"/>
                    </w:rPr>
                    <w:t>废机油及废切削液</w:t>
                  </w:r>
                </w:p>
              </w:tc>
              <w:tc>
                <w:tcPr>
                  <w:tcW w:w="2156" w:type="pct"/>
                  <w:gridSpan w:val="2"/>
                  <w:vMerge w:val="restart"/>
                  <w:vAlign w:val="center"/>
                </w:tcPr>
                <w:p>
                  <w:pPr>
                    <w:tabs>
                      <w:tab w:val="left" w:pos="6593"/>
                    </w:tabs>
                    <w:adjustRightInd w:val="0"/>
                    <w:snapToGrid w:val="0"/>
                    <w:jc w:val="center"/>
                    <w:rPr>
                      <w:szCs w:val="21"/>
                    </w:rPr>
                  </w:pPr>
                  <w:r>
                    <w:rPr>
                      <w:szCs w:val="21"/>
                    </w:rPr>
                    <w:t>危险废物，厂内收集，分类暂存于危废暂存间，委托有资质单位处置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8" w:type="pct"/>
                  <w:vMerge w:val="continue"/>
                  <w:vAlign w:val="center"/>
                </w:tcPr>
                <w:p>
                  <w:pPr>
                    <w:tabs>
                      <w:tab w:val="left" w:pos="6593"/>
                    </w:tabs>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szCs w:val="21"/>
                    </w:rPr>
                    <w:t>S</w:t>
                  </w:r>
                  <w:r>
                    <w:rPr>
                      <w:rFonts w:hint="eastAsia"/>
                      <w:szCs w:val="21"/>
                    </w:rPr>
                    <w:t>5</w:t>
                  </w:r>
                </w:p>
              </w:tc>
              <w:tc>
                <w:tcPr>
                  <w:tcW w:w="726" w:type="pct"/>
                  <w:vMerge w:val="continue"/>
                  <w:vAlign w:val="center"/>
                </w:tcPr>
                <w:p>
                  <w:pPr>
                    <w:tabs>
                      <w:tab w:val="left" w:pos="6593"/>
                    </w:tabs>
                    <w:adjustRightInd w:val="0"/>
                    <w:snapToGrid w:val="0"/>
                    <w:jc w:val="center"/>
                    <w:rPr>
                      <w:szCs w:val="21"/>
                    </w:rPr>
                  </w:pPr>
                </w:p>
              </w:tc>
              <w:tc>
                <w:tcPr>
                  <w:tcW w:w="1207" w:type="pct"/>
                  <w:vAlign w:val="center"/>
                </w:tcPr>
                <w:p>
                  <w:pPr>
                    <w:tabs>
                      <w:tab w:val="left" w:pos="6593"/>
                    </w:tabs>
                    <w:adjustRightInd w:val="0"/>
                    <w:snapToGrid w:val="0"/>
                    <w:jc w:val="center"/>
                    <w:rPr>
                      <w:szCs w:val="21"/>
                    </w:rPr>
                  </w:pPr>
                  <w:r>
                    <w:rPr>
                      <w:szCs w:val="21"/>
                    </w:rPr>
                    <w:t>废机油桶及废切削液桶</w:t>
                  </w:r>
                </w:p>
              </w:tc>
              <w:tc>
                <w:tcPr>
                  <w:tcW w:w="2156" w:type="pct"/>
                  <w:gridSpan w:val="2"/>
                  <w:vMerge w:val="continue"/>
                  <w:vAlign w:val="center"/>
                </w:tcPr>
                <w:p>
                  <w:pPr>
                    <w:tabs>
                      <w:tab w:val="left" w:pos="6593"/>
                    </w:tabs>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8" w:type="pct"/>
                  <w:vMerge w:val="continue"/>
                  <w:vAlign w:val="center"/>
                </w:tcPr>
                <w:p>
                  <w:pPr>
                    <w:tabs>
                      <w:tab w:val="left" w:pos="6593"/>
                    </w:tabs>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rFonts w:hint="eastAsia"/>
                      <w:szCs w:val="21"/>
                    </w:rPr>
                    <w:t>S8</w:t>
                  </w:r>
                </w:p>
              </w:tc>
              <w:tc>
                <w:tcPr>
                  <w:tcW w:w="726" w:type="pct"/>
                  <w:vAlign w:val="center"/>
                </w:tcPr>
                <w:p>
                  <w:pPr>
                    <w:tabs>
                      <w:tab w:val="left" w:pos="6593"/>
                    </w:tabs>
                    <w:adjustRightInd w:val="0"/>
                    <w:snapToGrid w:val="0"/>
                    <w:jc w:val="center"/>
                    <w:rPr>
                      <w:szCs w:val="21"/>
                    </w:rPr>
                  </w:pPr>
                  <w:r>
                    <w:rPr>
                      <w:rFonts w:hint="eastAsia"/>
                      <w:szCs w:val="21"/>
                    </w:rPr>
                    <w:t>喷涂工序</w:t>
                  </w:r>
                </w:p>
              </w:tc>
              <w:tc>
                <w:tcPr>
                  <w:tcW w:w="1207" w:type="pct"/>
                  <w:vAlign w:val="center"/>
                </w:tcPr>
                <w:p>
                  <w:pPr>
                    <w:tabs>
                      <w:tab w:val="left" w:pos="6593"/>
                    </w:tabs>
                    <w:adjustRightInd w:val="0"/>
                    <w:snapToGrid w:val="0"/>
                    <w:jc w:val="center"/>
                    <w:rPr>
                      <w:szCs w:val="21"/>
                    </w:rPr>
                  </w:pPr>
                  <w:r>
                    <w:rPr>
                      <w:rFonts w:hint="eastAsia"/>
                      <w:szCs w:val="21"/>
                    </w:rPr>
                    <w:t>各除尘器收集塑粉</w:t>
                  </w:r>
                </w:p>
              </w:tc>
              <w:tc>
                <w:tcPr>
                  <w:tcW w:w="2156" w:type="pct"/>
                  <w:gridSpan w:val="2"/>
                  <w:vAlign w:val="center"/>
                </w:tcPr>
                <w:p>
                  <w:pPr>
                    <w:tabs>
                      <w:tab w:val="left" w:pos="6593"/>
                    </w:tabs>
                    <w:adjustRightInd w:val="0"/>
                    <w:snapToGrid w:val="0"/>
                    <w:jc w:val="center"/>
                    <w:rPr>
                      <w:szCs w:val="21"/>
                    </w:rPr>
                  </w:pPr>
                  <w:r>
                    <w:rPr>
                      <w:rFonts w:hint="eastAsia"/>
                      <w:szCs w:val="21"/>
                    </w:rPr>
                    <w:t>集中收集后回用于生产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8" w:type="pct"/>
                  <w:vMerge w:val="continue"/>
                  <w:vAlign w:val="center"/>
                </w:tcPr>
                <w:p>
                  <w:pPr>
                    <w:widowControl/>
                    <w:adjustRightInd w:val="0"/>
                    <w:snapToGrid w:val="0"/>
                    <w:jc w:val="center"/>
                    <w:rPr>
                      <w:szCs w:val="21"/>
                    </w:rPr>
                  </w:pPr>
                </w:p>
              </w:tc>
              <w:tc>
                <w:tcPr>
                  <w:tcW w:w="501" w:type="pct"/>
                  <w:vMerge w:val="restart"/>
                  <w:vAlign w:val="center"/>
                </w:tcPr>
                <w:p>
                  <w:pPr>
                    <w:tabs>
                      <w:tab w:val="left" w:pos="6593"/>
                    </w:tabs>
                    <w:adjustRightInd w:val="0"/>
                    <w:snapToGrid w:val="0"/>
                    <w:jc w:val="center"/>
                    <w:rPr>
                      <w:szCs w:val="21"/>
                    </w:rPr>
                  </w:pPr>
                  <w:r>
                    <w:rPr>
                      <w:rFonts w:hint="eastAsia"/>
                      <w:szCs w:val="21"/>
                    </w:rPr>
                    <w:t>S10</w:t>
                  </w:r>
                </w:p>
              </w:tc>
              <w:tc>
                <w:tcPr>
                  <w:tcW w:w="726" w:type="pct"/>
                  <w:vMerge w:val="restart"/>
                  <w:vAlign w:val="center"/>
                </w:tcPr>
                <w:p>
                  <w:pPr>
                    <w:tabs>
                      <w:tab w:val="left" w:pos="6593"/>
                    </w:tabs>
                    <w:adjustRightInd w:val="0"/>
                    <w:snapToGrid w:val="0"/>
                    <w:jc w:val="center"/>
                    <w:rPr>
                      <w:szCs w:val="21"/>
                    </w:rPr>
                  </w:pPr>
                  <w:r>
                    <w:rPr>
                      <w:rFonts w:hint="eastAsia"/>
                      <w:szCs w:val="21"/>
                    </w:rPr>
                    <w:t>烘干固化</w:t>
                  </w:r>
                </w:p>
              </w:tc>
              <w:tc>
                <w:tcPr>
                  <w:tcW w:w="1207" w:type="pct"/>
                  <w:vAlign w:val="center"/>
                </w:tcPr>
                <w:p>
                  <w:pPr>
                    <w:tabs>
                      <w:tab w:val="left" w:pos="6593"/>
                    </w:tabs>
                    <w:adjustRightInd w:val="0"/>
                    <w:snapToGrid w:val="0"/>
                    <w:jc w:val="center"/>
                    <w:rPr>
                      <w:szCs w:val="21"/>
                    </w:rPr>
                  </w:pPr>
                  <w:r>
                    <w:rPr>
                      <w:rFonts w:hint="eastAsia"/>
                      <w:szCs w:val="21"/>
                    </w:rPr>
                    <w:t>废催化剂</w:t>
                  </w:r>
                </w:p>
              </w:tc>
              <w:tc>
                <w:tcPr>
                  <w:tcW w:w="2156" w:type="pct"/>
                  <w:gridSpan w:val="2"/>
                  <w:vMerge w:val="restart"/>
                  <w:vAlign w:val="center"/>
                </w:tcPr>
                <w:p>
                  <w:pPr>
                    <w:tabs>
                      <w:tab w:val="left" w:pos="6593"/>
                    </w:tabs>
                    <w:adjustRightInd w:val="0"/>
                    <w:snapToGrid w:val="0"/>
                    <w:jc w:val="center"/>
                    <w:rPr>
                      <w:szCs w:val="21"/>
                    </w:rPr>
                  </w:pPr>
                  <w:r>
                    <w:rPr>
                      <w:rFonts w:hint="eastAsia"/>
                      <w:szCs w:val="21"/>
                    </w:rPr>
                    <w:t>危险废物，厂内收集，分类暂存于危废暂存间，由厂家回收利用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8" w:type="pct"/>
                  <w:vMerge w:val="continue"/>
                  <w:vAlign w:val="center"/>
                </w:tcPr>
                <w:p>
                  <w:pPr>
                    <w:tabs>
                      <w:tab w:val="left" w:pos="6593"/>
                    </w:tabs>
                    <w:adjustRightInd w:val="0"/>
                    <w:snapToGrid w:val="0"/>
                    <w:jc w:val="center"/>
                  </w:pPr>
                </w:p>
              </w:tc>
              <w:tc>
                <w:tcPr>
                  <w:tcW w:w="501" w:type="pct"/>
                  <w:vMerge w:val="continue"/>
                  <w:vAlign w:val="center"/>
                </w:tcPr>
                <w:p>
                  <w:pPr>
                    <w:tabs>
                      <w:tab w:val="left" w:pos="6593"/>
                    </w:tabs>
                    <w:adjustRightInd w:val="0"/>
                    <w:snapToGrid w:val="0"/>
                    <w:jc w:val="center"/>
                  </w:pPr>
                </w:p>
              </w:tc>
              <w:tc>
                <w:tcPr>
                  <w:tcW w:w="726" w:type="pct"/>
                  <w:vMerge w:val="continue"/>
                  <w:vAlign w:val="center"/>
                </w:tcPr>
                <w:p>
                  <w:pPr>
                    <w:tabs>
                      <w:tab w:val="left" w:pos="6593"/>
                    </w:tabs>
                    <w:adjustRightInd w:val="0"/>
                    <w:snapToGrid w:val="0"/>
                    <w:jc w:val="center"/>
                  </w:pPr>
                </w:p>
              </w:tc>
              <w:tc>
                <w:tcPr>
                  <w:tcW w:w="1207" w:type="pct"/>
                  <w:vAlign w:val="center"/>
                </w:tcPr>
                <w:p>
                  <w:pPr>
                    <w:tabs>
                      <w:tab w:val="left" w:pos="6593"/>
                    </w:tabs>
                    <w:adjustRightInd w:val="0"/>
                    <w:snapToGrid w:val="0"/>
                    <w:jc w:val="center"/>
                    <w:rPr>
                      <w:szCs w:val="21"/>
                    </w:rPr>
                  </w:pPr>
                  <w:r>
                    <w:rPr>
                      <w:rFonts w:hint="eastAsia"/>
                      <w:szCs w:val="21"/>
                    </w:rPr>
                    <w:t>废过滤棉</w:t>
                  </w:r>
                </w:p>
              </w:tc>
              <w:tc>
                <w:tcPr>
                  <w:tcW w:w="2156" w:type="pct"/>
                  <w:gridSpan w:val="2"/>
                  <w:vMerge w:val="continue"/>
                  <w:vAlign w:val="center"/>
                </w:tcPr>
                <w:p>
                  <w:pPr>
                    <w:tabs>
                      <w:tab w:val="left" w:pos="6593"/>
                    </w:tabs>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8" w:type="pct"/>
                  <w:vMerge w:val="continue"/>
                  <w:vAlign w:val="center"/>
                </w:tcPr>
                <w:p>
                  <w:pPr>
                    <w:tabs>
                      <w:tab w:val="left" w:pos="6593"/>
                    </w:tabs>
                    <w:adjustRightInd w:val="0"/>
                    <w:snapToGrid w:val="0"/>
                    <w:jc w:val="center"/>
                  </w:pPr>
                </w:p>
              </w:tc>
              <w:tc>
                <w:tcPr>
                  <w:tcW w:w="501" w:type="pct"/>
                  <w:vMerge w:val="continue"/>
                  <w:vAlign w:val="center"/>
                </w:tcPr>
                <w:p>
                  <w:pPr>
                    <w:tabs>
                      <w:tab w:val="left" w:pos="6593"/>
                    </w:tabs>
                    <w:adjustRightInd w:val="0"/>
                    <w:snapToGrid w:val="0"/>
                    <w:jc w:val="center"/>
                  </w:pPr>
                </w:p>
              </w:tc>
              <w:tc>
                <w:tcPr>
                  <w:tcW w:w="726" w:type="pct"/>
                  <w:vMerge w:val="continue"/>
                  <w:vAlign w:val="center"/>
                </w:tcPr>
                <w:p>
                  <w:pPr>
                    <w:tabs>
                      <w:tab w:val="left" w:pos="6593"/>
                    </w:tabs>
                    <w:adjustRightInd w:val="0"/>
                    <w:snapToGrid w:val="0"/>
                    <w:jc w:val="center"/>
                  </w:pPr>
                </w:p>
              </w:tc>
              <w:tc>
                <w:tcPr>
                  <w:tcW w:w="1207" w:type="pct"/>
                  <w:vAlign w:val="center"/>
                </w:tcPr>
                <w:p>
                  <w:pPr>
                    <w:tabs>
                      <w:tab w:val="left" w:pos="6593"/>
                    </w:tabs>
                    <w:adjustRightInd w:val="0"/>
                    <w:snapToGrid w:val="0"/>
                    <w:jc w:val="center"/>
                    <w:rPr>
                      <w:szCs w:val="21"/>
                    </w:rPr>
                  </w:pPr>
                  <w:r>
                    <w:rPr>
                      <w:rFonts w:hint="eastAsia"/>
                      <w:szCs w:val="21"/>
                    </w:rPr>
                    <w:t>废活性炭</w:t>
                  </w:r>
                </w:p>
              </w:tc>
              <w:tc>
                <w:tcPr>
                  <w:tcW w:w="2156" w:type="pct"/>
                  <w:gridSpan w:val="2"/>
                  <w:vMerge w:val="continue"/>
                  <w:vAlign w:val="center"/>
                </w:tcPr>
                <w:p>
                  <w:pPr>
                    <w:tabs>
                      <w:tab w:val="left" w:pos="6593"/>
                    </w:tabs>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8" w:type="pct"/>
                  <w:vMerge w:val="continue"/>
                  <w:vAlign w:val="center"/>
                </w:tcPr>
                <w:p>
                  <w:pPr>
                    <w:tabs>
                      <w:tab w:val="left" w:pos="6593"/>
                    </w:tabs>
                    <w:adjustRightInd w:val="0"/>
                    <w:snapToGrid w:val="0"/>
                    <w:jc w:val="center"/>
                  </w:pPr>
                </w:p>
              </w:tc>
              <w:tc>
                <w:tcPr>
                  <w:tcW w:w="501" w:type="pct"/>
                  <w:vAlign w:val="center"/>
                </w:tcPr>
                <w:p>
                  <w:pPr>
                    <w:tabs>
                      <w:tab w:val="left" w:pos="6593"/>
                    </w:tabs>
                    <w:adjustRightInd w:val="0"/>
                    <w:snapToGrid w:val="0"/>
                    <w:jc w:val="center"/>
                  </w:pPr>
                  <w:r>
                    <w:rPr>
                      <w:rFonts w:hint="eastAsia"/>
                    </w:rPr>
                    <w:t>S9</w:t>
                  </w:r>
                </w:p>
              </w:tc>
              <w:tc>
                <w:tcPr>
                  <w:tcW w:w="726" w:type="pct"/>
                  <w:vAlign w:val="center"/>
                </w:tcPr>
                <w:p>
                  <w:pPr>
                    <w:tabs>
                      <w:tab w:val="left" w:pos="6593"/>
                    </w:tabs>
                    <w:adjustRightInd w:val="0"/>
                    <w:snapToGrid w:val="0"/>
                    <w:jc w:val="center"/>
                  </w:pPr>
                  <w:r>
                    <w:rPr>
                      <w:rFonts w:hint="eastAsia"/>
                    </w:rPr>
                    <w:t>喷涂工序</w:t>
                  </w:r>
                </w:p>
              </w:tc>
              <w:tc>
                <w:tcPr>
                  <w:tcW w:w="1207" w:type="pct"/>
                  <w:vAlign w:val="center"/>
                </w:tcPr>
                <w:p>
                  <w:pPr>
                    <w:tabs>
                      <w:tab w:val="left" w:pos="6593"/>
                    </w:tabs>
                    <w:adjustRightInd w:val="0"/>
                    <w:snapToGrid w:val="0"/>
                    <w:jc w:val="center"/>
                    <w:rPr>
                      <w:szCs w:val="21"/>
                    </w:rPr>
                  </w:pPr>
                  <w:r>
                    <w:rPr>
                      <w:rFonts w:hint="eastAsia"/>
                      <w:szCs w:val="21"/>
                    </w:rPr>
                    <w:t>废滤筒</w:t>
                  </w:r>
                </w:p>
              </w:tc>
              <w:tc>
                <w:tcPr>
                  <w:tcW w:w="2156" w:type="pct"/>
                  <w:gridSpan w:val="2"/>
                  <w:vAlign w:val="center"/>
                </w:tcPr>
                <w:p>
                  <w:pPr>
                    <w:tabs>
                      <w:tab w:val="left" w:pos="6593"/>
                    </w:tabs>
                    <w:adjustRightInd w:val="0"/>
                    <w:snapToGrid w:val="0"/>
                    <w:jc w:val="center"/>
                    <w:rPr>
                      <w:szCs w:val="21"/>
                    </w:rPr>
                  </w:pPr>
                  <w:r>
                    <w:rPr>
                      <w:rFonts w:hint="eastAsia"/>
                      <w:szCs w:val="21"/>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vAlign w:val="center"/>
                </w:tcPr>
                <w:p>
                  <w:pPr>
                    <w:widowControl/>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rFonts w:hint="eastAsia"/>
                      <w:szCs w:val="21"/>
                    </w:rPr>
                    <w:t>--</w:t>
                  </w:r>
                </w:p>
              </w:tc>
              <w:tc>
                <w:tcPr>
                  <w:tcW w:w="726" w:type="pct"/>
                  <w:vAlign w:val="center"/>
                </w:tcPr>
                <w:p>
                  <w:pPr>
                    <w:tabs>
                      <w:tab w:val="left" w:pos="6593"/>
                    </w:tabs>
                    <w:adjustRightInd w:val="0"/>
                    <w:snapToGrid w:val="0"/>
                    <w:jc w:val="center"/>
                    <w:rPr>
                      <w:szCs w:val="21"/>
                    </w:rPr>
                  </w:pPr>
                  <w:r>
                    <w:rPr>
                      <w:rFonts w:hint="eastAsia"/>
                      <w:szCs w:val="21"/>
                    </w:rPr>
                    <w:t>喷涂工序</w:t>
                  </w:r>
                </w:p>
              </w:tc>
              <w:tc>
                <w:tcPr>
                  <w:tcW w:w="1207" w:type="pct"/>
                  <w:vAlign w:val="center"/>
                </w:tcPr>
                <w:p>
                  <w:pPr>
                    <w:tabs>
                      <w:tab w:val="left" w:pos="6593"/>
                    </w:tabs>
                    <w:adjustRightInd w:val="0"/>
                    <w:snapToGrid w:val="0"/>
                    <w:jc w:val="center"/>
                    <w:rPr>
                      <w:szCs w:val="21"/>
                    </w:rPr>
                  </w:pPr>
                  <w:r>
                    <w:rPr>
                      <w:rFonts w:hint="eastAsia"/>
                      <w:szCs w:val="21"/>
                    </w:rPr>
                    <w:t>废塑粉包装袋</w:t>
                  </w:r>
                </w:p>
              </w:tc>
              <w:tc>
                <w:tcPr>
                  <w:tcW w:w="2156" w:type="pct"/>
                  <w:gridSpan w:val="2"/>
                  <w:vAlign w:val="center"/>
                </w:tcPr>
                <w:p>
                  <w:pPr>
                    <w:tabs>
                      <w:tab w:val="left" w:pos="6593"/>
                    </w:tabs>
                    <w:adjustRightInd w:val="0"/>
                    <w:snapToGrid w:val="0"/>
                    <w:jc w:val="center"/>
                    <w:rPr>
                      <w:szCs w:val="21"/>
                    </w:rPr>
                  </w:pPr>
                  <w:r>
                    <w:rPr>
                      <w:rFonts w:hint="eastAsia"/>
                      <w:szCs w:val="21"/>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vAlign w:val="center"/>
                </w:tcPr>
                <w:p>
                  <w:pPr>
                    <w:widowControl/>
                    <w:adjustRightInd w:val="0"/>
                    <w:snapToGrid w:val="0"/>
                    <w:jc w:val="center"/>
                    <w:rPr>
                      <w:szCs w:val="21"/>
                    </w:rPr>
                  </w:pPr>
                </w:p>
              </w:tc>
              <w:tc>
                <w:tcPr>
                  <w:tcW w:w="501" w:type="pct"/>
                  <w:vAlign w:val="center"/>
                </w:tcPr>
                <w:p>
                  <w:pPr>
                    <w:tabs>
                      <w:tab w:val="left" w:pos="6593"/>
                    </w:tabs>
                    <w:adjustRightInd w:val="0"/>
                    <w:snapToGrid w:val="0"/>
                    <w:jc w:val="center"/>
                    <w:rPr>
                      <w:szCs w:val="21"/>
                    </w:rPr>
                  </w:pPr>
                  <w:r>
                    <w:rPr>
                      <w:szCs w:val="21"/>
                    </w:rPr>
                    <w:t>--</w:t>
                  </w:r>
                </w:p>
              </w:tc>
              <w:tc>
                <w:tcPr>
                  <w:tcW w:w="726" w:type="pct"/>
                  <w:vAlign w:val="center"/>
                </w:tcPr>
                <w:p>
                  <w:pPr>
                    <w:tabs>
                      <w:tab w:val="left" w:pos="6593"/>
                    </w:tabs>
                    <w:adjustRightInd w:val="0"/>
                    <w:snapToGrid w:val="0"/>
                    <w:jc w:val="center"/>
                    <w:rPr>
                      <w:szCs w:val="21"/>
                    </w:rPr>
                  </w:pPr>
                  <w:r>
                    <w:rPr>
                      <w:szCs w:val="21"/>
                    </w:rPr>
                    <w:t>职工生活</w:t>
                  </w:r>
                </w:p>
              </w:tc>
              <w:tc>
                <w:tcPr>
                  <w:tcW w:w="1207" w:type="pct"/>
                  <w:vAlign w:val="center"/>
                </w:tcPr>
                <w:p>
                  <w:pPr>
                    <w:tabs>
                      <w:tab w:val="left" w:pos="6593"/>
                    </w:tabs>
                    <w:adjustRightInd w:val="0"/>
                    <w:snapToGrid w:val="0"/>
                    <w:jc w:val="center"/>
                    <w:rPr>
                      <w:szCs w:val="21"/>
                    </w:rPr>
                  </w:pPr>
                  <w:r>
                    <w:rPr>
                      <w:szCs w:val="21"/>
                    </w:rPr>
                    <w:t>生活垃圾</w:t>
                  </w:r>
                </w:p>
              </w:tc>
              <w:tc>
                <w:tcPr>
                  <w:tcW w:w="2156" w:type="pct"/>
                  <w:gridSpan w:val="2"/>
                  <w:vAlign w:val="center"/>
                </w:tcPr>
                <w:p>
                  <w:pPr>
                    <w:tabs>
                      <w:tab w:val="left" w:pos="6593"/>
                    </w:tabs>
                    <w:adjustRightInd w:val="0"/>
                    <w:snapToGrid w:val="0"/>
                    <w:jc w:val="center"/>
                    <w:rPr>
                      <w:szCs w:val="21"/>
                    </w:rPr>
                  </w:pPr>
                  <w:r>
                    <w:rPr>
                      <w:szCs w:val="21"/>
                    </w:rPr>
                    <w:t>收集后委托环卫部门处理</w:t>
                  </w:r>
                </w:p>
              </w:tc>
            </w:tr>
          </w:tbl>
          <w:p>
            <w:pPr>
              <w:adjustRightInd w:val="0"/>
              <w:snapToGrid w:val="0"/>
              <w:spacing w:line="360" w:lineRule="auto"/>
              <w:ind w:firstLine="480" w:firstLineChars="200"/>
              <w:rPr>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33"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Cs w:val="21"/>
              </w:rPr>
            </w:pPr>
            <w:r>
              <w:rPr>
                <w:rFonts w:ascii="Times New Roman" w:hAnsi="Times New Roman"/>
                <w:bCs/>
                <w:kern w:val="2"/>
                <w:szCs w:val="21"/>
              </w:rPr>
              <w:t>与项目有关的原有环境污染问题</w:t>
            </w:r>
          </w:p>
        </w:tc>
        <w:tc>
          <w:tcPr>
            <w:tcW w:w="8161" w:type="dxa"/>
          </w:tcPr>
          <w:p>
            <w:pPr>
              <w:adjustRightInd w:val="0"/>
              <w:snapToGrid w:val="0"/>
              <w:rPr>
                <w:bCs/>
                <w:sz w:val="24"/>
                <w:szCs w:val="21"/>
              </w:rPr>
            </w:pPr>
          </w:p>
          <w:p>
            <w:pPr>
              <w:pStyle w:val="16"/>
              <w:spacing w:line="360" w:lineRule="auto"/>
              <w:ind w:left="0" w:leftChars="0"/>
              <w:jc w:val="both"/>
              <w:rPr>
                <w:rFonts w:ascii="Times New Roman" w:hAnsi="Times New Roman"/>
                <w:bCs/>
                <w:szCs w:val="24"/>
              </w:rPr>
            </w:pPr>
            <w:r>
              <w:rPr>
                <w:rFonts w:ascii="Times New Roman" w:hAnsi="Times New Roman"/>
                <w:bCs/>
                <w:szCs w:val="24"/>
              </w:rPr>
              <w:t>本项目为新建项目，占地为规划的</w:t>
            </w:r>
            <w:r>
              <w:rPr>
                <w:rFonts w:hint="eastAsia" w:ascii="Times New Roman" w:hAnsi="Times New Roman"/>
                <w:bCs/>
                <w:szCs w:val="24"/>
              </w:rPr>
              <w:t>二</w:t>
            </w:r>
            <w:r>
              <w:rPr>
                <w:rFonts w:ascii="Times New Roman" w:hAnsi="Times New Roman"/>
                <w:bCs/>
                <w:szCs w:val="24"/>
              </w:rPr>
              <w:t>类工业用地，不涉及与项目有关的原有环境污染问题</w:t>
            </w:r>
            <w:r>
              <w:rPr>
                <w:rFonts w:hint="eastAsia" w:ascii="Times New Roman" w:hAnsi="Times New Roman"/>
                <w:bCs/>
                <w:szCs w:val="24"/>
              </w:rPr>
              <w:t>。</w:t>
            </w:r>
          </w:p>
          <w:p>
            <w:pPr>
              <w:pStyle w:val="16"/>
              <w:spacing w:line="360" w:lineRule="auto"/>
              <w:ind w:left="0" w:leftChars="0" w:firstLine="0" w:firstLineChars="0"/>
              <w:jc w:val="both"/>
              <w:rPr>
                <w:rFonts w:ascii="Times New Roman" w:hAnsi="Times New Roman"/>
                <w:bCs/>
                <w:szCs w:val="24"/>
              </w:rPr>
            </w:pPr>
          </w:p>
          <w:p>
            <w:pPr>
              <w:rPr>
                <w:bCs/>
              </w:rPr>
            </w:pPr>
          </w:p>
          <w:p>
            <w:pPr>
              <w:pStyle w:val="20"/>
              <w:ind w:firstLine="480"/>
              <w:rPr>
                <w:bCs/>
                <w:szCs w:val="24"/>
              </w:rPr>
            </w:pPr>
          </w:p>
          <w:p>
            <w:pPr>
              <w:pStyle w:val="21"/>
              <w:rPr>
                <w:rFonts w:ascii="Times New Roman" w:hAnsi="Times New Roman" w:cs="Times New Roman"/>
                <w:bCs/>
                <w:color w:val="auto"/>
              </w:rPr>
            </w:pPr>
          </w:p>
          <w:p>
            <w:pPr>
              <w:pStyle w:val="23"/>
              <w:rPr>
                <w:rFonts w:ascii="Times New Roman"/>
                <w:bCs w:val="0"/>
                <w:szCs w:val="24"/>
              </w:rPr>
            </w:pPr>
          </w:p>
          <w:p>
            <w:pPr>
              <w:rPr>
                <w:bCs/>
              </w:rPr>
            </w:pPr>
          </w:p>
          <w:p>
            <w:pPr>
              <w:pStyle w:val="20"/>
              <w:ind w:firstLine="480"/>
              <w:rPr>
                <w:bCs/>
                <w:szCs w:val="24"/>
              </w:rPr>
            </w:pPr>
          </w:p>
          <w:p>
            <w:pPr>
              <w:pStyle w:val="21"/>
              <w:rPr>
                <w:rFonts w:ascii="Times New Roman" w:hAnsi="Times New Roman" w:cs="Times New Roman"/>
                <w:bCs/>
                <w:color w:val="auto"/>
              </w:rPr>
            </w:pPr>
          </w:p>
          <w:p>
            <w:pPr>
              <w:pStyle w:val="23"/>
              <w:rPr>
                <w:rFonts w:ascii="Times New Roman"/>
                <w:bCs w:val="0"/>
                <w:szCs w:val="24"/>
              </w:rPr>
            </w:pPr>
          </w:p>
          <w:p>
            <w:pPr>
              <w:rPr>
                <w:bCs/>
              </w:rPr>
            </w:pPr>
          </w:p>
          <w:p>
            <w:pPr>
              <w:pStyle w:val="20"/>
              <w:ind w:firstLine="480"/>
              <w:rPr>
                <w:bCs/>
                <w:szCs w:val="24"/>
              </w:rPr>
            </w:pPr>
          </w:p>
          <w:p>
            <w:pPr>
              <w:pStyle w:val="21"/>
              <w:rPr>
                <w:rFonts w:ascii="Times New Roman" w:hAnsi="Times New Roman" w:cs="Times New Roman"/>
                <w:bCs/>
                <w:color w:val="auto"/>
              </w:rPr>
            </w:pPr>
          </w:p>
          <w:p>
            <w:pPr>
              <w:pStyle w:val="23"/>
              <w:rPr>
                <w:rFonts w:ascii="Times New Roman"/>
                <w:bCs w:val="0"/>
                <w:szCs w:val="24"/>
              </w:rPr>
            </w:pPr>
          </w:p>
          <w:p>
            <w:pPr>
              <w:rPr>
                <w:bCs/>
              </w:rPr>
            </w:pPr>
          </w:p>
          <w:p>
            <w:pPr>
              <w:pStyle w:val="20"/>
              <w:ind w:firstLine="480"/>
              <w:rPr>
                <w:bCs/>
                <w:szCs w:val="24"/>
              </w:rPr>
            </w:pPr>
          </w:p>
          <w:p>
            <w:pPr>
              <w:pStyle w:val="21"/>
              <w:rPr>
                <w:rFonts w:ascii="Times New Roman" w:hAnsi="Times New Roman" w:cs="Times New Roman"/>
                <w:bCs/>
                <w:color w:val="auto"/>
              </w:rPr>
            </w:pPr>
          </w:p>
          <w:p>
            <w:pPr>
              <w:pStyle w:val="23"/>
              <w:rPr>
                <w:rFonts w:ascii="Times New Roman"/>
                <w:bCs w:val="0"/>
                <w:szCs w:val="24"/>
              </w:rPr>
            </w:pPr>
          </w:p>
          <w:p>
            <w:pPr>
              <w:rPr>
                <w:bCs/>
              </w:rPr>
            </w:pPr>
          </w:p>
          <w:p>
            <w:pPr>
              <w:pStyle w:val="2"/>
              <w:rPr>
                <w:bCs/>
              </w:rPr>
            </w:pPr>
          </w:p>
          <w:p>
            <w:pPr>
              <w:pStyle w:val="3"/>
              <w:rPr>
                <w:bCs/>
              </w:rPr>
            </w:pPr>
          </w:p>
          <w:p>
            <w:pPr>
              <w:pStyle w:val="3"/>
              <w:rPr>
                <w:bCs/>
              </w:rPr>
            </w:pPr>
          </w:p>
          <w:p>
            <w:pPr>
              <w:pStyle w:val="3"/>
              <w:rPr>
                <w:bCs/>
              </w:rPr>
            </w:pPr>
          </w:p>
          <w:p>
            <w:pPr>
              <w:pStyle w:val="3"/>
              <w:rPr>
                <w:bCs/>
              </w:rPr>
            </w:pPr>
          </w:p>
          <w:p>
            <w:pPr>
              <w:pStyle w:val="3"/>
              <w:rPr>
                <w:bCs/>
              </w:rPr>
            </w:pPr>
          </w:p>
          <w:p>
            <w:pPr>
              <w:pStyle w:val="3"/>
              <w:rPr>
                <w:bCs/>
              </w:rPr>
            </w:pPr>
          </w:p>
          <w:p>
            <w:pPr>
              <w:pStyle w:val="3"/>
              <w:rPr>
                <w:bCs/>
              </w:rPr>
            </w:pPr>
          </w:p>
          <w:p>
            <w:pPr>
              <w:pStyle w:val="3"/>
              <w:rPr>
                <w:bCs/>
              </w:rPr>
            </w:pPr>
          </w:p>
          <w:p>
            <w:pPr>
              <w:pStyle w:val="3"/>
              <w:rPr>
                <w:bCs/>
              </w:rPr>
            </w:pPr>
          </w:p>
          <w:p>
            <w:pPr>
              <w:pStyle w:val="3"/>
              <w:rPr>
                <w:rFonts w:ascii="Times New Roman" w:hAnsi="Times New Roman"/>
                <w:bCs/>
              </w:rPr>
            </w:pPr>
          </w:p>
          <w:p>
            <w:pPr>
              <w:pStyle w:val="3"/>
              <w:rPr>
                <w:rFonts w:ascii="Times New Roman" w:hAnsi="Times New Roman"/>
                <w:bCs/>
              </w:rPr>
            </w:pPr>
          </w:p>
          <w:p>
            <w:pPr>
              <w:pStyle w:val="3"/>
              <w:rPr>
                <w:rFonts w:ascii="Times New Roman" w:hAnsi="Times New Roman"/>
                <w:bCs/>
              </w:rPr>
            </w:pPr>
          </w:p>
          <w:p>
            <w:pPr>
              <w:pStyle w:val="3"/>
              <w:rPr>
                <w:rFonts w:ascii="Times New Roman" w:hAnsi="Times New Roman"/>
                <w:bCs/>
              </w:rPr>
            </w:pPr>
          </w:p>
          <w:p>
            <w:pPr>
              <w:pStyle w:val="3"/>
              <w:rPr>
                <w:rFonts w:ascii="Times New Roman" w:hAnsi="Times New Roman"/>
                <w:bCs/>
              </w:rPr>
            </w:pPr>
          </w:p>
          <w:p>
            <w:pPr>
              <w:pStyle w:val="3"/>
              <w:rPr>
                <w:rFonts w:ascii="Times New Roman" w:hAnsi="Times New Roman"/>
                <w:bCs/>
              </w:rPr>
            </w:pPr>
          </w:p>
          <w:p>
            <w:pPr>
              <w:pStyle w:val="3"/>
              <w:rPr>
                <w:rFonts w:ascii="Times New Roman" w:hAnsi="Times New Roman"/>
                <w:bCs/>
              </w:rPr>
            </w:pPr>
          </w:p>
          <w:p>
            <w:pPr>
              <w:rPr>
                <w:bCs/>
              </w:rPr>
            </w:pPr>
          </w:p>
          <w:p>
            <w:pPr>
              <w:pStyle w:val="20"/>
              <w:ind w:firstLine="480"/>
              <w:rPr>
                <w:bCs/>
                <w:szCs w:val="24"/>
              </w:rPr>
            </w:pPr>
          </w:p>
          <w:p>
            <w:pPr>
              <w:pStyle w:val="21"/>
              <w:rPr>
                <w:rFonts w:ascii="Times New Roman" w:hAnsi="Times New Roman" w:cs="Times New Roman"/>
                <w:bCs/>
                <w:color w:val="auto"/>
              </w:rPr>
            </w:pPr>
          </w:p>
          <w:p>
            <w:pPr>
              <w:pStyle w:val="23"/>
              <w:rPr>
                <w:rFonts w:ascii="Times New Roman"/>
                <w:bCs w:val="0"/>
                <w:szCs w:val="24"/>
              </w:rPr>
            </w:pPr>
          </w:p>
          <w:p>
            <w:pPr>
              <w:pStyle w:val="23"/>
              <w:ind w:left="0"/>
              <w:rPr>
                <w:bCs w:val="0"/>
                <w:sz w:val="24"/>
                <w:szCs w:val="21"/>
              </w:rPr>
            </w:pPr>
          </w:p>
        </w:tc>
      </w:tr>
    </w:tbl>
    <w:p>
      <w:pPr>
        <w:pStyle w:val="17"/>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6" w:hRule="atLeast"/>
          <w:jc w:val="center"/>
        </w:trPr>
        <w:tc>
          <w:tcPr>
            <w:tcW w:w="800" w:type="dxa"/>
            <w:vAlign w:val="center"/>
          </w:tcPr>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区域</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环境</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质量</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现状</w:t>
            </w:r>
          </w:p>
        </w:tc>
        <w:tc>
          <w:tcPr>
            <w:tcW w:w="8190" w:type="dxa"/>
            <w:vAlign w:val="center"/>
          </w:tcPr>
          <w:p>
            <w:pPr>
              <w:spacing w:line="360" w:lineRule="auto"/>
              <w:ind w:firstLine="482" w:firstLineChars="200"/>
              <w:rPr>
                <w:bCs/>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1、大气环境质量现状</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（1）基本污染物环境质量现状</w:t>
            </w:r>
          </w:p>
          <w:p>
            <w:pPr>
              <w:spacing w:line="360" w:lineRule="auto"/>
              <w:ind w:firstLine="480" w:firstLineChars="200"/>
              <w:rPr>
                <w:color w:val="000000" w:themeColor="text1"/>
                <w:szCs w:val="21"/>
                <w:highlight w:val="none"/>
                <w14:textFill>
                  <w14:solidFill>
                    <w14:schemeClr w14:val="tx1"/>
                  </w14:solidFill>
                </w14:textFill>
              </w:rPr>
            </w:pPr>
            <w:r>
              <w:rPr>
                <w:color w:val="000000" w:themeColor="text1"/>
                <w:sz w:val="24"/>
                <w:highlight w:val="none"/>
                <w14:textFill>
                  <w14:solidFill>
                    <w14:schemeClr w14:val="tx1"/>
                  </w14:solidFill>
                </w14:textFill>
              </w:rPr>
              <w:t>根据《</w:t>
            </w:r>
            <w:r>
              <w:rPr>
                <w:rFonts w:hint="eastAsia"/>
                <w:color w:val="000000" w:themeColor="text1"/>
                <w:sz w:val="24"/>
                <w:highlight w:val="none"/>
                <w14:textFill>
                  <w14:solidFill>
                    <w14:schemeClr w14:val="tx1"/>
                  </w14:solidFill>
                </w14:textFill>
              </w:rPr>
              <w:t>2021年邢台市生态环境状况公报</w:t>
            </w:r>
            <w:r>
              <w:rPr>
                <w:color w:val="000000" w:themeColor="text1"/>
                <w:sz w:val="24"/>
                <w:highlight w:val="none"/>
                <w14:textFill>
                  <w14:solidFill>
                    <w14:schemeClr w14:val="tx1"/>
                  </w14:solidFill>
                </w14:textFill>
              </w:rPr>
              <w:t>》表</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数据进行判定，</w:t>
            </w:r>
            <w:r>
              <w:rPr>
                <w:rFonts w:hint="eastAsia"/>
                <w:color w:val="000000" w:themeColor="text1"/>
                <w:sz w:val="24"/>
                <w:highlight w:val="none"/>
                <w14:textFill>
                  <w14:solidFill>
                    <w14:schemeClr w14:val="tx1"/>
                  </w14:solidFill>
                </w14:textFill>
              </w:rPr>
              <w:t>新河县环境空气质量现状</w:t>
            </w:r>
            <w:r>
              <w:rPr>
                <w:color w:val="000000" w:themeColor="text1"/>
                <w:sz w:val="24"/>
                <w:highlight w:val="none"/>
                <w14:textFill>
                  <w14:solidFill>
                    <w14:schemeClr w14:val="tx1"/>
                  </w14:solidFill>
                </w14:textFill>
              </w:rPr>
              <w:t>见表</w:t>
            </w:r>
            <w:r>
              <w:rPr>
                <w:rFonts w:hint="eastAsia"/>
                <w:color w:val="000000" w:themeColor="text1"/>
                <w:sz w:val="24"/>
                <w:highlight w:val="none"/>
                <w14:textFill>
                  <w14:solidFill>
                    <w14:schemeClr w14:val="tx1"/>
                  </w14:solidFill>
                </w14:textFill>
              </w:rPr>
              <w:t>21</w:t>
            </w:r>
            <w:r>
              <w:rPr>
                <w:color w:val="000000" w:themeColor="text1"/>
                <w:sz w:val="24"/>
                <w:highlight w:val="none"/>
                <w14:textFill>
                  <w14:solidFill>
                    <w14:schemeClr w14:val="tx1"/>
                  </w14:solidFill>
                </w14:textFill>
              </w:rPr>
              <w:t>。</w:t>
            </w:r>
          </w:p>
          <w:p>
            <w:pPr>
              <w:ind w:firstLine="482" w:firstLineChars="200"/>
              <w:jc w:val="center"/>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21</w:t>
            </w:r>
            <w:r>
              <w:rPr>
                <w:b/>
                <w:bCs/>
                <w:color w:val="000000" w:themeColor="text1"/>
                <w:sz w:val="24"/>
                <w:highlight w:val="none"/>
                <w14:textFill>
                  <w14:solidFill>
                    <w14:schemeClr w14:val="tx1"/>
                  </w14:solidFill>
                </w14:textFill>
              </w:rPr>
              <w:t xml:space="preserve">   区域空气质量现状评价表 </w:t>
            </w:r>
            <w:r>
              <w:rPr>
                <w:b/>
                <w:bCs/>
                <w:color w:val="000000" w:themeColor="text1"/>
                <w:szCs w:val="21"/>
                <w:highlight w:val="none"/>
                <w14:textFill>
                  <w14:solidFill>
                    <w14:schemeClr w14:val="tx1"/>
                  </w14:solidFill>
                </w14:textFill>
              </w:rPr>
              <w:t xml:space="preserve">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13"/>
              <w:gridCol w:w="1467"/>
              <w:gridCol w:w="1559"/>
              <w:gridCol w:w="1133"/>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污染物</w:t>
                  </w:r>
                </w:p>
              </w:tc>
              <w:tc>
                <w:tcPr>
                  <w:tcW w:w="1136" w:type="pct"/>
                  <w:vAlign w:val="center"/>
                </w:tcPr>
                <w:p>
                  <w:pPr>
                    <w:spacing w:line="280" w:lineRule="exact"/>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年评价指标</w:t>
                  </w:r>
                </w:p>
              </w:tc>
              <w:tc>
                <w:tcPr>
                  <w:tcW w:w="919" w:type="pct"/>
                  <w:vAlign w:val="center"/>
                </w:tcPr>
                <w:p>
                  <w:pPr>
                    <w:spacing w:line="280" w:lineRule="exact"/>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现状浓度μg/m</w:t>
                  </w:r>
                  <w:r>
                    <w:rPr>
                      <w:b/>
                      <w:color w:val="000000" w:themeColor="text1"/>
                      <w:szCs w:val="21"/>
                      <w:highlight w:val="none"/>
                      <w:vertAlign w:val="superscript"/>
                      <w14:textFill>
                        <w14:solidFill>
                          <w14:schemeClr w14:val="tx1"/>
                        </w14:solidFill>
                      </w14:textFill>
                    </w:rPr>
                    <w:t>3</w:t>
                  </w:r>
                </w:p>
              </w:tc>
              <w:tc>
                <w:tcPr>
                  <w:tcW w:w="977" w:type="pct"/>
                  <w:vAlign w:val="center"/>
                </w:tcPr>
                <w:p>
                  <w:pPr>
                    <w:spacing w:line="280" w:lineRule="exact"/>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标准值μg/m</w:t>
                  </w:r>
                  <w:r>
                    <w:rPr>
                      <w:b/>
                      <w:color w:val="000000" w:themeColor="text1"/>
                      <w:szCs w:val="21"/>
                      <w:highlight w:val="none"/>
                      <w:vertAlign w:val="superscript"/>
                      <w14:textFill>
                        <w14:solidFill>
                          <w14:schemeClr w14:val="tx1"/>
                        </w14:solidFill>
                      </w14:textFill>
                    </w:rPr>
                    <w:t>3</w:t>
                  </w:r>
                </w:p>
              </w:tc>
              <w:tc>
                <w:tcPr>
                  <w:tcW w:w="710" w:type="pct"/>
                  <w:vAlign w:val="center"/>
                </w:tcPr>
                <w:p>
                  <w:pPr>
                    <w:spacing w:line="280" w:lineRule="exact"/>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占标率%</w:t>
                  </w:r>
                </w:p>
              </w:tc>
              <w:tc>
                <w:tcPr>
                  <w:tcW w:w="641" w:type="pct"/>
                  <w:vAlign w:val="center"/>
                </w:tcPr>
                <w:p>
                  <w:pPr>
                    <w:spacing w:line="280" w:lineRule="exact"/>
                    <w:ind w:left="-105" w:leftChars="-5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SO</w:t>
                  </w:r>
                  <w:r>
                    <w:rPr>
                      <w:color w:val="000000" w:themeColor="text1"/>
                      <w:szCs w:val="21"/>
                      <w:highlight w:val="none"/>
                      <w:vertAlign w:val="subscript"/>
                      <w14:textFill>
                        <w14:solidFill>
                          <w14:schemeClr w14:val="tx1"/>
                        </w14:solidFill>
                      </w14:textFill>
                    </w:rPr>
                    <w:t>2</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年平均浓度值</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60</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16.7%</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NO</w:t>
                  </w:r>
                  <w:r>
                    <w:rPr>
                      <w:color w:val="000000" w:themeColor="text1"/>
                      <w:szCs w:val="21"/>
                      <w:highlight w:val="none"/>
                      <w:vertAlign w:val="subscript"/>
                      <w14:textFill>
                        <w14:solidFill>
                          <w14:schemeClr w14:val="tx1"/>
                        </w14:solidFill>
                      </w14:textFill>
                    </w:rPr>
                    <w:t>2</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年平均浓度值</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31</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77.5%</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10</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年平均浓度值</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83</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118.6%</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2.5</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年平均浓度值</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40</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114.3%</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第95百分位数日平均质量浓度</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1200</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4000</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30.0%</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O</w:t>
                  </w:r>
                  <w:r>
                    <w:rPr>
                      <w:color w:val="000000" w:themeColor="text1"/>
                      <w:szCs w:val="21"/>
                      <w:highlight w:val="none"/>
                      <w:vertAlign w:val="subscript"/>
                      <w14:textFill>
                        <w14:solidFill>
                          <w14:schemeClr w14:val="tx1"/>
                        </w14:solidFill>
                      </w14:textFill>
                    </w:rPr>
                    <w:t>3</w:t>
                  </w:r>
                </w:p>
              </w:tc>
              <w:tc>
                <w:tcPr>
                  <w:tcW w:w="1136"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第90百分位数平均浓度</w:t>
                  </w:r>
                </w:p>
              </w:tc>
              <w:tc>
                <w:tcPr>
                  <w:tcW w:w="919"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161</w:t>
                  </w:r>
                </w:p>
              </w:tc>
              <w:tc>
                <w:tcPr>
                  <w:tcW w:w="977" w:type="pct"/>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160</w:t>
                  </w:r>
                </w:p>
              </w:tc>
              <w:tc>
                <w:tcPr>
                  <w:tcW w:w="1140" w:type="dxa"/>
                  <w:vAlign w:val="center"/>
                </w:tcPr>
                <w:p>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100.6%</w:t>
                  </w:r>
                </w:p>
              </w:tc>
              <w:tc>
                <w:tcPr>
                  <w:tcW w:w="641" w:type="pct"/>
                  <w:vAlign w:val="center"/>
                </w:tcPr>
                <w:p>
                  <w:pPr>
                    <w:spacing w:line="28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不达标</w:t>
                  </w:r>
                </w:p>
              </w:tc>
            </w:tr>
          </w:tbl>
          <w:p>
            <w:pPr>
              <w:pStyle w:val="2"/>
              <w:ind w:firstLineChars="175"/>
              <w:rPr>
                <w:bCs/>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由表3-1可知，项目所在区域PM</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O</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浓度</w:t>
            </w:r>
            <w:r>
              <w:rPr>
                <w:color w:val="000000" w:themeColor="text1"/>
                <w:highlight w:val="none"/>
                <w14:textFill>
                  <w14:solidFill>
                    <w14:schemeClr w14:val="tx1"/>
                  </w14:solidFill>
                </w14:textFill>
              </w:rPr>
              <w:t>均超过《环境空气质量标准》（GB3095-2012）中二级标准要求，项目所在区域为不达标区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随着《邢台市空气质量综合指数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退后十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攻坚行动方案》（邢字〔2021〕3号）</w:t>
            </w:r>
            <w:r>
              <w:rPr>
                <w:rFonts w:hint="eastAsia"/>
                <w:color w:val="000000" w:themeColor="text1"/>
                <w:spacing w:val="-6"/>
                <w:highlight w:val="none"/>
                <w14:textFill>
                  <w14:solidFill>
                    <w14:schemeClr w14:val="tx1"/>
                  </w14:solidFill>
                </w14:textFill>
              </w:rPr>
              <w:t>、</w:t>
            </w:r>
            <w:r>
              <w:rPr>
                <w:rFonts w:hint="eastAsia"/>
                <w:color w:val="000000" w:themeColor="text1"/>
                <w:highlight w:val="none"/>
                <w14:textFill>
                  <w14:solidFill>
                    <w14:schemeClr w14:val="tx1"/>
                  </w14:solidFill>
                </w14:textFill>
              </w:rPr>
              <w:t>《邢台市2022年大气污染综合治理工作方案》</w:t>
            </w:r>
            <w:r>
              <w:rPr>
                <w:color w:val="000000" w:themeColor="text1"/>
                <w:highlight w:val="none"/>
                <w14:textFill>
                  <w14:solidFill>
                    <w14:schemeClr w14:val="tx1"/>
                  </w14:solidFill>
                </w14:textFill>
              </w:rPr>
              <w:t>的实施，邢台市环境质量正逐步好转</w:t>
            </w:r>
            <w:r>
              <w:rPr>
                <w:bCs/>
                <w:color w:val="000000" w:themeColor="text1"/>
                <w:highlight w:val="none"/>
                <w14:textFill>
                  <w14:solidFill>
                    <w14:schemeClr w14:val="tx1"/>
                  </w14:solidFill>
                </w14:textFill>
              </w:rPr>
              <w:t>。</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（2）其他污染物环境质量现状</w:t>
            </w:r>
          </w:p>
          <w:p>
            <w:pPr>
              <w:pStyle w:val="2"/>
              <w:ind w:firstLineChars="175"/>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color w:val="000000" w:themeColor="text1"/>
                <w:kern w:val="44"/>
                <w:highlight w:val="none"/>
                <w14:textFill>
                  <w14:solidFill>
                    <w14:schemeClr w14:val="tx1"/>
                  </w14:solidFill>
                </w14:textFill>
              </w:rPr>
              <w:t>本次环境空气质量监测数据中非甲烷总烃引用《河北新河经济开发区2021-2022年度环境质量跟踪监测项目检测报告》（河北中天检字（2022）第（C07001）号），监测时间为2022年7月18日-2022年7月24日，监测地点为白穴口村，监测点位于本项目下风向1990m，符合引用条件。由监测结果可知，非甲烷总烃1小时平均浓度在0.42～0.65mg/m</w:t>
            </w:r>
            <w:r>
              <w:rPr>
                <w:rFonts w:hint="eastAsia"/>
                <w:color w:val="000000" w:themeColor="text1"/>
                <w:kern w:val="44"/>
                <w:highlight w:val="none"/>
                <w:vertAlign w:val="superscript"/>
                <w14:textFill>
                  <w14:solidFill>
                    <w14:schemeClr w14:val="tx1"/>
                  </w14:solidFill>
                </w14:textFill>
              </w:rPr>
              <w:t>3</w:t>
            </w:r>
            <w:r>
              <w:rPr>
                <w:rFonts w:hint="eastAsia"/>
                <w:color w:val="000000" w:themeColor="text1"/>
                <w:kern w:val="44"/>
                <w:highlight w:val="none"/>
                <w14:textFill>
                  <w14:solidFill>
                    <w14:schemeClr w14:val="tx1"/>
                  </w14:solidFill>
                </w14:textFill>
              </w:rPr>
              <w:t>之间、最大浓度占标率32.5%，无超标</w:t>
            </w:r>
            <w:r>
              <w:rPr>
                <w:bCs/>
                <w:color w:val="000000" w:themeColor="text1"/>
                <w:highlight w:val="none"/>
                <w14:textFill>
                  <w14:solidFill>
                    <w14:schemeClr w14:val="tx1"/>
                  </w14:solidFill>
                </w14:textFill>
              </w:rPr>
              <w:t>。</w:t>
            </w:r>
            <w:r>
              <w:rPr>
                <w:rFonts w:hint="eastAsia"/>
                <w:bCs/>
                <w:color w:val="000000" w:themeColor="text1"/>
                <w:highlight w:val="none"/>
                <w14:textFill>
                  <w14:solidFill>
                    <w14:schemeClr w14:val="tx1"/>
                  </w14:solidFill>
                </w14:textFill>
              </w:rPr>
              <w:t>具体情况见表22及23。</w:t>
            </w:r>
          </w:p>
          <w:p>
            <w:pP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22</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14:textFill>
                  <w14:solidFill>
                    <w14:schemeClr w14:val="tx1"/>
                  </w14:solidFill>
                </w14:textFill>
              </w:rPr>
              <w:t>引用</w:t>
            </w:r>
            <w:r>
              <w:rPr>
                <w:b/>
                <w:color w:val="000000" w:themeColor="text1"/>
                <w:sz w:val="24"/>
                <w:highlight w:val="none"/>
                <w14:textFill>
                  <w14:solidFill>
                    <w14:schemeClr w14:val="tx1"/>
                  </w14:solidFill>
                </w14:textFill>
              </w:rPr>
              <w:t>监测点位基本信息表</w:t>
            </w:r>
          </w:p>
          <w:tbl>
            <w:tblPr>
              <w:tblStyle w:val="24"/>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22"/>
              <w:gridCol w:w="1284"/>
              <w:gridCol w:w="2141"/>
              <w:gridCol w:w="1452"/>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22" w:type="dxa"/>
                  <w:vAlign w:val="center"/>
                </w:tcPr>
                <w:p>
                  <w:pPr>
                    <w:pStyle w:val="51"/>
                    <w:spacing w:line="240" w:lineRule="auto"/>
                    <w:ind w:firstLine="0" w:firstLineChars="0"/>
                    <w:jc w:val="center"/>
                    <w:rPr>
                      <w:rFonts w:hAnsi="Times New Roman"/>
                      <w:bCs/>
                      <w:color w:val="000000" w:themeColor="text1"/>
                      <w:sz w:val="21"/>
                      <w:szCs w:val="21"/>
                      <w:highlight w:val="none"/>
                      <w14:textFill>
                        <w14:solidFill>
                          <w14:schemeClr w14:val="tx1"/>
                        </w14:solidFill>
                      </w14:textFill>
                    </w:rPr>
                  </w:pPr>
                  <w:r>
                    <w:rPr>
                      <w:rFonts w:hAnsi="Times New Roman"/>
                      <w:b/>
                      <w:color w:val="000000" w:themeColor="text1"/>
                      <w:sz w:val="21"/>
                      <w:szCs w:val="21"/>
                      <w:highlight w:val="none"/>
                      <w14:textFill>
                        <w14:solidFill>
                          <w14:schemeClr w14:val="tx1"/>
                        </w14:solidFill>
                      </w14:textFill>
                    </w:rPr>
                    <w:t>监测点名称</w:t>
                  </w:r>
                </w:p>
              </w:tc>
              <w:tc>
                <w:tcPr>
                  <w:tcW w:w="1284" w:type="dxa"/>
                  <w:vAlign w:val="center"/>
                </w:tcPr>
                <w:p>
                  <w:pPr>
                    <w:pStyle w:val="51"/>
                    <w:spacing w:line="240" w:lineRule="auto"/>
                    <w:ind w:firstLine="0" w:firstLineChars="0"/>
                    <w:jc w:val="center"/>
                    <w:rPr>
                      <w:rFonts w:hAnsi="Times New Roman"/>
                      <w:bCs/>
                      <w:color w:val="000000" w:themeColor="text1"/>
                      <w:szCs w:val="21"/>
                      <w:highlight w:val="none"/>
                      <w14:textFill>
                        <w14:solidFill>
                          <w14:schemeClr w14:val="tx1"/>
                        </w14:solidFill>
                      </w14:textFill>
                    </w:rPr>
                  </w:pPr>
                  <w:r>
                    <w:rPr>
                      <w:rFonts w:hAnsi="Times New Roman"/>
                      <w:b/>
                      <w:color w:val="000000" w:themeColor="text1"/>
                      <w:sz w:val="21"/>
                      <w:szCs w:val="21"/>
                      <w:highlight w:val="none"/>
                      <w14:textFill>
                        <w14:solidFill>
                          <w14:schemeClr w14:val="tx1"/>
                        </w14:solidFill>
                      </w14:textFill>
                    </w:rPr>
                    <w:t>监测因子</w:t>
                  </w:r>
                </w:p>
              </w:tc>
              <w:tc>
                <w:tcPr>
                  <w:tcW w:w="2141" w:type="dxa"/>
                  <w:vAlign w:val="center"/>
                </w:tcPr>
                <w:p>
                  <w:pPr>
                    <w:pStyle w:val="51"/>
                    <w:spacing w:line="240" w:lineRule="auto"/>
                    <w:ind w:firstLine="0" w:firstLineChars="0"/>
                    <w:jc w:val="center"/>
                    <w:rPr>
                      <w:rFonts w:hAnsi="Times New Roman"/>
                      <w:bCs/>
                      <w:color w:val="000000" w:themeColor="text1"/>
                      <w:sz w:val="21"/>
                      <w:szCs w:val="21"/>
                      <w:highlight w:val="none"/>
                      <w14:textFill>
                        <w14:solidFill>
                          <w14:schemeClr w14:val="tx1"/>
                        </w14:solidFill>
                      </w14:textFill>
                    </w:rPr>
                  </w:pPr>
                  <w:r>
                    <w:rPr>
                      <w:rFonts w:hAnsi="Times New Roman"/>
                      <w:b/>
                      <w:color w:val="000000" w:themeColor="text1"/>
                      <w:sz w:val="21"/>
                      <w:szCs w:val="21"/>
                      <w:highlight w:val="none"/>
                      <w14:textFill>
                        <w14:solidFill>
                          <w14:schemeClr w14:val="tx1"/>
                        </w14:solidFill>
                      </w14:textFill>
                    </w:rPr>
                    <w:t>监测</w:t>
                  </w:r>
                  <w:r>
                    <w:rPr>
                      <w:rFonts w:hint="eastAsia" w:hAnsi="Times New Roman"/>
                      <w:b/>
                      <w:color w:val="000000" w:themeColor="text1"/>
                      <w:sz w:val="21"/>
                      <w:szCs w:val="21"/>
                      <w:highlight w:val="none"/>
                      <w14:textFill>
                        <w14:solidFill>
                          <w14:schemeClr w14:val="tx1"/>
                        </w14:solidFill>
                      </w14:textFill>
                    </w:rPr>
                    <w:t>日期</w:t>
                  </w:r>
                </w:p>
              </w:tc>
              <w:tc>
                <w:tcPr>
                  <w:tcW w:w="1452" w:type="dxa"/>
                  <w:vAlign w:val="center"/>
                </w:tcPr>
                <w:p>
                  <w:pPr>
                    <w:pStyle w:val="51"/>
                    <w:spacing w:line="240" w:lineRule="auto"/>
                    <w:ind w:firstLine="0" w:firstLineChars="0"/>
                    <w:jc w:val="center"/>
                    <w:rPr>
                      <w:rFonts w:hAnsi="Times New Roman"/>
                      <w:bCs/>
                      <w:color w:val="000000" w:themeColor="text1"/>
                      <w:szCs w:val="21"/>
                      <w:highlight w:val="none"/>
                      <w14:textFill>
                        <w14:solidFill>
                          <w14:schemeClr w14:val="tx1"/>
                        </w14:solidFill>
                      </w14:textFill>
                    </w:rPr>
                  </w:pPr>
                  <w:r>
                    <w:rPr>
                      <w:rFonts w:hAnsi="Times New Roman"/>
                      <w:b/>
                      <w:color w:val="000000" w:themeColor="text1"/>
                      <w:sz w:val="21"/>
                      <w:szCs w:val="21"/>
                      <w:highlight w:val="none"/>
                      <w14:textFill>
                        <w14:solidFill>
                          <w14:schemeClr w14:val="tx1"/>
                        </w14:solidFill>
                      </w14:textFill>
                    </w:rPr>
                    <w:t>相对厂址方位</w:t>
                  </w:r>
                </w:p>
              </w:tc>
              <w:tc>
                <w:tcPr>
                  <w:tcW w:w="1678" w:type="dxa"/>
                  <w:vAlign w:val="center"/>
                </w:tcPr>
                <w:p>
                  <w:pPr>
                    <w:pStyle w:val="51"/>
                    <w:spacing w:line="240" w:lineRule="auto"/>
                    <w:ind w:firstLine="0" w:firstLineChars="0"/>
                    <w:jc w:val="center"/>
                    <w:rPr>
                      <w:rFonts w:hAnsi="Times New Roman"/>
                      <w:bCs/>
                      <w:color w:val="000000" w:themeColor="text1"/>
                      <w:szCs w:val="21"/>
                      <w:highlight w:val="none"/>
                      <w14:textFill>
                        <w14:solidFill>
                          <w14:schemeClr w14:val="tx1"/>
                        </w14:solidFill>
                      </w14:textFill>
                    </w:rPr>
                  </w:pPr>
                  <w:r>
                    <w:rPr>
                      <w:rFonts w:hAnsi="Times New Roman"/>
                      <w:b/>
                      <w:color w:val="000000" w:themeColor="text1"/>
                      <w:sz w:val="21"/>
                      <w:szCs w:val="21"/>
                      <w:highlight w:val="none"/>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22" w:type="dxa"/>
                  <w:vAlign w:val="center"/>
                </w:tcPr>
                <w:p>
                  <w:pPr>
                    <w:pStyle w:val="51"/>
                    <w:spacing w:line="240" w:lineRule="auto"/>
                    <w:ind w:firstLine="0" w:firstLineChars="0"/>
                    <w:jc w:val="center"/>
                    <w:rPr>
                      <w:rFonts w:hAnsi="Times New Roman"/>
                      <w:color w:val="000000" w:themeColor="text1"/>
                      <w:szCs w:val="21"/>
                      <w:highlight w:val="none"/>
                      <w14:textFill>
                        <w14:solidFill>
                          <w14:schemeClr w14:val="tx1"/>
                        </w14:solidFill>
                      </w14:textFill>
                    </w:rPr>
                  </w:pPr>
                  <w:r>
                    <w:rPr>
                      <w:rFonts w:hAnsi="Times New Roman"/>
                      <w:color w:val="000000" w:themeColor="text1"/>
                      <w:szCs w:val="21"/>
                      <w:highlight w:val="none"/>
                      <w14:textFill>
                        <w14:solidFill>
                          <w14:schemeClr w14:val="tx1"/>
                        </w14:solidFill>
                      </w14:textFill>
                    </w:rPr>
                    <w:t>白穴口村</w:t>
                  </w:r>
                </w:p>
              </w:tc>
              <w:tc>
                <w:tcPr>
                  <w:tcW w:w="1284" w:type="dxa"/>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非甲烷总烃</w:t>
                  </w:r>
                </w:p>
              </w:tc>
              <w:tc>
                <w:tcPr>
                  <w:tcW w:w="2141" w:type="dxa"/>
                  <w:vAlign w:val="center"/>
                </w:tcPr>
                <w:p>
                  <w:pPr>
                    <w:pStyle w:val="51"/>
                    <w:spacing w:line="240" w:lineRule="auto"/>
                    <w:ind w:firstLine="0" w:firstLineChars="0"/>
                    <w:jc w:val="center"/>
                    <w:rPr>
                      <w:rFonts w:hAnsi="Times New Roman"/>
                      <w:color w:val="000000" w:themeColor="text1"/>
                      <w:kern w:val="44"/>
                      <w:highlight w:val="none"/>
                      <w14:textFill>
                        <w14:solidFill>
                          <w14:schemeClr w14:val="tx1"/>
                        </w14:solidFill>
                      </w14:textFill>
                    </w:rPr>
                  </w:pPr>
                  <w:r>
                    <w:rPr>
                      <w:rFonts w:hint="eastAsia" w:hAnsi="Times New Roman"/>
                      <w:color w:val="000000" w:themeColor="text1"/>
                      <w:kern w:val="44"/>
                      <w:highlight w:val="none"/>
                      <w14:textFill>
                        <w14:solidFill>
                          <w14:schemeClr w14:val="tx1"/>
                        </w14:solidFill>
                      </w14:textFill>
                    </w:rPr>
                    <w:t>2022.7.18-2022.7.24</w:t>
                  </w:r>
                </w:p>
              </w:tc>
              <w:tc>
                <w:tcPr>
                  <w:tcW w:w="1452" w:type="dxa"/>
                  <w:vAlign w:val="center"/>
                </w:tcPr>
                <w:p>
                  <w:pPr>
                    <w:adjustRightInd w:val="0"/>
                    <w:snapToGrid w:val="0"/>
                    <w:ind w:left="105" w:hanging="105" w:hangingChars="5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N</w:t>
                  </w:r>
                </w:p>
              </w:tc>
              <w:tc>
                <w:tcPr>
                  <w:tcW w:w="1678" w:type="dxa"/>
                  <w:vAlign w:val="center"/>
                </w:tcPr>
                <w:p>
                  <w:pPr>
                    <w:adjustRightInd w:val="0"/>
                    <w:snapToGrid w:val="0"/>
                    <w:ind w:left="105" w:hanging="105" w:hangingChars="50"/>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1990</w:t>
                  </w:r>
                </w:p>
              </w:tc>
            </w:tr>
          </w:tbl>
          <w:p>
            <w:pP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23</w:t>
            </w:r>
            <w:r>
              <w:rPr>
                <w:b/>
                <w:color w:val="000000" w:themeColor="text1"/>
                <w:sz w:val="24"/>
                <w:highlight w:val="none"/>
                <w14:textFill>
                  <w14:solidFill>
                    <w14:schemeClr w14:val="tx1"/>
                  </w14:solidFill>
                </w14:textFill>
              </w:rPr>
              <w:t xml:space="preserve">  其他污染物监测结果统计汇总表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807"/>
              <w:gridCol w:w="876"/>
              <w:gridCol w:w="1107"/>
              <w:gridCol w:w="1160"/>
              <w:gridCol w:w="1162"/>
              <w:gridCol w:w="804"/>
              <w:gridCol w:w="766"/>
              <w:gridCol w:w="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jc w:val="center"/>
              </w:trPr>
              <w:tc>
                <w:tcPr>
                  <w:tcW w:w="450"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w:t>
                  </w:r>
                </w:p>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点位</w:t>
                  </w:r>
                </w:p>
              </w:tc>
              <w:tc>
                <w:tcPr>
                  <w:tcW w:w="506"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549"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平均时间</w:t>
                  </w:r>
                </w:p>
              </w:tc>
              <w:tc>
                <w:tcPr>
                  <w:tcW w:w="694"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评价标准/</w:t>
                  </w:r>
                </w:p>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（mg/m</w:t>
                  </w:r>
                  <w:r>
                    <w:rPr>
                      <w:b/>
                      <w:bCs/>
                      <w:color w:val="000000" w:themeColor="text1"/>
                      <w:szCs w:val="21"/>
                      <w:highlight w:val="none"/>
                      <w:vertAlign w:val="superscript"/>
                      <w14:textFill>
                        <w14:solidFill>
                          <w14:schemeClr w14:val="tx1"/>
                        </w14:solidFill>
                      </w14:textFill>
                    </w:rPr>
                    <w:t>3</w:t>
                  </w:r>
                  <w:r>
                    <w:rPr>
                      <w:b/>
                      <w:bCs/>
                      <w:color w:val="000000" w:themeColor="text1"/>
                      <w:szCs w:val="21"/>
                      <w:highlight w:val="none"/>
                      <w14:textFill>
                        <w14:solidFill>
                          <w14:schemeClr w14:val="tx1"/>
                        </w14:solidFill>
                      </w14:textFill>
                    </w:rPr>
                    <w:t>）</w:t>
                  </w:r>
                </w:p>
              </w:tc>
              <w:tc>
                <w:tcPr>
                  <w:tcW w:w="727"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监测浓度范围/（mg/m</w:t>
                  </w:r>
                  <w:r>
                    <w:rPr>
                      <w:b/>
                      <w:bCs/>
                      <w:color w:val="000000" w:themeColor="text1"/>
                      <w:szCs w:val="21"/>
                      <w:highlight w:val="none"/>
                      <w:vertAlign w:val="superscript"/>
                      <w14:textFill>
                        <w14:solidFill>
                          <w14:schemeClr w14:val="tx1"/>
                        </w14:solidFill>
                      </w14:textFill>
                    </w:rPr>
                    <w:t>3</w:t>
                  </w:r>
                  <w:r>
                    <w:rPr>
                      <w:b/>
                      <w:bCs/>
                      <w:color w:val="000000" w:themeColor="text1"/>
                      <w:szCs w:val="21"/>
                      <w:highlight w:val="none"/>
                      <w14:textFill>
                        <w14:solidFill>
                          <w14:schemeClr w14:val="tx1"/>
                        </w14:solidFill>
                      </w14:textFill>
                    </w:rPr>
                    <w:t>）</w:t>
                  </w:r>
                </w:p>
              </w:tc>
              <w:tc>
                <w:tcPr>
                  <w:tcW w:w="728"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最大浓度占标率/%</w:t>
                  </w:r>
                </w:p>
              </w:tc>
              <w:tc>
                <w:tcPr>
                  <w:tcW w:w="504"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超标率/%</w:t>
                  </w:r>
                </w:p>
              </w:tc>
              <w:tc>
                <w:tcPr>
                  <w:tcW w:w="480"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最大超标倍数</w:t>
                  </w:r>
                </w:p>
              </w:tc>
              <w:tc>
                <w:tcPr>
                  <w:tcW w:w="359" w:type="pct"/>
                  <w:vAlign w:val="center"/>
                </w:tcPr>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达标</w:t>
                  </w:r>
                </w:p>
                <w:p>
                  <w:pPr>
                    <w:adjustRightInd w:val="0"/>
                    <w:ind w:left="-105" w:leftChars="-50" w:right="-105" w:rightChars="-5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0"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白穴口村</w:t>
                  </w:r>
                </w:p>
              </w:tc>
              <w:tc>
                <w:tcPr>
                  <w:tcW w:w="506" w:type="pct"/>
                  <w:vAlign w:val="center"/>
                </w:tcPr>
                <w:p>
                  <w:pPr>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549"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1h均值</w:t>
                  </w:r>
                </w:p>
              </w:tc>
              <w:tc>
                <w:tcPr>
                  <w:tcW w:w="694"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727"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42</w:t>
                  </w:r>
                  <w:r>
                    <w:rPr>
                      <w:color w:val="000000" w:themeColor="text1"/>
                      <w:szCs w:val="21"/>
                      <w:highlight w:val="none"/>
                      <w14:textFill>
                        <w14:solidFill>
                          <w14:schemeClr w14:val="tx1"/>
                        </w14:solidFill>
                      </w14:textFill>
                    </w:rPr>
                    <w:t>-0.</w:t>
                  </w:r>
                  <w:r>
                    <w:rPr>
                      <w:rFonts w:hint="eastAsia"/>
                      <w:color w:val="000000" w:themeColor="text1"/>
                      <w:szCs w:val="21"/>
                      <w:highlight w:val="none"/>
                      <w14:textFill>
                        <w14:solidFill>
                          <w14:schemeClr w14:val="tx1"/>
                        </w14:solidFill>
                      </w14:textFill>
                    </w:rPr>
                    <w:t>65</w:t>
                  </w:r>
                </w:p>
              </w:tc>
              <w:tc>
                <w:tcPr>
                  <w:tcW w:w="728"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32.5</w:t>
                  </w:r>
                </w:p>
              </w:tc>
              <w:tc>
                <w:tcPr>
                  <w:tcW w:w="504"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w:t>
                  </w:r>
                </w:p>
              </w:tc>
              <w:tc>
                <w:tcPr>
                  <w:tcW w:w="480"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w:t>
                  </w:r>
                </w:p>
              </w:tc>
              <w:tc>
                <w:tcPr>
                  <w:tcW w:w="359" w:type="pct"/>
                  <w:vAlign w:val="center"/>
                </w:tcPr>
                <w:p>
                  <w:pPr>
                    <w:adjustRightInd w:val="0"/>
                    <w:ind w:left="-105" w:leftChars="-50" w:right="-105" w:rightChars="-5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bl>
          <w:p>
            <w:pPr>
              <w:pStyle w:val="2"/>
              <w:ind w:firstLineChars="175"/>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根据监测结果可知，</w:t>
            </w:r>
            <w:r>
              <w:rPr>
                <w:rFonts w:hint="eastAsia"/>
                <w:bCs/>
                <w:color w:val="000000" w:themeColor="text1"/>
                <w:highlight w:val="none"/>
                <w14:textFill>
                  <w14:solidFill>
                    <w14:schemeClr w14:val="tx1"/>
                  </w14:solidFill>
                </w14:textFill>
              </w:rPr>
              <w:t>环境空气中</w:t>
            </w:r>
            <w:r>
              <w:rPr>
                <w:bCs/>
                <w:color w:val="000000" w:themeColor="text1"/>
                <w:highlight w:val="none"/>
                <w14:textFill>
                  <w14:solidFill>
                    <w14:schemeClr w14:val="tx1"/>
                  </w14:solidFill>
                </w14:textFill>
              </w:rPr>
              <w:t>非甲烷总烃现状监测浓度满足《环境质量空气 非甲烷总烃限值》(DB13/1577-2012)表1二级标准要求。</w:t>
            </w:r>
          </w:p>
          <w:p>
            <w:pPr>
              <w:adjustRightInd w:val="0"/>
              <w:snapToGrid w:val="0"/>
              <w:spacing w:line="360" w:lineRule="auto"/>
              <w:ind w:firstLine="482"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2、声环境现状</w:t>
            </w:r>
          </w:p>
          <w:p>
            <w:pPr>
              <w:adjustRightInd w:val="0"/>
              <w:snapToGrid w:val="0"/>
              <w:spacing w:line="360" w:lineRule="auto"/>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项目所在厂区厂界外50m范围内无声环境敏感目标</w:t>
            </w:r>
            <w:r>
              <w:rPr>
                <w:rFonts w:hint="eastAsia"/>
                <w:bCs/>
                <w:color w:val="000000" w:themeColor="text1"/>
                <w:sz w:val="24"/>
                <w:highlight w:val="none"/>
                <w14:textFill>
                  <w14:solidFill>
                    <w14:schemeClr w14:val="tx1"/>
                  </w14:solidFill>
                </w14:textFill>
              </w:rPr>
              <w:t>，因此</w:t>
            </w:r>
            <w:r>
              <w:rPr>
                <w:bCs/>
                <w:color w:val="000000" w:themeColor="text1"/>
                <w:sz w:val="24"/>
                <w:highlight w:val="none"/>
                <w14:textFill>
                  <w14:solidFill>
                    <w14:schemeClr w14:val="tx1"/>
                  </w14:solidFill>
                </w14:textFill>
              </w:rPr>
              <w:t>无需进行声环境质量现状调查。</w:t>
            </w:r>
          </w:p>
          <w:p>
            <w:pPr>
              <w:adjustRightInd w:val="0"/>
              <w:snapToGrid w:val="0"/>
              <w:spacing w:line="360" w:lineRule="auto"/>
              <w:ind w:firstLine="482"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3、地表水环境质量现状</w:t>
            </w:r>
          </w:p>
          <w:p>
            <w:pPr>
              <w:tabs>
                <w:tab w:val="left" w:pos="26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由《2021年邢台市生态环境状况公报》可知，滏阳河、滏阳新河、滏东排河达到《地表水质量标准》(GB3838-2002)IV类标准。</w:t>
            </w:r>
          </w:p>
          <w:p>
            <w:pPr>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4、生态环境现状</w:t>
            </w:r>
          </w:p>
          <w:p>
            <w:pPr>
              <w:tabs>
                <w:tab w:val="left" w:pos="26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本项目用地</w:t>
            </w:r>
            <w:r>
              <w:rPr>
                <w:rFonts w:hint="eastAsia"/>
                <w:color w:val="000000" w:themeColor="text1"/>
                <w:sz w:val="24"/>
                <w:highlight w:val="none"/>
                <w14:textFill>
                  <w14:solidFill>
                    <w14:schemeClr w14:val="tx1"/>
                  </w14:solidFill>
                </w14:textFill>
              </w:rPr>
              <w:t>为工业</w:t>
            </w:r>
            <w:r>
              <w:rPr>
                <w:color w:val="000000" w:themeColor="text1"/>
                <w:sz w:val="24"/>
                <w:highlight w:val="none"/>
                <w14:textFill>
                  <w14:solidFill>
                    <w14:schemeClr w14:val="tx1"/>
                  </w14:solidFill>
                </w14:textFill>
              </w:rPr>
              <w:t>用地，用地范围内无生态环境保护目标，</w:t>
            </w:r>
            <w:r>
              <w:rPr>
                <w:rFonts w:hint="eastAsia"/>
                <w:color w:val="000000" w:themeColor="text1"/>
                <w:sz w:val="24"/>
                <w:highlight w:val="none"/>
                <w14:textFill>
                  <w14:solidFill>
                    <w14:schemeClr w14:val="tx1"/>
                  </w14:solidFill>
                </w14:textFill>
              </w:rPr>
              <w:t>无</w:t>
            </w:r>
            <w:r>
              <w:rPr>
                <w:color w:val="000000" w:themeColor="text1"/>
                <w:sz w:val="24"/>
                <w:highlight w:val="none"/>
                <w14:textFill>
                  <w14:solidFill>
                    <w14:schemeClr w14:val="tx1"/>
                  </w14:solidFill>
                </w14:textFill>
              </w:rPr>
              <w:t>需进行生态现状调查。</w:t>
            </w:r>
          </w:p>
          <w:p>
            <w:pPr>
              <w:adjustRightInd w:val="0"/>
              <w:snapToGrid w:val="0"/>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5.电磁辐射质量现状</w:t>
            </w:r>
          </w:p>
          <w:p>
            <w:pPr>
              <w:spacing w:line="360" w:lineRule="auto"/>
              <w:ind w:firstLine="480" w:firstLineChars="200"/>
              <w:rPr>
                <w:b/>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本项目不涉及电磁辐射影响</w:t>
            </w:r>
            <w:r>
              <w:rPr>
                <w:rFonts w:hint="eastAsia"/>
                <w:color w:val="000000" w:themeColor="text1"/>
                <w:sz w:val="24"/>
                <w:highlight w:val="none"/>
                <w14:textFill>
                  <w14:solidFill>
                    <w14:schemeClr w14:val="tx1"/>
                  </w14:solidFill>
                </w14:textFill>
              </w:rPr>
              <w:t>，无</w:t>
            </w:r>
            <w:r>
              <w:rPr>
                <w:color w:val="000000" w:themeColor="text1"/>
                <w:sz w:val="24"/>
                <w:highlight w:val="none"/>
                <w14:textFill>
                  <w14:solidFill>
                    <w14:schemeClr w14:val="tx1"/>
                  </w14:solidFill>
                </w14:textFill>
              </w:rPr>
              <w:t>需进行电磁辐射现状监测与评价。</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6.地下水</w:t>
            </w:r>
            <w:r>
              <w:rPr>
                <w:rFonts w:hint="eastAsia"/>
                <w:b/>
                <w:color w:val="000000" w:themeColor="text1"/>
                <w:sz w:val="24"/>
                <w:highlight w:val="none"/>
                <w14:textFill>
                  <w14:solidFill>
                    <w14:schemeClr w14:val="tx1"/>
                  </w14:solidFill>
                </w14:textFill>
              </w:rPr>
              <w:t>、土壤</w:t>
            </w:r>
            <w:r>
              <w:rPr>
                <w:b/>
                <w:color w:val="000000" w:themeColor="text1"/>
                <w:sz w:val="24"/>
                <w:highlight w:val="none"/>
                <w14:textFill>
                  <w14:solidFill>
                    <w14:schemeClr w14:val="tx1"/>
                  </w14:solidFill>
                </w14:textFill>
              </w:rPr>
              <w:t>环境质量现状</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根据《2021年邢台市生态环境状况公报》可知，项目所在区域地下水质量符合《地下水质量标准》（GB/T14848-2017）Ⅲ类水质标准</w:t>
            </w:r>
            <w:r>
              <w:rPr>
                <w:rFonts w:hint="eastAsia"/>
                <w:bCs/>
                <w:color w:val="000000" w:themeColor="text1"/>
                <w:sz w:val="24"/>
                <w:highlight w:val="none"/>
                <w14:textFill>
                  <w14:solidFill>
                    <w14:schemeClr w14:val="tx1"/>
                  </w14:solidFill>
                </w14:textFill>
              </w:rPr>
              <w:t>。</w:t>
            </w:r>
          </w:p>
          <w:p>
            <w:pPr>
              <w:adjustRightInd w:val="0"/>
              <w:snapToGrid w:val="0"/>
              <w:spacing w:line="360" w:lineRule="auto"/>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建设项目环境影响报告表编制技术指南(污染影响类)(试行)》要求，项目厂区地面除绿化用地外全部硬化并进行分区防渗，不存在地下水、土壤环境影响途径，因此无需开展土壤和地下水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00" w:type="dxa"/>
            <w:vAlign w:val="center"/>
          </w:tcPr>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环境</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保护</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目标</w:t>
            </w:r>
          </w:p>
        </w:tc>
        <w:tc>
          <w:tcPr>
            <w:tcW w:w="8190" w:type="dxa"/>
            <w:vAlign w:val="center"/>
          </w:tcPr>
          <w:p>
            <w:pPr>
              <w:spacing w:line="360" w:lineRule="auto"/>
              <w:ind w:firstLine="480" w:firstLineChars="200"/>
              <w:jc w:val="left"/>
              <w:rPr>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通过对本项目的现场踏勘及有关技术资料分析，项目所在地周围无饮用水源保护区、珍稀动植物资源、风景名胜区、自然保护区、重点文物保护单位等需要特别保护的环境敏感目标。本项目环境保护目标情况如下</w:t>
            </w:r>
            <w:r>
              <w:rPr>
                <w:color w:val="000000" w:themeColor="text1"/>
                <w:sz w:val="24"/>
                <w:highlight w:val="none"/>
                <w14:textFill>
                  <w14:solidFill>
                    <w14:schemeClr w14:val="tx1"/>
                  </w14:solidFill>
                </w14:textFill>
              </w:rPr>
              <w:t>。</w:t>
            </w:r>
          </w:p>
          <w:p>
            <w:pPr>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1、大气环境保护目标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距离项目最近的敏感点为东南侧230m的西边仙庄村</w:t>
            </w:r>
            <w:r>
              <w:rPr>
                <w:color w:val="000000" w:themeColor="text1"/>
                <w:sz w:val="24"/>
                <w:highlight w:val="none"/>
                <w14:textFill>
                  <w14:solidFill>
                    <w14:schemeClr w14:val="tx1"/>
                  </w14:solidFill>
                </w14:textFill>
              </w:rPr>
              <w:t>。</w:t>
            </w:r>
          </w:p>
          <w:p>
            <w:pPr>
              <w:pStyle w:val="16"/>
              <w:spacing w:line="240" w:lineRule="auto"/>
              <w:ind w:left="0" w:leftChars="0" w:firstLine="0" w:firstLineChars="0"/>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表</w:t>
            </w:r>
            <w:r>
              <w:rPr>
                <w:rFonts w:hint="eastAsia" w:ascii="Times New Roman" w:hAnsi="Times New Roman"/>
                <w:b/>
                <w:bCs/>
                <w:color w:val="000000" w:themeColor="text1"/>
                <w:szCs w:val="24"/>
                <w:highlight w:val="none"/>
                <w14:textFill>
                  <w14:solidFill>
                    <w14:schemeClr w14:val="tx1"/>
                  </w14:solidFill>
                </w14:textFill>
              </w:rPr>
              <w:t>24</w:t>
            </w:r>
            <w:r>
              <w:rPr>
                <w:rFonts w:ascii="Times New Roman" w:hAnsi="Times New Roman"/>
                <w:b/>
                <w:bCs/>
                <w:color w:val="000000" w:themeColor="text1"/>
                <w:szCs w:val="24"/>
                <w:highlight w:val="none"/>
                <w14:textFill>
                  <w14:solidFill>
                    <w14:schemeClr w14:val="tx1"/>
                  </w14:solidFill>
                </w14:textFill>
              </w:rPr>
              <w:t xml:space="preserve">  主要环境保护目标一览表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522"/>
              <w:gridCol w:w="557"/>
              <w:gridCol w:w="587"/>
              <w:gridCol w:w="756"/>
              <w:gridCol w:w="825"/>
              <w:gridCol w:w="753"/>
              <w:gridCol w:w="729"/>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名称</w:t>
                  </w:r>
                </w:p>
              </w:tc>
              <w:tc>
                <w:tcPr>
                  <w:tcW w:w="954"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坐标</w:t>
                  </w:r>
                </w:p>
              </w:tc>
              <w:tc>
                <w:tcPr>
                  <w:tcW w:w="349"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保护对象</w:t>
                  </w:r>
                </w:p>
              </w:tc>
              <w:tc>
                <w:tcPr>
                  <w:tcW w:w="368"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保护内容</w:t>
                  </w:r>
                </w:p>
              </w:tc>
              <w:tc>
                <w:tcPr>
                  <w:tcW w:w="474"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环境</w:t>
                  </w:r>
                </w:p>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功能区</w:t>
                  </w:r>
                </w:p>
              </w:tc>
              <w:tc>
                <w:tcPr>
                  <w:tcW w:w="517"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相对厂址方向</w:t>
                  </w:r>
                </w:p>
              </w:tc>
              <w:tc>
                <w:tcPr>
                  <w:tcW w:w="472" w:type="pct"/>
                  <w:tcMar>
                    <w:left w:w="0" w:type="dxa"/>
                    <w:right w:w="0" w:type="dxa"/>
                  </w:tcMar>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相对厂界距离</w:t>
                  </w:r>
                </w:p>
              </w:tc>
              <w:tc>
                <w:tcPr>
                  <w:tcW w:w="457" w:type="pct"/>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人口数量</w:t>
                  </w:r>
                </w:p>
              </w:tc>
              <w:tc>
                <w:tcPr>
                  <w:tcW w:w="1034" w:type="pct"/>
                  <w:vAlign w:val="center"/>
                </w:tcPr>
                <w:p>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72" w:type="pct"/>
                  <w:tcMar>
                    <w:left w:w="0" w:type="dxa"/>
                    <w:right w:w="0"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西边仙庄村</w:t>
                  </w:r>
                </w:p>
              </w:tc>
              <w:tc>
                <w:tcPr>
                  <w:tcW w:w="954" w:type="pct"/>
                  <w:tcMar>
                    <w:left w:w="0" w:type="dxa"/>
                    <w:right w:w="0" w:type="dxa"/>
                  </w:tcMar>
                  <w:vAlign w:val="center"/>
                </w:tcPr>
                <w:p>
                  <w:pPr>
                    <w:spacing w:line="240" w:lineRule="exact"/>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E11</w:t>
                  </w:r>
                  <w:r>
                    <w:rPr>
                      <w:rFonts w:hint="eastAsia"/>
                      <w:bCs/>
                      <w:color w:val="000000" w:themeColor="text1"/>
                      <w:szCs w:val="21"/>
                      <w:highlight w:val="none"/>
                      <w14:textFill>
                        <w14:solidFill>
                          <w14:schemeClr w14:val="tx1"/>
                        </w14:solidFill>
                      </w14:textFill>
                    </w:rPr>
                    <w:t>5</w:t>
                  </w:r>
                  <w:r>
                    <w:rPr>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18</w:t>
                  </w:r>
                  <w:r>
                    <w:rPr>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10.080</w:t>
                  </w:r>
                  <w:r>
                    <w:rPr>
                      <w:bCs/>
                      <w:color w:val="000000" w:themeColor="text1"/>
                      <w:szCs w:val="21"/>
                      <w:highlight w:val="none"/>
                      <w14:textFill>
                        <w14:solidFill>
                          <w14:schemeClr w14:val="tx1"/>
                        </w14:solidFill>
                      </w14:textFill>
                    </w:rPr>
                    <w:t>″</w:t>
                  </w:r>
                </w:p>
                <w:p>
                  <w:pPr>
                    <w:pStyle w:val="2"/>
                    <w:ind w:firstLine="0"/>
                    <w:jc w:val="center"/>
                    <w:rPr>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N3</w:t>
                  </w:r>
                  <w:r>
                    <w:rPr>
                      <w:rFonts w:hint="eastAsia"/>
                      <w:bCs/>
                      <w:color w:val="000000" w:themeColor="text1"/>
                      <w:sz w:val="21"/>
                      <w:szCs w:val="21"/>
                      <w:highlight w:val="none"/>
                      <w14:textFill>
                        <w14:solidFill>
                          <w14:schemeClr w14:val="tx1"/>
                        </w14:solidFill>
                      </w14:textFill>
                    </w:rPr>
                    <w:t>7</w:t>
                  </w:r>
                  <w:r>
                    <w:rPr>
                      <w:bCs/>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14:textFill>
                        <w14:solidFill>
                          <w14:schemeClr w14:val="tx1"/>
                        </w14:solidFill>
                      </w14:textFill>
                    </w:rPr>
                    <w:t>30</w:t>
                  </w:r>
                  <w:r>
                    <w:rPr>
                      <w:bCs/>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14:textFill>
                        <w14:solidFill>
                          <w14:schemeClr w14:val="tx1"/>
                        </w14:solidFill>
                      </w14:textFill>
                    </w:rPr>
                    <w:t>14.971</w:t>
                  </w:r>
                  <w:r>
                    <w:rPr>
                      <w:bCs/>
                      <w:color w:val="000000" w:themeColor="text1"/>
                      <w:sz w:val="21"/>
                      <w:szCs w:val="21"/>
                      <w:highlight w:val="none"/>
                      <w14:textFill>
                        <w14:solidFill>
                          <w14:schemeClr w14:val="tx1"/>
                        </w14:solidFill>
                      </w14:textFill>
                    </w:rPr>
                    <w:t>″</w:t>
                  </w:r>
                </w:p>
              </w:tc>
              <w:tc>
                <w:tcPr>
                  <w:tcW w:w="349" w:type="pct"/>
                  <w:tcMar>
                    <w:left w:w="0" w:type="dxa"/>
                    <w:right w:w="0" w:type="dxa"/>
                  </w:tcMar>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村庄</w:t>
                  </w:r>
                </w:p>
              </w:tc>
              <w:tc>
                <w:tcPr>
                  <w:tcW w:w="368" w:type="pct"/>
                  <w:tcMar>
                    <w:left w:w="0" w:type="dxa"/>
                    <w:right w:w="0" w:type="dxa"/>
                  </w:tcMar>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居民</w:t>
                  </w:r>
                </w:p>
              </w:tc>
              <w:tc>
                <w:tcPr>
                  <w:tcW w:w="474" w:type="pct"/>
                  <w:tcMar>
                    <w:left w:w="0" w:type="dxa"/>
                    <w:right w:w="0" w:type="dxa"/>
                  </w:tcMar>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二类区</w:t>
                  </w:r>
                </w:p>
              </w:tc>
              <w:tc>
                <w:tcPr>
                  <w:tcW w:w="517" w:type="pct"/>
                  <w:tcMar>
                    <w:left w:w="0" w:type="dxa"/>
                    <w:right w:w="0" w:type="dxa"/>
                  </w:tcMar>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SE</w:t>
                  </w:r>
                </w:p>
              </w:tc>
              <w:tc>
                <w:tcPr>
                  <w:tcW w:w="472" w:type="pct"/>
                  <w:tcMar>
                    <w:left w:w="0" w:type="dxa"/>
                    <w:right w:w="0"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230</w:t>
                  </w:r>
                  <w:r>
                    <w:rPr>
                      <w:color w:val="000000" w:themeColor="text1"/>
                      <w:szCs w:val="21"/>
                      <w:highlight w:val="none"/>
                      <w14:textFill>
                        <w14:solidFill>
                          <w14:schemeClr w14:val="tx1"/>
                        </w14:solidFill>
                      </w14:textFill>
                    </w:rPr>
                    <w:t>m</w:t>
                  </w:r>
                </w:p>
              </w:tc>
              <w:tc>
                <w:tcPr>
                  <w:tcW w:w="457"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2435人</w:t>
                  </w:r>
                </w:p>
              </w:tc>
              <w:tc>
                <w:tcPr>
                  <w:tcW w:w="103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《环境空气质量标准》</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GB3095-2012</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二类区</w:t>
                  </w:r>
                </w:p>
              </w:tc>
            </w:tr>
          </w:tbl>
          <w:p>
            <w:pPr>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2、声环境保护目标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本项目厂界外50米范围内无声环境保护目标。</w:t>
            </w:r>
          </w:p>
          <w:p>
            <w:pPr>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3、地下水环境保护目标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本项目厂界外500米范围内无地下水集中式饮用水水源和热水、矿泉水、温泉等特殊地下水资源。</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4、生态环境保护目标</w:t>
            </w:r>
          </w:p>
          <w:p>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本项目占地为</w:t>
            </w:r>
            <w:r>
              <w:rPr>
                <w:rFonts w:hint="eastAsia"/>
                <w:color w:val="000000" w:themeColor="text1"/>
                <w:sz w:val="24"/>
                <w:highlight w:val="none"/>
                <w14:textFill>
                  <w14:solidFill>
                    <w14:schemeClr w14:val="tx1"/>
                  </w14:solidFill>
                </w14:textFill>
              </w:rPr>
              <w:t>二</w:t>
            </w:r>
            <w:r>
              <w:rPr>
                <w:color w:val="000000" w:themeColor="text1"/>
                <w:sz w:val="24"/>
                <w:highlight w:val="none"/>
                <w14:textFill>
                  <w14:solidFill>
                    <w14:schemeClr w14:val="tx1"/>
                  </w14:solidFill>
                </w14:textFill>
              </w:rPr>
              <w:t>类工业用地，无需设置生态环境保护目标。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800"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污染</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物排</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放控</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制标</w:t>
            </w:r>
          </w:p>
          <w:p>
            <w:pPr>
              <w:pStyle w:val="17"/>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准</w:t>
            </w:r>
          </w:p>
        </w:tc>
        <w:tc>
          <w:tcPr>
            <w:tcW w:w="8190" w:type="dxa"/>
            <w:vAlign w:val="center"/>
          </w:tcPr>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1、废气</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建设项目施工期主要废气为施工扬尘，施工扬尘排放执行《施工场地扬尘排放标准》（DB13/2934-2019）表1扬尘排放浓度限值要求。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（2）营运期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 1 \* GB3 \* MERGEFORMAT </w:instrText>
            </w:r>
            <w:r>
              <w:rPr>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t>有组织：</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焊接废气和激光切割废气</w:t>
            </w:r>
            <w:r>
              <w:rPr>
                <w:color w:val="000000" w:themeColor="text1"/>
                <w:sz w:val="24"/>
                <w:highlight w:val="none"/>
                <w14:textFill>
                  <w14:solidFill>
                    <w14:schemeClr w14:val="tx1"/>
                  </w14:solidFill>
                </w14:textFill>
              </w:rPr>
              <w:t>DA001排气筒</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颗粒物</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执行《大气污染物综合排放标准》（GB16297-1996）表2</w:t>
            </w:r>
            <w:r>
              <w:rPr>
                <w:rFonts w:hint="eastAsia"/>
                <w:color w:val="000000" w:themeColor="text1"/>
                <w:sz w:val="24"/>
                <w:highlight w:val="none"/>
                <w14:textFill>
                  <w14:solidFill>
                    <w14:schemeClr w14:val="tx1"/>
                  </w14:solidFill>
                </w14:textFill>
              </w:rPr>
              <w:t>“其他”二级排放</w:t>
            </w:r>
            <w:r>
              <w:rPr>
                <w:color w:val="000000" w:themeColor="text1"/>
                <w:sz w:val="24"/>
                <w:highlight w:val="none"/>
                <w14:textFill>
                  <w14:solidFill>
                    <w14:schemeClr w14:val="tx1"/>
                  </w14:solidFill>
                </w14:textFill>
              </w:rPr>
              <w:t>限值</w:t>
            </w:r>
            <w:r>
              <w:rPr>
                <w:rFonts w:hint="eastAsia"/>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喷涂工序废气DA002排气筒：</w:t>
            </w:r>
            <w:r>
              <w:rPr>
                <w:color w:val="000000" w:themeColor="text1"/>
                <w:sz w:val="24"/>
                <w:highlight w:val="none"/>
                <w14:textFill>
                  <w14:solidFill>
                    <w14:schemeClr w14:val="tx1"/>
                  </w14:solidFill>
                </w14:textFill>
              </w:rPr>
              <w:t>颗粒物</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执行《大气污染物综合排放标准》（GB16297-1996）表2</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染料尘</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限值</w:t>
            </w:r>
            <w:r>
              <w:rPr>
                <w:rFonts w:hint="eastAsia"/>
                <w:color w:val="000000" w:themeColor="text1"/>
                <w:sz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天然气燃烧废气及固化废气DA003排气筒：固化废气</w:t>
            </w:r>
            <w:r>
              <w:rPr>
                <w:color w:val="000000" w:themeColor="text1"/>
                <w:sz w:val="24"/>
                <w:highlight w:val="none"/>
                <w14:textFill>
                  <w14:solidFill>
                    <w14:schemeClr w14:val="tx1"/>
                  </w14:solidFill>
                </w14:textFill>
              </w:rPr>
              <w:t>非甲烷总烃执行《工业企业挥发性有机物排放控制标准》（DB13/2322-2016）表1表面涂装业浓度限值及去除效率</w:t>
            </w:r>
            <w:r>
              <w:rPr>
                <w:rFonts w:hint="eastAsia"/>
                <w:color w:val="000000" w:themeColor="text1"/>
                <w:sz w:val="24"/>
                <w:highlight w:val="none"/>
                <w14:textFill>
                  <w14:solidFill>
                    <w14:schemeClr w14:val="tx1"/>
                  </w14:solidFill>
                </w14:textFill>
              </w:rPr>
              <w:t>，天然气燃烧废气SO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、颗粒物、NO</w:t>
            </w:r>
            <w:r>
              <w:rPr>
                <w:rFonts w:hint="eastAsia"/>
                <w:color w:val="000000" w:themeColor="text1"/>
                <w:sz w:val="24"/>
                <w:highlight w:val="none"/>
                <w:vertAlign w:val="subscript"/>
                <w14:textFill>
                  <w14:solidFill>
                    <w14:schemeClr w14:val="tx1"/>
                  </w14:solidFill>
                </w14:textFill>
              </w:rPr>
              <w:t>X</w:t>
            </w:r>
            <w:r>
              <w:rPr>
                <w:rFonts w:hint="eastAsia"/>
                <w:color w:val="000000" w:themeColor="text1"/>
                <w:sz w:val="24"/>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烟气黑度</w:t>
            </w:r>
            <w:r>
              <w:rPr>
                <w:color w:val="000000" w:themeColor="text1"/>
                <w:kern w:val="0"/>
                <w:sz w:val="24"/>
                <w:szCs w:val="22"/>
                <w:highlight w:val="none"/>
                <w14:textFill>
                  <w14:solidFill>
                    <w14:schemeClr w14:val="tx1"/>
                  </w14:solidFill>
                </w14:textFill>
              </w:rPr>
              <w:t>排放浓度执行《工业炉窑大气污染物排放标准》（DB13/1640-2012）中表1、表2排放限值标准要求同时满足</w:t>
            </w:r>
            <w:r>
              <w:rPr>
                <w:rFonts w:hint="eastAsia"/>
                <w:color w:val="000000" w:themeColor="text1"/>
                <w:kern w:val="0"/>
                <w:sz w:val="24"/>
                <w:szCs w:val="22"/>
                <w:highlight w:val="none"/>
                <w14:textFill>
                  <w14:solidFill>
                    <w14:schemeClr w14:val="tx1"/>
                  </w14:solidFill>
                </w14:textFill>
              </w:rPr>
              <w:t>《邢台市空气质量综合指数“退后十”攻坚行动方案》（邢字〔2021〕3号）要求</w:t>
            </w:r>
            <w:r>
              <w:rPr>
                <w:color w:val="000000" w:themeColor="text1"/>
                <w:sz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根据《大气污染物综合排放标准》（GB16297-1996）中7.1和《工业企业挥发性有机物排放控制标准》</w:t>
            </w:r>
            <w:r>
              <w:rPr>
                <w:color w:val="000000" w:themeColor="text1"/>
                <w:sz w:val="24"/>
                <w:highlight w:val="none"/>
                <w14:textFill>
                  <w14:solidFill>
                    <w14:schemeClr w14:val="tx1"/>
                  </w14:solidFill>
                </w14:textFill>
              </w:rPr>
              <w:t>（DB13/2322-2016）</w:t>
            </w:r>
            <w:r>
              <w:rPr>
                <w:rFonts w:hint="eastAsia"/>
                <w:color w:val="000000" w:themeColor="text1"/>
                <w:sz w:val="24"/>
                <w:highlight w:val="none"/>
                <w14:textFill>
                  <w14:solidFill>
                    <w14:schemeClr w14:val="tx1"/>
                  </w14:solidFill>
                </w14:textFill>
              </w:rPr>
              <w:t>中4.1.7对企业排气筒高度的要求：排气筒高度应高出周围200m半径范围的建筑5m以上。本项目</w:t>
            </w:r>
            <w:r>
              <w:rPr>
                <w:color w:val="000000" w:themeColor="text1"/>
                <w:sz w:val="24"/>
                <w:highlight w:val="none"/>
                <w14:textFill>
                  <w14:solidFill>
                    <w14:schemeClr w14:val="tx1"/>
                  </w14:solidFill>
                </w14:textFill>
              </w:rPr>
              <w:t>DA001</w:t>
            </w:r>
            <w:r>
              <w:rPr>
                <w:rFonts w:hint="eastAsia"/>
                <w:color w:val="000000" w:themeColor="text1"/>
                <w:sz w:val="24"/>
                <w:highlight w:val="none"/>
                <w14:textFill>
                  <w14:solidFill>
                    <w14:schemeClr w14:val="tx1"/>
                  </w14:solidFill>
                </w14:textFill>
              </w:rPr>
              <w:t>、DA002、DA003排气筒周边200m范围内办公楼和生产车间高度均为13.95m，因此将本项目</w:t>
            </w:r>
            <w:r>
              <w:rPr>
                <w:color w:val="000000" w:themeColor="text1"/>
                <w:sz w:val="24"/>
                <w:highlight w:val="none"/>
                <w14:textFill>
                  <w14:solidFill>
                    <w14:schemeClr w14:val="tx1"/>
                  </w14:solidFill>
                </w14:textFill>
              </w:rPr>
              <w:t>DA001</w:t>
            </w:r>
            <w:r>
              <w:rPr>
                <w:rFonts w:hint="eastAsia"/>
                <w:color w:val="000000" w:themeColor="text1"/>
                <w:sz w:val="24"/>
                <w:highlight w:val="none"/>
                <w14:textFill>
                  <w14:solidFill>
                    <w14:schemeClr w14:val="tx1"/>
                  </w14:solidFill>
                </w14:textFill>
              </w:rPr>
              <w:t>、DA002、DA003排气筒高度均设置为20m，满足上述标准中关于排气筒高度的要求。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fldChar w:fldCharType="begin"/>
            </w:r>
            <w:r>
              <w:rPr>
                <w:color w:val="000000" w:themeColor="text1"/>
                <w:sz w:val="24"/>
                <w:highlight w:val="none"/>
                <w14:textFill>
                  <w14:solidFill>
                    <w14:schemeClr w14:val="tx1"/>
                  </w14:solidFill>
                </w14:textFill>
              </w:rPr>
              <w:instrText xml:space="preserve"> = 2 \* GB3 \* MERGEFORMAT </w:instrText>
            </w:r>
            <w:r>
              <w:rPr>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color w:val="000000" w:themeColor="text1"/>
                <w:sz w:val="24"/>
                <w:highlight w:val="none"/>
                <w14:textFill>
                  <w14:solidFill>
                    <w14:schemeClr w14:val="tx1"/>
                  </w14:solidFill>
                </w14:textFill>
              </w:rPr>
              <w:fldChar w:fldCharType="end"/>
            </w:r>
            <w:r>
              <w:rPr>
                <w:color w:val="000000" w:themeColor="text1"/>
                <w:sz w:val="24"/>
                <w:highlight w:val="none"/>
                <w14:textFill>
                  <w14:solidFill>
                    <w14:schemeClr w14:val="tx1"/>
                  </w14:solidFill>
                </w14:textFill>
              </w:rPr>
              <w:t>无组织：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颗粒物</w:t>
            </w:r>
            <w:r>
              <w:rPr>
                <w:rFonts w:hint="eastAsia"/>
                <w:color w:val="000000" w:themeColor="text1"/>
                <w:sz w:val="24"/>
                <w:highlight w:val="none"/>
                <w14:textFill>
                  <w14:solidFill>
                    <w14:schemeClr w14:val="tx1"/>
                  </w14:solidFill>
                </w14:textFill>
              </w:rPr>
              <w:t>：厂界颗粒物</w:t>
            </w:r>
            <w:r>
              <w:rPr>
                <w:color w:val="000000" w:themeColor="text1"/>
                <w:sz w:val="24"/>
                <w:highlight w:val="none"/>
                <w14:textFill>
                  <w14:solidFill>
                    <w14:schemeClr w14:val="tx1"/>
                  </w14:solidFill>
                </w14:textFill>
              </w:rPr>
              <w:t>排放执行《大气污染物综合排放标准》（GB16297-1996）表2</w:t>
            </w:r>
            <w:r>
              <w:rPr>
                <w:rFonts w:hint="eastAsia"/>
                <w:color w:val="000000" w:themeColor="text1"/>
                <w:sz w:val="24"/>
                <w:highlight w:val="none"/>
                <w14:textFill>
                  <w14:solidFill>
                    <w14:schemeClr w14:val="tx1"/>
                  </w14:solidFill>
                </w14:textFill>
              </w:rPr>
              <w:t>“</w:t>
            </w:r>
            <w:r>
              <w:rPr>
                <w:rFonts w:hint="eastAsia"/>
                <w:color w:val="000000" w:themeColor="text1"/>
                <w:sz w:val="24"/>
                <w:szCs w:val="32"/>
                <w:highlight w:val="none"/>
                <w14:textFill>
                  <w14:solidFill>
                    <w14:schemeClr w14:val="tx1"/>
                  </w14:solidFill>
                </w14:textFill>
              </w:rPr>
              <w:t>其他”</w:t>
            </w:r>
            <w:r>
              <w:rPr>
                <w:color w:val="000000" w:themeColor="text1"/>
                <w:sz w:val="24"/>
                <w:highlight w:val="none"/>
                <w14:textFill>
                  <w14:solidFill>
                    <w14:schemeClr w14:val="tx1"/>
                  </w14:solidFill>
                </w14:textFill>
              </w:rPr>
              <w:t>无组织排放监控浓度限值</w:t>
            </w:r>
            <w:r>
              <w:rPr>
                <w:rFonts w:hint="eastAsia"/>
                <w:color w:val="000000" w:themeColor="text1"/>
                <w:sz w:val="24"/>
                <w:highlight w:val="none"/>
                <w14:textFill>
                  <w14:solidFill>
                    <w14:schemeClr w14:val="tx1"/>
                  </w14:solidFill>
                </w14:textFill>
              </w:rPr>
              <w:t>及染料尘标准</w:t>
            </w:r>
            <w:r>
              <w:rPr>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二氧化硫、氮氧化物：厂界二氧化硫、氮氧化物排放执行</w:t>
            </w:r>
            <w:r>
              <w:rPr>
                <w:color w:val="000000" w:themeColor="text1"/>
                <w:sz w:val="24"/>
                <w:highlight w:val="none"/>
                <w14:textFill>
                  <w14:solidFill>
                    <w14:schemeClr w14:val="tx1"/>
                  </w14:solidFill>
                </w14:textFill>
              </w:rPr>
              <w:t>《大气污染物综合排放标准》（GB16297-1996）表2无组织排放监控浓度限值</w:t>
            </w:r>
            <w:r>
              <w:rPr>
                <w:rFonts w:hint="eastAsia"/>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非甲烷总烃：</w:t>
            </w:r>
            <w:r>
              <w:rPr>
                <w:color w:val="000000" w:themeColor="text1"/>
                <w:sz w:val="24"/>
                <w:highlight w:val="none"/>
                <w14:textFill>
                  <w14:solidFill>
                    <w14:schemeClr w14:val="tx1"/>
                  </w14:solidFill>
                </w14:textFill>
              </w:rPr>
              <w:t>厂界无组织非甲烷总烃执行《工业企业挥发性有机物排放控制标准》（DB13/2322-2016）表2其他企业浓度限值；若去除效率达不到</w:t>
            </w:r>
            <w:r>
              <w:rPr>
                <w:rFonts w:hint="eastAsia"/>
                <w:color w:val="000000" w:themeColor="text1"/>
                <w:sz w:val="24"/>
                <w:highlight w:val="none"/>
                <w14:textFill>
                  <w14:solidFill>
                    <w14:schemeClr w14:val="tx1"/>
                  </w14:solidFill>
                </w14:textFill>
              </w:rPr>
              <w:t>表面喷涂工业</w:t>
            </w:r>
            <w:r>
              <w:rPr>
                <w:color w:val="000000" w:themeColor="text1"/>
                <w:sz w:val="24"/>
                <w:highlight w:val="none"/>
                <w14:textFill>
                  <w14:solidFill>
                    <w14:schemeClr w14:val="tx1"/>
                  </w14:solidFill>
                </w14:textFill>
              </w:rPr>
              <w:t>最低去除效率要求时，则生产车间或生产设备边界非甲烷总烃需执行《工业企业挥发性有机物排放控制标准》（DB13/2322-2016）表3标准；厂区内无组织非甲烷总烃排放执行《挥发性有机物无组织排放控制标准》（GB37822-2019）中表A.1厂区内VOCs无组织特别排放限值要求。</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2、噪声</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施工期施工噪声执行《建筑施工场界环境噪声排放标准》（GB12523-2011）；</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运营期厂界噪声执行《工业企业厂界环境噪声排放标准》（GB12348-2008）3类标准。</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3、废水</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运营期无生产废水产生及外排，生活污水排放执行《污水综合排放标准》（GB8978-1996）表4三级标准要求并同时满足</w:t>
            </w:r>
            <w:r>
              <w:rPr>
                <w:rFonts w:hint="eastAsia"/>
                <w:bCs/>
                <w:color w:val="000000" w:themeColor="text1"/>
                <w:sz w:val="24"/>
                <w:highlight w:val="none"/>
                <w14:textFill>
                  <w14:solidFill>
                    <w14:schemeClr w14:val="tx1"/>
                  </w14:solidFill>
                </w14:textFill>
              </w:rPr>
              <w:t>新河县城东污水处理厂</w:t>
            </w:r>
            <w:r>
              <w:rPr>
                <w:bCs/>
                <w:color w:val="000000" w:themeColor="text1"/>
                <w:sz w:val="24"/>
                <w:highlight w:val="none"/>
                <w14:textFill>
                  <w14:solidFill>
                    <w14:schemeClr w14:val="tx1"/>
                  </w14:solidFill>
                </w14:textFill>
              </w:rPr>
              <w:t>进水水质要求。</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4、固废</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危险废物执行《危险废物贮存污染控制标准》（GB18597-2001）及修改单（环保部公告2013年第36号）；一般工业固体废物执行《一般工业固体废物贮存和填埋污染控制标准》（GB 18599-2020）中相应要求；生活垃圾执行《中华人民共和国固体废物污染环境防治法》要求。</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具体标准执行情况见表</w:t>
            </w:r>
            <w:r>
              <w:rPr>
                <w:rFonts w:hint="eastAsia"/>
                <w:bCs/>
                <w:color w:val="000000" w:themeColor="text1"/>
                <w:sz w:val="24"/>
                <w:highlight w:val="none"/>
                <w14:textFill>
                  <w14:solidFill>
                    <w14:schemeClr w14:val="tx1"/>
                  </w14:solidFill>
                </w14:textFill>
              </w:rPr>
              <w:t>25</w:t>
            </w:r>
            <w:r>
              <w:rPr>
                <w:bCs/>
                <w:color w:val="000000" w:themeColor="text1"/>
                <w:sz w:val="24"/>
                <w:highlight w:val="none"/>
                <w14:textFill>
                  <w14:solidFill>
                    <w14:schemeClr w14:val="tx1"/>
                  </w14:solidFill>
                </w14:textFill>
              </w:rPr>
              <w:t>-2</w:t>
            </w:r>
            <w:r>
              <w:rPr>
                <w:rFonts w:hint="eastAsia"/>
                <w:bCs/>
                <w:color w:val="000000" w:themeColor="text1"/>
                <w:sz w:val="24"/>
                <w:highlight w:val="none"/>
                <w14:textFill>
                  <w14:solidFill>
                    <w14:schemeClr w14:val="tx1"/>
                  </w14:solidFill>
                </w14:textFill>
              </w:rPr>
              <w:t>8</w:t>
            </w:r>
            <w:r>
              <w:rPr>
                <w:bCs/>
                <w:color w:val="000000" w:themeColor="text1"/>
                <w:sz w:val="24"/>
                <w:highlight w:val="none"/>
                <w14:textFill>
                  <w14:solidFill>
                    <w14:schemeClr w14:val="tx1"/>
                  </w14:solidFill>
                </w14:textFill>
              </w:rPr>
              <w:t>。</w:t>
            </w:r>
          </w:p>
          <w:p>
            <w:pP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25</w:t>
            </w:r>
            <w:r>
              <w:rPr>
                <w:b/>
                <w:color w:val="000000" w:themeColor="text1"/>
                <w:sz w:val="24"/>
                <w:highlight w:val="none"/>
                <w14:textFill>
                  <w14:solidFill>
                    <w14:schemeClr w14:val="tx1"/>
                  </w14:solidFill>
                </w14:textFill>
              </w:rPr>
              <w:t xml:space="preserve">  项目废气污染物排放标准一览表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7"/>
              <w:gridCol w:w="1255"/>
              <w:gridCol w:w="979"/>
              <w:gridCol w:w="1144"/>
              <w:gridCol w:w="1011"/>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gridSpan w:val="2"/>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污染物类别</w:t>
                  </w:r>
                </w:p>
              </w:tc>
              <w:tc>
                <w:tcPr>
                  <w:tcW w:w="751"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污染源</w:t>
                  </w:r>
                </w:p>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名称</w:t>
                  </w:r>
                </w:p>
              </w:tc>
              <w:tc>
                <w:tcPr>
                  <w:tcW w:w="1946" w:type="pct"/>
                  <w:gridSpan w:val="3"/>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1608"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6"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426"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施工期</w:t>
                  </w:r>
                </w:p>
              </w:tc>
              <w:tc>
                <w:tcPr>
                  <w:tcW w:w="751"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扬尘</w:t>
                  </w:r>
                </w:p>
              </w:tc>
              <w:tc>
                <w:tcPr>
                  <w:tcW w:w="641"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10</w:t>
                  </w:r>
                </w:p>
              </w:tc>
              <w:tc>
                <w:tcPr>
                  <w:tcW w:w="644" w:type="pct"/>
                  <w:vAlign w:val="center"/>
                </w:tcPr>
                <w:p>
                  <w:pPr>
                    <w:adjustRightInd w:val="0"/>
                    <w:snapToGrid w:val="0"/>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监测点浓度限值（μg/m</w:t>
                  </w:r>
                  <w:r>
                    <w:rPr>
                      <w:bCs/>
                      <w:color w:val="000000" w:themeColor="text1"/>
                      <w:szCs w:val="21"/>
                      <w:highlight w:val="none"/>
                      <w:vertAlign w:val="superscript"/>
                      <w14:textFill>
                        <w14:solidFill>
                          <w14:schemeClr w14:val="tx1"/>
                        </w14:solidFill>
                      </w14:textFill>
                    </w:rPr>
                    <w:t>3</w:t>
                  </w:r>
                  <w:r>
                    <w:rPr>
                      <w:bCs/>
                      <w:color w:val="000000" w:themeColor="text1"/>
                      <w:szCs w:val="21"/>
                      <w:highlight w:val="none"/>
                      <w14:textFill>
                        <w14:solidFill>
                          <w14:schemeClr w14:val="tx1"/>
                        </w14:solidFill>
                      </w14:textFill>
                    </w:rPr>
                    <w:t>）</w:t>
                  </w:r>
                </w:p>
              </w:tc>
              <w:tc>
                <w:tcPr>
                  <w:tcW w:w="661" w:type="pct"/>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达标判定依据</w:t>
                  </w:r>
                </w:p>
                <w:p>
                  <w:pPr>
                    <w:adjustRightInd w:val="0"/>
                    <w:snapToGrid w:val="0"/>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（次/天）</w:t>
                  </w:r>
                </w:p>
              </w:tc>
              <w:tc>
                <w:tcPr>
                  <w:tcW w:w="1608" w:type="pct"/>
                  <w:vMerge w:val="restart"/>
                  <w:vAlign w:val="center"/>
                </w:tcPr>
                <w:p>
                  <w:pPr>
                    <w:spacing w:line="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《施工场地扬尘排放标准》（DB13/2934-2019）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51"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641"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64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80</w:t>
                  </w:r>
                  <w:r>
                    <w:rPr>
                      <w:color w:val="000000" w:themeColor="text1"/>
                      <w:szCs w:val="21"/>
                      <w:highlight w:val="none"/>
                      <w:vertAlign w:val="superscript"/>
                      <w14:textFill>
                        <w14:solidFill>
                          <w14:schemeClr w14:val="tx1"/>
                        </w14:solidFill>
                      </w14:textFill>
                    </w:rPr>
                    <w:t>a</w:t>
                  </w:r>
                </w:p>
              </w:tc>
              <w:tc>
                <w:tcPr>
                  <w:tcW w:w="661" w:type="pct"/>
                  <w:vAlign w:val="center"/>
                </w:tcPr>
                <w:p>
                  <w:pPr>
                    <w:adjustRightInd w:val="0"/>
                    <w:snapToGrid w:val="0"/>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≤2</w:t>
                  </w:r>
                </w:p>
              </w:tc>
              <w:tc>
                <w:tcPr>
                  <w:tcW w:w="1608" w:type="pct"/>
                  <w:vMerge w:val="continue"/>
                  <w:vAlign w:val="center"/>
                </w:tcPr>
                <w:p>
                  <w:pPr>
                    <w:spacing w:line="0" w:lineRule="atLeast"/>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6" w:type="pct"/>
                  <w:vMerge w:val="continue"/>
                  <w:vAlign w:val="center"/>
                </w:tcPr>
                <w:p>
                  <w:pPr>
                    <w:adjustRightInd w:val="0"/>
                    <w:snapToGrid w:val="0"/>
                    <w:jc w:val="center"/>
                    <w:rPr>
                      <w:color w:val="000000" w:themeColor="text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highlight w:val="none"/>
                      <w14:textFill>
                        <w14:solidFill>
                          <w14:schemeClr w14:val="tx1"/>
                        </w14:solidFill>
                      </w14:textFill>
                    </w:rPr>
                  </w:pPr>
                </w:p>
              </w:tc>
              <w:tc>
                <w:tcPr>
                  <w:tcW w:w="751" w:type="pct"/>
                  <w:vMerge w:val="continue"/>
                  <w:vAlign w:val="center"/>
                </w:tcPr>
                <w:p>
                  <w:pPr>
                    <w:adjustRightInd w:val="0"/>
                    <w:snapToGrid w:val="0"/>
                    <w:jc w:val="center"/>
                    <w:rPr>
                      <w:color w:val="000000" w:themeColor="text1"/>
                      <w:highlight w:val="none"/>
                      <w14:textFill>
                        <w14:solidFill>
                          <w14:schemeClr w14:val="tx1"/>
                        </w14:solidFill>
                      </w14:textFill>
                    </w:rPr>
                  </w:pPr>
                </w:p>
              </w:tc>
              <w:tc>
                <w:tcPr>
                  <w:tcW w:w="641" w:type="pct"/>
                  <w:vMerge w:val="continue"/>
                  <w:vAlign w:val="center"/>
                </w:tcPr>
                <w:p>
                  <w:pPr>
                    <w:adjustRightInd w:val="0"/>
                    <w:snapToGrid w:val="0"/>
                    <w:jc w:val="center"/>
                    <w:rPr>
                      <w:color w:val="000000" w:themeColor="text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vertAlign w:val="superscript"/>
                      <w14:textFill>
                        <w14:solidFill>
                          <w14:schemeClr w14:val="tx1"/>
                        </w14:solidFill>
                      </w14:textFill>
                    </w:rPr>
                    <w:t>a</w:t>
                  </w:r>
                  <w:r>
                    <w:rPr>
                      <w:color w:val="000000" w:themeColor="text1"/>
                      <w:szCs w:val="21"/>
                      <w:highlight w:val="none"/>
                      <w14:textFill>
                        <w14:solidFill>
                          <w14:schemeClr w14:val="tx1"/>
                        </w14:solidFill>
                      </w14:textFill>
                    </w:rPr>
                    <w:t>指监测点PM</w:t>
                  </w:r>
                  <w:r>
                    <w:rPr>
                      <w:color w:val="000000" w:themeColor="text1"/>
                      <w:szCs w:val="21"/>
                      <w:highlight w:val="none"/>
                      <w:vertAlign w:val="subscript"/>
                      <w14:textFill>
                        <w14:solidFill>
                          <w14:schemeClr w14:val="tx1"/>
                        </w14:solidFill>
                      </w14:textFill>
                    </w:rPr>
                    <w:t>10</w:t>
                  </w:r>
                  <w:r>
                    <w:rPr>
                      <w:color w:val="000000" w:themeColor="text1"/>
                      <w:szCs w:val="21"/>
                      <w:highlight w:val="none"/>
                      <w14:textFill>
                        <w14:solidFill>
                          <w14:schemeClr w14:val="tx1"/>
                        </w14:solidFill>
                      </w14:textFill>
                    </w:rPr>
                    <w:t>小时平均浓度实测值与同时段所属县（市、区）PM</w:t>
                  </w:r>
                  <w:r>
                    <w:rPr>
                      <w:color w:val="000000" w:themeColor="text1"/>
                      <w:szCs w:val="21"/>
                      <w:highlight w:val="none"/>
                      <w:vertAlign w:val="subscript"/>
                      <w14:textFill>
                        <w14:solidFill>
                          <w14:schemeClr w14:val="tx1"/>
                        </w14:solidFill>
                      </w14:textFill>
                    </w:rPr>
                    <w:t>10</w:t>
                  </w:r>
                  <w:r>
                    <w:rPr>
                      <w:color w:val="000000" w:themeColor="text1"/>
                      <w:szCs w:val="21"/>
                      <w:highlight w:val="none"/>
                      <w14:textFill>
                        <w14:solidFill>
                          <w14:schemeClr w14:val="tx1"/>
                        </w14:solidFill>
                      </w14:textFill>
                    </w:rPr>
                    <w:t>小时平均浓度的差值。当县（市、区）PM</w:t>
                  </w:r>
                  <w:r>
                    <w:rPr>
                      <w:color w:val="000000" w:themeColor="text1"/>
                      <w:szCs w:val="21"/>
                      <w:highlight w:val="none"/>
                      <w:vertAlign w:val="subscript"/>
                      <w14:textFill>
                        <w14:solidFill>
                          <w14:schemeClr w14:val="tx1"/>
                        </w14:solidFill>
                      </w14:textFill>
                    </w:rPr>
                    <w:t>10</w:t>
                  </w:r>
                  <w:r>
                    <w:rPr>
                      <w:color w:val="000000" w:themeColor="text1"/>
                      <w:szCs w:val="21"/>
                      <w:highlight w:val="none"/>
                      <w14:textFill>
                        <w14:solidFill>
                          <w14:schemeClr w14:val="tx1"/>
                        </w14:solidFill>
                      </w14:textFill>
                    </w:rPr>
                    <w:t>小时平均浓度值大于</w:t>
                  </w: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50μg/m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时，以150μg/m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计。</w:t>
                  </w:r>
                </w:p>
              </w:tc>
              <w:tc>
                <w:tcPr>
                  <w:tcW w:w="1608" w:type="pct"/>
                  <w:vMerge w:val="continue"/>
                  <w:vAlign w:val="center"/>
                </w:tcPr>
                <w:p>
                  <w:pPr>
                    <w:adjustRightInd w:val="0"/>
                    <w:snapToGrid w:val="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运</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营</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期</w:t>
                  </w:r>
                </w:p>
              </w:tc>
              <w:tc>
                <w:tcPr>
                  <w:tcW w:w="751"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焊接废气和激光切割废气（DA001）</w:t>
                  </w:r>
                </w:p>
              </w:tc>
              <w:tc>
                <w:tcPr>
                  <w:tcW w:w="641"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1305" w:type="pct"/>
                  <w:gridSpan w:val="2"/>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排气筒：</w:t>
                  </w:r>
                  <w:r>
                    <w:rPr>
                      <w:rFonts w:hint="eastAsia"/>
                      <w:bCs/>
                      <w:color w:val="000000" w:themeColor="text1"/>
                      <w:szCs w:val="21"/>
                      <w:highlight w:val="none"/>
                      <w14:textFill>
                        <w14:solidFill>
                          <w14:schemeClr w14:val="tx1"/>
                        </w14:solidFill>
                      </w14:textFill>
                    </w:rPr>
                    <w:t>20</w:t>
                  </w:r>
                  <w:r>
                    <w:rPr>
                      <w:bCs/>
                      <w:color w:val="000000" w:themeColor="text1"/>
                      <w:szCs w:val="21"/>
                      <w:highlight w:val="none"/>
                      <w14:textFill>
                        <w14:solidFill>
                          <w14:schemeClr w14:val="tx1"/>
                        </w14:solidFill>
                      </w14:textFill>
                    </w:rPr>
                    <w:t>m</w:t>
                  </w:r>
                </w:p>
                <w:p>
                  <w:pPr>
                    <w:adjustRightInd w:val="0"/>
                    <w:snapToGrid w:val="0"/>
                    <w:jc w:val="center"/>
                    <w:rPr>
                      <w:bCs/>
                      <w:color w:val="000000" w:themeColor="text1"/>
                      <w:szCs w:val="21"/>
                      <w:highlight w:val="none"/>
                      <w:vertAlign w:val="superscript"/>
                      <w14:textFill>
                        <w14:solidFill>
                          <w14:schemeClr w14:val="tx1"/>
                        </w14:solidFill>
                      </w14:textFill>
                    </w:rPr>
                  </w:pPr>
                  <w:r>
                    <w:rPr>
                      <w:bCs/>
                      <w:color w:val="000000" w:themeColor="text1"/>
                      <w:szCs w:val="21"/>
                      <w:highlight w:val="none"/>
                      <w14:textFill>
                        <w14:solidFill>
                          <w14:schemeClr w14:val="tx1"/>
                        </w14:solidFill>
                      </w14:textFill>
                    </w:rPr>
                    <w:t>排放浓度≤</w:t>
                  </w:r>
                  <w:r>
                    <w:rPr>
                      <w:rFonts w:hint="eastAsia"/>
                      <w:bCs/>
                      <w:color w:val="000000" w:themeColor="text1"/>
                      <w:szCs w:val="21"/>
                      <w:highlight w:val="none"/>
                      <w14:textFill>
                        <w14:solidFill>
                          <w14:schemeClr w14:val="tx1"/>
                        </w14:solidFill>
                      </w14:textFill>
                    </w:rPr>
                    <w:t>120</w:t>
                  </w:r>
                  <w:r>
                    <w:rPr>
                      <w:bCs/>
                      <w:color w:val="000000" w:themeColor="text1"/>
                      <w:szCs w:val="21"/>
                      <w:highlight w:val="none"/>
                      <w14:textFill>
                        <w14:solidFill>
                          <w14:schemeClr w14:val="tx1"/>
                        </w14:solidFill>
                      </w14:textFill>
                    </w:rPr>
                    <w:t>mg/m</w:t>
                  </w:r>
                  <w:r>
                    <w:rPr>
                      <w:bCs/>
                      <w:color w:val="000000" w:themeColor="text1"/>
                      <w:szCs w:val="21"/>
                      <w:highlight w:val="none"/>
                      <w:vertAlign w:val="superscript"/>
                      <w14:textFill>
                        <w14:solidFill>
                          <w14:schemeClr w14:val="tx1"/>
                        </w14:solidFill>
                      </w14:textFill>
                    </w:rPr>
                    <w:t>3</w:t>
                  </w:r>
                </w:p>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排放速率≤</w:t>
                  </w:r>
                  <w:r>
                    <w:rPr>
                      <w:rFonts w:hint="eastAsia"/>
                      <w:bCs/>
                      <w:color w:val="000000" w:themeColor="text1"/>
                      <w:szCs w:val="21"/>
                      <w:highlight w:val="none"/>
                      <w14:textFill>
                        <w14:solidFill>
                          <w14:schemeClr w14:val="tx1"/>
                        </w14:solidFill>
                      </w14:textFill>
                    </w:rPr>
                    <w:t>5.9</w:t>
                  </w:r>
                  <w:r>
                    <w:rPr>
                      <w:bCs/>
                      <w:color w:val="000000" w:themeColor="text1"/>
                      <w:szCs w:val="21"/>
                      <w:highlight w:val="none"/>
                      <w14:textFill>
                        <w14:solidFill>
                          <w14:schemeClr w14:val="tx1"/>
                        </w14:solidFill>
                      </w14:textFill>
                    </w:rPr>
                    <w:t>kg/h</w:t>
                  </w:r>
                </w:p>
              </w:tc>
              <w:tc>
                <w:tcPr>
                  <w:tcW w:w="1608" w:type="pct"/>
                  <w:vAlign w:val="center"/>
                </w:tcPr>
                <w:p>
                  <w:pPr>
                    <w:spacing w:line="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《大气污染物综合排放标准》（GB16297-1996）表2</w:t>
                  </w:r>
                  <w:r>
                    <w:rPr>
                      <w:rFonts w:hint="eastAsia"/>
                      <w:color w:val="000000" w:themeColor="text1"/>
                      <w:szCs w:val="21"/>
                      <w:highlight w:val="none"/>
                      <w14:textFill>
                        <w14:solidFill>
                          <w14:schemeClr w14:val="tx1"/>
                        </w14:solidFill>
                      </w14:textFill>
                    </w:rPr>
                    <w:t>二级“其他”排放</w:t>
                  </w:r>
                  <w:r>
                    <w:rPr>
                      <w:color w:val="000000" w:themeColor="text1"/>
                      <w:szCs w:val="21"/>
                      <w:highlight w:val="none"/>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51"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喷涂</w:t>
                  </w:r>
                  <w:r>
                    <w:rPr>
                      <w:color w:val="000000" w:themeColor="text1"/>
                      <w:szCs w:val="21"/>
                      <w:highlight w:val="none"/>
                      <w14:textFill>
                        <w14:solidFill>
                          <w14:schemeClr w14:val="tx1"/>
                        </w14:solidFill>
                      </w14:textFill>
                    </w:rPr>
                    <w:t>废气（DA00</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w:t>
                  </w:r>
                </w:p>
              </w:tc>
              <w:tc>
                <w:tcPr>
                  <w:tcW w:w="641"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1305" w:type="pct"/>
                  <w:gridSpan w:val="2"/>
                  <w:vAlign w:val="center"/>
                </w:tcPr>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排气筒：</w:t>
                  </w:r>
                  <w:r>
                    <w:rPr>
                      <w:rFonts w:hint="eastAsia"/>
                      <w:bCs/>
                      <w:color w:val="000000" w:themeColor="text1"/>
                      <w:szCs w:val="21"/>
                      <w:highlight w:val="none"/>
                      <w14:textFill>
                        <w14:solidFill>
                          <w14:schemeClr w14:val="tx1"/>
                        </w14:solidFill>
                      </w14:textFill>
                    </w:rPr>
                    <w:t>20</w:t>
                  </w:r>
                  <w:r>
                    <w:rPr>
                      <w:bCs/>
                      <w:color w:val="000000" w:themeColor="text1"/>
                      <w:szCs w:val="21"/>
                      <w:highlight w:val="none"/>
                      <w14:textFill>
                        <w14:solidFill>
                          <w14:schemeClr w14:val="tx1"/>
                        </w14:solidFill>
                      </w14:textFill>
                    </w:rPr>
                    <w:t>m</w:t>
                  </w:r>
                </w:p>
                <w:p>
                  <w:pPr>
                    <w:adjustRightInd w:val="0"/>
                    <w:snapToGrid w:val="0"/>
                    <w:jc w:val="center"/>
                    <w:rPr>
                      <w:bCs/>
                      <w:color w:val="000000" w:themeColor="text1"/>
                      <w:szCs w:val="21"/>
                      <w:highlight w:val="none"/>
                      <w:vertAlign w:val="superscript"/>
                      <w14:textFill>
                        <w14:solidFill>
                          <w14:schemeClr w14:val="tx1"/>
                        </w14:solidFill>
                      </w14:textFill>
                    </w:rPr>
                  </w:pPr>
                  <w:r>
                    <w:rPr>
                      <w:bCs/>
                      <w:color w:val="000000" w:themeColor="text1"/>
                      <w:szCs w:val="21"/>
                      <w:highlight w:val="none"/>
                      <w14:textFill>
                        <w14:solidFill>
                          <w14:schemeClr w14:val="tx1"/>
                        </w14:solidFill>
                      </w14:textFill>
                    </w:rPr>
                    <w:t>排放浓度≤18mg/m</w:t>
                  </w:r>
                  <w:r>
                    <w:rPr>
                      <w:bCs/>
                      <w:color w:val="000000" w:themeColor="text1"/>
                      <w:szCs w:val="21"/>
                      <w:highlight w:val="none"/>
                      <w:vertAlign w:val="superscript"/>
                      <w14:textFill>
                        <w14:solidFill>
                          <w14:schemeClr w14:val="tx1"/>
                        </w14:solidFill>
                      </w14:textFill>
                    </w:rPr>
                    <w:t>3</w:t>
                  </w:r>
                </w:p>
                <w:p>
                  <w:pPr>
                    <w:adjustRightInd w:val="0"/>
                    <w:snapToGrid w:val="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排放速率≤0.</w:t>
                  </w:r>
                  <w:r>
                    <w:rPr>
                      <w:rFonts w:hint="eastAsia"/>
                      <w:bCs/>
                      <w:color w:val="000000" w:themeColor="text1"/>
                      <w:szCs w:val="21"/>
                      <w:highlight w:val="none"/>
                      <w14:textFill>
                        <w14:solidFill>
                          <w14:schemeClr w14:val="tx1"/>
                        </w14:solidFill>
                      </w14:textFill>
                    </w:rPr>
                    <w:t>85</w:t>
                  </w:r>
                  <w:r>
                    <w:rPr>
                      <w:bCs/>
                      <w:color w:val="000000" w:themeColor="text1"/>
                      <w:szCs w:val="21"/>
                      <w:highlight w:val="none"/>
                      <w14:textFill>
                        <w14:solidFill>
                          <w14:schemeClr w14:val="tx1"/>
                        </w14:solidFill>
                      </w14:textFill>
                    </w:rPr>
                    <w:t>kg/h</w:t>
                  </w:r>
                </w:p>
              </w:tc>
              <w:tc>
                <w:tcPr>
                  <w:tcW w:w="1608" w:type="pct"/>
                  <w:vAlign w:val="center"/>
                </w:tcPr>
                <w:p>
                  <w:pPr>
                    <w:spacing w:line="0" w:lineRule="atLeas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《大气污染物综合排放标准》（GB16297-1996）表2</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染料尘</w:t>
                  </w:r>
                  <w:r>
                    <w:rPr>
                      <w:rFonts w:hint="eastAsia"/>
                      <w:color w:val="000000" w:themeColor="text1"/>
                      <w:szCs w:val="21"/>
                      <w:highlight w:val="none"/>
                      <w14:textFill>
                        <w14:solidFill>
                          <w14:schemeClr w14:val="tx1"/>
                        </w14:solidFill>
                      </w14:textFill>
                    </w:rPr>
                    <w:t>”排放</w:t>
                  </w:r>
                  <w:r>
                    <w:rPr>
                      <w:color w:val="000000" w:themeColor="text1"/>
                      <w:szCs w:val="21"/>
                      <w:highlight w:val="none"/>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51"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天然气燃烧和固化工序废气（DA003）</w:t>
                  </w:r>
                </w:p>
              </w:tc>
              <w:tc>
                <w:tcPr>
                  <w:tcW w:w="641" w:type="pct"/>
                  <w:vMerge w:val="restart"/>
                  <w:vAlign w:val="center"/>
                </w:tcPr>
                <w:p>
                  <w:pPr>
                    <w:jc w:val="center"/>
                    <w:textAlignment w:val="baseline"/>
                    <w:rPr>
                      <w:color w:val="000000" w:themeColor="text1"/>
                      <w:spacing w:val="4"/>
                      <w:szCs w:val="21"/>
                      <w:highlight w:val="none"/>
                      <w:vertAlign w:val="subscript"/>
                      <w14:textFill>
                        <w14:solidFill>
                          <w14:schemeClr w14:val="tx1"/>
                        </w14:solidFill>
                      </w14:textFill>
                    </w:rPr>
                  </w:pPr>
                  <w:r>
                    <w:rPr>
                      <w:color w:val="000000" w:themeColor="text1"/>
                      <w:spacing w:val="4"/>
                      <w:szCs w:val="21"/>
                      <w:highlight w:val="none"/>
                      <w14:textFill>
                        <w14:solidFill>
                          <w14:schemeClr w14:val="tx1"/>
                        </w14:solidFill>
                      </w14:textFill>
                    </w:rPr>
                    <w:t>颗粒物SO</w:t>
                  </w:r>
                  <w:r>
                    <w:rPr>
                      <w:color w:val="000000" w:themeColor="text1"/>
                      <w:spacing w:val="4"/>
                      <w:szCs w:val="21"/>
                      <w:highlight w:val="none"/>
                      <w:vertAlign w:val="subscript"/>
                      <w14:textFill>
                        <w14:solidFill>
                          <w14:schemeClr w14:val="tx1"/>
                        </w14:solidFill>
                      </w14:textFill>
                    </w:rPr>
                    <w:t>2</w:t>
                  </w:r>
                </w:p>
                <w:p>
                  <w:pPr>
                    <w:jc w:val="center"/>
                    <w:textAlignment w:val="baseline"/>
                    <w:rPr>
                      <w:color w:val="000000" w:themeColor="text1"/>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NO</w:t>
                  </w:r>
                  <w:r>
                    <w:rPr>
                      <w:color w:val="000000" w:themeColor="text1"/>
                      <w:spacing w:val="4"/>
                      <w:szCs w:val="21"/>
                      <w:highlight w:val="none"/>
                      <w:vertAlign w:val="subscript"/>
                      <w14:textFill>
                        <w14:solidFill>
                          <w14:schemeClr w14:val="tx1"/>
                        </w14:solidFill>
                      </w14:textFill>
                    </w:rPr>
                    <w:t>X</w:t>
                  </w:r>
                </w:p>
              </w:tc>
              <w:tc>
                <w:tcPr>
                  <w:tcW w:w="1305" w:type="pct"/>
                  <w:gridSpan w:val="2"/>
                  <w:vAlign w:val="center"/>
                </w:tcPr>
                <w:p>
                  <w:pPr>
                    <w:jc w:val="center"/>
                    <w:textAlignment w:val="baseline"/>
                    <w:rPr>
                      <w:color w:val="000000" w:themeColor="text1"/>
                      <w:kern w:val="0"/>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5</w:t>
                  </w:r>
                  <w:r>
                    <w:rPr>
                      <w:color w:val="000000" w:themeColor="text1"/>
                      <w:szCs w:val="21"/>
                      <w:highlight w:val="none"/>
                      <w14:textFill>
                        <w14:solidFill>
                          <w14:schemeClr w14:val="tx1"/>
                        </w14:solidFill>
                      </w14:textFill>
                    </w:rPr>
                    <w:t>0mg/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p>
                  <w:pPr>
                    <w:jc w:val="center"/>
                    <w:textAlignment w:val="baseline"/>
                    <w:rPr>
                      <w:color w:val="000000" w:themeColor="text1"/>
                      <w:kern w:val="0"/>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400</w:t>
                  </w:r>
                  <w:r>
                    <w:rPr>
                      <w:color w:val="000000" w:themeColor="text1"/>
                      <w:szCs w:val="21"/>
                      <w:highlight w:val="none"/>
                      <w14:textFill>
                        <w14:solidFill>
                          <w14:schemeClr w14:val="tx1"/>
                        </w14:solidFill>
                      </w14:textFill>
                    </w:rPr>
                    <w:t>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p>
                  <w:pPr>
                    <w:jc w:val="center"/>
                    <w:textAlignment w:val="baseline"/>
                    <w:rPr>
                      <w:color w:val="000000" w:themeColor="text1"/>
                      <w:kern w:val="0"/>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00mg/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p>
                  <w:pPr>
                    <w:jc w:val="center"/>
                    <w:textAlignment w:val="baseline"/>
                    <w:rPr>
                      <w:bCs/>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烟气黑度＜1级</w:t>
                  </w:r>
                </w:p>
              </w:tc>
              <w:tc>
                <w:tcPr>
                  <w:tcW w:w="1608"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《工业炉窑大气污染物排放标准》（DB13/1640-2012）中表1、表2排放限值标准要求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51"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641" w:type="pct"/>
                  <w:vMerge w:val="continue"/>
                  <w:vAlign w:val="center"/>
                </w:tcPr>
                <w:p>
                  <w:pPr>
                    <w:jc w:val="center"/>
                    <w:textAlignment w:val="baseline"/>
                    <w:rPr>
                      <w:color w:val="000000" w:themeColor="text1"/>
                      <w:spacing w:val="4"/>
                      <w:szCs w:val="21"/>
                      <w:highlight w:val="none"/>
                      <w14:textFill>
                        <w14:solidFill>
                          <w14:schemeClr w14:val="tx1"/>
                        </w14:solidFill>
                      </w14:textFill>
                    </w:rPr>
                  </w:pPr>
                </w:p>
              </w:tc>
              <w:tc>
                <w:tcPr>
                  <w:tcW w:w="1305" w:type="pct"/>
                  <w:gridSpan w:val="2"/>
                  <w:vAlign w:val="center"/>
                </w:tcPr>
                <w:p>
                  <w:pPr>
                    <w:jc w:val="center"/>
                    <w:textAlignment w:val="baseline"/>
                    <w:rPr>
                      <w:color w:val="000000" w:themeColor="text1"/>
                      <w:kern w:val="0"/>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≤30mg/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p>
                  <w:pPr>
                    <w:jc w:val="center"/>
                    <w:textAlignment w:val="baseline"/>
                    <w:rPr>
                      <w:color w:val="000000" w:themeColor="text1"/>
                      <w:kern w:val="0"/>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≤50mg/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p>
                  <w:pPr>
                    <w:jc w:val="center"/>
                    <w:textAlignment w:val="baseline"/>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≤200mg/</w:t>
                  </w: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p>
              </w:tc>
              <w:tc>
                <w:tcPr>
                  <w:tcW w:w="160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《邢台市空气质量综合指数“退后十”攻坚行动方案》（邢字〔2021〕3号）要求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51"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641"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1305" w:type="pct"/>
                  <w:gridSpan w:val="2"/>
                  <w:vAlign w:val="center"/>
                </w:tcPr>
                <w:p>
                  <w:pPr>
                    <w:pStyle w:val="16"/>
                    <w:adjustRightInd w:val="0"/>
                    <w:snapToGrid w:val="0"/>
                    <w:spacing w:line="240" w:lineRule="auto"/>
                    <w:ind w:left="0" w:leftChars="0" w:firstLine="0" w:firstLineChars="0"/>
                    <w:rPr>
                      <w:rFonts w:ascii="Times New Roman" w:hAnsi="Times New Roman"/>
                      <w:bCs/>
                      <w:color w:val="000000" w:themeColor="text1"/>
                      <w:sz w:val="21"/>
                      <w:szCs w:val="21"/>
                      <w:highlight w:val="none"/>
                      <w:vertAlign w:val="superscript"/>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排放浓度≤60mg/m</w:t>
                  </w:r>
                  <w:r>
                    <w:rPr>
                      <w:rFonts w:ascii="Times New Roman" w:hAnsi="Times New Roman"/>
                      <w:bCs/>
                      <w:color w:val="000000" w:themeColor="text1"/>
                      <w:sz w:val="21"/>
                      <w:szCs w:val="21"/>
                      <w:highlight w:val="none"/>
                      <w:vertAlign w:val="superscript"/>
                      <w14:textFill>
                        <w14:solidFill>
                          <w14:schemeClr w14:val="tx1"/>
                        </w14:solidFill>
                      </w14:textFill>
                    </w:rPr>
                    <w:t>3</w:t>
                  </w:r>
                </w:p>
                <w:p>
                  <w:pPr>
                    <w:pStyle w:val="16"/>
                    <w:adjustRightInd w:val="0"/>
                    <w:snapToGrid w:val="0"/>
                    <w:spacing w:line="240" w:lineRule="auto"/>
                    <w:ind w:left="0" w:leftChars="0" w:firstLine="0" w:firstLineChars="0"/>
                    <w:rPr>
                      <w:rFonts w:ascii="Times New Roman" w:hAnsi="Times New Roman"/>
                      <w:color w:val="000000" w:themeColor="text1"/>
                      <w:highlight w:val="none"/>
                      <w14:textFill>
                        <w14:solidFill>
                          <w14:schemeClr w14:val="tx1"/>
                        </w14:solidFill>
                      </w14:textFill>
                    </w:rPr>
                  </w:pPr>
                  <w:r>
                    <w:rPr>
                      <w:rFonts w:ascii="Times New Roman" w:hAnsi="Times New Roman"/>
                      <w:bCs/>
                      <w:color w:val="000000" w:themeColor="text1"/>
                      <w:sz w:val="21"/>
                      <w:szCs w:val="21"/>
                      <w:highlight w:val="none"/>
                      <w14:textFill>
                        <w14:solidFill>
                          <w14:schemeClr w14:val="tx1"/>
                        </w14:solidFill>
                      </w14:textFill>
                    </w:rPr>
                    <w:t>去除效率≥70%</w:t>
                  </w:r>
                </w:p>
              </w:tc>
              <w:tc>
                <w:tcPr>
                  <w:tcW w:w="1608"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《工业企业挥发性有机物排放控制标准》（DB13/2322-2016）表1表面涂装业浓度限值及去除效率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1305"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非甲烷总烃企业边界浓度限值：2.0mg/m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1608" w:type="pct"/>
                  <w:vAlign w:val="center"/>
                </w:tcPr>
                <w:p>
                  <w:pPr>
                    <w:adjustRightInd w:val="0"/>
                    <w:snapToGrid w:val="0"/>
                    <w:jc w:val="center"/>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《工业企业挥发性有机物排放控制标准》（DB13/2322-2016）</w:t>
                  </w:r>
                </w:p>
                <w:p>
                  <w:pPr>
                    <w:adjustRightInd w:val="0"/>
                    <w:snapToGrid w:val="0"/>
                    <w:jc w:val="center"/>
                    <w:rPr>
                      <w:color w:val="000000" w:themeColor="text1"/>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表2其他企业边界浓度限值标准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生产车间或生产设备边界浓度限值*：</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非甲烷总烃4.0mg/m</w:t>
                  </w:r>
                  <w:r>
                    <w:rPr>
                      <w:color w:val="000000" w:themeColor="text1"/>
                      <w:szCs w:val="21"/>
                      <w:highlight w:val="none"/>
                      <w:vertAlign w:val="superscript"/>
                      <w14:textFill>
                        <w14:solidFill>
                          <w14:schemeClr w14:val="tx1"/>
                        </w14:solidFill>
                      </w14:textFill>
                    </w:rPr>
                    <w:t>3</w:t>
                  </w:r>
                </w:p>
              </w:tc>
              <w:tc>
                <w:tcPr>
                  <w:tcW w:w="1608" w:type="pct"/>
                  <w:vAlign w:val="center"/>
                </w:tcPr>
                <w:p>
                  <w:pPr>
                    <w:adjustRightInd w:val="0"/>
                    <w:snapToGrid w:val="0"/>
                    <w:jc w:val="center"/>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《工业企业挥发性有机物排放控制标准》（DB13/2322-2016）</w:t>
                  </w:r>
                </w:p>
                <w:p>
                  <w:pPr>
                    <w:adjustRightInd w:val="0"/>
                    <w:snapToGrid w:val="0"/>
                    <w:jc w:val="center"/>
                    <w:rPr>
                      <w:color w:val="000000" w:themeColor="text1"/>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表3生产车间或生产设备边界大气污染物浓度限值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非甲烷总烃厂区内无组织特别排放限值：</w:t>
                  </w:r>
                </w:p>
                <w:p>
                  <w:pPr>
                    <w:adjustRightInd w:val="0"/>
                    <w:snapToGrid w:val="0"/>
                    <w:jc w:val="center"/>
                    <w:rPr>
                      <w:color w:val="000000" w:themeColor="text1"/>
                      <w:szCs w:val="21"/>
                      <w:highlight w:val="none"/>
                      <w:vertAlign w:val="superscript"/>
                      <w14:textFill>
                        <w14:solidFill>
                          <w14:schemeClr w14:val="tx1"/>
                        </w14:solidFill>
                      </w14:textFill>
                    </w:rPr>
                  </w:pPr>
                  <w:r>
                    <w:rPr>
                      <w:color w:val="000000" w:themeColor="text1"/>
                      <w:szCs w:val="21"/>
                      <w:highlight w:val="none"/>
                      <w14:textFill>
                        <w14:solidFill>
                          <w14:schemeClr w14:val="tx1"/>
                        </w14:solidFill>
                      </w14:textFill>
                    </w:rPr>
                    <w:t>1h平均浓度值：6mg/m</w:t>
                  </w:r>
                  <w:r>
                    <w:rPr>
                      <w:color w:val="000000" w:themeColor="text1"/>
                      <w:szCs w:val="21"/>
                      <w:highlight w:val="none"/>
                      <w:vertAlign w:val="superscript"/>
                      <w14:textFill>
                        <w14:solidFill>
                          <w14:schemeClr w14:val="tx1"/>
                        </w14:solidFill>
                      </w14:textFill>
                    </w:rPr>
                    <w:t>3</w:t>
                  </w:r>
                </w:p>
                <w:p>
                  <w:pPr>
                    <w:adjustRightInd w:val="0"/>
                    <w:snapToGrid w:val="0"/>
                    <w:jc w:val="center"/>
                    <w:rPr>
                      <w:color w:val="000000" w:themeColor="text1"/>
                      <w:spacing w:val="-16"/>
                      <w:szCs w:val="21"/>
                      <w:highlight w:val="none"/>
                      <w14:textFill>
                        <w14:solidFill>
                          <w14:schemeClr w14:val="tx1"/>
                        </w14:solidFill>
                      </w14:textFill>
                    </w:rPr>
                  </w:pPr>
                  <w:r>
                    <w:rPr>
                      <w:color w:val="000000" w:themeColor="text1"/>
                      <w:spacing w:val="-16"/>
                      <w:szCs w:val="21"/>
                      <w:highlight w:val="none"/>
                      <w14:textFill>
                        <w14:solidFill>
                          <w14:schemeClr w14:val="tx1"/>
                        </w14:solidFill>
                      </w14:textFill>
                    </w:rPr>
                    <w:t>任意一次浓度值：20mg/m</w:t>
                  </w:r>
                  <w:r>
                    <w:rPr>
                      <w:color w:val="000000" w:themeColor="text1"/>
                      <w:spacing w:val="-16"/>
                      <w:szCs w:val="21"/>
                      <w:highlight w:val="none"/>
                      <w:vertAlign w:val="superscript"/>
                      <w14:textFill>
                        <w14:solidFill>
                          <w14:schemeClr w14:val="tx1"/>
                        </w14:solidFill>
                      </w14:textFill>
                    </w:rPr>
                    <w:t>3</w:t>
                  </w:r>
                </w:p>
              </w:tc>
              <w:tc>
                <w:tcPr>
                  <w:tcW w:w="1608" w:type="pct"/>
                  <w:vAlign w:val="center"/>
                </w:tcPr>
                <w:p>
                  <w:pPr>
                    <w:adjustRightInd w:val="0"/>
                    <w:snapToGrid w:val="0"/>
                    <w:jc w:val="center"/>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《挥发性有机物无组织排放控制标准》（GB37822-2019）表A.1中非甲烷总烃厂区内无组织特别排放限值要求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pacing w:val="-16"/>
                      <w:szCs w:val="21"/>
                      <w:highlight w:val="none"/>
                      <w14:textFill>
                        <w14:solidFill>
                          <w14:schemeClr w14:val="tx1"/>
                        </w14:solidFill>
                      </w14:textFill>
                    </w:rPr>
                  </w:pPr>
                  <w:r>
                    <w:rPr>
                      <w:color w:val="000000" w:themeColor="text1"/>
                      <w:spacing w:val="-16"/>
                      <w:szCs w:val="21"/>
                      <w:highlight w:val="none"/>
                      <w14:textFill>
                        <w14:solidFill>
                          <w14:schemeClr w14:val="tx1"/>
                        </w14:solidFill>
                      </w14:textFill>
                    </w:rPr>
                    <w:t>颗粒物厂界浓度限值：1.0mg/m</w:t>
                  </w:r>
                  <w:r>
                    <w:rPr>
                      <w:color w:val="000000" w:themeColor="text1"/>
                      <w:spacing w:val="-16"/>
                      <w:szCs w:val="21"/>
                      <w:highlight w:val="none"/>
                      <w:vertAlign w:val="superscript"/>
                      <w14:textFill>
                        <w14:solidFill>
                          <w14:schemeClr w14:val="tx1"/>
                        </w14:solidFill>
                      </w14:textFill>
                    </w:rPr>
                    <w:t>3</w:t>
                  </w:r>
                  <w:r>
                    <w:rPr>
                      <w:rFonts w:hint="eastAsia"/>
                      <w:color w:val="000000" w:themeColor="text1"/>
                      <w:spacing w:val="-16"/>
                      <w:szCs w:val="21"/>
                      <w:highlight w:val="none"/>
                      <w14:textFill>
                        <w14:solidFill>
                          <w14:schemeClr w14:val="tx1"/>
                        </w14:solidFill>
                      </w14:textFill>
                    </w:rPr>
                    <w:t>，同时满足肉眼不可见</w:t>
                  </w:r>
                </w:p>
              </w:tc>
              <w:tc>
                <w:tcPr>
                  <w:tcW w:w="1608" w:type="pct"/>
                  <w:vAlign w:val="center"/>
                </w:tcPr>
                <w:p>
                  <w:pPr>
                    <w:adjustRightInd w:val="0"/>
                    <w:snapToGrid w:val="0"/>
                    <w:jc w:val="center"/>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《大气污染物综合排放标准》（GB16297-1996）表2</w:t>
                  </w:r>
                  <w:r>
                    <w:rPr>
                      <w:rFonts w:hint="eastAsia"/>
                      <w:color w:val="000000" w:themeColor="text1"/>
                      <w:spacing w:val="-4"/>
                      <w:szCs w:val="21"/>
                      <w:highlight w:val="none"/>
                      <w14:textFill>
                        <w14:solidFill>
                          <w14:schemeClr w14:val="tx1"/>
                        </w14:solidFill>
                      </w14:textFill>
                    </w:rPr>
                    <w:t>“其他”</w:t>
                  </w:r>
                  <w:r>
                    <w:rPr>
                      <w:color w:val="000000" w:themeColor="text1"/>
                      <w:spacing w:val="-4"/>
                      <w:szCs w:val="21"/>
                      <w:highlight w:val="none"/>
                      <w14:textFill>
                        <w14:solidFill>
                          <w14:schemeClr w14:val="tx1"/>
                        </w14:solidFill>
                      </w14:textFill>
                    </w:rPr>
                    <w:t>无组织排放监控浓度限值</w:t>
                  </w:r>
                  <w:r>
                    <w:rPr>
                      <w:rFonts w:hint="eastAsia"/>
                      <w:color w:val="000000" w:themeColor="text1"/>
                      <w:spacing w:val="-4"/>
                      <w:szCs w:val="21"/>
                      <w:highlight w:val="none"/>
                      <w14:textFill>
                        <w14:solidFill>
                          <w14:schemeClr w14:val="tx1"/>
                        </w14:solidFill>
                      </w14:textFill>
                    </w:rPr>
                    <w:t>及“染料尘”标准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pacing w:val="-16"/>
                      <w:szCs w:val="21"/>
                      <w:highlight w:val="none"/>
                      <w14:textFill>
                        <w14:solidFill>
                          <w14:schemeClr w14:val="tx1"/>
                        </w14:solidFill>
                      </w14:textFill>
                    </w:rPr>
                  </w:pPr>
                  <w:r>
                    <w:rPr>
                      <w:rFonts w:hint="eastAsia"/>
                      <w:color w:val="000000" w:themeColor="text1"/>
                      <w:spacing w:val="-16"/>
                      <w:szCs w:val="21"/>
                      <w:highlight w:val="none"/>
                      <w14:textFill>
                        <w14:solidFill>
                          <w14:schemeClr w14:val="tx1"/>
                        </w14:solidFill>
                      </w14:textFill>
                    </w:rPr>
                    <w:t>二氧化硫厂界浓度限值：0.40</w:t>
                  </w:r>
                  <w:r>
                    <w:rPr>
                      <w:color w:val="000000" w:themeColor="text1"/>
                      <w:spacing w:val="-16"/>
                      <w:szCs w:val="21"/>
                      <w:highlight w:val="none"/>
                      <w14:textFill>
                        <w14:solidFill>
                          <w14:schemeClr w14:val="tx1"/>
                        </w14:solidFill>
                      </w14:textFill>
                    </w:rPr>
                    <w:t>mg/m</w:t>
                  </w:r>
                  <w:r>
                    <w:rPr>
                      <w:color w:val="000000" w:themeColor="text1"/>
                      <w:spacing w:val="-16"/>
                      <w:szCs w:val="21"/>
                      <w:highlight w:val="none"/>
                      <w:vertAlign w:val="superscript"/>
                      <w14:textFill>
                        <w14:solidFill>
                          <w14:schemeClr w14:val="tx1"/>
                        </w14:solidFill>
                      </w14:textFill>
                    </w:rPr>
                    <w:t>3</w:t>
                  </w:r>
                </w:p>
              </w:tc>
              <w:tc>
                <w:tcPr>
                  <w:tcW w:w="1608" w:type="pct"/>
                  <w:vMerge w:val="restart"/>
                  <w:vAlign w:val="center"/>
                </w:tcPr>
                <w:p>
                  <w:pPr>
                    <w:adjustRightInd w:val="0"/>
                    <w:snapToGrid w:val="0"/>
                    <w:jc w:val="center"/>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2"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05" w:type="pct"/>
                  <w:gridSpan w:val="2"/>
                  <w:vAlign w:val="center"/>
                </w:tcPr>
                <w:p>
                  <w:pPr>
                    <w:adjustRightInd w:val="0"/>
                    <w:snapToGrid w:val="0"/>
                    <w:jc w:val="center"/>
                    <w:rPr>
                      <w:color w:val="000000" w:themeColor="text1"/>
                      <w:spacing w:val="-16"/>
                      <w:szCs w:val="21"/>
                      <w:highlight w:val="none"/>
                      <w14:textFill>
                        <w14:solidFill>
                          <w14:schemeClr w14:val="tx1"/>
                        </w14:solidFill>
                      </w14:textFill>
                    </w:rPr>
                  </w:pPr>
                  <w:r>
                    <w:rPr>
                      <w:rFonts w:hint="eastAsia"/>
                      <w:color w:val="000000" w:themeColor="text1"/>
                      <w:spacing w:val="-16"/>
                      <w:szCs w:val="21"/>
                      <w:highlight w:val="none"/>
                      <w14:textFill>
                        <w14:solidFill>
                          <w14:schemeClr w14:val="tx1"/>
                        </w14:solidFill>
                      </w14:textFill>
                    </w:rPr>
                    <w:t>氮氧化物厂界浓度限值：0.12</w:t>
                  </w:r>
                  <w:r>
                    <w:rPr>
                      <w:color w:val="000000" w:themeColor="text1"/>
                      <w:spacing w:val="-16"/>
                      <w:szCs w:val="21"/>
                      <w:highlight w:val="none"/>
                      <w14:textFill>
                        <w14:solidFill>
                          <w14:schemeClr w14:val="tx1"/>
                        </w14:solidFill>
                      </w14:textFill>
                    </w:rPr>
                    <w:t>mg/m</w:t>
                  </w:r>
                  <w:r>
                    <w:rPr>
                      <w:color w:val="000000" w:themeColor="text1"/>
                      <w:spacing w:val="-16"/>
                      <w:szCs w:val="21"/>
                      <w:highlight w:val="none"/>
                      <w:vertAlign w:val="superscript"/>
                      <w14:textFill>
                        <w14:solidFill>
                          <w14:schemeClr w14:val="tx1"/>
                        </w14:solidFill>
                      </w14:textFill>
                    </w:rPr>
                    <w:t>3</w:t>
                  </w:r>
                </w:p>
              </w:tc>
              <w:tc>
                <w:tcPr>
                  <w:tcW w:w="1608" w:type="pct"/>
                  <w:vMerge w:val="continue"/>
                  <w:vAlign w:val="center"/>
                </w:tcPr>
                <w:p>
                  <w:pPr>
                    <w:adjustRightInd w:val="0"/>
                    <w:snapToGrid w:val="0"/>
                    <w:jc w:val="center"/>
                    <w:rPr>
                      <w:color w:val="000000" w:themeColor="text1"/>
                      <w:spacing w:val="-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adjustRightInd w:val="0"/>
                    <w:snapToGrid w:val="0"/>
                    <w:jc w:val="left"/>
                    <w:rPr>
                      <w:color w:val="000000" w:themeColor="text1"/>
                      <w:spacing w:val="-4"/>
                      <w:szCs w:val="21"/>
                      <w:highlight w:val="none"/>
                      <w14:textFill>
                        <w14:solidFill>
                          <w14:schemeClr w14:val="tx1"/>
                        </w14:solidFill>
                      </w14:textFill>
                    </w:rPr>
                  </w:pPr>
                  <w:r>
                    <w:rPr>
                      <w:color w:val="000000" w:themeColor="text1"/>
                      <w:szCs w:val="21"/>
                      <w:highlight w:val="none"/>
                      <w14:textFill>
                        <w14:solidFill>
                          <w14:schemeClr w14:val="tx1"/>
                        </w14:solidFill>
                      </w14:textFill>
                    </w:rPr>
                    <w:t>*注：生产车间或生产设备边界无组织非甲烷总烃监测仅在去除效率不满足要求的情况下进行。</w:t>
                  </w:r>
                </w:p>
              </w:tc>
            </w:tr>
          </w:tbl>
          <w:p>
            <w:pPr>
              <w:jc w:val="center"/>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t>表2</w:t>
            </w:r>
            <w:r>
              <w:rPr>
                <w:rFonts w:hint="eastAsia"/>
                <w:b/>
                <w:color w:val="000000" w:themeColor="text1"/>
                <w:sz w:val="24"/>
                <w:highlight w:val="none"/>
                <w14:textFill>
                  <w14:solidFill>
                    <w14:schemeClr w14:val="tx1"/>
                  </w14:solidFill>
                </w14:textFill>
              </w:rPr>
              <w:t>6</w:t>
            </w:r>
            <w:r>
              <w:rPr>
                <w:b/>
                <w:color w:val="000000" w:themeColor="text1"/>
                <w:sz w:val="24"/>
                <w:highlight w:val="none"/>
                <w14:textFill>
                  <w14:solidFill>
                    <w14:schemeClr w14:val="tx1"/>
                  </w14:solidFill>
                </w14:textFill>
              </w:rPr>
              <w:t xml:space="preserve">  项目废水污染物排放标准一览表</w:t>
            </w:r>
          </w:p>
          <w:tbl>
            <w:tblPr>
              <w:tblStyle w:val="24"/>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072"/>
              <w:gridCol w:w="2535"/>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tcBorders>
                    <w:tl2br w:val="single" w:color="auto" w:sz="4" w:space="0"/>
                  </w:tcBorders>
                  <w:vAlign w:val="center"/>
                </w:tcPr>
                <w:p>
                  <w:pPr>
                    <w:spacing w:line="300" w:lineRule="exact"/>
                    <w:ind w:firstLine="422" w:firstLineChars="20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w:t>
                  </w:r>
                </w:p>
                <w:p>
                  <w:pPr>
                    <w:spacing w:line="300" w:lineRule="exact"/>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因子</w:t>
                  </w:r>
                </w:p>
              </w:tc>
              <w:tc>
                <w:tcPr>
                  <w:tcW w:w="3072" w:type="dxa"/>
                  <w:vAlign w:val="center"/>
                </w:tcPr>
                <w:p>
                  <w:pPr>
                    <w:spacing w:line="30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《污水综合排放标准》（GB8978-1996）表4三级标准</w:t>
                  </w:r>
                </w:p>
              </w:tc>
              <w:tc>
                <w:tcPr>
                  <w:tcW w:w="2535" w:type="dxa"/>
                  <w:vAlign w:val="center"/>
                </w:tcPr>
                <w:p>
                  <w:pPr>
                    <w:snapToGrid w:val="0"/>
                    <w:spacing w:line="300" w:lineRule="exact"/>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新河县城东污水处理厂</w:t>
                  </w:r>
                  <w:r>
                    <w:rPr>
                      <w:b/>
                      <w:bCs/>
                      <w:color w:val="000000" w:themeColor="text1"/>
                      <w:highlight w:val="none"/>
                      <w14:textFill>
                        <w14:solidFill>
                          <w14:schemeClr w14:val="tx1"/>
                        </w14:solidFill>
                      </w14:textFill>
                    </w:rPr>
                    <w:t>进水水质要求</w:t>
                  </w:r>
                </w:p>
              </w:tc>
              <w:tc>
                <w:tcPr>
                  <w:tcW w:w="1280" w:type="dxa"/>
                  <w:vAlign w:val="center"/>
                </w:tcPr>
                <w:p>
                  <w:pPr>
                    <w:spacing w:line="30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本项目</w:t>
                  </w:r>
                </w:p>
                <w:p>
                  <w:pPr>
                    <w:spacing w:line="30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w:t>
                  </w:r>
                </w:p>
              </w:tc>
              <w:tc>
                <w:tcPr>
                  <w:tcW w:w="3072" w:type="dxa"/>
                  <w:vAlign w:val="center"/>
                </w:tcPr>
                <w:p>
                  <w:pPr>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c>
                <w:tcPr>
                  <w:tcW w:w="2535" w:type="dxa"/>
                  <w:vAlign w:val="center"/>
                </w:tcPr>
                <w:p>
                  <w:pPr>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c>
                <w:tcPr>
                  <w:tcW w:w="1280" w:type="dxa"/>
                  <w:vAlign w:val="center"/>
                </w:tcPr>
                <w:p>
                  <w:pPr>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3072"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500mg/L</w:t>
                  </w:r>
                </w:p>
              </w:tc>
              <w:tc>
                <w:tcPr>
                  <w:tcW w:w="2535" w:type="dxa"/>
                  <w:vAlign w:val="center"/>
                </w:tcPr>
                <w:p>
                  <w:pPr>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w:t>
                  </w:r>
                  <w:r>
                    <w:rPr>
                      <w:color w:val="000000" w:themeColor="text1"/>
                      <w:highlight w:val="none"/>
                      <w14:textFill>
                        <w14:solidFill>
                          <w14:schemeClr w14:val="tx1"/>
                        </w14:solidFill>
                      </w14:textFill>
                    </w:rPr>
                    <w:t>mg/L</w:t>
                  </w:r>
                </w:p>
              </w:tc>
              <w:tc>
                <w:tcPr>
                  <w:tcW w:w="1280" w:type="dxa"/>
                  <w:vAlign w:val="center"/>
                </w:tcPr>
                <w:p>
                  <w:pPr>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w:t>
                  </w:r>
                  <w:r>
                    <w:rPr>
                      <w:color w:val="000000" w:themeColor="text1"/>
                      <w:highlight w:val="none"/>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3072"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300mg/L</w:t>
                  </w:r>
                </w:p>
              </w:tc>
              <w:tc>
                <w:tcPr>
                  <w:tcW w:w="2535"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200</w:t>
                  </w:r>
                  <w:r>
                    <w:rPr>
                      <w:color w:val="000000" w:themeColor="text1"/>
                      <w:highlight w:val="none"/>
                      <w14:textFill>
                        <w14:solidFill>
                          <w14:schemeClr w14:val="tx1"/>
                        </w14:solidFill>
                      </w14:textFill>
                    </w:rPr>
                    <w:t>mg/L</w:t>
                  </w:r>
                </w:p>
              </w:tc>
              <w:tc>
                <w:tcPr>
                  <w:tcW w:w="1280"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200</w:t>
                  </w:r>
                  <w:r>
                    <w:rPr>
                      <w:color w:val="000000" w:themeColor="text1"/>
                      <w:highlight w:val="none"/>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3072" w:type="dxa"/>
                  <w:vAlign w:val="center"/>
                </w:tcPr>
                <w:p>
                  <w:pPr>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400mg/L</w:t>
                  </w:r>
                </w:p>
              </w:tc>
              <w:tc>
                <w:tcPr>
                  <w:tcW w:w="2535" w:type="dxa"/>
                  <w:vAlign w:val="center"/>
                </w:tcPr>
                <w:p>
                  <w:pPr>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350</w:t>
                  </w:r>
                  <w:r>
                    <w:rPr>
                      <w:color w:val="000000" w:themeColor="text1"/>
                      <w:highlight w:val="none"/>
                      <w14:textFill>
                        <w14:solidFill>
                          <w14:schemeClr w14:val="tx1"/>
                        </w14:solidFill>
                      </w14:textFill>
                    </w:rPr>
                    <w:t>mg/L</w:t>
                  </w:r>
                </w:p>
              </w:tc>
              <w:tc>
                <w:tcPr>
                  <w:tcW w:w="1280" w:type="dxa"/>
                  <w:vAlign w:val="center"/>
                </w:tcPr>
                <w:p>
                  <w:pPr>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350</w:t>
                  </w:r>
                  <w:r>
                    <w:rPr>
                      <w:color w:val="000000" w:themeColor="text1"/>
                      <w:highlight w:val="none"/>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3072" w:type="dxa"/>
                  <w:vAlign w:val="center"/>
                </w:tcPr>
                <w:p>
                  <w:pPr>
                    <w:widowControl/>
                    <w:snapToGrid w:val="0"/>
                    <w:spacing w:line="3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2535"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mg/L</w:t>
                  </w:r>
                </w:p>
              </w:tc>
              <w:tc>
                <w:tcPr>
                  <w:tcW w:w="1280"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总磷</w:t>
                  </w:r>
                </w:p>
              </w:tc>
              <w:tc>
                <w:tcPr>
                  <w:tcW w:w="3072"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5"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6.5mg/L</w:t>
                  </w:r>
                </w:p>
              </w:tc>
              <w:tc>
                <w:tcPr>
                  <w:tcW w:w="1280"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总氮</w:t>
                  </w:r>
                </w:p>
              </w:tc>
              <w:tc>
                <w:tcPr>
                  <w:tcW w:w="3072"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535"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61mg/L</w:t>
                  </w:r>
                </w:p>
              </w:tc>
              <w:tc>
                <w:tcPr>
                  <w:tcW w:w="1280" w:type="dxa"/>
                  <w:vAlign w:val="center"/>
                </w:tcPr>
                <w:p>
                  <w:pPr>
                    <w:widowControl/>
                    <w:snapToGrid w:val="0"/>
                    <w:spacing w:line="30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61mg/L</w:t>
                  </w:r>
                </w:p>
              </w:tc>
            </w:tr>
          </w:tbl>
          <w:p>
            <w:pPr>
              <w:jc w:val="center"/>
              <w:rPr>
                <w:b/>
                <w:color w:val="000000" w:themeColor="text1"/>
                <w:sz w:val="24"/>
                <w:highlight w:val="none"/>
                <w14:textFill>
                  <w14:solidFill>
                    <w14:schemeClr w14:val="tx1"/>
                  </w14:solidFill>
                </w14:textFill>
              </w:rPr>
            </w:pPr>
          </w:p>
          <w:p>
            <w:pPr>
              <w:jc w:val="center"/>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t>表2</w:t>
            </w:r>
            <w:r>
              <w:rPr>
                <w:rFonts w:hint="eastAsia"/>
                <w:b/>
                <w:color w:val="000000" w:themeColor="text1"/>
                <w:sz w:val="24"/>
                <w:highlight w:val="none"/>
                <w14:textFill>
                  <w14:solidFill>
                    <w14:schemeClr w14:val="tx1"/>
                  </w14:solidFill>
                </w14:textFill>
              </w:rPr>
              <w:t>7</w:t>
            </w:r>
            <w:r>
              <w:rPr>
                <w:b/>
                <w:color w:val="000000" w:themeColor="text1"/>
                <w:sz w:val="24"/>
                <w:highlight w:val="none"/>
                <w14:textFill>
                  <w14:solidFill>
                    <w14:schemeClr w14:val="tx1"/>
                  </w14:solidFill>
                </w14:textFill>
              </w:rPr>
              <w:t xml:space="preserve">  项目噪声污染物排放标准一览表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518"/>
              <w:gridCol w:w="2939"/>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gridSpan w:val="2"/>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污染物类别</w:t>
                  </w:r>
                </w:p>
              </w:tc>
              <w:tc>
                <w:tcPr>
                  <w:tcW w:w="1842"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执行标准</w:t>
                  </w:r>
                </w:p>
              </w:tc>
              <w:tc>
                <w:tcPr>
                  <w:tcW w:w="1794"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951"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施工期</w:t>
                  </w:r>
                </w:p>
              </w:tc>
              <w:tc>
                <w:tcPr>
                  <w:tcW w:w="184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昼间70dB(A)</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夜间55dB(A)</w:t>
                  </w:r>
                </w:p>
              </w:tc>
              <w:tc>
                <w:tcPr>
                  <w:tcW w:w="179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951"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运营期</w:t>
                  </w:r>
                </w:p>
              </w:tc>
              <w:tc>
                <w:tcPr>
                  <w:tcW w:w="184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昼间65dB(A)</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夜间55dB(A)</w:t>
                  </w:r>
                </w:p>
              </w:tc>
              <w:tc>
                <w:tcPr>
                  <w:tcW w:w="179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厂界《工业企业厂界环境噪声排放标准》（GB12348-2008）</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3类标准</w:t>
                  </w:r>
                </w:p>
              </w:tc>
            </w:tr>
          </w:tbl>
          <w:p>
            <w:pPr>
              <w:jc w:val="center"/>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t>表2</w:t>
            </w:r>
            <w:r>
              <w:rPr>
                <w:rFonts w:hint="eastAsia"/>
                <w:b/>
                <w:color w:val="000000" w:themeColor="text1"/>
                <w:sz w:val="24"/>
                <w:highlight w:val="none"/>
                <w14:textFill>
                  <w14:solidFill>
                    <w14:schemeClr w14:val="tx1"/>
                  </w14:solidFill>
                </w14:textFill>
              </w:rPr>
              <w:t>8</w:t>
            </w:r>
            <w:r>
              <w:rPr>
                <w:b/>
                <w:color w:val="000000" w:themeColor="text1"/>
                <w:sz w:val="24"/>
                <w:highlight w:val="none"/>
                <w14:textFill>
                  <w14:solidFill>
                    <w14:schemeClr w14:val="tx1"/>
                  </w14:solidFill>
                </w14:textFill>
              </w:rPr>
              <w:t xml:space="preserve">  项目固体废物污染物排放标准一览表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982"/>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Align w:val="center"/>
                </w:tcPr>
                <w:p>
                  <w:pPr>
                    <w:pStyle w:val="53"/>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污染物类别</w:t>
                  </w:r>
                </w:p>
              </w:tc>
              <w:tc>
                <w:tcPr>
                  <w:tcW w:w="1242"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污染物种类</w:t>
                  </w:r>
                </w:p>
              </w:tc>
              <w:tc>
                <w:tcPr>
                  <w:tcW w:w="2949" w:type="pct"/>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Merge w:val="restart"/>
                  <w:vAlign w:val="center"/>
                </w:tcPr>
                <w:p>
                  <w:pPr>
                    <w:pStyle w:val="53"/>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固体废物</w:t>
                  </w:r>
                </w:p>
              </w:tc>
              <w:tc>
                <w:tcPr>
                  <w:tcW w:w="124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2949"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《中华人民共和国固体废物污染环境防治法》中要求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Merge w:val="continue"/>
                  <w:vAlign w:val="center"/>
                </w:tcPr>
                <w:p>
                  <w:pPr>
                    <w:pStyle w:val="53"/>
                    <w:adjustRightInd w:val="0"/>
                    <w:snapToGrid w:val="0"/>
                    <w:spacing w:line="240" w:lineRule="auto"/>
                    <w:ind w:firstLine="420"/>
                    <w:jc w:val="center"/>
                    <w:rPr>
                      <w:color w:val="000000" w:themeColor="text1"/>
                      <w:sz w:val="21"/>
                      <w:szCs w:val="21"/>
                      <w:highlight w:val="none"/>
                      <w14:textFill>
                        <w14:solidFill>
                          <w14:schemeClr w14:val="tx1"/>
                        </w14:solidFill>
                      </w14:textFill>
                    </w:rPr>
                  </w:pPr>
                </w:p>
              </w:tc>
              <w:tc>
                <w:tcPr>
                  <w:tcW w:w="124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一般工业固体废物</w:t>
                  </w:r>
                </w:p>
              </w:tc>
              <w:tc>
                <w:tcPr>
                  <w:tcW w:w="2949" w:type="pct"/>
                  <w:vAlign w:val="center"/>
                </w:tcPr>
                <w:p>
                  <w:pPr>
                    <w:pStyle w:val="53"/>
                    <w:adjustRightInd w:val="0"/>
                    <w:snapToGrid w:val="0"/>
                    <w:spacing w:line="240" w:lineRule="auto"/>
                    <w:ind w:firstLine="42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Merge w:val="continue"/>
                  <w:vAlign w:val="center"/>
                </w:tcPr>
                <w:p>
                  <w:pPr>
                    <w:pStyle w:val="53"/>
                    <w:adjustRightInd w:val="0"/>
                    <w:snapToGrid w:val="0"/>
                    <w:spacing w:line="240" w:lineRule="auto"/>
                    <w:ind w:firstLine="420"/>
                    <w:jc w:val="center"/>
                    <w:rPr>
                      <w:color w:val="000000" w:themeColor="text1"/>
                      <w:sz w:val="21"/>
                      <w:szCs w:val="21"/>
                      <w:highlight w:val="none"/>
                      <w14:textFill>
                        <w14:solidFill>
                          <w14:schemeClr w14:val="tx1"/>
                        </w14:solidFill>
                      </w14:textFill>
                    </w:rPr>
                  </w:pPr>
                </w:p>
              </w:tc>
              <w:tc>
                <w:tcPr>
                  <w:tcW w:w="1242"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危险废物</w:t>
                  </w:r>
                </w:p>
              </w:tc>
              <w:tc>
                <w:tcPr>
                  <w:tcW w:w="2949" w:type="pct"/>
                  <w:vAlign w:val="center"/>
                </w:tcPr>
                <w:p>
                  <w:pPr>
                    <w:adjustRightInd w:val="0"/>
                    <w:snapToGrid w:val="0"/>
                    <w:jc w:val="center"/>
                    <w:rPr>
                      <w:color w:val="000000" w:themeColor="text1"/>
                      <w:szCs w:val="21"/>
                      <w:highlight w:val="none"/>
                      <w14:textFill>
                        <w14:solidFill>
                          <w14:schemeClr w14:val="tx1"/>
                        </w14:solidFill>
                      </w14:textFill>
                    </w:rPr>
                  </w:pPr>
                  <w:r>
                    <w:rPr>
                      <w:snapToGrid w:val="0"/>
                      <w:color w:val="000000" w:themeColor="text1"/>
                      <w:spacing w:val="-4"/>
                      <w:szCs w:val="21"/>
                      <w:highlight w:val="none"/>
                      <w14:textFill>
                        <w14:solidFill>
                          <w14:schemeClr w14:val="tx1"/>
                        </w14:solidFill>
                      </w14:textFill>
                    </w:rPr>
                    <w:t>《危险废物贮存污染控制标准》（GB18597-2001）及修改单标准</w:t>
                  </w:r>
                </w:p>
              </w:tc>
            </w:tr>
          </w:tbl>
          <w:p>
            <w:pPr>
              <w:adjustRightInd w:val="0"/>
              <w:snapToGrid w:val="0"/>
              <w:jc w:val="center"/>
              <w:rPr>
                <w:color w:val="000000" w:themeColor="text1"/>
                <w:kern w:val="0"/>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800" w:type="dxa"/>
            <w:vAlign w:val="center"/>
          </w:tcPr>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总量</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控制</w:t>
            </w:r>
          </w:p>
          <w:p>
            <w:pPr>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指标</w:t>
            </w:r>
          </w:p>
        </w:tc>
        <w:tc>
          <w:tcPr>
            <w:tcW w:w="8190" w:type="dxa"/>
            <w:vAlign w:val="center"/>
          </w:tcPr>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根据《国家生态环境保护“十三五”规划》的要求，实施总量控制的污染物为：COD、氨氮、SO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、NOx。本项目特征污染物为颗粒物</w:t>
            </w:r>
            <w:r>
              <w:rPr>
                <w:rFonts w:hint="eastAsia"/>
                <w:color w:val="000000" w:themeColor="text1"/>
                <w:sz w:val="24"/>
                <w:highlight w:val="none"/>
                <w14:textFill>
                  <w14:solidFill>
                    <w14:schemeClr w14:val="tx1"/>
                  </w14:solidFill>
                </w14:textFill>
              </w:rPr>
              <w:t>和</w:t>
            </w:r>
            <w:r>
              <w:rPr>
                <w:color w:val="000000" w:themeColor="text1"/>
                <w:sz w:val="24"/>
                <w:highlight w:val="none"/>
                <w14:textFill>
                  <w14:solidFill>
                    <w14:schemeClr w14:val="tx1"/>
                  </w14:solidFill>
                </w14:textFill>
              </w:rPr>
              <w:t>非甲烷总烃。</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1、废水总量控制指标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本项目无生产废水产生及外排；生活污水进入化粪池，排入市政污水管网，进入</w:t>
            </w:r>
            <w:r>
              <w:rPr>
                <w:rFonts w:hint="eastAsia"/>
                <w:color w:val="000000" w:themeColor="text1"/>
                <w:sz w:val="24"/>
                <w:highlight w:val="none"/>
                <w14:textFill>
                  <w14:solidFill>
                    <w14:schemeClr w14:val="tx1"/>
                  </w14:solidFill>
                </w14:textFill>
              </w:rPr>
              <w:t>新河县城东污水处理厂</w:t>
            </w:r>
            <w:r>
              <w:rPr>
                <w:color w:val="000000" w:themeColor="text1"/>
                <w:sz w:val="24"/>
                <w:highlight w:val="none"/>
                <w14:textFill>
                  <w14:solidFill>
                    <w14:schemeClr w14:val="tx1"/>
                  </w14:solidFill>
                </w14:textFill>
              </w:rPr>
              <w:t>进一步处理。根据项目主要环境影响，项目污染物</w:t>
            </w:r>
            <w:r>
              <w:rPr>
                <w:rFonts w:hint="eastAsia"/>
                <w:color w:val="000000" w:themeColor="text1"/>
                <w:sz w:val="24"/>
                <w:highlight w:val="none"/>
                <w14:textFill>
                  <w14:solidFill>
                    <w14:schemeClr w14:val="tx1"/>
                  </w14:solidFill>
                </w14:textFill>
              </w:rPr>
              <w:t>按照污水厂进水指标核算污染物排放情况见表29。</w:t>
            </w:r>
          </w:p>
          <w:p>
            <w:pPr>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29</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项目</w:t>
            </w:r>
            <w:r>
              <w:rPr>
                <w:rFonts w:hint="eastAsia"/>
                <w:b/>
                <w:bCs/>
                <w:color w:val="000000" w:themeColor="text1"/>
                <w:sz w:val="24"/>
                <w:highlight w:val="none"/>
                <w14:textFill>
                  <w14:solidFill>
                    <w14:schemeClr w14:val="tx1"/>
                  </w14:solidFill>
                </w14:textFill>
              </w:rPr>
              <w:t>废水污</w:t>
            </w:r>
            <w:r>
              <w:rPr>
                <w:b/>
                <w:bCs/>
                <w:color w:val="000000" w:themeColor="text1"/>
                <w:sz w:val="24"/>
                <w:highlight w:val="none"/>
                <w14:textFill>
                  <w14:solidFill>
                    <w14:schemeClr w14:val="tx1"/>
                  </w14:solidFill>
                </w14:textFill>
              </w:rPr>
              <w:t>染物</w:t>
            </w:r>
            <w:r>
              <w:rPr>
                <w:rFonts w:hint="eastAsia"/>
                <w:b/>
                <w:bCs/>
                <w:color w:val="000000" w:themeColor="text1"/>
                <w:sz w:val="24"/>
                <w:highlight w:val="none"/>
                <w14:textFill>
                  <w14:solidFill>
                    <w14:schemeClr w14:val="tx1"/>
                  </w14:solidFill>
                </w14:textFill>
              </w:rPr>
              <w:t>排放量（按污水厂进水指标核算）</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435"/>
              <w:gridCol w:w="187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b/>
                      <w:bCs/>
                      <w:color w:val="000000" w:themeColor="text1"/>
                      <w:kern w:val="44"/>
                      <w:szCs w:val="21"/>
                      <w:highlight w:val="none"/>
                      <w14:textFill>
                        <w14:solidFill>
                          <w14:schemeClr w14:val="tx1"/>
                        </w14:solidFill>
                      </w14:textFill>
                    </w:rPr>
                    <w:t>项目</w:t>
                  </w:r>
                </w:p>
              </w:tc>
              <w:tc>
                <w:tcPr>
                  <w:tcW w:w="2435" w:type="dxa"/>
                  <w:tcBorders>
                    <w:left w:val="single" w:color="auto" w:sz="4" w:space="0"/>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rFonts w:hint="eastAsia"/>
                      <w:b/>
                      <w:bCs/>
                      <w:color w:val="000000" w:themeColor="text1"/>
                      <w:kern w:val="44"/>
                      <w:szCs w:val="21"/>
                      <w:highlight w:val="none"/>
                      <w14:textFill>
                        <w14:solidFill>
                          <w14:schemeClr w14:val="tx1"/>
                        </w14:solidFill>
                      </w14:textFill>
                    </w:rPr>
                    <w:t>预测排放</w:t>
                  </w:r>
                  <w:r>
                    <w:rPr>
                      <w:b/>
                      <w:bCs/>
                      <w:color w:val="000000" w:themeColor="text1"/>
                      <w:kern w:val="44"/>
                      <w:szCs w:val="21"/>
                      <w:highlight w:val="none"/>
                      <w14:textFill>
                        <w14:solidFill>
                          <w14:schemeClr w14:val="tx1"/>
                        </w14:solidFill>
                      </w14:textFill>
                    </w:rPr>
                    <w:t>浓度（mg/</w:t>
                  </w:r>
                  <w:r>
                    <w:rPr>
                      <w:rFonts w:hint="eastAsia"/>
                      <w:b/>
                      <w:bCs/>
                      <w:color w:val="000000" w:themeColor="text1"/>
                      <w:kern w:val="44"/>
                      <w:szCs w:val="21"/>
                      <w:highlight w:val="none"/>
                      <w14:textFill>
                        <w14:solidFill>
                          <w14:schemeClr w14:val="tx1"/>
                        </w14:solidFill>
                      </w14:textFill>
                    </w:rPr>
                    <w:t>L</w:t>
                  </w:r>
                  <w:r>
                    <w:rPr>
                      <w:b/>
                      <w:bCs/>
                      <w:color w:val="000000" w:themeColor="text1"/>
                      <w:kern w:val="44"/>
                      <w:szCs w:val="21"/>
                      <w:highlight w:val="none"/>
                      <w14:textFill>
                        <w14:solidFill>
                          <w14:schemeClr w14:val="tx1"/>
                        </w14:solidFill>
                      </w14:textFill>
                    </w:rPr>
                    <w:t>）</w:t>
                  </w:r>
                </w:p>
              </w:tc>
              <w:tc>
                <w:tcPr>
                  <w:tcW w:w="1875" w:type="dxa"/>
                  <w:tcBorders>
                    <w:left w:val="single" w:color="auto" w:sz="4" w:space="0"/>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rFonts w:hint="eastAsia"/>
                      <w:b/>
                      <w:bCs/>
                      <w:color w:val="000000" w:themeColor="text1"/>
                      <w:kern w:val="44"/>
                      <w:szCs w:val="21"/>
                      <w:highlight w:val="none"/>
                      <w14:textFill>
                        <w14:solidFill>
                          <w14:schemeClr w14:val="tx1"/>
                        </w14:solidFill>
                      </w14:textFill>
                    </w:rPr>
                    <w:t>排水</w:t>
                  </w:r>
                  <w:r>
                    <w:rPr>
                      <w:b/>
                      <w:bCs/>
                      <w:color w:val="000000" w:themeColor="text1"/>
                      <w:kern w:val="44"/>
                      <w:szCs w:val="21"/>
                      <w:highlight w:val="none"/>
                      <w14:textFill>
                        <w14:solidFill>
                          <w14:schemeClr w14:val="tx1"/>
                        </w14:solidFill>
                      </w14:textFill>
                    </w:rPr>
                    <w:t>量（m</w:t>
                  </w:r>
                  <w:r>
                    <w:rPr>
                      <w:b/>
                      <w:bCs/>
                      <w:color w:val="000000" w:themeColor="text1"/>
                      <w:kern w:val="44"/>
                      <w:szCs w:val="21"/>
                      <w:highlight w:val="none"/>
                      <w:vertAlign w:val="superscript"/>
                      <w14:textFill>
                        <w14:solidFill>
                          <w14:schemeClr w14:val="tx1"/>
                        </w14:solidFill>
                      </w14:textFill>
                    </w:rPr>
                    <w:t>3</w:t>
                  </w:r>
                  <w:r>
                    <w:rPr>
                      <w:b/>
                      <w:bCs/>
                      <w:color w:val="000000" w:themeColor="text1"/>
                      <w:kern w:val="44"/>
                      <w:szCs w:val="21"/>
                      <w:highlight w:val="none"/>
                      <w14:textFill>
                        <w14:solidFill>
                          <w14:schemeClr w14:val="tx1"/>
                        </w14:solidFill>
                      </w14:textFill>
                    </w:rPr>
                    <w:t>/</w:t>
                  </w:r>
                  <w:r>
                    <w:rPr>
                      <w:rFonts w:hint="eastAsia"/>
                      <w:b/>
                      <w:bCs/>
                      <w:color w:val="000000" w:themeColor="text1"/>
                      <w:kern w:val="44"/>
                      <w:szCs w:val="21"/>
                      <w:highlight w:val="none"/>
                      <w14:textFill>
                        <w14:solidFill>
                          <w14:schemeClr w14:val="tx1"/>
                        </w14:solidFill>
                      </w14:textFill>
                    </w:rPr>
                    <w:t>a</w:t>
                  </w:r>
                  <w:r>
                    <w:rPr>
                      <w:b/>
                      <w:bCs/>
                      <w:color w:val="000000" w:themeColor="text1"/>
                      <w:kern w:val="44"/>
                      <w:szCs w:val="21"/>
                      <w:highlight w:val="none"/>
                      <w14:textFill>
                        <w14:solidFill>
                          <w14:schemeClr w14:val="tx1"/>
                        </w14:solidFill>
                      </w14:textFill>
                    </w:rPr>
                    <w:t>）</w:t>
                  </w:r>
                </w:p>
              </w:tc>
              <w:tc>
                <w:tcPr>
                  <w:tcW w:w="2535" w:type="dxa"/>
                  <w:tcBorders>
                    <w:left w:val="single" w:color="auto" w:sz="4" w:space="0"/>
                    <w:bottom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b/>
                      <w:bCs/>
                      <w:color w:val="000000" w:themeColor="text1"/>
                      <w:kern w:val="44"/>
                      <w:szCs w:val="21"/>
                      <w:highlight w:val="none"/>
                      <w14:textFill>
                        <w14:solidFill>
                          <w14:schemeClr w14:val="tx1"/>
                        </w14:solidFill>
                      </w14:textFill>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129" w:type="dxa"/>
                  <w:tcBorders>
                    <w:top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COD</w:t>
                  </w:r>
                </w:p>
              </w:tc>
              <w:tc>
                <w:tcPr>
                  <w:tcW w:w="24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500</w:t>
                  </w:r>
                </w:p>
              </w:tc>
              <w:tc>
                <w:tcPr>
                  <w:tcW w:w="18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720</w:t>
                  </w:r>
                </w:p>
              </w:tc>
              <w:tc>
                <w:tcPr>
                  <w:tcW w:w="2535" w:type="dxa"/>
                  <w:tcBorders>
                    <w:top w:val="single" w:color="auto" w:sz="4" w:space="0"/>
                    <w:left w:val="single" w:color="auto" w:sz="4" w:space="0"/>
                    <w:bottom w:val="single" w:color="auto" w:sz="4" w:space="0"/>
                  </w:tcBorders>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129" w:type="dxa"/>
                  <w:tcBorders>
                    <w:top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氨氮</w:t>
                  </w:r>
                </w:p>
              </w:tc>
              <w:tc>
                <w:tcPr>
                  <w:tcW w:w="2435" w:type="dxa"/>
                  <w:tcBorders>
                    <w:top w:val="single" w:color="auto" w:sz="4" w:space="0"/>
                    <w:left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42</w:t>
                  </w:r>
                </w:p>
              </w:tc>
              <w:tc>
                <w:tcPr>
                  <w:tcW w:w="1875" w:type="dxa"/>
                  <w:tcBorders>
                    <w:top w:val="single" w:color="auto" w:sz="4" w:space="0"/>
                    <w:left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720</w:t>
                  </w:r>
                </w:p>
              </w:tc>
              <w:tc>
                <w:tcPr>
                  <w:tcW w:w="2535" w:type="dxa"/>
                  <w:tcBorders>
                    <w:top w:val="single" w:color="auto" w:sz="4" w:space="0"/>
                    <w:left w:val="single" w:color="auto" w:sz="4" w:space="0"/>
                  </w:tcBorders>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0.03024</w:t>
                  </w:r>
                </w:p>
              </w:tc>
            </w:tr>
          </w:tbl>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根据《关于印发&lt;建设项目主要污染物排放总量指标审核及管理暂行办法&gt;的通知》（环发〔2014〕197 号）及《河北省环境保护厅关于进一步改革和优化建设项目主要污染物总量核定工作的通知》（冀环总〔2014〕283 号），按排放标准核算污染因子的排放总量</w:t>
            </w:r>
            <w:r>
              <w:rPr>
                <w:rFonts w:hint="eastAsia"/>
                <w:color w:val="000000" w:themeColor="text1"/>
                <w:szCs w:val="21"/>
                <w:highlight w:val="none"/>
                <w14:textFill>
                  <w14:solidFill>
                    <w14:schemeClr w14:val="tx1"/>
                  </w14:solidFill>
                </w14:textFill>
              </w:rPr>
              <w:t>。</w:t>
            </w:r>
            <w:r>
              <w:rPr>
                <w:color w:val="000000" w:themeColor="text1"/>
                <w:sz w:val="24"/>
                <w:highlight w:val="none"/>
                <w14:textFill>
                  <w14:solidFill>
                    <w14:schemeClr w14:val="tx1"/>
                  </w14:solidFill>
                </w14:textFill>
              </w:rPr>
              <w:t>《邢台市生产环境局关于加强环评审批、总量确认、排污权交易和排污许可全程衔接的若干措施》，废水排入污水集中处理设施的，按照废水排放量和污水集中处理设施执行的排放标准计算排污总量指标和排污权，因此本项目按照</w:t>
            </w:r>
            <w:r>
              <w:rPr>
                <w:rFonts w:hint="eastAsia"/>
                <w:color w:val="000000" w:themeColor="text1"/>
                <w:sz w:val="24"/>
                <w:highlight w:val="none"/>
                <w14:textFill>
                  <w14:solidFill>
                    <w14:schemeClr w14:val="tx1"/>
                  </w14:solidFill>
                </w14:textFill>
              </w:rPr>
              <w:t>新河县城东污水处理厂</w:t>
            </w:r>
            <w:r>
              <w:rPr>
                <w:color w:val="000000" w:themeColor="text1"/>
                <w:sz w:val="24"/>
                <w:highlight w:val="none"/>
                <w14:textFill>
                  <w14:solidFill>
                    <w14:schemeClr w14:val="tx1"/>
                  </w14:solidFill>
                </w14:textFill>
              </w:rPr>
              <w:t>排放标准计算排放量。</w:t>
            </w:r>
          </w:p>
          <w:p>
            <w:pPr>
              <w:spacing w:before="120" w:beforeLines="50"/>
              <w:jc w:val="center"/>
              <w:rPr>
                <w:b/>
                <w:bCs/>
                <w:color w:val="000000" w:themeColor="text1"/>
                <w:szCs w:val="21"/>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 xml:space="preserve">30 </w:t>
            </w:r>
            <w:r>
              <w:rPr>
                <w:b/>
                <w:bCs/>
                <w:color w:val="000000" w:themeColor="text1"/>
                <w:sz w:val="24"/>
                <w:highlight w:val="none"/>
                <w14:textFill>
                  <w14:solidFill>
                    <w14:schemeClr w14:val="tx1"/>
                  </w14:solidFill>
                </w14:textFill>
              </w:rPr>
              <w:t xml:space="preserve"> 项目废</w:t>
            </w:r>
            <w:r>
              <w:rPr>
                <w:rFonts w:hint="eastAsia"/>
                <w:b/>
                <w:bCs/>
                <w:color w:val="000000" w:themeColor="text1"/>
                <w:sz w:val="24"/>
                <w:highlight w:val="none"/>
                <w14:textFill>
                  <w14:solidFill>
                    <w14:schemeClr w14:val="tx1"/>
                  </w14:solidFill>
                </w14:textFill>
              </w:rPr>
              <w:t>水</w:t>
            </w:r>
            <w:r>
              <w:rPr>
                <w:b/>
                <w:bCs/>
                <w:color w:val="000000" w:themeColor="text1"/>
                <w:sz w:val="24"/>
                <w:highlight w:val="none"/>
                <w14:textFill>
                  <w14:solidFill>
                    <w14:schemeClr w14:val="tx1"/>
                  </w14:solidFill>
                </w14:textFill>
              </w:rPr>
              <w:t>污染物排污总量核算表</w:t>
            </w:r>
            <w:r>
              <w:rPr>
                <w:rFonts w:hint="eastAsia"/>
                <w:b/>
                <w:bCs/>
                <w:color w:val="000000" w:themeColor="text1"/>
                <w:sz w:val="24"/>
                <w:highlight w:val="none"/>
                <w14:textFill>
                  <w14:solidFill>
                    <w14:schemeClr w14:val="tx1"/>
                  </w14:solidFill>
                </w14:textFill>
              </w:rPr>
              <w:t>（按污水厂出水排放标准核算）</w:t>
            </w:r>
            <w:r>
              <w:rPr>
                <w:b/>
                <w:bCs/>
                <w:color w:val="000000" w:themeColor="text1"/>
                <w:szCs w:val="21"/>
                <w:highlight w:val="none"/>
                <w14:textFill>
                  <w14:solidFill>
                    <w14:schemeClr w14:val="tx1"/>
                  </w14:solidFill>
                </w14:textFill>
              </w:rPr>
              <w:t xml:space="preserve">  </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435"/>
              <w:gridCol w:w="187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b/>
                      <w:bCs/>
                      <w:color w:val="000000" w:themeColor="text1"/>
                      <w:kern w:val="44"/>
                      <w:szCs w:val="21"/>
                      <w:highlight w:val="none"/>
                      <w14:textFill>
                        <w14:solidFill>
                          <w14:schemeClr w14:val="tx1"/>
                        </w14:solidFill>
                      </w14:textFill>
                    </w:rPr>
                    <w:t>项目</w:t>
                  </w:r>
                </w:p>
              </w:tc>
              <w:tc>
                <w:tcPr>
                  <w:tcW w:w="2435" w:type="dxa"/>
                  <w:tcBorders>
                    <w:left w:val="single" w:color="auto" w:sz="4" w:space="0"/>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b/>
                      <w:bCs/>
                      <w:color w:val="000000" w:themeColor="text1"/>
                      <w:kern w:val="44"/>
                      <w:szCs w:val="21"/>
                      <w:highlight w:val="none"/>
                      <w14:textFill>
                        <w14:solidFill>
                          <w14:schemeClr w14:val="tx1"/>
                        </w14:solidFill>
                      </w14:textFill>
                    </w:rPr>
                    <w:t>标准允许浓度（mg/</w:t>
                  </w:r>
                  <w:r>
                    <w:rPr>
                      <w:rFonts w:hint="eastAsia"/>
                      <w:b/>
                      <w:bCs/>
                      <w:color w:val="000000" w:themeColor="text1"/>
                      <w:kern w:val="44"/>
                      <w:szCs w:val="21"/>
                      <w:highlight w:val="none"/>
                      <w14:textFill>
                        <w14:solidFill>
                          <w14:schemeClr w14:val="tx1"/>
                        </w14:solidFill>
                      </w14:textFill>
                    </w:rPr>
                    <w:t>L</w:t>
                  </w:r>
                  <w:r>
                    <w:rPr>
                      <w:b/>
                      <w:bCs/>
                      <w:color w:val="000000" w:themeColor="text1"/>
                      <w:kern w:val="44"/>
                      <w:szCs w:val="21"/>
                      <w:highlight w:val="none"/>
                      <w14:textFill>
                        <w14:solidFill>
                          <w14:schemeClr w14:val="tx1"/>
                        </w14:solidFill>
                      </w14:textFill>
                    </w:rPr>
                    <w:t>）</w:t>
                  </w:r>
                </w:p>
              </w:tc>
              <w:tc>
                <w:tcPr>
                  <w:tcW w:w="1875" w:type="dxa"/>
                  <w:tcBorders>
                    <w:left w:val="single" w:color="auto" w:sz="4" w:space="0"/>
                    <w:bottom w:val="single" w:color="auto" w:sz="4" w:space="0"/>
                    <w:right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rFonts w:hint="eastAsia"/>
                      <w:b/>
                      <w:bCs/>
                      <w:color w:val="000000" w:themeColor="text1"/>
                      <w:kern w:val="44"/>
                      <w:szCs w:val="21"/>
                      <w:highlight w:val="none"/>
                      <w14:textFill>
                        <w14:solidFill>
                          <w14:schemeClr w14:val="tx1"/>
                        </w14:solidFill>
                      </w14:textFill>
                    </w:rPr>
                    <w:t>排水</w:t>
                  </w:r>
                  <w:r>
                    <w:rPr>
                      <w:b/>
                      <w:bCs/>
                      <w:color w:val="000000" w:themeColor="text1"/>
                      <w:kern w:val="44"/>
                      <w:szCs w:val="21"/>
                      <w:highlight w:val="none"/>
                      <w14:textFill>
                        <w14:solidFill>
                          <w14:schemeClr w14:val="tx1"/>
                        </w14:solidFill>
                      </w14:textFill>
                    </w:rPr>
                    <w:t>量（m</w:t>
                  </w:r>
                  <w:r>
                    <w:rPr>
                      <w:b/>
                      <w:bCs/>
                      <w:color w:val="000000" w:themeColor="text1"/>
                      <w:kern w:val="44"/>
                      <w:szCs w:val="21"/>
                      <w:highlight w:val="none"/>
                      <w:vertAlign w:val="superscript"/>
                      <w14:textFill>
                        <w14:solidFill>
                          <w14:schemeClr w14:val="tx1"/>
                        </w14:solidFill>
                      </w14:textFill>
                    </w:rPr>
                    <w:t>3</w:t>
                  </w:r>
                  <w:r>
                    <w:rPr>
                      <w:b/>
                      <w:bCs/>
                      <w:color w:val="000000" w:themeColor="text1"/>
                      <w:kern w:val="44"/>
                      <w:szCs w:val="21"/>
                      <w:highlight w:val="none"/>
                      <w14:textFill>
                        <w14:solidFill>
                          <w14:schemeClr w14:val="tx1"/>
                        </w14:solidFill>
                      </w14:textFill>
                    </w:rPr>
                    <w:t>/</w:t>
                  </w:r>
                  <w:r>
                    <w:rPr>
                      <w:rFonts w:hint="eastAsia"/>
                      <w:b/>
                      <w:bCs/>
                      <w:color w:val="000000" w:themeColor="text1"/>
                      <w:kern w:val="44"/>
                      <w:szCs w:val="21"/>
                      <w:highlight w:val="none"/>
                      <w14:textFill>
                        <w14:solidFill>
                          <w14:schemeClr w14:val="tx1"/>
                        </w14:solidFill>
                      </w14:textFill>
                    </w:rPr>
                    <w:t>a</w:t>
                  </w:r>
                  <w:r>
                    <w:rPr>
                      <w:b/>
                      <w:bCs/>
                      <w:color w:val="000000" w:themeColor="text1"/>
                      <w:kern w:val="44"/>
                      <w:szCs w:val="21"/>
                      <w:highlight w:val="none"/>
                      <w14:textFill>
                        <w14:solidFill>
                          <w14:schemeClr w14:val="tx1"/>
                        </w14:solidFill>
                      </w14:textFill>
                    </w:rPr>
                    <w:t>）</w:t>
                  </w:r>
                </w:p>
              </w:tc>
              <w:tc>
                <w:tcPr>
                  <w:tcW w:w="2535" w:type="dxa"/>
                  <w:tcBorders>
                    <w:left w:val="single" w:color="auto" w:sz="4" w:space="0"/>
                    <w:bottom w:val="single" w:color="auto" w:sz="4" w:space="0"/>
                  </w:tcBorders>
                  <w:vAlign w:val="center"/>
                </w:tcPr>
                <w:p>
                  <w:pPr>
                    <w:spacing w:line="280" w:lineRule="exact"/>
                    <w:jc w:val="center"/>
                    <w:rPr>
                      <w:b/>
                      <w:bCs/>
                      <w:color w:val="000000" w:themeColor="text1"/>
                      <w:kern w:val="44"/>
                      <w:szCs w:val="21"/>
                      <w:highlight w:val="none"/>
                      <w14:textFill>
                        <w14:solidFill>
                          <w14:schemeClr w14:val="tx1"/>
                        </w14:solidFill>
                      </w14:textFill>
                    </w:rPr>
                  </w:pPr>
                  <w:r>
                    <w:rPr>
                      <w:b/>
                      <w:bCs/>
                      <w:color w:val="000000" w:themeColor="text1"/>
                      <w:kern w:val="44"/>
                      <w:szCs w:val="21"/>
                      <w:highlight w:val="none"/>
                      <w14:textFill>
                        <w14:solidFill>
                          <w14:schemeClr w14:val="tx1"/>
                        </w14:solidFill>
                      </w14:textFill>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129" w:type="dxa"/>
                  <w:tcBorders>
                    <w:top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COD</w:t>
                  </w:r>
                </w:p>
              </w:tc>
              <w:tc>
                <w:tcPr>
                  <w:tcW w:w="24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30</w:t>
                  </w:r>
                </w:p>
              </w:tc>
              <w:tc>
                <w:tcPr>
                  <w:tcW w:w="18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720</w:t>
                  </w:r>
                </w:p>
              </w:tc>
              <w:tc>
                <w:tcPr>
                  <w:tcW w:w="2535" w:type="dxa"/>
                  <w:tcBorders>
                    <w:top w:val="single" w:color="auto" w:sz="4" w:space="0"/>
                    <w:left w:val="single" w:color="auto" w:sz="4" w:space="0"/>
                    <w:bottom w:val="single" w:color="auto" w:sz="4" w:space="0"/>
                  </w:tcBorders>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129" w:type="dxa"/>
                  <w:tcBorders>
                    <w:top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氨氮</w:t>
                  </w:r>
                </w:p>
              </w:tc>
              <w:tc>
                <w:tcPr>
                  <w:tcW w:w="24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1.5</w:t>
                  </w:r>
                </w:p>
              </w:tc>
              <w:tc>
                <w:tcPr>
                  <w:tcW w:w="18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rFonts w:hint="eastAsia"/>
                      <w:color w:val="000000" w:themeColor="text1"/>
                      <w:kern w:val="44"/>
                      <w:szCs w:val="21"/>
                      <w:highlight w:val="none"/>
                      <w14:textFill>
                        <w14:solidFill>
                          <w14:schemeClr w14:val="tx1"/>
                        </w14:solidFill>
                      </w14:textFill>
                    </w:rPr>
                    <w:t>720</w:t>
                  </w:r>
                </w:p>
              </w:tc>
              <w:tc>
                <w:tcPr>
                  <w:tcW w:w="2535" w:type="dxa"/>
                  <w:tcBorders>
                    <w:top w:val="single" w:color="auto" w:sz="4" w:space="0"/>
                    <w:left w:val="single" w:color="auto" w:sz="4" w:space="0"/>
                    <w:bottom w:val="single" w:color="auto" w:sz="4" w:space="0"/>
                  </w:tcBorders>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bottom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color w:val="000000" w:themeColor="text1"/>
                      <w:kern w:val="44"/>
                      <w:szCs w:val="21"/>
                      <w:highlight w:val="none"/>
                      <w14:textFill>
                        <w14:solidFill>
                          <w14:schemeClr w14:val="tx1"/>
                        </w14:solidFill>
                      </w14:textFill>
                    </w:rPr>
                    <w:t>核算公式</w:t>
                  </w:r>
                </w:p>
              </w:tc>
              <w:tc>
                <w:tcPr>
                  <w:tcW w:w="6845" w:type="dxa"/>
                  <w:gridSpan w:val="3"/>
                  <w:tcBorders>
                    <w:top w:val="single" w:color="auto" w:sz="4" w:space="0"/>
                    <w:left w:val="single" w:color="auto" w:sz="4" w:space="0"/>
                    <w:bottom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color w:val="000000" w:themeColor="text1"/>
                      <w:kern w:val="44"/>
                      <w:szCs w:val="21"/>
                      <w:highlight w:val="none"/>
                      <w14:textFill>
                        <w14:solidFill>
                          <w14:schemeClr w14:val="tx1"/>
                        </w14:solidFill>
                      </w14:textFill>
                    </w:rPr>
                    <w:t>污染物排放量（t/a）=污染物浓度（mg/</w:t>
                  </w:r>
                  <w:r>
                    <w:rPr>
                      <w:rFonts w:hint="eastAsia"/>
                      <w:color w:val="000000" w:themeColor="text1"/>
                      <w:kern w:val="44"/>
                      <w:szCs w:val="21"/>
                      <w:highlight w:val="none"/>
                      <w14:textFill>
                        <w14:solidFill>
                          <w14:schemeClr w14:val="tx1"/>
                        </w14:solidFill>
                      </w14:textFill>
                    </w:rPr>
                    <w:t>L</w:t>
                  </w:r>
                  <w:r>
                    <w:rPr>
                      <w:color w:val="000000" w:themeColor="text1"/>
                      <w:kern w:val="44"/>
                      <w:szCs w:val="21"/>
                      <w:highlight w:val="none"/>
                      <w14:textFill>
                        <w14:solidFill>
                          <w14:schemeClr w14:val="tx1"/>
                        </w14:solidFill>
                      </w14:textFill>
                    </w:rPr>
                    <w:t>）×排</w:t>
                  </w:r>
                  <w:r>
                    <w:rPr>
                      <w:rFonts w:hint="eastAsia"/>
                      <w:color w:val="000000" w:themeColor="text1"/>
                      <w:kern w:val="44"/>
                      <w:szCs w:val="21"/>
                      <w:highlight w:val="none"/>
                      <w14:textFill>
                        <w14:solidFill>
                          <w14:schemeClr w14:val="tx1"/>
                        </w14:solidFill>
                      </w14:textFill>
                    </w:rPr>
                    <w:t>水</w:t>
                  </w:r>
                  <w:r>
                    <w:rPr>
                      <w:color w:val="000000" w:themeColor="text1"/>
                      <w:kern w:val="44"/>
                      <w:szCs w:val="21"/>
                      <w:highlight w:val="none"/>
                      <w14:textFill>
                        <w14:solidFill>
                          <w14:schemeClr w14:val="tx1"/>
                        </w14:solidFill>
                      </w14:textFill>
                    </w:rPr>
                    <w:t>量（m</w:t>
                  </w:r>
                  <w:r>
                    <w:rPr>
                      <w:color w:val="000000" w:themeColor="text1"/>
                      <w:kern w:val="44"/>
                      <w:szCs w:val="21"/>
                      <w:highlight w:val="none"/>
                      <w:vertAlign w:val="superscript"/>
                      <w14:textFill>
                        <w14:solidFill>
                          <w14:schemeClr w14:val="tx1"/>
                        </w14:solidFill>
                      </w14:textFill>
                    </w:rPr>
                    <w:t>3</w:t>
                  </w:r>
                  <w:r>
                    <w:rPr>
                      <w:color w:val="000000" w:themeColor="text1"/>
                      <w:kern w:val="44"/>
                      <w:szCs w:val="21"/>
                      <w:highlight w:val="none"/>
                      <w14:textFill>
                        <w14:solidFill>
                          <w14:schemeClr w14:val="tx1"/>
                        </w14:solidFill>
                      </w14:textFill>
                    </w:rPr>
                    <w:t>/</w:t>
                  </w:r>
                  <w:r>
                    <w:rPr>
                      <w:rFonts w:hint="eastAsia"/>
                      <w:color w:val="000000" w:themeColor="text1"/>
                      <w:kern w:val="44"/>
                      <w:szCs w:val="21"/>
                      <w:highlight w:val="none"/>
                      <w14:textFill>
                        <w14:solidFill>
                          <w14:schemeClr w14:val="tx1"/>
                        </w14:solidFill>
                      </w14:textFill>
                    </w:rPr>
                    <w:t>a</w:t>
                  </w:r>
                  <w:r>
                    <w:rPr>
                      <w:color w:val="000000" w:themeColor="text1"/>
                      <w:kern w:val="44"/>
                      <w:szCs w:val="21"/>
                      <w:highlight w:val="none"/>
                      <w14:textFill>
                        <w14:solidFill>
                          <w14:schemeClr w14:val="tx1"/>
                        </w14:solidFill>
                      </w14:textFill>
                    </w:rPr>
                    <w:t>）</w:t>
                  </w:r>
                  <w:r>
                    <w:rPr>
                      <w:color w:val="000000" w:themeColor="text1"/>
                      <w:szCs w:val="21"/>
                      <w:highlight w:val="none"/>
                      <w14:textFill>
                        <w14:solidFill>
                          <w14:schemeClr w14:val="tx1"/>
                        </w14:solidFill>
                      </w14:textFill>
                    </w:rPr>
                    <w:t>/10</w:t>
                  </w:r>
                  <w:r>
                    <w:rPr>
                      <w:rFonts w:hint="eastAsia"/>
                      <w:color w:val="000000" w:themeColor="text1"/>
                      <w:szCs w:val="21"/>
                      <w:highlight w:val="none"/>
                      <w:vertAlign w:val="superscript"/>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righ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color w:val="000000" w:themeColor="text1"/>
                      <w:kern w:val="44"/>
                      <w:szCs w:val="21"/>
                      <w:highlight w:val="none"/>
                      <w14:textFill>
                        <w14:solidFill>
                          <w14:schemeClr w14:val="tx1"/>
                        </w14:solidFill>
                      </w14:textFill>
                    </w:rPr>
                    <w:t>核算结果</w:t>
                  </w:r>
                </w:p>
              </w:tc>
              <w:tc>
                <w:tcPr>
                  <w:tcW w:w="6845" w:type="dxa"/>
                  <w:gridSpan w:val="3"/>
                  <w:tcBorders>
                    <w:top w:val="single" w:color="auto" w:sz="4" w:space="0"/>
                    <w:left w:val="single" w:color="auto" w:sz="4" w:space="0"/>
                  </w:tcBorders>
                  <w:vAlign w:val="center"/>
                </w:tcPr>
                <w:p>
                  <w:pPr>
                    <w:spacing w:line="280" w:lineRule="exact"/>
                    <w:jc w:val="center"/>
                    <w:rPr>
                      <w:color w:val="000000" w:themeColor="text1"/>
                      <w:kern w:val="44"/>
                      <w:szCs w:val="21"/>
                      <w:highlight w:val="none"/>
                      <w14:textFill>
                        <w14:solidFill>
                          <w14:schemeClr w14:val="tx1"/>
                        </w14:solidFill>
                      </w14:textFill>
                    </w:rPr>
                  </w:pPr>
                  <w:r>
                    <w:rPr>
                      <w:color w:val="000000" w:themeColor="text1"/>
                      <w:kern w:val="44"/>
                      <w:szCs w:val="21"/>
                      <w:highlight w:val="none"/>
                      <w14:textFill>
                        <w14:solidFill>
                          <w14:schemeClr w14:val="tx1"/>
                        </w14:solidFill>
                      </w14:textFill>
                    </w:rPr>
                    <w:t>项目污染物年排放量分别为：</w:t>
                  </w:r>
                  <w:r>
                    <w:rPr>
                      <w:color w:val="000000" w:themeColor="text1"/>
                      <w:szCs w:val="21"/>
                      <w:highlight w:val="none"/>
                      <w14:textFill>
                        <w14:solidFill>
                          <w14:schemeClr w14:val="tx1"/>
                        </w14:solidFill>
                      </w14:textFill>
                    </w:rPr>
                    <w:t>COD：</w:t>
                  </w:r>
                  <w:r>
                    <w:rPr>
                      <w:rFonts w:hint="eastAsia"/>
                      <w:color w:val="000000" w:themeColor="text1"/>
                      <w:szCs w:val="21"/>
                      <w:highlight w:val="none"/>
                      <w14:textFill>
                        <w14:solidFill>
                          <w14:schemeClr w14:val="tx1"/>
                        </w14:solidFill>
                      </w14:textFill>
                    </w:rPr>
                    <w:t>0.0216</w:t>
                  </w:r>
                  <w:r>
                    <w:rPr>
                      <w:color w:val="000000" w:themeColor="text1"/>
                      <w:szCs w:val="21"/>
                      <w:highlight w:val="none"/>
                      <w14:textFill>
                        <w14:solidFill>
                          <w14:schemeClr w14:val="tx1"/>
                        </w14:solidFill>
                      </w14:textFill>
                    </w:rPr>
                    <w:t>t/a、氨氮：</w:t>
                  </w:r>
                  <w:r>
                    <w:rPr>
                      <w:rFonts w:hint="eastAsia"/>
                      <w:color w:val="000000" w:themeColor="text1"/>
                      <w:szCs w:val="21"/>
                      <w:highlight w:val="none"/>
                      <w14:textFill>
                        <w14:solidFill>
                          <w14:schemeClr w14:val="tx1"/>
                        </w14:solidFill>
                      </w14:textFill>
                    </w:rPr>
                    <w:t>0.00108</w:t>
                  </w:r>
                  <w:r>
                    <w:rPr>
                      <w:color w:val="000000" w:themeColor="text1"/>
                      <w:szCs w:val="21"/>
                      <w:highlight w:val="none"/>
                      <w14:textFill>
                        <w14:solidFill>
                          <w14:schemeClr w14:val="tx1"/>
                        </w14:solidFill>
                      </w14:textFill>
                    </w:rPr>
                    <w:t>t/a</w:t>
                  </w:r>
                </w:p>
              </w:tc>
            </w:tr>
          </w:tbl>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2、废气总量控制指标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本项目生产</w:t>
            </w:r>
            <w:r>
              <w:rPr>
                <w:rFonts w:hint="eastAsia"/>
                <w:color w:val="000000" w:themeColor="text1"/>
                <w:sz w:val="24"/>
                <w:highlight w:val="none"/>
                <w14:textFill>
                  <w14:solidFill>
                    <w14:schemeClr w14:val="tx1"/>
                  </w14:solidFill>
                </w14:textFill>
              </w:rPr>
              <w:t>用热为天然气加热</w:t>
            </w:r>
            <w:r>
              <w:rPr>
                <w:color w:val="000000" w:themeColor="text1"/>
                <w:sz w:val="24"/>
                <w:highlight w:val="none"/>
                <w14:textFill>
                  <w14:solidFill>
                    <w14:schemeClr w14:val="tx1"/>
                  </w14:solidFill>
                </w14:textFill>
              </w:rPr>
              <w:t>，生活采暖及制冷采用空调。</w:t>
            </w:r>
          </w:p>
          <w:p>
            <w:pPr>
              <w:spacing w:line="360" w:lineRule="auto"/>
              <w:ind w:firstLine="480" w:firstLineChars="200"/>
              <w:rPr>
                <w:color w:val="000000" w:themeColor="text1"/>
                <w:sz w:val="22"/>
                <w:szCs w:val="22"/>
                <w:highlight w:val="none"/>
                <w14:textFill>
                  <w14:solidFill>
                    <w14:schemeClr w14:val="tx1"/>
                  </w14:solidFill>
                </w14:textFill>
              </w:rPr>
            </w:pPr>
            <w:r>
              <w:rPr>
                <w:color w:val="000000" w:themeColor="text1"/>
                <w:sz w:val="24"/>
                <w:highlight w:val="none"/>
                <w14:textFill>
                  <w14:solidFill>
                    <w14:schemeClr w14:val="tx1"/>
                  </w14:solidFill>
                </w14:textFill>
              </w:rPr>
              <w:t>本项目特征污染物为颗粒物以及非甲烷总烃。根据《建设项目主要污染物排放总量指标审核及管理暂行办法》的通知要求和总量交易管理部门意见，废气污染物总量依照排气量与污染物排放标准核定。</w:t>
            </w:r>
            <w:r>
              <w:rPr>
                <w:rFonts w:hint="eastAsia"/>
                <w:color w:val="000000" w:themeColor="text1"/>
                <w:sz w:val="24"/>
                <w:highlight w:val="none"/>
                <w14:textFill>
                  <w14:solidFill>
                    <w14:schemeClr w14:val="tx1"/>
                  </w14:solidFill>
                </w14:textFill>
              </w:rPr>
              <w:t>DA</w:t>
            </w:r>
            <w:r>
              <w:rPr>
                <w:color w:val="000000" w:themeColor="text1"/>
                <w:sz w:val="24"/>
                <w:highlight w:val="none"/>
                <w14:textFill>
                  <w14:solidFill>
                    <w14:schemeClr w14:val="tx1"/>
                  </w14:solidFill>
                </w14:textFill>
              </w:rPr>
              <w:t>001</w:t>
            </w:r>
            <w:r>
              <w:rPr>
                <w:rFonts w:hint="eastAsia"/>
                <w:color w:val="000000" w:themeColor="text1"/>
                <w:sz w:val="24"/>
                <w:highlight w:val="none"/>
                <w14:textFill>
                  <w14:solidFill>
                    <w14:schemeClr w14:val="tx1"/>
                  </w14:solidFill>
                </w14:textFill>
              </w:rPr>
              <w:t>、DA</w:t>
            </w:r>
            <w:r>
              <w:rPr>
                <w:color w:val="000000" w:themeColor="text1"/>
                <w:sz w:val="24"/>
                <w:highlight w:val="none"/>
                <w14:textFill>
                  <w14:solidFill>
                    <w14:schemeClr w14:val="tx1"/>
                  </w14:solidFill>
                </w14:textFill>
              </w:rPr>
              <w:t>002</w:t>
            </w:r>
            <w:r>
              <w:rPr>
                <w:rFonts w:hint="eastAsia"/>
                <w:color w:val="000000" w:themeColor="text1"/>
                <w:sz w:val="24"/>
                <w:highlight w:val="none"/>
                <w14:textFill>
                  <w14:solidFill>
                    <w14:schemeClr w14:val="tx1"/>
                  </w14:solidFill>
                </w14:textFill>
              </w:rPr>
              <w:t>总量按照设计排放量核算，分别为8</w:t>
            </w:r>
            <w:r>
              <w:rPr>
                <w:color w:val="000000" w:themeColor="text1"/>
                <w:sz w:val="24"/>
                <w:highlight w:val="none"/>
                <w14:textFill>
                  <w14:solidFill>
                    <w14:schemeClr w14:val="tx1"/>
                  </w14:solidFill>
                </w14:textFill>
              </w:rPr>
              <w:t>000</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h</w:t>
            </w: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0000</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/h</w:t>
            </w:r>
            <w:r>
              <w:rPr>
                <w:rFonts w:hint="eastAsia"/>
                <w:color w:val="000000" w:themeColor="text1"/>
                <w:sz w:val="24"/>
                <w:highlight w:val="none"/>
                <w14:textFill>
                  <w14:solidFill>
                    <w14:schemeClr w14:val="tx1"/>
                  </w14:solidFill>
                </w14:textFill>
              </w:rPr>
              <w:t>。DA</w:t>
            </w:r>
            <w:r>
              <w:rPr>
                <w:color w:val="000000" w:themeColor="text1"/>
                <w:sz w:val="24"/>
                <w:highlight w:val="none"/>
                <w14:textFill>
                  <w14:solidFill>
                    <w14:schemeClr w14:val="tx1"/>
                  </w14:solidFill>
                </w14:textFill>
              </w:rPr>
              <w:t>003</w:t>
            </w:r>
            <w:r>
              <w:rPr>
                <w:rFonts w:hint="eastAsia"/>
                <w:color w:val="000000" w:themeColor="text1"/>
                <w:sz w:val="24"/>
                <w:highlight w:val="none"/>
                <w14:textFill>
                  <w14:solidFill>
                    <w14:schemeClr w14:val="tx1"/>
                  </w14:solidFill>
                </w14:textFill>
              </w:rPr>
              <w:t>总量按《排放源统计调查产排污核算方法和系数手册-机械行业系数手册》中天然气炉窑系数核算，天然气燃烧工业废气量为1</w:t>
            </w:r>
            <w:r>
              <w:rPr>
                <w:color w:val="000000" w:themeColor="text1"/>
                <w:sz w:val="24"/>
                <w:highlight w:val="none"/>
                <w14:textFill>
                  <w14:solidFill>
                    <w14:schemeClr w14:val="tx1"/>
                  </w14:solidFill>
                </w14:textFill>
              </w:rPr>
              <w:t>3.6</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天然气，本项目天然气用量为1</w:t>
            </w:r>
            <w:r>
              <w:rPr>
                <w:color w:val="000000" w:themeColor="text1"/>
                <w:sz w:val="24"/>
                <w:highlight w:val="none"/>
                <w14:textFill>
                  <w14:solidFill>
                    <w14:schemeClr w14:val="tx1"/>
                  </w14:solidFill>
                </w14:textFill>
              </w:rPr>
              <w:t>90000</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，废气产生量为</w:t>
            </w:r>
            <w:r>
              <w:rPr>
                <w:color w:val="000000" w:themeColor="text1"/>
                <w:sz w:val="24"/>
                <w:highlight w:val="none"/>
                <w14:textFill>
                  <w14:solidFill>
                    <w14:schemeClr w14:val="tx1"/>
                  </w14:solidFill>
                </w14:textFill>
              </w:rPr>
              <w:t>2584000</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，运行时间为3</w:t>
            </w:r>
            <w:r>
              <w:rPr>
                <w:color w:val="000000" w:themeColor="text1"/>
                <w:sz w:val="24"/>
                <w:highlight w:val="none"/>
                <w14:textFill>
                  <w14:solidFill>
                    <w14:schemeClr w14:val="tx1"/>
                  </w14:solidFill>
                </w14:textFill>
              </w:rPr>
              <w:t>600</w:t>
            </w:r>
            <w:r>
              <w:rPr>
                <w:rFonts w:hint="eastAsia"/>
                <w:color w:val="000000" w:themeColor="text1"/>
                <w:sz w:val="24"/>
                <w:highlight w:val="none"/>
                <w14:textFill>
                  <w14:solidFill>
                    <w14:schemeClr w14:val="tx1"/>
                  </w14:solidFill>
                </w14:textFill>
              </w:rPr>
              <w:t>h，小时排气量为7</w:t>
            </w:r>
            <w:r>
              <w:rPr>
                <w:color w:val="000000" w:themeColor="text1"/>
                <w:sz w:val="24"/>
                <w:highlight w:val="none"/>
                <w14:textFill>
                  <w14:solidFill>
                    <w14:schemeClr w14:val="tx1"/>
                  </w14:solidFill>
                </w14:textFill>
              </w:rPr>
              <w:t>17.78</w:t>
            </w:r>
            <w:r>
              <w:rPr>
                <w:rFonts w:hint="eastAsia"/>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14:textFill>
                  <w14:solidFill>
                    <w14:schemeClr w14:val="tx1"/>
                  </w14:solidFill>
                </w14:textFill>
              </w:rPr>
              <w:t>。综上</w:t>
            </w:r>
            <w:r>
              <w:rPr>
                <w:color w:val="000000" w:themeColor="text1"/>
                <w:sz w:val="24"/>
                <w:highlight w:val="none"/>
                <w14:textFill>
                  <w14:solidFill>
                    <w14:schemeClr w14:val="tx1"/>
                  </w14:solidFill>
                </w14:textFill>
              </w:rPr>
              <w:t>废气污染物总量核算情况见表</w:t>
            </w:r>
            <w:r>
              <w:rPr>
                <w:rFonts w:hint="eastAsia"/>
                <w:color w:val="000000" w:themeColor="text1"/>
                <w:sz w:val="24"/>
                <w:highlight w:val="none"/>
                <w14:textFill>
                  <w14:solidFill>
                    <w14:schemeClr w14:val="tx1"/>
                  </w14:solidFill>
                </w14:textFill>
              </w:rPr>
              <w:t>31</w:t>
            </w:r>
            <w:r>
              <w:rPr>
                <w:color w:val="000000" w:themeColor="text1"/>
                <w:sz w:val="24"/>
                <w:highlight w:val="none"/>
                <w14:textFill>
                  <w14:solidFill>
                    <w14:schemeClr w14:val="tx1"/>
                  </w14:solidFill>
                </w14:textFill>
              </w:rPr>
              <w:t>。</w:t>
            </w:r>
          </w:p>
          <w:p>
            <w:pP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31</w:t>
            </w:r>
            <w:r>
              <w:rPr>
                <w:b/>
                <w:color w:val="000000" w:themeColor="text1"/>
                <w:sz w:val="24"/>
                <w:highlight w:val="none"/>
                <w14:textFill>
                  <w14:solidFill>
                    <w14:schemeClr w14:val="tx1"/>
                  </w14:solidFill>
                </w14:textFill>
              </w:rPr>
              <w:t xml:space="preserve">  废气污染物总量控制指标核算表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968"/>
              <w:gridCol w:w="2025"/>
              <w:gridCol w:w="1358"/>
              <w:gridCol w:w="1342"/>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pct"/>
                  <w:gridSpan w:val="2"/>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项目</w:t>
                  </w: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排放/协议标准（mg/m</w:t>
                  </w:r>
                  <w:r>
                    <w:rPr>
                      <w:b/>
                      <w:bCs/>
                      <w:color w:val="000000" w:themeColor="text1"/>
                      <w:szCs w:val="21"/>
                      <w:highlight w:val="none"/>
                      <w:vertAlign w:val="superscript"/>
                      <w14:textFill>
                        <w14:solidFill>
                          <w14:schemeClr w14:val="tx1"/>
                        </w14:solidFill>
                      </w14:textFill>
                    </w:rPr>
                    <w:t>3</w:t>
                  </w:r>
                  <w:r>
                    <w:rPr>
                      <w:b/>
                      <w:bCs/>
                      <w:color w:val="000000" w:themeColor="text1"/>
                      <w:szCs w:val="21"/>
                      <w:highlight w:val="none"/>
                      <w14:textFill>
                        <w14:solidFill>
                          <w14:schemeClr w14:val="tx1"/>
                        </w14:solidFill>
                      </w14:textFill>
                    </w:rPr>
                    <w:t>）</w:t>
                  </w:r>
                </w:p>
              </w:tc>
              <w:tc>
                <w:tcPr>
                  <w:tcW w:w="85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b/>
                      <w:bCs/>
                      <w:color w:val="000000" w:themeColor="text1"/>
                      <w:szCs w:val="21"/>
                      <w:highlight w:val="none"/>
                      <w14:textFill>
                        <w14:solidFill>
                          <w14:schemeClr w14:val="tx1"/>
                        </w14:solidFill>
                      </w14:textFill>
                    </w:rPr>
                  </w:pPr>
                  <w:r>
                    <w:rPr>
                      <w:b/>
                      <w:bCs/>
                      <w:color w:val="000000" w:themeColor="text1"/>
                      <w:szCs w:val="21"/>
                      <w:highlight w:val="none"/>
                      <w:lang w:val="zh-CN"/>
                      <w14:textFill>
                        <w14:solidFill>
                          <w14:schemeClr w14:val="tx1"/>
                        </w14:solidFill>
                      </w14:textFill>
                    </w:rPr>
                    <w:t>排放量（</w:t>
                  </w:r>
                  <w:r>
                    <w:rPr>
                      <w:b/>
                      <w:bCs/>
                      <w:color w:val="000000" w:themeColor="text1"/>
                      <w:szCs w:val="21"/>
                      <w:highlight w:val="none"/>
                      <w14:textFill>
                        <w14:solidFill>
                          <w14:schemeClr w14:val="tx1"/>
                        </w14:solidFill>
                      </w14:textFill>
                    </w:rPr>
                    <w:t>m</w:t>
                  </w:r>
                  <w:r>
                    <w:rPr>
                      <w:b/>
                      <w:bCs/>
                      <w:color w:val="000000" w:themeColor="text1"/>
                      <w:szCs w:val="21"/>
                      <w:highlight w:val="none"/>
                      <w:vertAlign w:val="superscript"/>
                      <w14:textFill>
                        <w14:solidFill>
                          <w14:schemeClr w14:val="tx1"/>
                        </w14:solidFill>
                      </w14:textFill>
                    </w:rPr>
                    <w:t>3</w:t>
                  </w:r>
                  <w:r>
                    <w:rPr>
                      <w:b/>
                      <w:bCs/>
                      <w:color w:val="000000" w:themeColor="text1"/>
                      <w:szCs w:val="21"/>
                      <w:highlight w:val="none"/>
                      <w14:textFill>
                        <w14:solidFill>
                          <w14:schemeClr w14:val="tx1"/>
                        </w14:solidFill>
                      </w14:textFill>
                    </w:rPr>
                    <w:t>/h</w:t>
                  </w:r>
                  <w:r>
                    <w:rPr>
                      <w:b/>
                      <w:bCs/>
                      <w:color w:val="000000" w:themeColor="text1"/>
                      <w:szCs w:val="21"/>
                      <w:highlight w:val="none"/>
                      <w:lang w:val="zh-CN"/>
                      <w14:textFill>
                        <w14:solidFill>
                          <w14:schemeClr w14:val="tx1"/>
                        </w14:solidFill>
                      </w14:textFill>
                    </w:rPr>
                    <w:t>）</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运行时间（h/a）</w:t>
                  </w:r>
                </w:p>
              </w:tc>
              <w:tc>
                <w:tcPr>
                  <w:tcW w:w="737"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607"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DA001</w:t>
                  </w: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85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8000</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3600</w:t>
                  </w:r>
                </w:p>
              </w:tc>
              <w:tc>
                <w:tcPr>
                  <w:tcW w:w="737"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607"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2</w:t>
                  </w: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18</w:t>
                  </w:r>
                </w:p>
              </w:tc>
              <w:tc>
                <w:tcPr>
                  <w:tcW w:w="85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10000</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autoSpaceDE w:val="0"/>
                    <w:autoSpaceDN w:val="0"/>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3600</w:t>
                  </w:r>
                </w:p>
              </w:tc>
              <w:tc>
                <w:tcPr>
                  <w:tcW w:w="737" w:type="pct"/>
                  <w:tcMar>
                    <w:left w:w="28" w:type="dxa"/>
                    <w:right w:w="28" w:type="dxa"/>
                  </w:tcMar>
                  <w:vAlign w:val="center"/>
                </w:tcPr>
                <w:p>
                  <w:pPr>
                    <w:pBdr>
                      <w:top w:val="none" w:color="auto" w:sz="0" w:space="1"/>
                      <w:left w:val="none" w:color="auto" w:sz="0" w:space="4"/>
                      <w:bottom w:val="none" w:color="auto" w:sz="0" w:space="1"/>
                      <w:right w:val="none" w:color="auto" w:sz="0" w:space="4"/>
                    </w:pBdr>
                    <w:adjustRightInd w:val="0"/>
                    <w:jc w:val="center"/>
                    <w:rPr>
                      <w:b/>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4"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SO</w:t>
                  </w:r>
                  <w:r>
                    <w:rPr>
                      <w:color w:val="000000" w:themeColor="text1"/>
                      <w:szCs w:val="21"/>
                      <w:highlight w:val="none"/>
                      <w:vertAlign w:val="subscript"/>
                      <w14:textFill>
                        <w14:solidFill>
                          <w14:schemeClr w14:val="tx1"/>
                        </w14:solidFill>
                      </w14:textFill>
                    </w:rPr>
                    <w:t>2</w:t>
                  </w:r>
                </w:p>
              </w:tc>
              <w:tc>
                <w:tcPr>
                  <w:tcW w:w="607" w:type="pct"/>
                  <w:vMerge w:val="restar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3</w:t>
                  </w: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851" w:type="pct"/>
                  <w:tcMar>
                    <w:left w:w="28" w:type="dxa"/>
                    <w:right w:w="28" w:type="dxa"/>
                  </w:tcMar>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717.78</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3600</w:t>
                  </w:r>
                </w:p>
              </w:tc>
              <w:tc>
                <w:tcPr>
                  <w:tcW w:w="737" w:type="pct"/>
                  <w:tcMar>
                    <w:left w:w="28" w:type="dxa"/>
                    <w:right w:w="28" w:type="dxa"/>
                  </w:tcMa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NO</w:t>
                  </w:r>
                  <w:r>
                    <w:rPr>
                      <w:color w:val="000000" w:themeColor="text1"/>
                      <w:szCs w:val="21"/>
                      <w:highlight w:val="none"/>
                      <w:vertAlign w:val="subscript"/>
                      <w14:textFill>
                        <w14:solidFill>
                          <w14:schemeClr w14:val="tx1"/>
                        </w14:solidFill>
                      </w14:textFill>
                    </w:rPr>
                    <w:t>x</w:t>
                  </w:r>
                </w:p>
              </w:tc>
              <w:tc>
                <w:tcPr>
                  <w:tcW w:w="607" w:type="pct"/>
                  <w:vMerge w:val="continue"/>
                  <w:vAlign w:val="center"/>
                </w:tcPr>
                <w:p>
                  <w:pPr>
                    <w:jc w:val="center"/>
                    <w:rPr>
                      <w:color w:val="000000" w:themeColor="text1"/>
                      <w:szCs w:val="21"/>
                      <w:highlight w:val="none"/>
                      <w14:textFill>
                        <w14:solidFill>
                          <w14:schemeClr w14:val="tx1"/>
                        </w14:solidFill>
                      </w14:textFill>
                    </w:rPr>
                  </w:pP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w:t>
                  </w:r>
                </w:p>
              </w:tc>
              <w:tc>
                <w:tcPr>
                  <w:tcW w:w="851" w:type="pct"/>
                  <w:tcMar>
                    <w:left w:w="28" w:type="dxa"/>
                    <w:right w:w="28" w:type="dxa"/>
                  </w:tcMar>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717.78</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3600</w:t>
                  </w:r>
                </w:p>
              </w:tc>
              <w:tc>
                <w:tcPr>
                  <w:tcW w:w="737" w:type="pct"/>
                  <w:tcMar>
                    <w:left w:w="28" w:type="dxa"/>
                    <w:right w:w="28" w:type="dxa"/>
                  </w:tcMa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607" w:type="pct"/>
                  <w:vMerge w:val="continue"/>
                  <w:vAlign w:val="center"/>
                </w:tcPr>
                <w:p>
                  <w:pPr>
                    <w:jc w:val="center"/>
                    <w:rPr>
                      <w:color w:val="000000" w:themeColor="text1"/>
                      <w:szCs w:val="21"/>
                      <w:highlight w:val="none"/>
                      <w14:textFill>
                        <w14:solidFill>
                          <w14:schemeClr w14:val="tx1"/>
                        </w14:solidFill>
                      </w14:textFill>
                    </w:rPr>
                  </w:pP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30</w:t>
                  </w:r>
                </w:p>
              </w:tc>
              <w:tc>
                <w:tcPr>
                  <w:tcW w:w="851"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717.78</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w:t>
                  </w:r>
                  <w:r>
                    <w:rPr>
                      <w:color w:val="000000" w:themeColor="text1"/>
                      <w:szCs w:val="21"/>
                      <w:highlight w:val="none"/>
                      <w14:textFill>
                        <w14:solidFill>
                          <w14:schemeClr w14:val="tx1"/>
                        </w14:solidFill>
                      </w14:textFill>
                    </w:rPr>
                    <w:t>00</w:t>
                  </w:r>
                </w:p>
              </w:tc>
              <w:tc>
                <w:tcPr>
                  <w:tcW w:w="737"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非甲烷总烃</w:t>
                  </w:r>
                </w:p>
              </w:tc>
              <w:tc>
                <w:tcPr>
                  <w:tcW w:w="607" w:type="pct"/>
                  <w:vMerge w:val="continue"/>
                  <w:vAlign w:val="center"/>
                </w:tcPr>
                <w:p>
                  <w:pPr>
                    <w:jc w:val="center"/>
                    <w:rPr>
                      <w:color w:val="000000" w:themeColor="text1"/>
                      <w:szCs w:val="21"/>
                      <w:highlight w:val="none"/>
                      <w14:textFill>
                        <w14:solidFill>
                          <w14:schemeClr w14:val="tx1"/>
                        </w14:solidFill>
                      </w14:textFill>
                    </w:rPr>
                  </w:pPr>
                </w:p>
              </w:tc>
              <w:tc>
                <w:tcPr>
                  <w:tcW w:w="1269"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60</w:t>
                  </w:r>
                </w:p>
              </w:tc>
              <w:tc>
                <w:tcPr>
                  <w:tcW w:w="851" w:type="pct"/>
                  <w:tcMar>
                    <w:left w:w="28" w:type="dxa"/>
                    <w:right w:w="28" w:type="dxa"/>
                  </w:tcMar>
                  <w:vAlign w:val="center"/>
                </w:tcPr>
                <w:p>
                  <w:pPr>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10000</w:t>
                  </w:r>
                </w:p>
              </w:tc>
              <w:tc>
                <w:tcPr>
                  <w:tcW w:w="841"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36</w:t>
                  </w:r>
                  <w:r>
                    <w:rPr>
                      <w:color w:val="000000" w:themeColor="text1"/>
                      <w:szCs w:val="21"/>
                      <w:highlight w:val="none"/>
                      <w14:textFill>
                        <w14:solidFill>
                          <w14:schemeClr w14:val="tx1"/>
                        </w14:solidFill>
                      </w14:textFill>
                    </w:rPr>
                    <w:t>00</w:t>
                  </w:r>
                </w:p>
              </w:tc>
              <w:tc>
                <w:tcPr>
                  <w:tcW w:w="737" w:type="pct"/>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pct"/>
                  <w:gridSpan w:val="2"/>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核算公式</w:t>
                  </w:r>
                </w:p>
              </w:tc>
              <w:tc>
                <w:tcPr>
                  <w:tcW w:w="3699" w:type="pct"/>
                  <w:gridSpan w:val="4"/>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污染物排放量(t/a)=污染物浓度(mg/m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r>
                    <w:rPr>
                      <w:color w:val="000000" w:themeColor="text1"/>
                      <w:szCs w:val="21"/>
                      <w:highlight w:val="none"/>
                      <w:lang w:val="zh-CN"/>
                      <w14:textFill>
                        <w14:solidFill>
                          <w14:schemeClr w14:val="tx1"/>
                        </w14:solidFill>
                      </w14:textFill>
                    </w:rPr>
                    <w:t>废气量</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/h)*生产时间(h/a)/10</w:t>
                  </w:r>
                  <w:r>
                    <w:rPr>
                      <w:color w:val="000000" w:themeColor="text1"/>
                      <w:szCs w:val="21"/>
                      <w:highlight w:val="none"/>
                      <w:vertAlign w:val="superscript"/>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pct"/>
                  <w:gridSpan w:val="2"/>
                  <w:tcMar>
                    <w:left w:w="28" w:type="dxa"/>
                    <w:right w:w="28" w:type="dxa"/>
                  </w:tcMar>
                  <w:vAlign w:val="center"/>
                </w:tcPr>
                <w:p>
                  <w:pPr>
                    <w:pBdr>
                      <w:top w:val="none" w:color="auto" w:sz="0" w:space="1"/>
                      <w:left w:val="none" w:color="auto" w:sz="0" w:space="4"/>
                      <w:bottom w:val="none" w:color="auto" w:sz="0" w:space="1"/>
                      <w:right w:val="none" w:color="auto" w:sz="0" w:space="4"/>
                    </w:pBd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核算结果</w:t>
                  </w:r>
                </w:p>
              </w:tc>
              <w:tc>
                <w:tcPr>
                  <w:tcW w:w="3699" w:type="pct"/>
                  <w:gridSpan w:val="4"/>
                  <w:tcMar>
                    <w:left w:w="28" w:type="dxa"/>
                    <w:right w:w="28" w:type="dxa"/>
                  </w:tcMar>
                  <w:vAlign w:val="center"/>
                </w:tcPr>
                <w:p>
                  <w:pPr>
                    <w:pBdr>
                      <w:top w:val="none" w:color="auto" w:sz="0" w:space="1"/>
                      <w:left w:val="none" w:color="auto" w:sz="0" w:space="4"/>
                      <w:bottom w:val="none" w:color="auto" w:sz="0" w:space="1"/>
                      <w:right w:val="none" w:color="auto" w:sz="0" w:space="4"/>
                    </w:pBd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废气污染物总量控制指标SO</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0.129t/a、NO</w:t>
                  </w:r>
                  <w:r>
                    <w:rPr>
                      <w:color w:val="000000" w:themeColor="text1"/>
                      <w:szCs w:val="21"/>
                      <w:highlight w:val="none"/>
                      <w:vertAlign w:val="subscript"/>
                      <w14:textFill>
                        <w14:solidFill>
                          <w14:schemeClr w14:val="tx1"/>
                        </w14:solidFill>
                      </w14:textFill>
                    </w:rPr>
                    <w:t>x</w:t>
                  </w:r>
                  <w:r>
                    <w:rPr>
                      <w:color w:val="000000" w:themeColor="text1"/>
                      <w:szCs w:val="21"/>
                      <w:highlight w:val="none"/>
                      <w14:textFill>
                        <w14:solidFill>
                          <w14:schemeClr w14:val="tx1"/>
                        </w14:solidFill>
                      </w14:textFill>
                    </w:rPr>
                    <w:t>0.517t/a、颗粒物4.182t/a，非甲烷总烃</w:t>
                  </w: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.16t/a</w:t>
                  </w:r>
                </w:p>
              </w:tc>
            </w:tr>
          </w:tbl>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3、结论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根据上述总量核算，项目污染物建议总量控制指标为COD0</w:t>
            </w:r>
            <w:r>
              <w:rPr>
                <w:rFonts w:hint="eastAsia"/>
                <w:color w:val="000000" w:themeColor="text1"/>
                <w:sz w:val="24"/>
                <w:highlight w:val="none"/>
                <w14:textFill>
                  <w14:solidFill>
                    <w14:schemeClr w14:val="tx1"/>
                  </w14:solidFill>
                </w14:textFill>
              </w:rPr>
              <w:t>.0216</w:t>
            </w:r>
            <w:r>
              <w:rPr>
                <w:color w:val="000000" w:themeColor="text1"/>
                <w:sz w:val="24"/>
                <w:highlight w:val="none"/>
                <w14:textFill>
                  <w14:solidFill>
                    <w14:schemeClr w14:val="tx1"/>
                  </w14:solidFill>
                </w14:textFill>
              </w:rPr>
              <w:t>t/a、氨氮0</w:t>
            </w:r>
            <w:r>
              <w:rPr>
                <w:rFonts w:hint="eastAsia"/>
                <w:color w:val="000000" w:themeColor="text1"/>
                <w:sz w:val="24"/>
                <w:highlight w:val="none"/>
                <w14:textFill>
                  <w14:solidFill>
                    <w14:schemeClr w14:val="tx1"/>
                  </w14:solidFill>
                </w14:textFill>
              </w:rPr>
              <w:t>.00108</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0.129t/a、NOx0.517t/a、颗粒物4.182t/a，非甲烷总烃2</w:t>
            </w:r>
            <w:r>
              <w:rPr>
                <w:color w:val="000000" w:themeColor="text1"/>
                <w:sz w:val="24"/>
                <w:highlight w:val="none"/>
                <w14:textFill>
                  <w14:solidFill>
                    <w14:schemeClr w14:val="tx1"/>
                  </w14:solidFill>
                </w14:textFill>
              </w:rPr>
              <w:t>.16</w:t>
            </w:r>
            <w:r>
              <w:rPr>
                <w:rFonts w:hint="eastAsia"/>
                <w:color w:val="000000" w:themeColor="text1"/>
                <w:sz w:val="24"/>
                <w:highlight w:val="none"/>
                <w14:textFill>
                  <w14:solidFill>
                    <w14:schemeClr w14:val="tx1"/>
                  </w14:solidFill>
                </w14:textFill>
              </w:rPr>
              <w:t>t/a</w:t>
            </w:r>
          </w:p>
        </w:tc>
      </w:tr>
    </w:tbl>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296"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1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8685" w:type="dxa"/>
            <w:vAlign w:val="center"/>
          </w:tcPr>
          <w:p>
            <w:pPr>
              <w:spacing w:line="360" w:lineRule="auto"/>
              <w:ind w:firstLine="480" w:firstLineChars="200"/>
              <w:rPr>
                <w:sz w:val="24"/>
              </w:rPr>
            </w:pPr>
            <w:r>
              <w:rPr>
                <w:sz w:val="24"/>
              </w:rPr>
              <w:t>本项目</w:t>
            </w:r>
            <w:r>
              <w:rPr>
                <w:rFonts w:hint="eastAsia"/>
                <w:sz w:val="24"/>
              </w:rPr>
              <w:t>施工内容主要为生产车间、办公室等的建设及</w:t>
            </w:r>
            <w:r>
              <w:rPr>
                <w:sz w:val="24"/>
              </w:rPr>
              <w:t>设备运输、安装调试等阶段，在此期间将产生施工扬尘、废水、噪声和固体废物等。此外，物料运输也将对运输路线两侧一定范围内大气、声环境产生不利影响。</w:t>
            </w:r>
          </w:p>
          <w:p>
            <w:pPr>
              <w:spacing w:line="360" w:lineRule="auto"/>
              <w:ind w:firstLine="480" w:firstLineChars="200"/>
              <w:rPr>
                <w:sz w:val="24"/>
              </w:rPr>
            </w:pPr>
            <w:r>
              <w:rPr>
                <w:sz w:val="24"/>
              </w:rPr>
              <w:t>1、厂区扬尘影响分析</w:t>
            </w:r>
          </w:p>
          <w:p>
            <w:pPr>
              <w:spacing w:line="360" w:lineRule="auto"/>
              <w:ind w:firstLine="480" w:firstLineChars="200"/>
              <w:rPr>
                <w:sz w:val="24"/>
              </w:rPr>
            </w:pPr>
            <w:r>
              <w:rPr>
                <w:sz w:val="24"/>
              </w:rPr>
              <w:t>施工期间对环境空气影响最主要的是粉尘和施工机械、运输车辆的尾气排放。施工过程中场地平整、清除杂物、挖穴等过程会产生粉尘污染，车辆运输会引起二次扬尘。具体表现为：①干燥地表开挖产生的粉尘，一部分悬浮于空中，另一部分随风飘落到附近地面和建筑物表面；②场地平整、清除杂物、挖穴的泥土堆砌过程中，在风力较大时，会产生粉尘扬起；在装卸和运输过程中，又会造成部分粉尘扬起和洒落；③雨水冲刷夹带的泥土散布路面，晒干后因车辆的移动或刮风再次扬尘；④场地平整、清除杂物、挖穴和回填过程中也会引起大量粉尘飞扬；⑤原辅材料的装卸、运输、堆砌过程中也必然引起洒落及飞扬；⑥施工过程中以燃油为动力的施工机械和运输车辆的增加，必然导致废气排放量的相应增加。</w:t>
            </w:r>
          </w:p>
          <w:p>
            <w:pPr>
              <w:spacing w:line="360" w:lineRule="auto"/>
              <w:ind w:firstLine="480" w:firstLineChars="200"/>
              <w:rPr>
                <w:sz w:val="24"/>
              </w:rPr>
            </w:pPr>
            <w:r>
              <w:rPr>
                <w:sz w:val="24"/>
              </w:rPr>
              <w:t>由类比调查和资料分析可知，当平均风速在1.6m/s时，150米以外的环境受影响程度较低。本项目近敏感点为</w:t>
            </w:r>
            <w:r>
              <w:rPr>
                <w:rFonts w:hint="eastAsia"/>
                <w:sz w:val="24"/>
              </w:rPr>
              <w:t>东南</w:t>
            </w:r>
            <w:r>
              <w:rPr>
                <w:sz w:val="24"/>
              </w:rPr>
              <w:t>侧</w:t>
            </w:r>
            <w:r>
              <w:rPr>
                <w:rFonts w:hint="eastAsia"/>
                <w:sz w:val="24"/>
              </w:rPr>
              <w:t>230</w:t>
            </w:r>
            <w:r>
              <w:rPr>
                <w:sz w:val="24"/>
              </w:rPr>
              <w:t>m的</w:t>
            </w:r>
            <w:r>
              <w:rPr>
                <w:rFonts w:hint="eastAsia"/>
                <w:sz w:val="24"/>
              </w:rPr>
              <w:t>西边仙村</w:t>
            </w:r>
            <w:r>
              <w:rPr>
                <w:sz w:val="24"/>
              </w:rPr>
              <w:t>，工程施工扬尘会对周边敏感点影响不大，采取合理措施后，工程施工扬尘不会对周围大气环境质量产生明显影响。</w:t>
            </w:r>
          </w:p>
          <w:p>
            <w:pPr>
              <w:spacing w:line="360" w:lineRule="auto"/>
              <w:ind w:firstLine="480" w:firstLineChars="200"/>
              <w:rPr>
                <w:sz w:val="24"/>
              </w:rPr>
            </w:pPr>
            <w:r>
              <w:rPr>
                <w:sz w:val="24"/>
              </w:rPr>
              <w:t>为有效控制施工期间的扬尘影响，本评价要求建设单位严格执行《大气污染防治行动计划》、《京津冀及周边地区落实大气污染防治行动计划实施细则》、《河北省大气污染防治行动计划实施方案》、《河北省扬尘污染防治办法》（省政府令〔2020〕第1号）、</w:t>
            </w:r>
            <w:r>
              <w:rPr>
                <w:rFonts w:hint="eastAsia"/>
                <w:sz w:val="24"/>
              </w:rPr>
              <w:t>《河北省深入实施大气污染综合治理十条措施》、《河北省2022年建筑施工扬尘污染防治工作方案》、</w:t>
            </w:r>
            <w:r>
              <w:rPr>
                <w:sz w:val="24"/>
              </w:rPr>
              <w:t>《邢台市2022年大气污染综合治理工作方案》、河北省地方标准《施工场地扬尘排放标准》（DB13/2934-2019）、《邢台市大气污染防治行动计划实施细则》、《邢台市重污染天气应急预案》</w:t>
            </w:r>
            <w:r>
              <w:rPr>
                <w:rFonts w:hint="eastAsia"/>
                <w:sz w:val="24"/>
              </w:rPr>
              <w:t>、《2021-2022年秋冬季大气污染综合治理攻坚方案》（环大气〔2021〕104号）</w:t>
            </w:r>
            <w:r>
              <w:rPr>
                <w:sz w:val="24"/>
              </w:rPr>
              <w:t>的要求，同时根据国家环保总局《防治城市扬尘污染技术规范》（HJ/T393-2007）的有关规定，类比调查结果及其它施工场地采取的抑尘措施，对项目施工期提出以下要求：</w:t>
            </w:r>
          </w:p>
          <w:p>
            <w:pPr>
              <w:spacing w:line="360" w:lineRule="auto"/>
              <w:ind w:firstLine="480" w:firstLineChars="200"/>
              <w:rPr>
                <w:sz w:val="24"/>
              </w:rPr>
            </w:pPr>
            <w:r>
              <w:rPr>
                <w:sz w:val="24"/>
              </w:rPr>
              <w:t>（1）严格落实房屋建筑工地</w:t>
            </w:r>
            <w:r>
              <w:rPr>
                <w:rFonts w:hint="eastAsia"/>
                <w:sz w:val="24"/>
              </w:rPr>
              <w:t>“</w:t>
            </w:r>
            <w:r>
              <w:rPr>
                <w:sz w:val="24"/>
              </w:rPr>
              <w:t>七个百分之百</w:t>
            </w:r>
            <w:r>
              <w:rPr>
                <w:rFonts w:hint="eastAsia"/>
                <w:sz w:val="24"/>
              </w:rPr>
              <w:t>”</w:t>
            </w:r>
            <w:r>
              <w:rPr>
                <w:sz w:val="24"/>
              </w:rPr>
              <w:t>和</w:t>
            </w:r>
            <w:r>
              <w:rPr>
                <w:rFonts w:hint="eastAsia"/>
                <w:sz w:val="24"/>
              </w:rPr>
              <w:t>“</w:t>
            </w:r>
            <w:r>
              <w:rPr>
                <w:sz w:val="24"/>
              </w:rPr>
              <w:t>两个全覆盖</w:t>
            </w:r>
            <w:r>
              <w:rPr>
                <w:rFonts w:hint="eastAsia"/>
                <w:sz w:val="24"/>
              </w:rPr>
              <w:t>”</w:t>
            </w:r>
            <w:r>
              <w:rPr>
                <w:sz w:val="24"/>
              </w:rPr>
              <w:t>工作要求，重点加强土石方施工管控，土石方作业时，合理控制开挖区域，根据风向或开挖方位及时调整雾炮机位置，确保作业面全覆盖，严禁尘土飞扬，对已完成或未施工的作业面必须严密苫盖</w:t>
            </w:r>
            <w:r>
              <w:rPr>
                <w:rFonts w:hint="eastAsia"/>
                <w:sz w:val="24"/>
              </w:rPr>
              <w:t>。</w:t>
            </w:r>
          </w:p>
          <w:p>
            <w:pPr>
              <w:adjustRightInd w:val="0"/>
              <w:snapToGrid w:val="0"/>
              <w:spacing w:line="360" w:lineRule="auto"/>
              <w:ind w:firstLine="480" w:firstLineChars="200"/>
              <w:rPr>
                <w:sz w:val="24"/>
              </w:rPr>
            </w:pPr>
            <w:r>
              <w:rPr>
                <w:rFonts w:hint="eastAsia"/>
                <w:sz w:val="24"/>
              </w:rPr>
              <w:t>（2）</w:t>
            </w:r>
            <w:r>
              <w:rPr>
                <w:sz w:val="24"/>
              </w:rPr>
              <w:t>严格执行《邢合市重污染天气应急预案》，和《新河县重污染天气应急预案》按照市、县大气办发布的重污染天气预警级别，对涉及房屋建筑工地的应急响应应措施必须不折不扣实施，做到第一时问通知项目、第一时间现场检查、第一时问落实到位。</w:t>
            </w:r>
          </w:p>
          <w:p>
            <w:pPr>
              <w:adjustRightInd w:val="0"/>
              <w:snapToGrid w:val="0"/>
              <w:spacing w:line="360" w:lineRule="auto"/>
              <w:ind w:firstLine="480" w:firstLineChars="200"/>
              <w:rPr>
                <w:sz w:val="24"/>
              </w:rPr>
            </w:pPr>
            <w:r>
              <w:rPr>
                <w:sz w:val="24"/>
              </w:rPr>
              <w:t>（</w:t>
            </w:r>
            <w:r>
              <w:rPr>
                <w:rFonts w:hint="eastAsia"/>
                <w:sz w:val="24"/>
              </w:rPr>
              <w:t>3</w:t>
            </w:r>
            <w:r>
              <w:rPr>
                <w:sz w:val="24"/>
              </w:rPr>
              <w:t>）建设单位应当将施工扬尘污染防治费用纳入工程预算，并在施工合同中明确施工单位扬尘污染防治责任，施工单位应当制定具体施工扬尘污染防治方案并负责实施。</w:t>
            </w:r>
          </w:p>
          <w:p>
            <w:pPr>
              <w:adjustRightInd w:val="0"/>
              <w:snapToGrid w:val="0"/>
              <w:spacing w:line="360" w:lineRule="auto"/>
              <w:ind w:firstLine="480" w:firstLineChars="200"/>
              <w:rPr>
                <w:sz w:val="24"/>
              </w:rPr>
            </w:pPr>
            <w:r>
              <w:rPr>
                <w:sz w:val="24"/>
              </w:rPr>
              <w:t>（</w:t>
            </w:r>
            <w:r>
              <w:rPr>
                <w:rFonts w:hint="eastAsia"/>
                <w:sz w:val="24"/>
              </w:rPr>
              <w:t>4</w:t>
            </w:r>
            <w:r>
              <w:rPr>
                <w:sz w:val="24"/>
              </w:rPr>
              <w:t>）开工前，在施工现场周边设置围挡并进行维护；暂未开工的建设用地，对裸露地面进行覆盖；超过三个月未开工的，应当采取临时绿化等防尘措施。</w:t>
            </w:r>
          </w:p>
          <w:p>
            <w:pPr>
              <w:adjustRightInd w:val="0"/>
              <w:snapToGrid w:val="0"/>
              <w:spacing w:line="360" w:lineRule="auto"/>
              <w:ind w:firstLine="480" w:firstLineChars="200"/>
              <w:rPr>
                <w:sz w:val="24"/>
              </w:rPr>
            </w:pPr>
            <w:r>
              <w:rPr>
                <w:sz w:val="24"/>
              </w:rPr>
              <w:t>（</w:t>
            </w:r>
            <w:r>
              <w:rPr>
                <w:rFonts w:hint="eastAsia"/>
                <w:sz w:val="24"/>
              </w:rPr>
              <w:t>5</w:t>
            </w:r>
            <w:r>
              <w:rPr>
                <w:sz w:val="24"/>
              </w:rPr>
              <w:t>）施工单位必须在施工现场出入口明显位置设置扬尘防治公示牌，内容包括建设、施工、监理及监管等单位名称、扬尘防治负责人的名称、联系电话、举报电话等。</w:t>
            </w:r>
          </w:p>
          <w:p>
            <w:pPr>
              <w:adjustRightInd w:val="0"/>
              <w:snapToGrid w:val="0"/>
              <w:spacing w:line="360" w:lineRule="auto"/>
              <w:ind w:firstLine="480" w:firstLineChars="200"/>
              <w:rPr>
                <w:sz w:val="24"/>
              </w:rPr>
            </w:pPr>
            <w:r>
              <w:rPr>
                <w:sz w:val="24"/>
              </w:rPr>
              <w:t>（</w:t>
            </w:r>
            <w:r>
              <w:rPr>
                <w:rFonts w:hint="eastAsia"/>
                <w:sz w:val="24"/>
              </w:rPr>
              <w:t>6</w:t>
            </w:r>
            <w:r>
              <w:rPr>
                <w:sz w:val="24"/>
              </w:rPr>
              <w:t>）施工现场必须连续设置硬质围挡，围挡应坚固、美观，严禁围挡不严或敞开式施工。城区主干道两侧的围挡高度不低于2.5</w:t>
            </w:r>
            <w:r>
              <w:rPr>
                <w:rFonts w:hint="eastAsia"/>
                <w:sz w:val="24"/>
              </w:rPr>
              <w:t>m</w:t>
            </w:r>
            <w:r>
              <w:rPr>
                <w:sz w:val="24"/>
              </w:rPr>
              <w:t>，一般路段高度不低于1.8</w:t>
            </w:r>
            <w:r>
              <w:rPr>
                <w:rFonts w:hint="eastAsia"/>
                <w:sz w:val="24"/>
              </w:rPr>
              <w:t>m</w:t>
            </w:r>
            <w:r>
              <w:rPr>
                <w:sz w:val="24"/>
              </w:rPr>
              <w:t>。</w:t>
            </w:r>
          </w:p>
          <w:p>
            <w:pPr>
              <w:adjustRightInd w:val="0"/>
              <w:snapToGrid w:val="0"/>
              <w:spacing w:line="360" w:lineRule="auto"/>
              <w:ind w:firstLine="480" w:firstLineChars="200"/>
              <w:rPr>
                <w:sz w:val="24"/>
              </w:rPr>
            </w:pPr>
            <w:r>
              <w:rPr>
                <w:sz w:val="24"/>
              </w:rPr>
              <w:t>（</w:t>
            </w:r>
            <w:r>
              <w:rPr>
                <w:rFonts w:hint="eastAsia"/>
                <w:sz w:val="24"/>
              </w:rPr>
              <w:t>7</w:t>
            </w:r>
            <w:r>
              <w:rPr>
                <w:sz w:val="24"/>
              </w:rPr>
              <w:t>）施工现场出入口和场内施工道路、材料加工堆放区、办公区、生活区必须采用混凝土硬化或用硬质砌块铺设，硬化后的地面应清扫整洁无浮土、积土，严禁使用其他软质材料铺设。</w:t>
            </w:r>
          </w:p>
          <w:p>
            <w:pPr>
              <w:adjustRightInd w:val="0"/>
              <w:snapToGrid w:val="0"/>
              <w:spacing w:line="360" w:lineRule="auto"/>
              <w:ind w:firstLine="480" w:firstLineChars="200"/>
              <w:rPr>
                <w:sz w:val="24"/>
              </w:rPr>
            </w:pPr>
            <w:r>
              <w:rPr>
                <w:sz w:val="24"/>
              </w:rPr>
              <w:t>（</w:t>
            </w:r>
            <w:r>
              <w:rPr>
                <w:rFonts w:hint="eastAsia"/>
                <w:sz w:val="24"/>
              </w:rPr>
              <w:t>8</w:t>
            </w:r>
            <w:r>
              <w:rPr>
                <w:sz w:val="24"/>
              </w:rPr>
              <w:t>）施工现场出入口必须配备车辆冲洗设施，设置排水、泥浆沉淀池等设施，建立冲洗制度并设专人管理，严禁车辆带泥上路。</w:t>
            </w:r>
          </w:p>
          <w:p>
            <w:pPr>
              <w:adjustRightInd w:val="0"/>
              <w:snapToGrid w:val="0"/>
              <w:spacing w:line="360" w:lineRule="auto"/>
              <w:ind w:firstLine="480" w:firstLineChars="200"/>
              <w:rPr>
                <w:sz w:val="24"/>
              </w:rPr>
            </w:pPr>
            <w:r>
              <w:rPr>
                <w:sz w:val="24"/>
              </w:rPr>
              <w:t>（</w:t>
            </w:r>
            <w:r>
              <w:rPr>
                <w:rFonts w:hint="eastAsia"/>
                <w:sz w:val="24"/>
              </w:rPr>
              <w:t>9</w:t>
            </w:r>
            <w:r>
              <w:rPr>
                <w:sz w:val="24"/>
              </w:rPr>
              <w:t>）施工现场出入口、加工区和主作业区等处必须安装视频监控系统，对施工扬尘实时监控。</w:t>
            </w:r>
          </w:p>
          <w:p>
            <w:pPr>
              <w:adjustRightInd w:val="0"/>
              <w:snapToGrid w:val="0"/>
              <w:spacing w:line="360" w:lineRule="auto"/>
              <w:ind w:firstLine="480" w:firstLineChars="200"/>
              <w:rPr>
                <w:sz w:val="24"/>
              </w:rPr>
            </w:pPr>
            <w:r>
              <w:rPr>
                <w:sz w:val="24"/>
              </w:rPr>
              <w:t>（</w:t>
            </w:r>
            <w:r>
              <w:rPr>
                <w:rFonts w:hint="eastAsia"/>
                <w:sz w:val="24"/>
              </w:rPr>
              <w:t>10</w:t>
            </w:r>
            <w:r>
              <w:rPr>
                <w:sz w:val="24"/>
              </w:rPr>
              <w:t>）施工现场集中堆放的土方和裸露场地必须采取覆盖、固化或绿化等防尘措施，严禁裸露。</w:t>
            </w:r>
          </w:p>
          <w:p>
            <w:pPr>
              <w:adjustRightInd w:val="0"/>
              <w:snapToGrid w:val="0"/>
              <w:spacing w:line="360" w:lineRule="auto"/>
              <w:ind w:firstLine="480" w:firstLineChars="200"/>
              <w:rPr>
                <w:sz w:val="24"/>
              </w:rPr>
            </w:pPr>
            <w:r>
              <w:rPr>
                <w:sz w:val="24"/>
              </w:rPr>
              <w:t>（1</w:t>
            </w:r>
            <w:r>
              <w:rPr>
                <w:rFonts w:hint="eastAsia"/>
                <w:sz w:val="24"/>
              </w:rPr>
              <w:t>1</w:t>
            </w:r>
            <w:r>
              <w:rPr>
                <w:sz w:val="24"/>
              </w:rPr>
              <w:t>）基坑开挖作业过程中，四周应采取洒水、喷雾等降尘措施。</w:t>
            </w:r>
          </w:p>
          <w:p>
            <w:pPr>
              <w:adjustRightInd w:val="0"/>
              <w:snapToGrid w:val="0"/>
              <w:spacing w:line="360" w:lineRule="auto"/>
              <w:ind w:firstLine="480" w:firstLineChars="200"/>
              <w:rPr>
                <w:sz w:val="24"/>
              </w:rPr>
            </w:pPr>
            <w:r>
              <w:rPr>
                <w:sz w:val="24"/>
              </w:rPr>
              <w:t>（1</w:t>
            </w:r>
            <w:r>
              <w:rPr>
                <w:rFonts w:hint="eastAsia"/>
                <w:sz w:val="24"/>
              </w:rPr>
              <w:t>2</w:t>
            </w:r>
            <w:r>
              <w:rPr>
                <w:sz w:val="24"/>
              </w:rPr>
              <w:t>）施工现场易飞扬的细颗粒建筑材料必须密闭存放或严密覆盖，严禁露天放置；搬运时应有降尘措施，余料及时回收。</w:t>
            </w:r>
          </w:p>
          <w:p>
            <w:pPr>
              <w:adjustRightInd w:val="0"/>
              <w:snapToGrid w:val="0"/>
              <w:spacing w:line="360" w:lineRule="auto"/>
              <w:ind w:firstLine="480" w:firstLineChars="200"/>
              <w:rPr>
                <w:sz w:val="24"/>
              </w:rPr>
            </w:pPr>
            <w:r>
              <w:rPr>
                <w:sz w:val="24"/>
              </w:rPr>
              <w:t>（1</w:t>
            </w:r>
            <w:r>
              <w:rPr>
                <w:rFonts w:hint="eastAsia"/>
                <w:sz w:val="24"/>
              </w:rPr>
              <w:t>3</w:t>
            </w:r>
            <w:r>
              <w:rPr>
                <w:sz w:val="24"/>
              </w:rPr>
              <w:t>）具备条件的地区施工现场必须使用商品混凝土、预拌砂浆，严禁现场搅拌。不具备条件的地区，现场搅拌砂浆必须搭设封闭式搅拌机棚。</w:t>
            </w:r>
          </w:p>
          <w:p>
            <w:pPr>
              <w:adjustRightInd w:val="0"/>
              <w:snapToGrid w:val="0"/>
              <w:spacing w:line="360" w:lineRule="auto"/>
              <w:ind w:firstLine="480" w:firstLineChars="200"/>
              <w:rPr>
                <w:sz w:val="24"/>
              </w:rPr>
            </w:pPr>
            <w:r>
              <w:rPr>
                <w:sz w:val="24"/>
              </w:rPr>
              <w:t>（1</w:t>
            </w:r>
            <w:r>
              <w:rPr>
                <w:rFonts w:hint="eastAsia"/>
                <w:sz w:val="24"/>
              </w:rPr>
              <w:t>4</w:t>
            </w:r>
            <w:r>
              <w:rPr>
                <w:sz w:val="24"/>
              </w:rPr>
              <w:t>）施工现场运送土方、渣土的车辆必须封闭或遮盖严密，严禁使用未办理相关手续的渣土等运输车辆，严禁沿路遗撒和随意倾倒。</w:t>
            </w:r>
          </w:p>
          <w:p>
            <w:pPr>
              <w:adjustRightInd w:val="0"/>
              <w:snapToGrid w:val="0"/>
              <w:spacing w:line="360" w:lineRule="auto"/>
              <w:ind w:firstLine="480" w:firstLineChars="200"/>
              <w:rPr>
                <w:sz w:val="24"/>
              </w:rPr>
            </w:pPr>
            <w:r>
              <w:rPr>
                <w:sz w:val="24"/>
              </w:rPr>
              <w:t>（1</w:t>
            </w:r>
            <w:r>
              <w:rPr>
                <w:rFonts w:hint="eastAsia"/>
                <w:sz w:val="24"/>
              </w:rPr>
              <w:t>5</w:t>
            </w:r>
            <w:r>
              <w:rPr>
                <w:sz w:val="24"/>
              </w:rPr>
              <w:t>）建筑物内应保持干净整洁，清扫垃圾时要洒水抑尘，施工层建筑垃圾必须采用封闭式管道或装袋用垂直升降机械清运，严禁凌空抛掷和焚烧垃圾。</w:t>
            </w:r>
          </w:p>
          <w:p>
            <w:pPr>
              <w:adjustRightInd w:val="0"/>
              <w:snapToGrid w:val="0"/>
              <w:spacing w:line="360" w:lineRule="auto"/>
              <w:ind w:firstLine="480" w:firstLineChars="200"/>
              <w:rPr>
                <w:sz w:val="24"/>
              </w:rPr>
            </w:pPr>
            <w:r>
              <w:rPr>
                <w:sz w:val="24"/>
              </w:rPr>
              <w:t>（1</w:t>
            </w:r>
            <w:r>
              <w:rPr>
                <w:rFonts w:hint="eastAsia"/>
                <w:sz w:val="24"/>
              </w:rPr>
              <w:t>6</w:t>
            </w:r>
            <w:r>
              <w:rPr>
                <w:sz w:val="24"/>
              </w:rPr>
              <w:t>）施工现场的建筑垃圾必须设置垃圾存放点，集中堆放并严密覆盖，及时清运。生活垃圾应用封闭式容器存放，日产日清，严禁随意丢弃。</w:t>
            </w:r>
          </w:p>
          <w:p>
            <w:pPr>
              <w:adjustRightInd w:val="0"/>
              <w:snapToGrid w:val="0"/>
              <w:spacing w:line="360" w:lineRule="auto"/>
              <w:ind w:firstLine="480" w:firstLineChars="200"/>
              <w:rPr>
                <w:sz w:val="24"/>
              </w:rPr>
            </w:pPr>
            <w:r>
              <w:rPr>
                <w:sz w:val="24"/>
              </w:rPr>
              <w:t>（1</w:t>
            </w:r>
            <w:r>
              <w:rPr>
                <w:rFonts w:hint="eastAsia"/>
                <w:sz w:val="24"/>
              </w:rPr>
              <w:t>7</w:t>
            </w:r>
            <w:r>
              <w:rPr>
                <w:sz w:val="24"/>
              </w:rPr>
              <w:t>）施工现场必须建立洒水清扫抑尘制度，配备洒水设备。非冰冻期每天洒水不少于2次，并有专人负责。重污染天气时相应增加洒水频次。</w:t>
            </w:r>
          </w:p>
          <w:p>
            <w:pPr>
              <w:adjustRightInd w:val="0"/>
              <w:snapToGrid w:val="0"/>
              <w:spacing w:line="360" w:lineRule="auto"/>
              <w:ind w:firstLine="480" w:firstLineChars="200"/>
              <w:rPr>
                <w:sz w:val="24"/>
              </w:rPr>
            </w:pPr>
            <w:r>
              <w:rPr>
                <w:sz w:val="24"/>
              </w:rPr>
              <w:t>（1</w:t>
            </w:r>
            <w:r>
              <w:rPr>
                <w:rFonts w:hint="eastAsia"/>
                <w:sz w:val="24"/>
              </w:rPr>
              <w:t>8</w:t>
            </w:r>
            <w:r>
              <w:rPr>
                <w:sz w:val="24"/>
              </w:rPr>
              <w:t>）建筑工程主体外侧脚手架及临边防护栏杆必须使用符合标准的密目式安全网封闭施工，并保持整洁、牢固、无破损。</w:t>
            </w:r>
          </w:p>
          <w:p>
            <w:pPr>
              <w:adjustRightInd w:val="0"/>
              <w:snapToGrid w:val="0"/>
              <w:spacing w:line="360" w:lineRule="auto"/>
              <w:ind w:firstLine="480" w:firstLineChars="200"/>
              <w:rPr>
                <w:sz w:val="24"/>
              </w:rPr>
            </w:pPr>
            <w:r>
              <w:rPr>
                <w:sz w:val="24"/>
              </w:rPr>
              <w:t>（1</w:t>
            </w:r>
            <w:r>
              <w:rPr>
                <w:rFonts w:hint="eastAsia"/>
                <w:sz w:val="24"/>
              </w:rPr>
              <w:t>9</w:t>
            </w:r>
            <w:r>
              <w:rPr>
                <w:sz w:val="24"/>
              </w:rPr>
              <w:t>）遇有4级以上大风或重污染天气预警时，必须采取扬尘防治应急措施，严禁土方开挖、土方回填、房屋拆除、材料切割、金属焊接、喷塑或其他有可能产生扬尘的作业。</w:t>
            </w:r>
          </w:p>
          <w:p>
            <w:pPr>
              <w:adjustRightInd w:val="0"/>
              <w:snapToGrid w:val="0"/>
              <w:spacing w:line="360" w:lineRule="auto"/>
              <w:ind w:firstLine="480" w:firstLineChars="200"/>
              <w:rPr>
                <w:sz w:val="24"/>
              </w:rPr>
            </w:pPr>
            <w:r>
              <w:rPr>
                <w:sz w:val="24"/>
              </w:rPr>
              <w:t>（</w:t>
            </w:r>
            <w:r>
              <w:rPr>
                <w:rFonts w:hint="eastAsia"/>
                <w:sz w:val="24"/>
              </w:rPr>
              <w:t>20</w:t>
            </w:r>
            <w:r>
              <w:rPr>
                <w:sz w:val="24"/>
              </w:rPr>
              <w:t>）建设单位必须组织相关单位做好工程外管网及绿化施工阶段的扬尘防治工作。</w:t>
            </w:r>
          </w:p>
          <w:p>
            <w:pPr>
              <w:adjustRightInd w:val="0"/>
              <w:snapToGrid w:val="0"/>
              <w:spacing w:line="360" w:lineRule="auto"/>
              <w:ind w:firstLine="480" w:firstLineChars="200"/>
              <w:rPr>
                <w:sz w:val="24"/>
              </w:rPr>
            </w:pPr>
            <w:r>
              <w:rPr>
                <w:sz w:val="24"/>
              </w:rPr>
              <w:t>（2</w:t>
            </w:r>
            <w:r>
              <w:rPr>
                <w:rFonts w:hint="eastAsia"/>
                <w:sz w:val="24"/>
              </w:rPr>
              <w:t>1</w:t>
            </w:r>
            <w:r>
              <w:rPr>
                <w:sz w:val="24"/>
              </w:rPr>
              <w:t>）鼓励施工现场在道路、围墙、脚手架等部位安装喷淋或喷雾等降尘装置；鼓励在施工现场安装空气质量检测仪等装置。</w:t>
            </w:r>
          </w:p>
          <w:p>
            <w:pPr>
              <w:adjustRightInd w:val="0"/>
              <w:snapToGrid w:val="0"/>
              <w:spacing w:line="360" w:lineRule="auto"/>
              <w:ind w:firstLine="480" w:firstLineChars="200"/>
              <w:rPr>
                <w:sz w:val="24"/>
              </w:rPr>
            </w:pPr>
            <w:r>
              <w:rPr>
                <w:sz w:val="24"/>
              </w:rPr>
              <w:t>通过采取以上抑尘措施后，可最大限度的降低施工期间物料运输扬尘对周围环境的影响，待施工完成后污染随之消失，大气环境质量即可恢复到原来的水平。</w:t>
            </w:r>
          </w:p>
          <w:p>
            <w:pPr>
              <w:adjustRightInd w:val="0"/>
              <w:snapToGrid w:val="0"/>
              <w:spacing w:line="360" w:lineRule="auto"/>
              <w:ind w:firstLine="480" w:firstLineChars="200"/>
              <w:rPr>
                <w:sz w:val="24"/>
              </w:rPr>
            </w:pPr>
            <w:r>
              <w:rPr>
                <w:sz w:val="24"/>
              </w:rPr>
              <w:t>2、施工噪声</w:t>
            </w:r>
          </w:p>
          <w:p>
            <w:pPr>
              <w:adjustRightInd w:val="0"/>
              <w:snapToGrid w:val="0"/>
              <w:spacing w:line="360" w:lineRule="auto"/>
              <w:ind w:firstLine="480" w:firstLineChars="200"/>
              <w:rPr>
                <w:sz w:val="24"/>
              </w:rPr>
            </w:pPr>
            <w:r>
              <w:rPr>
                <w:rFonts w:hint="eastAsia"/>
                <w:sz w:val="24"/>
              </w:rPr>
              <w:t>（1）施工噪声源强</w:t>
            </w:r>
          </w:p>
          <w:p>
            <w:pPr>
              <w:spacing w:line="360" w:lineRule="auto"/>
              <w:ind w:firstLine="480" w:firstLineChars="200"/>
              <w:rPr>
                <w:rFonts w:ascii="FZSSK--GBK1-0" w:hAnsi="FZSSK--GBK1-0" w:eastAsia="FZSSK--GBK1-0"/>
                <w:sz w:val="24"/>
              </w:rPr>
            </w:pPr>
            <w:r>
              <w:rPr>
                <w:sz w:val="24"/>
              </w:rPr>
              <w:t>根据工程施工内容，施工期</w:t>
            </w:r>
            <w:r>
              <w:rPr>
                <w:rFonts w:hint="eastAsia"/>
                <w:sz w:val="24"/>
              </w:rPr>
              <w:t>噪声主要为建筑材料、设备运输车辆产生的交通噪声，建筑物基础挖掘、建筑施工等工程机械产生的噪声，设备吊运、安装产生的安装噪声。</w:t>
            </w:r>
            <w:r>
              <w:rPr>
                <w:rFonts w:eastAsia="FZSSK--GBK1-0"/>
                <w:sz w:val="24"/>
              </w:rPr>
              <w:t>根据类比调查和资料分析，各类建筑施工机械产噪值见下表</w:t>
            </w:r>
            <w:r>
              <w:rPr>
                <w:rFonts w:hint="eastAsia" w:eastAsia="FZSSK--GBK1-0"/>
                <w:sz w:val="24"/>
              </w:rPr>
              <w:t>32</w:t>
            </w:r>
            <w:r>
              <w:rPr>
                <w:rFonts w:eastAsia="FZSSK--GBK1-0"/>
                <w:sz w:val="24"/>
              </w:rPr>
              <w:t>。</w:t>
            </w:r>
          </w:p>
          <w:p>
            <w:pPr>
              <w:adjustRightInd w:val="0"/>
              <w:snapToGrid w:val="0"/>
              <w:jc w:val="center"/>
              <w:rPr>
                <w:b/>
                <w:bCs/>
                <w:sz w:val="28"/>
              </w:rPr>
            </w:pPr>
            <w:r>
              <w:rPr>
                <w:b/>
                <w:bCs/>
                <w:sz w:val="24"/>
              </w:rPr>
              <w:t>表</w:t>
            </w:r>
            <w:r>
              <w:rPr>
                <w:rFonts w:hint="eastAsia"/>
                <w:b/>
                <w:bCs/>
                <w:sz w:val="24"/>
              </w:rPr>
              <w:t>32</w:t>
            </w:r>
            <w:r>
              <w:rPr>
                <w:b/>
                <w:bCs/>
                <w:sz w:val="24"/>
              </w:rPr>
              <w:t xml:space="preserve">  施工期主要噪声源及其声级强度一览表</w:t>
            </w:r>
          </w:p>
          <w:tbl>
            <w:tblPr>
              <w:tblStyle w:val="24"/>
              <w:tblW w:w="4998" w:type="pct"/>
              <w:tblInd w:w="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33"/>
              <w:gridCol w:w="2335"/>
              <w:gridCol w:w="1943"/>
              <w:gridCol w:w="23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5" w:type="pct"/>
                  <w:vAlign w:val="center"/>
                </w:tcPr>
                <w:p>
                  <w:pPr>
                    <w:jc w:val="center"/>
                  </w:pPr>
                  <w:r>
                    <w:t>施工机械</w:t>
                  </w:r>
                </w:p>
              </w:tc>
              <w:tc>
                <w:tcPr>
                  <w:tcW w:w="1382" w:type="pct"/>
                  <w:vAlign w:val="center"/>
                </w:tcPr>
                <w:p>
                  <w:pPr>
                    <w:jc w:val="center"/>
                  </w:pPr>
                  <w:r>
                    <w:rPr>
                      <w:rFonts w:hint="eastAsia"/>
                    </w:rPr>
                    <w:t>声压</w:t>
                  </w:r>
                  <w:r>
                    <w:t>级</w:t>
                  </w:r>
                  <w:r>
                    <w:rPr>
                      <w:rFonts w:hint="eastAsia"/>
                    </w:rPr>
                    <w:t>/距离[</w:t>
                  </w:r>
                  <w:r>
                    <w:rPr>
                      <w:b/>
                      <w:bCs/>
                    </w:rPr>
                    <w:t>dB(A)</w:t>
                  </w:r>
                  <w:r>
                    <w:rPr>
                      <w:rFonts w:hint="eastAsia"/>
                      <w:b/>
                      <w:bCs/>
                    </w:rPr>
                    <w:t>/m</w:t>
                  </w:r>
                  <w:r>
                    <w:rPr>
                      <w:rFonts w:hint="eastAsia"/>
                    </w:rPr>
                    <w:t>]</w:t>
                  </w:r>
                </w:p>
              </w:tc>
              <w:tc>
                <w:tcPr>
                  <w:tcW w:w="1150" w:type="pct"/>
                  <w:vAlign w:val="center"/>
                </w:tcPr>
                <w:p>
                  <w:pPr>
                    <w:jc w:val="center"/>
                  </w:pPr>
                  <w:r>
                    <w:t>施工机械</w:t>
                  </w:r>
                </w:p>
              </w:tc>
              <w:tc>
                <w:tcPr>
                  <w:tcW w:w="1382" w:type="pct"/>
                  <w:vAlign w:val="center"/>
                </w:tcPr>
                <w:p>
                  <w:pPr>
                    <w:jc w:val="center"/>
                  </w:pPr>
                  <w:r>
                    <w:rPr>
                      <w:rFonts w:hint="eastAsia"/>
                    </w:rPr>
                    <w:t>声压</w:t>
                  </w:r>
                  <w:r>
                    <w:t>级</w:t>
                  </w:r>
                  <w:r>
                    <w:rPr>
                      <w:rFonts w:hint="eastAsia"/>
                    </w:rPr>
                    <w:t>/距离[</w:t>
                  </w:r>
                  <w:r>
                    <w:rPr>
                      <w:b/>
                      <w:bCs/>
                    </w:rPr>
                    <w:t>dB(A)</w:t>
                  </w:r>
                  <w:r>
                    <w:rPr>
                      <w:rFonts w:hint="eastAsia"/>
                      <w:b/>
                      <w:bCs/>
                    </w:rPr>
                    <w:t>/m</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5" w:type="pct"/>
                  <w:vAlign w:val="center"/>
                </w:tcPr>
                <w:p>
                  <w:pPr>
                    <w:jc w:val="center"/>
                    <w:rPr>
                      <w:highlight w:val="yellow"/>
                    </w:rPr>
                  </w:pPr>
                  <w:r>
                    <w:t>装载机</w:t>
                  </w:r>
                </w:p>
              </w:tc>
              <w:tc>
                <w:tcPr>
                  <w:tcW w:w="1382" w:type="pct"/>
                  <w:vAlign w:val="center"/>
                </w:tcPr>
                <w:p>
                  <w:pPr>
                    <w:jc w:val="center"/>
                  </w:pPr>
                  <w:r>
                    <w:rPr>
                      <w:rFonts w:hint="eastAsia"/>
                    </w:rPr>
                    <w:t>86/5</w:t>
                  </w:r>
                </w:p>
              </w:tc>
              <w:tc>
                <w:tcPr>
                  <w:tcW w:w="1150" w:type="pct"/>
                  <w:vAlign w:val="center"/>
                </w:tcPr>
                <w:p>
                  <w:pPr>
                    <w:jc w:val="center"/>
                  </w:pPr>
                  <w:r>
                    <w:t>混凝土振捣机</w:t>
                  </w:r>
                </w:p>
              </w:tc>
              <w:tc>
                <w:tcPr>
                  <w:tcW w:w="1382" w:type="pct"/>
                  <w:vAlign w:val="center"/>
                </w:tcPr>
                <w:p>
                  <w:pPr>
                    <w:jc w:val="center"/>
                  </w:pPr>
                  <w:r>
                    <w:rPr>
                      <w:rFonts w:hint="eastAsia"/>
                    </w:rPr>
                    <w:t>84/5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5" w:type="pct"/>
                  <w:vAlign w:val="center"/>
                </w:tcPr>
                <w:p>
                  <w:pPr>
                    <w:jc w:val="center"/>
                    <w:rPr>
                      <w:highlight w:val="yellow"/>
                    </w:rPr>
                  </w:pPr>
                  <w:r>
                    <w:t>土石挖掘机</w:t>
                  </w:r>
                </w:p>
              </w:tc>
              <w:tc>
                <w:tcPr>
                  <w:tcW w:w="1382" w:type="pct"/>
                  <w:vAlign w:val="center"/>
                </w:tcPr>
                <w:p>
                  <w:pPr>
                    <w:jc w:val="center"/>
                  </w:pPr>
                  <w:r>
                    <w:rPr>
                      <w:rFonts w:hint="eastAsia"/>
                    </w:rPr>
                    <w:t>84/5</w:t>
                  </w:r>
                </w:p>
              </w:tc>
              <w:tc>
                <w:tcPr>
                  <w:tcW w:w="1150" w:type="pct"/>
                  <w:vAlign w:val="center"/>
                </w:tcPr>
                <w:p>
                  <w:pPr>
                    <w:jc w:val="center"/>
                  </w:pPr>
                  <w:r>
                    <w:t>运输车辆</w:t>
                  </w:r>
                </w:p>
              </w:tc>
              <w:tc>
                <w:tcPr>
                  <w:tcW w:w="1382" w:type="pct"/>
                  <w:vAlign w:val="center"/>
                </w:tcPr>
                <w:p>
                  <w:pPr>
                    <w:jc w:val="center"/>
                  </w:pPr>
                  <w:r>
                    <w:rPr>
                      <w:rFonts w:hint="eastAsia"/>
                    </w:rPr>
                    <w:t>86/5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5" w:type="pct"/>
                  <w:vAlign w:val="center"/>
                </w:tcPr>
                <w:p>
                  <w:pPr>
                    <w:jc w:val="center"/>
                    <w:rPr>
                      <w:highlight w:val="yellow"/>
                    </w:rPr>
                  </w:pPr>
                  <w:r>
                    <w:rPr>
                      <w:rFonts w:hint="eastAsia"/>
                    </w:rPr>
                    <w:t>推土机</w:t>
                  </w:r>
                </w:p>
              </w:tc>
              <w:tc>
                <w:tcPr>
                  <w:tcW w:w="1382" w:type="pct"/>
                  <w:vAlign w:val="center"/>
                </w:tcPr>
                <w:p>
                  <w:pPr>
                    <w:jc w:val="center"/>
                  </w:pPr>
                  <w:r>
                    <w:rPr>
                      <w:rFonts w:hint="eastAsia"/>
                    </w:rPr>
                    <w:t>86/5</w:t>
                  </w:r>
                </w:p>
              </w:tc>
              <w:tc>
                <w:tcPr>
                  <w:tcW w:w="1150" w:type="pct"/>
                  <w:vAlign w:val="center"/>
                </w:tcPr>
                <w:p>
                  <w:pPr>
                    <w:jc w:val="center"/>
                  </w:pPr>
                  <w:r>
                    <w:rPr>
                      <w:rFonts w:hint="eastAsia"/>
                    </w:rPr>
                    <w:t>吊装车</w:t>
                  </w:r>
                </w:p>
              </w:tc>
              <w:tc>
                <w:tcPr>
                  <w:tcW w:w="1382" w:type="pct"/>
                  <w:vAlign w:val="center"/>
                </w:tcPr>
                <w:p>
                  <w:pPr>
                    <w:jc w:val="center"/>
                  </w:pPr>
                  <w:r>
                    <w:rPr>
                      <w:rFonts w:hint="eastAsia"/>
                    </w:rPr>
                    <w:t>86/5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5" w:type="pct"/>
                  <w:vAlign w:val="center"/>
                </w:tcPr>
                <w:p>
                  <w:pPr>
                    <w:jc w:val="center"/>
                  </w:pPr>
                  <w:r>
                    <w:rPr>
                      <w:rFonts w:hint="eastAsia"/>
                    </w:rPr>
                    <w:t>夯土机</w:t>
                  </w:r>
                </w:p>
              </w:tc>
              <w:tc>
                <w:tcPr>
                  <w:tcW w:w="1382" w:type="pct"/>
                  <w:vAlign w:val="center"/>
                </w:tcPr>
                <w:p>
                  <w:pPr>
                    <w:jc w:val="center"/>
                  </w:pPr>
                  <w:r>
                    <w:rPr>
                      <w:rFonts w:hint="eastAsia"/>
                    </w:rPr>
                    <w:t>90/2</w:t>
                  </w:r>
                </w:p>
              </w:tc>
              <w:tc>
                <w:tcPr>
                  <w:tcW w:w="1150" w:type="pct"/>
                  <w:vAlign w:val="center"/>
                </w:tcPr>
                <w:p>
                  <w:pPr>
                    <w:jc w:val="center"/>
                  </w:pPr>
                </w:p>
              </w:tc>
              <w:tc>
                <w:tcPr>
                  <w:tcW w:w="1382" w:type="pct"/>
                  <w:vAlign w:val="center"/>
                </w:tcPr>
                <w:p>
                  <w:pPr>
                    <w:jc w:val="center"/>
                  </w:pPr>
                </w:p>
              </w:tc>
            </w:tr>
          </w:tbl>
          <w:p>
            <w:pPr>
              <w:adjustRightInd w:val="0"/>
              <w:snapToGrid w:val="0"/>
              <w:spacing w:line="360" w:lineRule="auto"/>
              <w:ind w:firstLine="480" w:firstLineChars="200"/>
              <w:rPr>
                <w:sz w:val="24"/>
              </w:rPr>
            </w:pPr>
            <w:r>
              <w:rPr>
                <w:rFonts w:hint="eastAsia"/>
                <w:sz w:val="24"/>
              </w:rPr>
              <w:t>（2）施工噪声贡献值</w:t>
            </w:r>
          </w:p>
          <w:p>
            <w:pPr>
              <w:adjustRightInd w:val="0"/>
              <w:snapToGrid w:val="0"/>
              <w:spacing w:line="360" w:lineRule="auto"/>
              <w:ind w:firstLine="480" w:firstLineChars="200"/>
              <w:rPr>
                <w:sz w:val="24"/>
              </w:rPr>
            </w:pPr>
            <w:r>
              <w:rPr>
                <w:rFonts w:hint="eastAsia"/>
                <w:sz w:val="24"/>
              </w:rPr>
              <w:t>施工噪声预测采用点源衰减模式，预测计算施工机械噪声源至受声点的几何发散衰减，计算中不考虑声屏障、空气吸收等衰减，预测公式如下：</w:t>
            </w:r>
          </w:p>
          <w:p>
            <w:pPr>
              <w:adjustRightInd w:val="0"/>
              <w:snapToGrid w:val="0"/>
              <w:spacing w:line="360" w:lineRule="auto"/>
              <w:ind w:firstLine="480" w:firstLineChars="200"/>
              <w:jc w:val="center"/>
              <w:rPr>
                <w:sz w:val="24"/>
              </w:rPr>
            </w:pPr>
            <w:r>
              <w:rPr>
                <w:sz w:val="24"/>
              </w:rPr>
              <w:t xml:space="preserve"> L</w:t>
            </w:r>
            <w:r>
              <w:rPr>
                <w:rFonts w:hint="eastAsia"/>
                <w:sz w:val="24"/>
                <w:vertAlign w:val="subscript"/>
              </w:rPr>
              <w:t>r</w:t>
            </w:r>
            <w:r>
              <w:rPr>
                <w:sz w:val="24"/>
              </w:rPr>
              <w:t>=L</w:t>
            </w:r>
            <w:r>
              <w:rPr>
                <w:rFonts w:hint="eastAsia"/>
                <w:sz w:val="24"/>
              </w:rPr>
              <w:t>r</w:t>
            </w:r>
            <w:r>
              <w:rPr>
                <w:sz w:val="24"/>
                <w:vertAlign w:val="subscript"/>
              </w:rPr>
              <w:t>0</w:t>
            </w:r>
            <w:r>
              <w:rPr>
                <w:sz w:val="24"/>
              </w:rPr>
              <w:t>-20log</w:t>
            </w:r>
            <w:r>
              <w:rPr>
                <w:rFonts w:hint="eastAsia"/>
                <w:sz w:val="24"/>
              </w:rPr>
              <w:t>(</w:t>
            </w:r>
            <w:r>
              <w:rPr>
                <w:sz w:val="24"/>
              </w:rPr>
              <w:t>r/r</w:t>
            </w:r>
            <w:r>
              <w:rPr>
                <w:rFonts w:hint="eastAsia"/>
                <w:sz w:val="24"/>
                <w:vertAlign w:val="subscript"/>
              </w:rPr>
              <w:t>0</w:t>
            </w:r>
            <w:r>
              <w:rPr>
                <w:rFonts w:hint="eastAsia"/>
                <w:sz w:val="24"/>
              </w:rPr>
              <w:t>)</w:t>
            </w:r>
          </w:p>
          <w:p>
            <w:pPr>
              <w:adjustRightInd w:val="0"/>
              <w:snapToGrid w:val="0"/>
              <w:spacing w:line="360" w:lineRule="auto"/>
              <w:ind w:firstLine="480" w:firstLineChars="200"/>
              <w:rPr>
                <w:sz w:val="24"/>
              </w:rPr>
            </w:pPr>
            <w:r>
              <w:rPr>
                <w:sz w:val="24"/>
              </w:rPr>
              <w:t>式中：L</w:t>
            </w:r>
            <w:r>
              <w:rPr>
                <w:rFonts w:hint="eastAsia"/>
                <w:sz w:val="24"/>
              </w:rPr>
              <w:t>r</w:t>
            </w:r>
            <w:r>
              <w:rPr>
                <w:sz w:val="24"/>
              </w:rPr>
              <w:t>—距离声源r处</w:t>
            </w:r>
            <w:r>
              <w:rPr>
                <w:rFonts w:hint="eastAsia"/>
                <w:sz w:val="24"/>
              </w:rPr>
              <w:t>的A声压级，</w:t>
            </w:r>
            <w:r>
              <w:rPr>
                <w:sz w:val="24"/>
              </w:rPr>
              <w:t xml:space="preserve">dB(A)； </w:t>
            </w:r>
          </w:p>
          <w:p>
            <w:pPr>
              <w:adjustRightInd w:val="0"/>
              <w:snapToGrid w:val="0"/>
              <w:spacing w:line="360" w:lineRule="auto"/>
              <w:ind w:firstLine="1200" w:firstLineChars="500"/>
              <w:rPr>
                <w:sz w:val="24"/>
              </w:rPr>
            </w:pPr>
            <w:r>
              <w:rPr>
                <w:sz w:val="24"/>
              </w:rPr>
              <w:t>L</w:t>
            </w:r>
            <w:r>
              <w:rPr>
                <w:rFonts w:hint="eastAsia"/>
                <w:sz w:val="24"/>
              </w:rPr>
              <w:t>r</w:t>
            </w:r>
            <w:r>
              <w:rPr>
                <w:sz w:val="24"/>
                <w:vertAlign w:val="subscript"/>
              </w:rPr>
              <w:t>0</w:t>
            </w:r>
            <w:r>
              <w:rPr>
                <w:sz w:val="24"/>
              </w:rPr>
              <w:t>—距离声源r</w:t>
            </w:r>
            <w:r>
              <w:rPr>
                <w:rFonts w:hint="eastAsia"/>
                <w:sz w:val="24"/>
                <w:vertAlign w:val="subscript"/>
              </w:rPr>
              <w:t>0</w:t>
            </w:r>
            <w:r>
              <w:rPr>
                <w:sz w:val="24"/>
              </w:rPr>
              <w:t xml:space="preserve"> 处声源的</w:t>
            </w:r>
            <w:r>
              <w:rPr>
                <w:rFonts w:hint="eastAsia"/>
                <w:sz w:val="24"/>
              </w:rPr>
              <w:t>A声压级</w:t>
            </w:r>
            <w:r>
              <w:rPr>
                <w:sz w:val="24"/>
              </w:rPr>
              <w:t>dB(A)；</w:t>
            </w:r>
          </w:p>
          <w:p>
            <w:pPr>
              <w:adjustRightInd w:val="0"/>
              <w:snapToGrid w:val="0"/>
              <w:spacing w:line="360" w:lineRule="auto"/>
              <w:ind w:firstLine="1200" w:firstLineChars="500"/>
              <w:rPr>
                <w:sz w:val="24"/>
              </w:rPr>
            </w:pPr>
            <w:r>
              <w:rPr>
                <w:sz w:val="24"/>
              </w:rPr>
              <w:t>r</w:t>
            </w:r>
            <w:r>
              <w:rPr>
                <w:rFonts w:hint="eastAsia"/>
                <w:sz w:val="24"/>
                <w:vertAlign w:val="subscript"/>
              </w:rPr>
              <w:t>0</w:t>
            </w:r>
            <w:r>
              <w:rPr>
                <w:rFonts w:hint="eastAsia"/>
                <w:sz w:val="24"/>
              </w:rPr>
              <w:t>—监测设备噪声时的距离，</w:t>
            </w:r>
            <w:r>
              <w:rPr>
                <w:sz w:val="24"/>
              </w:rPr>
              <w:t>m</w:t>
            </w:r>
            <w:r>
              <w:rPr>
                <w:rFonts w:hint="eastAsia"/>
                <w:sz w:val="24"/>
              </w:rPr>
              <w:t>；</w:t>
            </w:r>
          </w:p>
          <w:p>
            <w:pPr>
              <w:adjustRightInd w:val="0"/>
              <w:snapToGrid w:val="0"/>
              <w:spacing w:line="360" w:lineRule="auto"/>
              <w:ind w:firstLine="1200" w:firstLineChars="500"/>
              <w:rPr>
                <w:rFonts w:ascii="黑体" w:eastAsia="黑体"/>
                <w:bCs/>
                <w:sz w:val="24"/>
              </w:rPr>
            </w:pPr>
            <w:r>
              <w:rPr>
                <w:sz w:val="24"/>
              </w:rPr>
              <w:t>r</w:t>
            </w:r>
            <w:r>
              <w:rPr>
                <w:rFonts w:hint="eastAsia"/>
                <w:sz w:val="24"/>
              </w:rPr>
              <w:t>—预测点与声源的距离</w:t>
            </w:r>
            <w:r>
              <w:rPr>
                <w:rFonts w:ascii="宋体" w:hAnsi="宋体" w:cs="宋体"/>
                <w:sz w:val="24"/>
              </w:rPr>
              <w:t>。</w:t>
            </w:r>
          </w:p>
          <w:p>
            <w:pPr>
              <w:adjustRightInd w:val="0"/>
              <w:snapToGrid w:val="0"/>
              <w:spacing w:line="360" w:lineRule="auto"/>
              <w:ind w:firstLine="480" w:firstLineChars="200"/>
              <w:rPr>
                <w:bCs/>
                <w:sz w:val="24"/>
              </w:rPr>
            </w:pPr>
            <w:r>
              <w:rPr>
                <w:rFonts w:hint="eastAsia"/>
                <w:bCs/>
                <w:sz w:val="24"/>
              </w:rPr>
              <w:t>利用上述公式，预测计算本项目主要施工机械在不同距离处的贡献值，预测计算结果见表33。</w:t>
            </w:r>
          </w:p>
          <w:p>
            <w:pPr>
              <w:adjustRightInd w:val="0"/>
              <w:snapToGrid w:val="0"/>
              <w:jc w:val="center"/>
              <w:rPr>
                <w:rFonts w:ascii="黑体" w:eastAsia="黑体"/>
                <w:bCs/>
                <w:sz w:val="24"/>
              </w:rPr>
            </w:pPr>
            <w:r>
              <w:rPr>
                <w:b/>
                <w:sz w:val="24"/>
              </w:rPr>
              <w:t>表</w:t>
            </w:r>
            <w:r>
              <w:rPr>
                <w:rFonts w:hint="eastAsia"/>
                <w:b/>
                <w:sz w:val="24"/>
              </w:rPr>
              <w:t>33  主要施工机械在不同距离处的噪声贡献值</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553"/>
              <w:gridCol w:w="621"/>
              <w:gridCol w:w="621"/>
              <w:gridCol w:w="621"/>
              <w:gridCol w:w="621"/>
              <w:gridCol w:w="731"/>
              <w:gridCol w:w="731"/>
              <w:gridCol w:w="735"/>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vAlign w:val="center"/>
                </w:tcPr>
                <w:p>
                  <w:pPr>
                    <w:adjustRightInd w:val="0"/>
                    <w:snapToGrid w:val="0"/>
                    <w:jc w:val="center"/>
                    <w:rPr>
                      <w:bCs/>
                      <w:szCs w:val="21"/>
                    </w:rPr>
                  </w:pPr>
                  <w:r>
                    <w:rPr>
                      <w:rFonts w:hint="eastAsia"/>
                      <w:bCs/>
                      <w:szCs w:val="21"/>
                    </w:rPr>
                    <w:t>序号</w:t>
                  </w:r>
                </w:p>
              </w:tc>
              <w:tc>
                <w:tcPr>
                  <w:tcW w:w="918" w:type="pct"/>
                  <w:vMerge w:val="restart"/>
                  <w:vAlign w:val="center"/>
                </w:tcPr>
                <w:p>
                  <w:pPr>
                    <w:adjustRightInd w:val="0"/>
                    <w:snapToGrid w:val="0"/>
                    <w:jc w:val="center"/>
                    <w:rPr>
                      <w:bCs/>
                      <w:szCs w:val="21"/>
                    </w:rPr>
                  </w:pPr>
                  <w:r>
                    <w:rPr>
                      <w:rFonts w:hint="eastAsia"/>
                      <w:bCs/>
                      <w:szCs w:val="21"/>
                    </w:rPr>
                    <w:t>机械</w:t>
                  </w:r>
                </w:p>
              </w:tc>
              <w:tc>
                <w:tcPr>
                  <w:tcW w:w="2766" w:type="pct"/>
                  <w:gridSpan w:val="7"/>
                  <w:vAlign w:val="center"/>
                </w:tcPr>
                <w:p>
                  <w:pPr>
                    <w:adjustRightInd w:val="0"/>
                    <w:snapToGrid w:val="0"/>
                    <w:jc w:val="center"/>
                    <w:rPr>
                      <w:bCs/>
                      <w:szCs w:val="21"/>
                    </w:rPr>
                  </w:pPr>
                  <w:r>
                    <w:rPr>
                      <w:rFonts w:hint="eastAsia"/>
                      <w:bCs/>
                      <w:szCs w:val="21"/>
                    </w:rPr>
                    <w:t>不同距离处的噪声贡献值[dB(A)]</w:t>
                  </w:r>
                </w:p>
              </w:tc>
              <w:tc>
                <w:tcPr>
                  <w:tcW w:w="918" w:type="pct"/>
                  <w:vMerge w:val="restart"/>
                  <w:vAlign w:val="center"/>
                </w:tcPr>
                <w:p>
                  <w:pPr>
                    <w:adjustRightInd w:val="0"/>
                    <w:snapToGrid w:val="0"/>
                    <w:jc w:val="center"/>
                    <w:rPr>
                      <w:bCs/>
                      <w:szCs w:val="21"/>
                    </w:rPr>
                  </w:pPr>
                  <w:r>
                    <w:rPr>
                      <w:rFonts w:hint="eastAsia"/>
                      <w:bCs/>
                      <w:szCs w:val="21"/>
                    </w:rPr>
                    <w:t>施工阶段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vAlign w:val="center"/>
                </w:tcPr>
                <w:p>
                  <w:pPr>
                    <w:adjustRightInd w:val="0"/>
                    <w:snapToGrid w:val="0"/>
                    <w:jc w:val="center"/>
                    <w:rPr>
                      <w:bCs/>
                      <w:szCs w:val="21"/>
                    </w:rPr>
                  </w:pPr>
                </w:p>
              </w:tc>
              <w:tc>
                <w:tcPr>
                  <w:tcW w:w="918" w:type="pct"/>
                  <w:vMerge w:val="continue"/>
                  <w:vAlign w:val="center"/>
                </w:tcPr>
                <w:p>
                  <w:pPr>
                    <w:adjustRightInd w:val="0"/>
                    <w:snapToGrid w:val="0"/>
                    <w:jc w:val="center"/>
                    <w:rPr>
                      <w:bCs/>
                      <w:szCs w:val="21"/>
                    </w:rPr>
                  </w:pPr>
                </w:p>
              </w:tc>
              <w:tc>
                <w:tcPr>
                  <w:tcW w:w="367" w:type="pct"/>
                  <w:vAlign w:val="center"/>
                </w:tcPr>
                <w:p>
                  <w:pPr>
                    <w:adjustRightInd w:val="0"/>
                    <w:snapToGrid w:val="0"/>
                    <w:jc w:val="center"/>
                    <w:rPr>
                      <w:bCs/>
                      <w:szCs w:val="21"/>
                    </w:rPr>
                  </w:pPr>
                  <w:r>
                    <w:rPr>
                      <w:rFonts w:hint="eastAsia"/>
                      <w:bCs/>
                      <w:szCs w:val="21"/>
                    </w:rPr>
                    <w:t>20m</w:t>
                  </w:r>
                </w:p>
              </w:tc>
              <w:tc>
                <w:tcPr>
                  <w:tcW w:w="367" w:type="pct"/>
                  <w:vAlign w:val="center"/>
                </w:tcPr>
                <w:p>
                  <w:pPr>
                    <w:adjustRightInd w:val="0"/>
                    <w:snapToGrid w:val="0"/>
                    <w:jc w:val="center"/>
                    <w:rPr>
                      <w:bCs/>
                      <w:szCs w:val="21"/>
                    </w:rPr>
                  </w:pPr>
                  <w:r>
                    <w:rPr>
                      <w:rFonts w:hint="eastAsia"/>
                      <w:bCs/>
                      <w:szCs w:val="21"/>
                    </w:rPr>
                    <w:t>40m</w:t>
                  </w:r>
                </w:p>
              </w:tc>
              <w:tc>
                <w:tcPr>
                  <w:tcW w:w="367" w:type="pct"/>
                  <w:vAlign w:val="center"/>
                </w:tcPr>
                <w:p>
                  <w:pPr>
                    <w:adjustRightInd w:val="0"/>
                    <w:snapToGrid w:val="0"/>
                    <w:jc w:val="center"/>
                    <w:rPr>
                      <w:bCs/>
                      <w:szCs w:val="21"/>
                    </w:rPr>
                  </w:pPr>
                  <w:r>
                    <w:rPr>
                      <w:rFonts w:hint="eastAsia"/>
                      <w:bCs/>
                      <w:szCs w:val="21"/>
                    </w:rPr>
                    <w:t>60m</w:t>
                  </w:r>
                </w:p>
              </w:tc>
              <w:tc>
                <w:tcPr>
                  <w:tcW w:w="367" w:type="pct"/>
                  <w:vAlign w:val="center"/>
                </w:tcPr>
                <w:p>
                  <w:pPr>
                    <w:adjustRightInd w:val="0"/>
                    <w:snapToGrid w:val="0"/>
                    <w:jc w:val="center"/>
                    <w:rPr>
                      <w:bCs/>
                      <w:szCs w:val="21"/>
                    </w:rPr>
                  </w:pPr>
                  <w:r>
                    <w:rPr>
                      <w:rFonts w:hint="eastAsia"/>
                      <w:bCs/>
                      <w:szCs w:val="21"/>
                    </w:rPr>
                    <w:t>80m</w:t>
                  </w:r>
                </w:p>
              </w:tc>
              <w:tc>
                <w:tcPr>
                  <w:tcW w:w="432" w:type="pct"/>
                  <w:vAlign w:val="center"/>
                </w:tcPr>
                <w:p>
                  <w:pPr>
                    <w:adjustRightInd w:val="0"/>
                    <w:snapToGrid w:val="0"/>
                    <w:jc w:val="center"/>
                    <w:rPr>
                      <w:bCs/>
                      <w:szCs w:val="21"/>
                    </w:rPr>
                  </w:pPr>
                  <w:r>
                    <w:rPr>
                      <w:rFonts w:hint="eastAsia"/>
                      <w:bCs/>
                      <w:szCs w:val="21"/>
                    </w:rPr>
                    <w:t>100m</w:t>
                  </w:r>
                </w:p>
              </w:tc>
              <w:tc>
                <w:tcPr>
                  <w:tcW w:w="432" w:type="pct"/>
                  <w:vAlign w:val="center"/>
                </w:tcPr>
                <w:p>
                  <w:pPr>
                    <w:adjustRightInd w:val="0"/>
                    <w:snapToGrid w:val="0"/>
                    <w:jc w:val="center"/>
                    <w:rPr>
                      <w:bCs/>
                      <w:szCs w:val="21"/>
                    </w:rPr>
                  </w:pPr>
                  <w:r>
                    <w:rPr>
                      <w:rFonts w:hint="eastAsia"/>
                      <w:bCs/>
                      <w:szCs w:val="21"/>
                    </w:rPr>
                    <w:t>150m</w:t>
                  </w:r>
                </w:p>
              </w:tc>
              <w:tc>
                <w:tcPr>
                  <w:tcW w:w="433" w:type="pct"/>
                  <w:vAlign w:val="center"/>
                </w:tcPr>
                <w:p>
                  <w:pPr>
                    <w:adjustRightInd w:val="0"/>
                    <w:snapToGrid w:val="0"/>
                    <w:jc w:val="center"/>
                    <w:rPr>
                      <w:bCs/>
                      <w:szCs w:val="21"/>
                    </w:rPr>
                  </w:pPr>
                  <w:r>
                    <w:rPr>
                      <w:rFonts w:hint="eastAsia"/>
                      <w:bCs/>
                      <w:szCs w:val="21"/>
                    </w:rPr>
                    <w:t>200m</w:t>
                  </w:r>
                </w:p>
              </w:tc>
              <w:tc>
                <w:tcPr>
                  <w:tcW w:w="918"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1</w:t>
                  </w:r>
                </w:p>
              </w:tc>
              <w:tc>
                <w:tcPr>
                  <w:tcW w:w="918" w:type="pct"/>
                  <w:vAlign w:val="center"/>
                </w:tcPr>
                <w:p>
                  <w:pPr>
                    <w:jc w:val="center"/>
                    <w:rPr>
                      <w:bCs/>
                      <w:szCs w:val="21"/>
                    </w:rPr>
                  </w:pPr>
                  <w:r>
                    <w:t>装载机</w:t>
                  </w:r>
                </w:p>
              </w:tc>
              <w:tc>
                <w:tcPr>
                  <w:tcW w:w="367" w:type="pct"/>
                  <w:vAlign w:val="center"/>
                </w:tcPr>
                <w:p>
                  <w:pPr>
                    <w:adjustRightInd w:val="0"/>
                    <w:snapToGrid w:val="0"/>
                    <w:jc w:val="center"/>
                    <w:rPr>
                      <w:bCs/>
                      <w:szCs w:val="21"/>
                    </w:rPr>
                  </w:pPr>
                  <w:r>
                    <w:rPr>
                      <w:rFonts w:hint="eastAsia"/>
                      <w:bCs/>
                      <w:szCs w:val="21"/>
                    </w:rPr>
                    <w:t>74</w:t>
                  </w:r>
                </w:p>
              </w:tc>
              <w:tc>
                <w:tcPr>
                  <w:tcW w:w="367" w:type="pct"/>
                  <w:vAlign w:val="center"/>
                </w:tcPr>
                <w:p>
                  <w:pPr>
                    <w:adjustRightInd w:val="0"/>
                    <w:snapToGrid w:val="0"/>
                    <w:jc w:val="center"/>
                    <w:rPr>
                      <w:bCs/>
                      <w:szCs w:val="21"/>
                    </w:rPr>
                  </w:pPr>
                  <w:r>
                    <w:rPr>
                      <w:rFonts w:hint="eastAsia"/>
                      <w:bCs/>
                      <w:szCs w:val="21"/>
                    </w:rPr>
                    <w:t>68</w:t>
                  </w:r>
                </w:p>
              </w:tc>
              <w:tc>
                <w:tcPr>
                  <w:tcW w:w="367" w:type="pct"/>
                  <w:vAlign w:val="center"/>
                </w:tcPr>
                <w:p>
                  <w:pPr>
                    <w:adjustRightInd w:val="0"/>
                    <w:snapToGrid w:val="0"/>
                    <w:jc w:val="center"/>
                    <w:rPr>
                      <w:bCs/>
                      <w:szCs w:val="21"/>
                    </w:rPr>
                  </w:pPr>
                  <w:r>
                    <w:rPr>
                      <w:rFonts w:hint="eastAsia"/>
                      <w:bCs/>
                      <w:szCs w:val="21"/>
                    </w:rPr>
                    <w:t>64</w:t>
                  </w:r>
                </w:p>
              </w:tc>
              <w:tc>
                <w:tcPr>
                  <w:tcW w:w="367" w:type="pct"/>
                  <w:vAlign w:val="center"/>
                </w:tcPr>
                <w:p>
                  <w:pPr>
                    <w:adjustRightInd w:val="0"/>
                    <w:snapToGrid w:val="0"/>
                    <w:jc w:val="center"/>
                    <w:rPr>
                      <w:bCs/>
                      <w:szCs w:val="21"/>
                    </w:rPr>
                  </w:pPr>
                  <w:r>
                    <w:rPr>
                      <w:rFonts w:hint="eastAsia"/>
                      <w:bCs/>
                      <w:szCs w:val="21"/>
                    </w:rPr>
                    <w:t>62</w:t>
                  </w:r>
                </w:p>
              </w:tc>
              <w:tc>
                <w:tcPr>
                  <w:tcW w:w="432"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56</w:t>
                  </w:r>
                </w:p>
              </w:tc>
              <w:tc>
                <w:tcPr>
                  <w:tcW w:w="433" w:type="pct"/>
                  <w:vAlign w:val="center"/>
                </w:tcPr>
                <w:p>
                  <w:pPr>
                    <w:adjustRightInd w:val="0"/>
                    <w:snapToGrid w:val="0"/>
                    <w:jc w:val="center"/>
                    <w:rPr>
                      <w:bCs/>
                      <w:szCs w:val="21"/>
                    </w:rPr>
                  </w:pPr>
                  <w:r>
                    <w:rPr>
                      <w:rFonts w:hint="eastAsia"/>
                      <w:bCs/>
                      <w:szCs w:val="21"/>
                    </w:rPr>
                    <w:t>54</w:t>
                  </w:r>
                </w:p>
              </w:tc>
              <w:tc>
                <w:tcPr>
                  <w:tcW w:w="918" w:type="pct"/>
                  <w:vMerge w:val="restart"/>
                  <w:vAlign w:val="center"/>
                </w:tcPr>
                <w:p>
                  <w:pPr>
                    <w:adjustRightInd w:val="0"/>
                    <w:snapToGrid w:val="0"/>
                    <w:jc w:val="center"/>
                    <w:rPr>
                      <w:bCs/>
                      <w:szCs w:val="21"/>
                    </w:rPr>
                  </w:pPr>
                  <w:r>
                    <w:rPr>
                      <w:rFonts w:hint="eastAsia"/>
                      <w:bCs/>
                      <w:szCs w:val="21"/>
                    </w:rPr>
                    <w:t>地基挖掘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2</w:t>
                  </w:r>
                </w:p>
              </w:tc>
              <w:tc>
                <w:tcPr>
                  <w:tcW w:w="918" w:type="pct"/>
                  <w:vAlign w:val="center"/>
                </w:tcPr>
                <w:p>
                  <w:pPr>
                    <w:jc w:val="center"/>
                    <w:rPr>
                      <w:bCs/>
                      <w:szCs w:val="21"/>
                    </w:rPr>
                  </w:pPr>
                  <w:r>
                    <w:t>土石挖掘机</w:t>
                  </w:r>
                </w:p>
              </w:tc>
              <w:tc>
                <w:tcPr>
                  <w:tcW w:w="367" w:type="pct"/>
                  <w:vAlign w:val="center"/>
                </w:tcPr>
                <w:p>
                  <w:pPr>
                    <w:adjustRightInd w:val="0"/>
                    <w:snapToGrid w:val="0"/>
                    <w:jc w:val="center"/>
                    <w:rPr>
                      <w:bCs/>
                      <w:szCs w:val="21"/>
                    </w:rPr>
                  </w:pPr>
                  <w:r>
                    <w:rPr>
                      <w:rFonts w:hint="eastAsia"/>
                      <w:bCs/>
                      <w:szCs w:val="21"/>
                    </w:rPr>
                    <w:t>72</w:t>
                  </w:r>
                </w:p>
              </w:tc>
              <w:tc>
                <w:tcPr>
                  <w:tcW w:w="367" w:type="pct"/>
                  <w:vAlign w:val="center"/>
                </w:tcPr>
                <w:p>
                  <w:pPr>
                    <w:adjustRightInd w:val="0"/>
                    <w:snapToGrid w:val="0"/>
                    <w:jc w:val="center"/>
                    <w:rPr>
                      <w:bCs/>
                      <w:szCs w:val="21"/>
                    </w:rPr>
                  </w:pPr>
                  <w:r>
                    <w:rPr>
                      <w:rFonts w:hint="eastAsia"/>
                      <w:bCs/>
                      <w:szCs w:val="21"/>
                    </w:rPr>
                    <w:t>66</w:t>
                  </w:r>
                </w:p>
              </w:tc>
              <w:tc>
                <w:tcPr>
                  <w:tcW w:w="367" w:type="pct"/>
                  <w:vAlign w:val="center"/>
                </w:tcPr>
                <w:p>
                  <w:pPr>
                    <w:adjustRightInd w:val="0"/>
                    <w:snapToGrid w:val="0"/>
                    <w:jc w:val="center"/>
                    <w:rPr>
                      <w:bCs/>
                      <w:szCs w:val="21"/>
                    </w:rPr>
                  </w:pPr>
                  <w:r>
                    <w:rPr>
                      <w:rFonts w:hint="eastAsia"/>
                      <w:bCs/>
                      <w:szCs w:val="21"/>
                    </w:rPr>
                    <w:t>62</w:t>
                  </w:r>
                </w:p>
              </w:tc>
              <w:tc>
                <w:tcPr>
                  <w:tcW w:w="367"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58</w:t>
                  </w:r>
                </w:p>
              </w:tc>
              <w:tc>
                <w:tcPr>
                  <w:tcW w:w="432" w:type="pct"/>
                  <w:vAlign w:val="center"/>
                </w:tcPr>
                <w:p>
                  <w:pPr>
                    <w:adjustRightInd w:val="0"/>
                    <w:snapToGrid w:val="0"/>
                    <w:jc w:val="center"/>
                    <w:rPr>
                      <w:bCs/>
                      <w:szCs w:val="21"/>
                    </w:rPr>
                  </w:pPr>
                  <w:r>
                    <w:rPr>
                      <w:rFonts w:hint="eastAsia"/>
                      <w:bCs/>
                      <w:szCs w:val="21"/>
                    </w:rPr>
                    <w:t>54</w:t>
                  </w:r>
                </w:p>
              </w:tc>
              <w:tc>
                <w:tcPr>
                  <w:tcW w:w="433" w:type="pct"/>
                  <w:vAlign w:val="center"/>
                </w:tcPr>
                <w:p>
                  <w:pPr>
                    <w:adjustRightInd w:val="0"/>
                    <w:snapToGrid w:val="0"/>
                    <w:jc w:val="center"/>
                    <w:rPr>
                      <w:bCs/>
                      <w:szCs w:val="21"/>
                    </w:rPr>
                  </w:pPr>
                  <w:r>
                    <w:rPr>
                      <w:rFonts w:hint="eastAsia"/>
                      <w:bCs/>
                      <w:szCs w:val="21"/>
                    </w:rPr>
                    <w:t>52</w:t>
                  </w:r>
                </w:p>
              </w:tc>
              <w:tc>
                <w:tcPr>
                  <w:tcW w:w="918"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3</w:t>
                  </w:r>
                </w:p>
              </w:tc>
              <w:tc>
                <w:tcPr>
                  <w:tcW w:w="918" w:type="pct"/>
                  <w:vAlign w:val="center"/>
                </w:tcPr>
                <w:p>
                  <w:pPr>
                    <w:jc w:val="center"/>
                    <w:rPr>
                      <w:bCs/>
                      <w:szCs w:val="21"/>
                    </w:rPr>
                  </w:pPr>
                  <w:r>
                    <w:rPr>
                      <w:rFonts w:hint="eastAsia"/>
                    </w:rPr>
                    <w:t>推土机</w:t>
                  </w:r>
                </w:p>
              </w:tc>
              <w:tc>
                <w:tcPr>
                  <w:tcW w:w="367" w:type="pct"/>
                  <w:vAlign w:val="center"/>
                </w:tcPr>
                <w:p>
                  <w:pPr>
                    <w:adjustRightInd w:val="0"/>
                    <w:snapToGrid w:val="0"/>
                    <w:jc w:val="center"/>
                    <w:rPr>
                      <w:bCs/>
                      <w:szCs w:val="21"/>
                    </w:rPr>
                  </w:pPr>
                  <w:r>
                    <w:rPr>
                      <w:rFonts w:hint="eastAsia"/>
                      <w:bCs/>
                      <w:szCs w:val="21"/>
                    </w:rPr>
                    <w:t>74</w:t>
                  </w:r>
                </w:p>
              </w:tc>
              <w:tc>
                <w:tcPr>
                  <w:tcW w:w="367" w:type="pct"/>
                  <w:vAlign w:val="center"/>
                </w:tcPr>
                <w:p>
                  <w:pPr>
                    <w:adjustRightInd w:val="0"/>
                    <w:snapToGrid w:val="0"/>
                    <w:jc w:val="center"/>
                    <w:rPr>
                      <w:bCs/>
                      <w:szCs w:val="21"/>
                    </w:rPr>
                  </w:pPr>
                  <w:r>
                    <w:rPr>
                      <w:rFonts w:hint="eastAsia"/>
                      <w:bCs/>
                      <w:szCs w:val="21"/>
                    </w:rPr>
                    <w:t>68</w:t>
                  </w:r>
                </w:p>
              </w:tc>
              <w:tc>
                <w:tcPr>
                  <w:tcW w:w="367" w:type="pct"/>
                  <w:vAlign w:val="center"/>
                </w:tcPr>
                <w:p>
                  <w:pPr>
                    <w:adjustRightInd w:val="0"/>
                    <w:snapToGrid w:val="0"/>
                    <w:jc w:val="center"/>
                    <w:rPr>
                      <w:bCs/>
                      <w:szCs w:val="21"/>
                    </w:rPr>
                  </w:pPr>
                  <w:r>
                    <w:rPr>
                      <w:rFonts w:hint="eastAsia"/>
                      <w:bCs/>
                      <w:szCs w:val="21"/>
                    </w:rPr>
                    <w:t>64</w:t>
                  </w:r>
                </w:p>
              </w:tc>
              <w:tc>
                <w:tcPr>
                  <w:tcW w:w="367" w:type="pct"/>
                  <w:vAlign w:val="center"/>
                </w:tcPr>
                <w:p>
                  <w:pPr>
                    <w:adjustRightInd w:val="0"/>
                    <w:snapToGrid w:val="0"/>
                    <w:jc w:val="center"/>
                    <w:rPr>
                      <w:bCs/>
                      <w:szCs w:val="21"/>
                    </w:rPr>
                  </w:pPr>
                  <w:r>
                    <w:rPr>
                      <w:rFonts w:hint="eastAsia"/>
                      <w:bCs/>
                      <w:szCs w:val="21"/>
                    </w:rPr>
                    <w:t>62</w:t>
                  </w:r>
                </w:p>
              </w:tc>
              <w:tc>
                <w:tcPr>
                  <w:tcW w:w="432"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56</w:t>
                  </w:r>
                </w:p>
              </w:tc>
              <w:tc>
                <w:tcPr>
                  <w:tcW w:w="433" w:type="pct"/>
                  <w:vAlign w:val="center"/>
                </w:tcPr>
                <w:p>
                  <w:pPr>
                    <w:adjustRightInd w:val="0"/>
                    <w:snapToGrid w:val="0"/>
                    <w:jc w:val="center"/>
                    <w:rPr>
                      <w:bCs/>
                      <w:szCs w:val="21"/>
                    </w:rPr>
                  </w:pPr>
                  <w:r>
                    <w:rPr>
                      <w:rFonts w:hint="eastAsia"/>
                      <w:bCs/>
                      <w:szCs w:val="21"/>
                    </w:rPr>
                    <w:t>54</w:t>
                  </w:r>
                </w:p>
              </w:tc>
              <w:tc>
                <w:tcPr>
                  <w:tcW w:w="918"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4</w:t>
                  </w:r>
                </w:p>
              </w:tc>
              <w:tc>
                <w:tcPr>
                  <w:tcW w:w="918" w:type="pct"/>
                  <w:vAlign w:val="center"/>
                </w:tcPr>
                <w:p>
                  <w:pPr>
                    <w:jc w:val="center"/>
                    <w:rPr>
                      <w:bCs/>
                      <w:szCs w:val="21"/>
                    </w:rPr>
                  </w:pPr>
                  <w:r>
                    <w:rPr>
                      <w:rFonts w:hint="eastAsia"/>
                    </w:rPr>
                    <w:t>夯土机</w:t>
                  </w:r>
                </w:p>
              </w:tc>
              <w:tc>
                <w:tcPr>
                  <w:tcW w:w="367" w:type="pct"/>
                  <w:vAlign w:val="center"/>
                </w:tcPr>
                <w:p>
                  <w:pPr>
                    <w:adjustRightInd w:val="0"/>
                    <w:snapToGrid w:val="0"/>
                    <w:jc w:val="center"/>
                    <w:rPr>
                      <w:bCs/>
                      <w:szCs w:val="21"/>
                    </w:rPr>
                  </w:pPr>
                  <w:r>
                    <w:rPr>
                      <w:rFonts w:hint="eastAsia"/>
                      <w:bCs/>
                      <w:szCs w:val="21"/>
                    </w:rPr>
                    <w:t>70</w:t>
                  </w:r>
                </w:p>
              </w:tc>
              <w:tc>
                <w:tcPr>
                  <w:tcW w:w="367" w:type="pct"/>
                  <w:vAlign w:val="center"/>
                </w:tcPr>
                <w:p>
                  <w:pPr>
                    <w:adjustRightInd w:val="0"/>
                    <w:snapToGrid w:val="0"/>
                    <w:jc w:val="center"/>
                    <w:rPr>
                      <w:bCs/>
                      <w:szCs w:val="21"/>
                    </w:rPr>
                  </w:pPr>
                  <w:r>
                    <w:rPr>
                      <w:rFonts w:hint="eastAsia"/>
                      <w:bCs/>
                      <w:szCs w:val="21"/>
                    </w:rPr>
                    <w:t>64</w:t>
                  </w:r>
                </w:p>
              </w:tc>
              <w:tc>
                <w:tcPr>
                  <w:tcW w:w="367" w:type="pct"/>
                  <w:vAlign w:val="center"/>
                </w:tcPr>
                <w:p>
                  <w:pPr>
                    <w:adjustRightInd w:val="0"/>
                    <w:snapToGrid w:val="0"/>
                    <w:jc w:val="center"/>
                    <w:rPr>
                      <w:bCs/>
                      <w:szCs w:val="21"/>
                    </w:rPr>
                  </w:pPr>
                  <w:r>
                    <w:rPr>
                      <w:rFonts w:hint="eastAsia"/>
                      <w:bCs/>
                      <w:szCs w:val="21"/>
                    </w:rPr>
                    <w:t>60</w:t>
                  </w:r>
                </w:p>
              </w:tc>
              <w:tc>
                <w:tcPr>
                  <w:tcW w:w="367" w:type="pct"/>
                  <w:vAlign w:val="center"/>
                </w:tcPr>
                <w:p>
                  <w:pPr>
                    <w:adjustRightInd w:val="0"/>
                    <w:snapToGrid w:val="0"/>
                    <w:jc w:val="center"/>
                    <w:rPr>
                      <w:bCs/>
                      <w:szCs w:val="21"/>
                    </w:rPr>
                  </w:pPr>
                  <w:r>
                    <w:rPr>
                      <w:rFonts w:hint="eastAsia"/>
                      <w:bCs/>
                      <w:szCs w:val="21"/>
                    </w:rPr>
                    <w:t>58</w:t>
                  </w:r>
                </w:p>
              </w:tc>
              <w:tc>
                <w:tcPr>
                  <w:tcW w:w="432" w:type="pct"/>
                  <w:vAlign w:val="center"/>
                </w:tcPr>
                <w:p>
                  <w:pPr>
                    <w:adjustRightInd w:val="0"/>
                    <w:snapToGrid w:val="0"/>
                    <w:jc w:val="center"/>
                    <w:rPr>
                      <w:bCs/>
                      <w:szCs w:val="21"/>
                    </w:rPr>
                  </w:pPr>
                  <w:r>
                    <w:rPr>
                      <w:rFonts w:hint="eastAsia"/>
                      <w:bCs/>
                      <w:szCs w:val="21"/>
                    </w:rPr>
                    <w:t>56</w:t>
                  </w:r>
                </w:p>
              </w:tc>
              <w:tc>
                <w:tcPr>
                  <w:tcW w:w="432" w:type="pct"/>
                  <w:vAlign w:val="center"/>
                </w:tcPr>
                <w:p>
                  <w:pPr>
                    <w:adjustRightInd w:val="0"/>
                    <w:snapToGrid w:val="0"/>
                    <w:jc w:val="center"/>
                    <w:rPr>
                      <w:bCs/>
                      <w:szCs w:val="21"/>
                    </w:rPr>
                  </w:pPr>
                  <w:r>
                    <w:rPr>
                      <w:rFonts w:hint="eastAsia"/>
                      <w:bCs/>
                      <w:szCs w:val="21"/>
                    </w:rPr>
                    <w:t>52</w:t>
                  </w:r>
                </w:p>
              </w:tc>
              <w:tc>
                <w:tcPr>
                  <w:tcW w:w="433" w:type="pct"/>
                  <w:vAlign w:val="center"/>
                </w:tcPr>
                <w:p>
                  <w:pPr>
                    <w:adjustRightInd w:val="0"/>
                    <w:snapToGrid w:val="0"/>
                    <w:jc w:val="center"/>
                    <w:rPr>
                      <w:bCs/>
                      <w:szCs w:val="21"/>
                    </w:rPr>
                  </w:pPr>
                  <w:r>
                    <w:rPr>
                      <w:rFonts w:hint="eastAsia"/>
                      <w:bCs/>
                      <w:szCs w:val="21"/>
                    </w:rPr>
                    <w:t>50</w:t>
                  </w:r>
                </w:p>
              </w:tc>
              <w:tc>
                <w:tcPr>
                  <w:tcW w:w="918"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5</w:t>
                  </w:r>
                </w:p>
              </w:tc>
              <w:tc>
                <w:tcPr>
                  <w:tcW w:w="918" w:type="pct"/>
                  <w:vAlign w:val="center"/>
                </w:tcPr>
                <w:p>
                  <w:pPr>
                    <w:jc w:val="center"/>
                    <w:rPr>
                      <w:bCs/>
                      <w:szCs w:val="21"/>
                    </w:rPr>
                  </w:pPr>
                  <w:r>
                    <w:t>混凝土振捣机</w:t>
                  </w:r>
                </w:p>
              </w:tc>
              <w:tc>
                <w:tcPr>
                  <w:tcW w:w="367" w:type="pct"/>
                  <w:vAlign w:val="center"/>
                </w:tcPr>
                <w:p>
                  <w:pPr>
                    <w:adjustRightInd w:val="0"/>
                    <w:snapToGrid w:val="0"/>
                    <w:jc w:val="center"/>
                    <w:rPr>
                      <w:bCs/>
                      <w:szCs w:val="21"/>
                    </w:rPr>
                  </w:pPr>
                  <w:r>
                    <w:rPr>
                      <w:rFonts w:hint="eastAsia"/>
                      <w:bCs/>
                      <w:szCs w:val="21"/>
                    </w:rPr>
                    <w:t>72</w:t>
                  </w:r>
                </w:p>
              </w:tc>
              <w:tc>
                <w:tcPr>
                  <w:tcW w:w="367" w:type="pct"/>
                  <w:vAlign w:val="center"/>
                </w:tcPr>
                <w:p>
                  <w:pPr>
                    <w:adjustRightInd w:val="0"/>
                    <w:snapToGrid w:val="0"/>
                    <w:jc w:val="center"/>
                    <w:rPr>
                      <w:bCs/>
                      <w:szCs w:val="21"/>
                    </w:rPr>
                  </w:pPr>
                  <w:r>
                    <w:rPr>
                      <w:rFonts w:hint="eastAsia"/>
                      <w:bCs/>
                      <w:szCs w:val="21"/>
                    </w:rPr>
                    <w:t>66</w:t>
                  </w:r>
                </w:p>
              </w:tc>
              <w:tc>
                <w:tcPr>
                  <w:tcW w:w="367" w:type="pct"/>
                  <w:vAlign w:val="center"/>
                </w:tcPr>
                <w:p>
                  <w:pPr>
                    <w:adjustRightInd w:val="0"/>
                    <w:snapToGrid w:val="0"/>
                    <w:jc w:val="center"/>
                    <w:rPr>
                      <w:bCs/>
                      <w:szCs w:val="21"/>
                    </w:rPr>
                  </w:pPr>
                  <w:r>
                    <w:rPr>
                      <w:rFonts w:hint="eastAsia"/>
                      <w:bCs/>
                      <w:szCs w:val="21"/>
                    </w:rPr>
                    <w:t>62</w:t>
                  </w:r>
                </w:p>
              </w:tc>
              <w:tc>
                <w:tcPr>
                  <w:tcW w:w="367"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58</w:t>
                  </w:r>
                </w:p>
              </w:tc>
              <w:tc>
                <w:tcPr>
                  <w:tcW w:w="432" w:type="pct"/>
                  <w:vAlign w:val="center"/>
                </w:tcPr>
                <w:p>
                  <w:pPr>
                    <w:adjustRightInd w:val="0"/>
                    <w:snapToGrid w:val="0"/>
                    <w:jc w:val="center"/>
                    <w:rPr>
                      <w:bCs/>
                      <w:szCs w:val="21"/>
                    </w:rPr>
                  </w:pPr>
                  <w:r>
                    <w:rPr>
                      <w:rFonts w:hint="eastAsia"/>
                      <w:bCs/>
                      <w:szCs w:val="21"/>
                    </w:rPr>
                    <w:t>54</w:t>
                  </w:r>
                </w:p>
              </w:tc>
              <w:tc>
                <w:tcPr>
                  <w:tcW w:w="433" w:type="pct"/>
                  <w:vAlign w:val="center"/>
                </w:tcPr>
                <w:p>
                  <w:pPr>
                    <w:adjustRightInd w:val="0"/>
                    <w:snapToGrid w:val="0"/>
                    <w:jc w:val="center"/>
                    <w:rPr>
                      <w:bCs/>
                      <w:szCs w:val="21"/>
                    </w:rPr>
                  </w:pPr>
                  <w:r>
                    <w:rPr>
                      <w:rFonts w:hint="eastAsia"/>
                      <w:bCs/>
                      <w:szCs w:val="21"/>
                    </w:rPr>
                    <w:t>52</w:t>
                  </w:r>
                </w:p>
              </w:tc>
              <w:tc>
                <w:tcPr>
                  <w:tcW w:w="918" w:type="pct"/>
                  <w:vAlign w:val="center"/>
                </w:tcPr>
                <w:p>
                  <w:pPr>
                    <w:adjustRightInd w:val="0"/>
                    <w:snapToGrid w:val="0"/>
                    <w:jc w:val="center"/>
                    <w:rPr>
                      <w:bCs/>
                      <w:szCs w:val="21"/>
                    </w:rPr>
                  </w:pPr>
                  <w:r>
                    <w:rPr>
                      <w:rFonts w:hint="eastAsia"/>
                      <w:bCs/>
                      <w:szCs w:val="21"/>
                    </w:rPr>
                    <w:t>结构施工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6</w:t>
                  </w:r>
                </w:p>
              </w:tc>
              <w:tc>
                <w:tcPr>
                  <w:tcW w:w="918" w:type="pct"/>
                  <w:vAlign w:val="center"/>
                </w:tcPr>
                <w:p>
                  <w:pPr>
                    <w:jc w:val="center"/>
                    <w:rPr>
                      <w:bCs/>
                      <w:szCs w:val="21"/>
                    </w:rPr>
                  </w:pPr>
                  <w:r>
                    <w:t>运输车辆</w:t>
                  </w:r>
                </w:p>
              </w:tc>
              <w:tc>
                <w:tcPr>
                  <w:tcW w:w="367" w:type="pct"/>
                  <w:vAlign w:val="center"/>
                </w:tcPr>
                <w:p>
                  <w:pPr>
                    <w:adjustRightInd w:val="0"/>
                    <w:snapToGrid w:val="0"/>
                    <w:jc w:val="center"/>
                    <w:rPr>
                      <w:bCs/>
                      <w:szCs w:val="21"/>
                    </w:rPr>
                  </w:pPr>
                  <w:r>
                    <w:rPr>
                      <w:rFonts w:hint="eastAsia"/>
                      <w:bCs/>
                      <w:szCs w:val="21"/>
                    </w:rPr>
                    <w:t>74</w:t>
                  </w:r>
                </w:p>
              </w:tc>
              <w:tc>
                <w:tcPr>
                  <w:tcW w:w="367" w:type="pct"/>
                  <w:vAlign w:val="center"/>
                </w:tcPr>
                <w:p>
                  <w:pPr>
                    <w:adjustRightInd w:val="0"/>
                    <w:snapToGrid w:val="0"/>
                    <w:jc w:val="center"/>
                    <w:rPr>
                      <w:bCs/>
                      <w:szCs w:val="21"/>
                    </w:rPr>
                  </w:pPr>
                  <w:r>
                    <w:rPr>
                      <w:rFonts w:hint="eastAsia"/>
                      <w:bCs/>
                      <w:szCs w:val="21"/>
                    </w:rPr>
                    <w:t>68</w:t>
                  </w:r>
                </w:p>
              </w:tc>
              <w:tc>
                <w:tcPr>
                  <w:tcW w:w="367" w:type="pct"/>
                  <w:vAlign w:val="center"/>
                </w:tcPr>
                <w:p>
                  <w:pPr>
                    <w:adjustRightInd w:val="0"/>
                    <w:snapToGrid w:val="0"/>
                    <w:jc w:val="center"/>
                    <w:rPr>
                      <w:bCs/>
                      <w:szCs w:val="21"/>
                    </w:rPr>
                  </w:pPr>
                  <w:r>
                    <w:rPr>
                      <w:rFonts w:hint="eastAsia"/>
                      <w:bCs/>
                      <w:szCs w:val="21"/>
                    </w:rPr>
                    <w:t>64</w:t>
                  </w:r>
                </w:p>
              </w:tc>
              <w:tc>
                <w:tcPr>
                  <w:tcW w:w="367" w:type="pct"/>
                  <w:vAlign w:val="center"/>
                </w:tcPr>
                <w:p>
                  <w:pPr>
                    <w:adjustRightInd w:val="0"/>
                    <w:snapToGrid w:val="0"/>
                    <w:jc w:val="center"/>
                    <w:rPr>
                      <w:bCs/>
                      <w:szCs w:val="21"/>
                    </w:rPr>
                  </w:pPr>
                  <w:r>
                    <w:rPr>
                      <w:rFonts w:hint="eastAsia"/>
                      <w:bCs/>
                      <w:szCs w:val="21"/>
                    </w:rPr>
                    <w:t>62</w:t>
                  </w:r>
                </w:p>
              </w:tc>
              <w:tc>
                <w:tcPr>
                  <w:tcW w:w="432"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56</w:t>
                  </w:r>
                </w:p>
              </w:tc>
              <w:tc>
                <w:tcPr>
                  <w:tcW w:w="433" w:type="pct"/>
                  <w:vAlign w:val="center"/>
                </w:tcPr>
                <w:p>
                  <w:pPr>
                    <w:adjustRightInd w:val="0"/>
                    <w:snapToGrid w:val="0"/>
                    <w:jc w:val="center"/>
                    <w:rPr>
                      <w:bCs/>
                      <w:szCs w:val="21"/>
                    </w:rPr>
                  </w:pPr>
                  <w:r>
                    <w:rPr>
                      <w:rFonts w:hint="eastAsia"/>
                      <w:bCs/>
                      <w:szCs w:val="21"/>
                    </w:rPr>
                    <w:t>54</w:t>
                  </w:r>
                </w:p>
              </w:tc>
              <w:tc>
                <w:tcPr>
                  <w:tcW w:w="918" w:type="pct"/>
                  <w:vMerge w:val="restart"/>
                  <w:vAlign w:val="center"/>
                </w:tcPr>
                <w:p>
                  <w:pPr>
                    <w:adjustRightInd w:val="0"/>
                    <w:snapToGrid w:val="0"/>
                    <w:jc w:val="center"/>
                    <w:rPr>
                      <w:bCs/>
                      <w:szCs w:val="21"/>
                    </w:rPr>
                  </w:pPr>
                  <w:r>
                    <w:rPr>
                      <w:rFonts w:hint="eastAsia"/>
                      <w:bCs/>
                      <w:szCs w:val="21"/>
                    </w:rPr>
                    <w:t>设备安装调试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pPr>
                    <w:adjustRightInd w:val="0"/>
                    <w:snapToGrid w:val="0"/>
                    <w:jc w:val="center"/>
                    <w:rPr>
                      <w:bCs/>
                      <w:szCs w:val="21"/>
                    </w:rPr>
                  </w:pPr>
                  <w:r>
                    <w:rPr>
                      <w:rFonts w:hint="eastAsia"/>
                      <w:bCs/>
                      <w:szCs w:val="21"/>
                    </w:rPr>
                    <w:t>7</w:t>
                  </w:r>
                </w:p>
              </w:tc>
              <w:tc>
                <w:tcPr>
                  <w:tcW w:w="918" w:type="pct"/>
                  <w:vAlign w:val="center"/>
                </w:tcPr>
                <w:p>
                  <w:pPr>
                    <w:jc w:val="center"/>
                    <w:rPr>
                      <w:bCs/>
                      <w:szCs w:val="21"/>
                    </w:rPr>
                  </w:pPr>
                  <w:r>
                    <w:rPr>
                      <w:rFonts w:hint="eastAsia"/>
                    </w:rPr>
                    <w:t>吊装车</w:t>
                  </w:r>
                </w:p>
              </w:tc>
              <w:tc>
                <w:tcPr>
                  <w:tcW w:w="367" w:type="pct"/>
                  <w:vAlign w:val="center"/>
                </w:tcPr>
                <w:p>
                  <w:pPr>
                    <w:adjustRightInd w:val="0"/>
                    <w:snapToGrid w:val="0"/>
                    <w:jc w:val="center"/>
                    <w:rPr>
                      <w:bCs/>
                      <w:szCs w:val="21"/>
                    </w:rPr>
                  </w:pPr>
                  <w:r>
                    <w:rPr>
                      <w:rFonts w:hint="eastAsia"/>
                      <w:bCs/>
                      <w:szCs w:val="21"/>
                    </w:rPr>
                    <w:t>74</w:t>
                  </w:r>
                </w:p>
              </w:tc>
              <w:tc>
                <w:tcPr>
                  <w:tcW w:w="367" w:type="pct"/>
                  <w:vAlign w:val="center"/>
                </w:tcPr>
                <w:p>
                  <w:pPr>
                    <w:adjustRightInd w:val="0"/>
                    <w:snapToGrid w:val="0"/>
                    <w:jc w:val="center"/>
                    <w:rPr>
                      <w:bCs/>
                      <w:szCs w:val="21"/>
                    </w:rPr>
                  </w:pPr>
                  <w:r>
                    <w:rPr>
                      <w:rFonts w:hint="eastAsia"/>
                      <w:bCs/>
                      <w:szCs w:val="21"/>
                    </w:rPr>
                    <w:t>68</w:t>
                  </w:r>
                </w:p>
              </w:tc>
              <w:tc>
                <w:tcPr>
                  <w:tcW w:w="367" w:type="pct"/>
                  <w:vAlign w:val="center"/>
                </w:tcPr>
                <w:p>
                  <w:pPr>
                    <w:adjustRightInd w:val="0"/>
                    <w:snapToGrid w:val="0"/>
                    <w:jc w:val="center"/>
                    <w:rPr>
                      <w:bCs/>
                      <w:szCs w:val="21"/>
                    </w:rPr>
                  </w:pPr>
                  <w:r>
                    <w:rPr>
                      <w:rFonts w:hint="eastAsia"/>
                      <w:bCs/>
                      <w:szCs w:val="21"/>
                    </w:rPr>
                    <w:t>64</w:t>
                  </w:r>
                </w:p>
              </w:tc>
              <w:tc>
                <w:tcPr>
                  <w:tcW w:w="367" w:type="pct"/>
                  <w:vAlign w:val="center"/>
                </w:tcPr>
                <w:p>
                  <w:pPr>
                    <w:adjustRightInd w:val="0"/>
                    <w:snapToGrid w:val="0"/>
                    <w:jc w:val="center"/>
                    <w:rPr>
                      <w:bCs/>
                      <w:szCs w:val="21"/>
                    </w:rPr>
                  </w:pPr>
                  <w:r>
                    <w:rPr>
                      <w:rFonts w:hint="eastAsia"/>
                      <w:bCs/>
                      <w:szCs w:val="21"/>
                    </w:rPr>
                    <w:t>62</w:t>
                  </w:r>
                </w:p>
              </w:tc>
              <w:tc>
                <w:tcPr>
                  <w:tcW w:w="432" w:type="pct"/>
                  <w:vAlign w:val="center"/>
                </w:tcPr>
                <w:p>
                  <w:pPr>
                    <w:adjustRightInd w:val="0"/>
                    <w:snapToGrid w:val="0"/>
                    <w:jc w:val="center"/>
                    <w:rPr>
                      <w:bCs/>
                      <w:szCs w:val="21"/>
                    </w:rPr>
                  </w:pPr>
                  <w:r>
                    <w:rPr>
                      <w:rFonts w:hint="eastAsia"/>
                      <w:bCs/>
                      <w:szCs w:val="21"/>
                    </w:rPr>
                    <w:t>60</w:t>
                  </w:r>
                </w:p>
              </w:tc>
              <w:tc>
                <w:tcPr>
                  <w:tcW w:w="432" w:type="pct"/>
                  <w:vAlign w:val="center"/>
                </w:tcPr>
                <w:p>
                  <w:pPr>
                    <w:adjustRightInd w:val="0"/>
                    <w:snapToGrid w:val="0"/>
                    <w:jc w:val="center"/>
                    <w:rPr>
                      <w:bCs/>
                      <w:szCs w:val="21"/>
                    </w:rPr>
                  </w:pPr>
                  <w:r>
                    <w:rPr>
                      <w:rFonts w:hint="eastAsia"/>
                      <w:bCs/>
                      <w:szCs w:val="21"/>
                    </w:rPr>
                    <w:t>56</w:t>
                  </w:r>
                </w:p>
              </w:tc>
              <w:tc>
                <w:tcPr>
                  <w:tcW w:w="433" w:type="pct"/>
                  <w:vAlign w:val="center"/>
                </w:tcPr>
                <w:p>
                  <w:pPr>
                    <w:adjustRightInd w:val="0"/>
                    <w:snapToGrid w:val="0"/>
                    <w:jc w:val="center"/>
                    <w:rPr>
                      <w:bCs/>
                      <w:szCs w:val="21"/>
                    </w:rPr>
                  </w:pPr>
                  <w:r>
                    <w:rPr>
                      <w:rFonts w:hint="eastAsia"/>
                      <w:bCs/>
                      <w:szCs w:val="21"/>
                    </w:rPr>
                    <w:t>54</w:t>
                  </w:r>
                </w:p>
              </w:tc>
              <w:tc>
                <w:tcPr>
                  <w:tcW w:w="918" w:type="pct"/>
                  <w:vMerge w:val="continue"/>
                  <w:vAlign w:val="center"/>
                </w:tcPr>
                <w:p>
                  <w:pPr>
                    <w:adjustRightInd w:val="0"/>
                    <w:snapToGrid w:val="0"/>
                    <w:jc w:val="center"/>
                    <w:rPr>
                      <w:bCs/>
                      <w:szCs w:val="21"/>
                    </w:rPr>
                  </w:pPr>
                </w:p>
              </w:tc>
            </w:tr>
          </w:tbl>
          <w:p>
            <w:pPr>
              <w:numPr>
                <w:ilvl w:val="0"/>
                <w:numId w:val="3"/>
              </w:numPr>
              <w:adjustRightInd w:val="0"/>
              <w:snapToGrid w:val="0"/>
              <w:spacing w:line="360" w:lineRule="auto"/>
              <w:ind w:firstLine="480" w:firstLineChars="200"/>
              <w:rPr>
                <w:bCs/>
                <w:sz w:val="24"/>
              </w:rPr>
            </w:pPr>
            <w:r>
              <w:rPr>
                <w:rFonts w:hint="eastAsia"/>
                <w:bCs/>
                <w:sz w:val="24"/>
              </w:rPr>
              <w:t>施工噪声影响分析</w:t>
            </w:r>
          </w:p>
          <w:p>
            <w:pPr>
              <w:adjustRightInd w:val="0"/>
              <w:snapToGrid w:val="0"/>
              <w:spacing w:line="360" w:lineRule="auto"/>
              <w:ind w:firstLine="480" w:firstLineChars="200"/>
              <w:rPr>
                <w:bCs/>
                <w:sz w:val="24"/>
              </w:rPr>
            </w:pPr>
            <w:r>
              <w:rPr>
                <w:bCs/>
                <w:sz w:val="24"/>
              </w:rPr>
              <w:t>由上表可知，</w:t>
            </w:r>
            <w:r>
              <w:rPr>
                <w:rFonts w:hint="eastAsia"/>
                <w:bCs/>
                <w:sz w:val="24"/>
              </w:rPr>
              <w:t>昼间</w:t>
            </w:r>
            <w:r>
              <w:rPr>
                <w:bCs/>
                <w:sz w:val="24"/>
              </w:rPr>
              <w:t>施工噪声</w:t>
            </w:r>
            <w:r>
              <w:rPr>
                <w:rFonts w:hint="eastAsia"/>
                <w:bCs/>
                <w:sz w:val="24"/>
              </w:rPr>
              <w:t>超过</w:t>
            </w:r>
            <w:r>
              <w:rPr>
                <w:bCs/>
                <w:sz w:val="24"/>
              </w:rPr>
              <w:t>《建筑施工场界环境噪声排放标准》（GB12523-2011）</w:t>
            </w:r>
            <w:r>
              <w:rPr>
                <w:rFonts w:hint="eastAsia"/>
                <w:bCs/>
                <w:sz w:val="24"/>
              </w:rPr>
              <w:t>的情况出现在距声源40m范围内，夜间</w:t>
            </w:r>
            <w:r>
              <w:rPr>
                <w:bCs/>
                <w:sz w:val="24"/>
              </w:rPr>
              <w:t>施工噪声</w:t>
            </w:r>
            <w:r>
              <w:rPr>
                <w:rFonts w:hint="eastAsia"/>
                <w:bCs/>
                <w:sz w:val="24"/>
              </w:rPr>
              <w:t>超过</w:t>
            </w:r>
            <w:r>
              <w:rPr>
                <w:bCs/>
                <w:sz w:val="24"/>
              </w:rPr>
              <w:t>《建筑施工场界环境噪声排放标准》（GB12523-2011）</w:t>
            </w:r>
            <w:r>
              <w:rPr>
                <w:rFonts w:hint="eastAsia"/>
                <w:bCs/>
                <w:sz w:val="24"/>
              </w:rPr>
              <w:t>的情况出现在距声源200m范围内。</w:t>
            </w:r>
          </w:p>
          <w:p>
            <w:pPr>
              <w:adjustRightInd w:val="0"/>
              <w:snapToGrid w:val="0"/>
              <w:spacing w:line="360" w:lineRule="auto"/>
              <w:ind w:firstLine="480" w:firstLineChars="200"/>
              <w:rPr>
                <w:rFonts w:ascii="黑体"/>
                <w:bCs/>
                <w:sz w:val="24"/>
              </w:rPr>
            </w:pPr>
            <w:r>
              <w:rPr>
                <w:rFonts w:hint="eastAsia"/>
                <w:bCs/>
                <w:sz w:val="24"/>
              </w:rPr>
              <w:t>距离施工场地最近的敏感点为</w:t>
            </w:r>
            <w:r>
              <w:rPr>
                <w:rFonts w:hint="eastAsia" w:hAnsi="宋体"/>
                <w:sz w:val="24"/>
              </w:rPr>
              <w:t>东南</w:t>
            </w:r>
            <w:r>
              <w:rPr>
                <w:sz w:val="24"/>
              </w:rPr>
              <w:t>侧</w:t>
            </w:r>
            <w:r>
              <w:rPr>
                <w:rFonts w:hint="eastAsia"/>
                <w:sz w:val="24"/>
              </w:rPr>
              <w:t>230</w:t>
            </w:r>
            <w:r>
              <w:rPr>
                <w:sz w:val="24"/>
              </w:rPr>
              <w:t>m</w:t>
            </w:r>
            <w:r>
              <w:rPr>
                <w:rFonts w:hint="eastAsia" w:hAnsi="宋体"/>
                <w:sz w:val="24"/>
              </w:rPr>
              <w:t>处</w:t>
            </w:r>
            <w:r>
              <w:rPr>
                <w:rFonts w:hAnsi="宋体"/>
                <w:sz w:val="24"/>
              </w:rPr>
              <w:t>的</w:t>
            </w:r>
            <w:r>
              <w:rPr>
                <w:rFonts w:hint="eastAsia" w:hAnsi="宋体"/>
                <w:sz w:val="24"/>
              </w:rPr>
              <w:t>西边仙庄村，施工场地与敏感点距离较远，根据预测结果知，本项目施工期噪声</w:t>
            </w:r>
            <w:r>
              <w:rPr>
                <w:sz w:val="24"/>
              </w:rPr>
              <w:t>不会对周围敏感点声环境产生不利影响</w:t>
            </w:r>
            <w:r>
              <w:rPr>
                <w:rFonts w:hint="eastAsia"/>
                <w:sz w:val="24"/>
              </w:rPr>
              <w:t>。</w:t>
            </w:r>
          </w:p>
          <w:p>
            <w:pPr>
              <w:adjustRightInd w:val="0"/>
              <w:snapToGrid w:val="0"/>
              <w:spacing w:line="360" w:lineRule="auto"/>
              <w:ind w:firstLine="480" w:firstLineChars="200"/>
              <w:rPr>
                <w:sz w:val="24"/>
              </w:rPr>
            </w:pPr>
            <w:r>
              <w:rPr>
                <w:sz w:val="24"/>
              </w:rPr>
              <w:t>同时，为减轻施工噪声对周围敏感点产生的影响，本评价提出如下要求：</w:t>
            </w:r>
          </w:p>
          <w:p>
            <w:pPr>
              <w:adjustRightInd w:val="0"/>
              <w:snapToGrid w:val="0"/>
              <w:spacing w:line="360" w:lineRule="auto"/>
              <w:ind w:firstLine="480" w:firstLineChars="200"/>
              <w:rPr>
                <w:sz w:val="24"/>
              </w:rPr>
            </w:pPr>
            <w:r>
              <w:rPr>
                <w:sz w:val="24"/>
              </w:rPr>
              <w:t>①选用先进的低噪声技术和设备，同时在施工过程中应设置专人对设备进行保养和维护，严格按照操作规范使用。</w:t>
            </w:r>
          </w:p>
          <w:p>
            <w:pPr>
              <w:adjustRightInd w:val="0"/>
              <w:snapToGrid w:val="0"/>
              <w:spacing w:line="360" w:lineRule="auto"/>
              <w:ind w:firstLine="480" w:firstLineChars="200"/>
              <w:rPr>
                <w:sz w:val="24"/>
              </w:rPr>
            </w:pPr>
            <w:r>
              <w:rPr>
                <w:sz w:val="24"/>
              </w:rPr>
              <w:t>②车辆运输路线应尽量远离敏感区，车辆出入厂区时应低速、禁鸣。</w:t>
            </w:r>
          </w:p>
          <w:p>
            <w:pPr>
              <w:adjustRightInd w:val="0"/>
              <w:snapToGrid w:val="0"/>
              <w:spacing w:line="360" w:lineRule="auto"/>
              <w:ind w:firstLine="480" w:firstLineChars="200"/>
              <w:rPr>
                <w:sz w:val="24"/>
              </w:rPr>
            </w:pPr>
            <w:r>
              <w:rPr>
                <w:sz w:val="24"/>
              </w:rPr>
              <w:t>③充分利用现有厂房布置产噪设备，减轻噪声对周围环境的影响。</w:t>
            </w:r>
          </w:p>
          <w:p>
            <w:pPr>
              <w:pStyle w:val="66"/>
              <w:adjustRightInd w:val="0"/>
              <w:snapToGrid w:val="0"/>
              <w:spacing w:line="360" w:lineRule="auto"/>
              <w:rPr>
                <w:szCs w:val="24"/>
              </w:rPr>
            </w:pPr>
            <w:r>
              <w:rPr>
                <w:szCs w:val="24"/>
              </w:rPr>
              <w:t>以上施工期影响均为短期影响，将会随施工期的结束而消除，在落实以上污染防治措施后不会对周围环境产生明显影响。</w:t>
            </w:r>
          </w:p>
          <w:p>
            <w:pPr>
              <w:adjustRightInd w:val="0"/>
              <w:snapToGrid w:val="0"/>
              <w:spacing w:line="360" w:lineRule="auto"/>
              <w:ind w:firstLine="480" w:firstLineChars="200"/>
              <w:rPr>
                <w:sz w:val="24"/>
              </w:rPr>
            </w:pPr>
            <w:r>
              <w:rPr>
                <w:sz w:val="24"/>
              </w:rPr>
              <w:t>3、水环境影响分析</w:t>
            </w:r>
          </w:p>
          <w:p>
            <w:pPr>
              <w:pStyle w:val="66"/>
              <w:adjustRightInd w:val="0"/>
              <w:snapToGrid w:val="0"/>
              <w:spacing w:line="360" w:lineRule="auto"/>
              <w:rPr>
                <w:snapToGrid w:val="0"/>
                <w:kern w:val="0"/>
                <w:szCs w:val="24"/>
              </w:rPr>
            </w:pPr>
            <w:r>
              <w:rPr>
                <w:snapToGrid w:val="0"/>
                <w:kern w:val="0"/>
                <w:szCs w:val="24"/>
              </w:rPr>
              <w:t>项目施工期废水主要为施工作业废水和施工人员的生活污水。</w:t>
            </w:r>
          </w:p>
          <w:p>
            <w:pPr>
              <w:pStyle w:val="66"/>
              <w:adjustRightInd w:val="0"/>
              <w:snapToGrid w:val="0"/>
              <w:spacing w:line="360" w:lineRule="auto"/>
              <w:rPr>
                <w:snapToGrid w:val="0"/>
                <w:kern w:val="0"/>
                <w:szCs w:val="24"/>
              </w:rPr>
            </w:pPr>
            <w:r>
              <w:rPr>
                <w:snapToGrid w:val="0"/>
                <w:kern w:val="0"/>
                <w:szCs w:val="24"/>
              </w:rPr>
              <w:t>施工作业废水包括砂石冲洗水，混凝土养护水、场地冲洗水以及机械设备运转的冷却水和洗涤水、混凝土输送系统冲洗废水等，这部分废水除含有少量的油污和泥砂外，基本没有其它污染指标。工程施工期间，施工单位应严格执行《建筑工程施工场地文明施工及环境暂行规定》，采取以下施工废水污染防治措施：</w:t>
            </w:r>
          </w:p>
          <w:p>
            <w:pPr>
              <w:pStyle w:val="66"/>
              <w:adjustRightInd w:val="0"/>
              <w:snapToGrid w:val="0"/>
              <w:spacing w:line="360" w:lineRule="auto"/>
              <w:rPr>
                <w:snapToGrid w:val="0"/>
                <w:kern w:val="0"/>
                <w:szCs w:val="24"/>
              </w:rPr>
            </w:pPr>
            <w:r>
              <w:rPr>
                <w:snapToGrid w:val="0"/>
                <w:kern w:val="0"/>
                <w:szCs w:val="24"/>
              </w:rPr>
              <w:t>（1）施工时产生的砂石冲洗水，混凝土养护水、场地冲洗水以及机械设备运转的冷却水和洗涤水、混凝土输送系统冲洗废水等应设置临时沉砂池，经沉砂池沉淀处理后回用于砂石骨料加工、周围区域绿化及道路降尘用水，禁止排入地表水体系内污染水体。工程完工后，尽快对周边进行绿化、恢复或地面硬化。</w:t>
            </w:r>
          </w:p>
          <w:p>
            <w:pPr>
              <w:pStyle w:val="66"/>
              <w:adjustRightInd w:val="0"/>
              <w:snapToGrid w:val="0"/>
              <w:spacing w:line="360" w:lineRule="auto"/>
              <w:rPr>
                <w:snapToGrid w:val="0"/>
                <w:kern w:val="0"/>
                <w:szCs w:val="24"/>
              </w:rPr>
            </w:pPr>
            <w:r>
              <w:rPr>
                <w:snapToGrid w:val="0"/>
                <w:kern w:val="0"/>
                <w:szCs w:val="24"/>
              </w:rPr>
              <w:t>（2）对施工流动机械的冲洗设固定场所，冲洗水进入沉淀池处理后全部回用于砂石骨料加工及道路降尘用水，禁止排入地表水体。</w:t>
            </w:r>
          </w:p>
          <w:p>
            <w:pPr>
              <w:pStyle w:val="66"/>
              <w:adjustRightInd w:val="0"/>
              <w:snapToGrid w:val="0"/>
              <w:spacing w:line="360" w:lineRule="auto"/>
              <w:rPr>
                <w:snapToGrid w:val="0"/>
                <w:kern w:val="0"/>
                <w:szCs w:val="24"/>
              </w:rPr>
            </w:pPr>
            <w:r>
              <w:rPr>
                <w:snapToGrid w:val="0"/>
                <w:kern w:val="0"/>
                <w:szCs w:val="24"/>
              </w:rPr>
              <w:t>（3）施工单位对施工场地用水应严格管理，贯彻“一水多用、重复利用、节约用水”的原则，尽量减少废水的排放量，减轻废水排放对周围环境的影响。骨料清洗废水经沉淀处理后循环使用，多余部分可用作低标号砂浆搅和用水。</w:t>
            </w:r>
          </w:p>
          <w:p>
            <w:pPr>
              <w:pStyle w:val="66"/>
              <w:adjustRightInd w:val="0"/>
              <w:snapToGrid w:val="0"/>
              <w:spacing w:line="360" w:lineRule="auto"/>
              <w:rPr>
                <w:snapToGrid w:val="0"/>
                <w:kern w:val="0"/>
                <w:szCs w:val="24"/>
              </w:rPr>
            </w:pPr>
            <w:r>
              <w:rPr>
                <w:snapToGrid w:val="0"/>
                <w:kern w:val="0"/>
                <w:szCs w:val="24"/>
              </w:rPr>
              <w:t>（4）加强施工期工地用水管理，节约用水，尽可能避免施工用水过程中的“跑、冒、滴、漏”，减少施工废水外排量。</w:t>
            </w:r>
          </w:p>
          <w:p>
            <w:pPr>
              <w:pStyle w:val="66"/>
              <w:adjustRightInd w:val="0"/>
              <w:snapToGrid w:val="0"/>
              <w:spacing w:line="360" w:lineRule="auto"/>
              <w:rPr>
                <w:snapToGrid w:val="0"/>
                <w:kern w:val="0"/>
                <w:szCs w:val="24"/>
              </w:rPr>
            </w:pPr>
            <w:r>
              <w:rPr>
                <w:snapToGrid w:val="0"/>
                <w:kern w:val="0"/>
                <w:szCs w:val="24"/>
              </w:rPr>
              <w:t>施工人员的生活污水水质简单且水量较小，采取以下措施：用于施工场地泼洒地面抑尘，</w:t>
            </w:r>
            <w:r>
              <w:rPr>
                <w:rFonts w:hint="eastAsia"/>
                <w:snapToGrid w:val="0"/>
                <w:kern w:val="0"/>
                <w:szCs w:val="24"/>
              </w:rPr>
              <w:t>设临时</w:t>
            </w:r>
            <w:r>
              <w:rPr>
                <w:snapToGrid w:val="0"/>
                <w:kern w:val="0"/>
                <w:szCs w:val="24"/>
              </w:rPr>
              <w:t>旱厕，定期清掏外运作农肥。</w:t>
            </w:r>
          </w:p>
          <w:p>
            <w:pPr>
              <w:widowControl/>
              <w:spacing w:line="360" w:lineRule="auto"/>
              <w:ind w:firstLine="480" w:firstLineChars="200"/>
              <w:rPr>
                <w:kern w:val="44"/>
                <w:sz w:val="24"/>
              </w:rPr>
            </w:pPr>
            <w:r>
              <w:rPr>
                <w:kern w:val="44"/>
                <w:sz w:val="24"/>
              </w:rPr>
              <w:t>综上所述，施工期废水的环境影响是短期的，且受人为影响较大，只要加强现场施工管理，并采取以上防护措施后，项目施工期废水对区域水环境影响</w:t>
            </w:r>
            <w:r>
              <w:rPr>
                <w:rFonts w:hint="eastAsia"/>
                <w:kern w:val="44"/>
                <w:sz w:val="24"/>
              </w:rPr>
              <w:t>较小</w:t>
            </w:r>
            <w:r>
              <w:rPr>
                <w:kern w:val="44"/>
                <w:sz w:val="24"/>
              </w:rPr>
              <w:t>。</w:t>
            </w:r>
          </w:p>
          <w:p>
            <w:pPr>
              <w:pStyle w:val="66"/>
              <w:adjustRightInd w:val="0"/>
              <w:snapToGrid w:val="0"/>
              <w:spacing w:line="360" w:lineRule="auto"/>
              <w:rPr>
                <w:bCs/>
                <w:szCs w:val="24"/>
              </w:rPr>
            </w:pPr>
            <w:r>
              <w:rPr>
                <w:bCs/>
                <w:szCs w:val="24"/>
              </w:rPr>
              <w:t>4、固体废物环境影响分析</w:t>
            </w:r>
          </w:p>
          <w:p>
            <w:pPr>
              <w:pStyle w:val="66"/>
              <w:adjustRightInd w:val="0"/>
              <w:snapToGrid w:val="0"/>
              <w:spacing w:line="360" w:lineRule="auto"/>
              <w:rPr>
                <w:szCs w:val="24"/>
              </w:rPr>
            </w:pPr>
            <w:r>
              <w:rPr>
                <w:szCs w:val="24"/>
              </w:rPr>
              <w:t>施工中产生的固体废物主要有：基础工程产生的工程渣土，主体工程施工和装修工程施工产生的建筑垃圾和施工人员产生的生活垃圾。施工单位应按照国家和地方有关建筑垃圾和工程渣土处置管理的规定，认真执行《中华人民共和国固体废物污染防治法》</w:t>
            </w:r>
            <w:r>
              <w:rPr>
                <w:rFonts w:hint="eastAsia"/>
                <w:szCs w:val="24"/>
              </w:rPr>
              <w:t>。</w:t>
            </w:r>
            <w:r>
              <w:rPr>
                <w:szCs w:val="24"/>
              </w:rPr>
              <w:t>在施工期间固体废弃物的处置过程中，为最大限度避免和减轻建筑垃圾对周围声环境的不利影响，本评价要求建设单位施工期采取以下控制对策和措施：</w:t>
            </w:r>
          </w:p>
          <w:p>
            <w:pPr>
              <w:pStyle w:val="66"/>
              <w:numPr>
                <w:ilvl w:val="0"/>
                <w:numId w:val="4"/>
              </w:numPr>
              <w:adjustRightInd w:val="0"/>
              <w:snapToGrid w:val="0"/>
              <w:spacing w:line="360" w:lineRule="auto"/>
              <w:rPr>
                <w:szCs w:val="24"/>
              </w:rPr>
            </w:pPr>
            <w:r>
              <w:rPr>
                <w:szCs w:val="24"/>
              </w:rPr>
              <w:t>施工单位在开工前，应当与有关部门签订环境卫生责任书，对施工过程中产生和各类建筑垃圾应当及时清理，保持施工现场整洁。</w:t>
            </w:r>
          </w:p>
          <w:p>
            <w:pPr>
              <w:pStyle w:val="66"/>
              <w:adjustRightInd w:val="0"/>
              <w:snapToGrid w:val="0"/>
              <w:spacing w:line="360" w:lineRule="auto"/>
              <w:rPr>
                <w:szCs w:val="24"/>
              </w:rPr>
            </w:pPr>
            <w:r>
              <w:rPr>
                <w:szCs w:val="24"/>
              </w:rPr>
              <w:t>（2）渣土尽量在场内周转，就地用地绿化，建筑垃圾中可回收利用的尽量回收利用，必须外运的弃土以及建设垃圾应运至专门的建筑垃圾填埋场；生活垃圾产生量较小，集中收集后交由环卫部门统一处置。</w:t>
            </w:r>
          </w:p>
          <w:p>
            <w:pPr>
              <w:pStyle w:val="66"/>
              <w:adjustRightInd w:val="0"/>
              <w:snapToGrid w:val="0"/>
              <w:spacing w:line="360" w:lineRule="auto"/>
              <w:rPr>
                <w:szCs w:val="24"/>
              </w:rPr>
            </w:pPr>
            <w:r>
              <w:rPr>
                <w:szCs w:val="24"/>
              </w:rPr>
              <w:t>（3）在项目竣工后，施工单位应拆除各种临时施工设施，并负责将工地的剩余建筑垃圾、工程渣土处理干净，做到“工完、料尽、场地清”，建设单位应负责督促施工单位的固体废弃物处置清理工作。</w:t>
            </w:r>
          </w:p>
          <w:p>
            <w:pPr>
              <w:pStyle w:val="66"/>
              <w:adjustRightInd w:val="0"/>
              <w:snapToGrid w:val="0"/>
              <w:spacing w:line="360" w:lineRule="auto"/>
              <w:rPr>
                <w:szCs w:val="24"/>
              </w:rPr>
            </w:pPr>
            <w:r>
              <w:rPr>
                <w:szCs w:val="24"/>
              </w:rPr>
              <w:t>综上所述，由于建设项目施工期对周围环境的影响是短暂的，采取以上防护措施后，可以将各项污染物的排出控制在可接受范围内；而且随着施工期的结束，各类污染会自行消失。</w:t>
            </w:r>
          </w:p>
          <w:p>
            <w:pPr>
              <w:pStyle w:val="66"/>
              <w:adjustRightInd w:val="0"/>
              <w:snapToGrid w:val="0"/>
              <w:spacing w:line="360" w:lineRule="auto"/>
              <w:rPr>
                <w:szCs w:val="24"/>
              </w:rPr>
            </w:pPr>
            <w:r>
              <w:rPr>
                <w:rFonts w:hint="eastAsia"/>
                <w:szCs w:val="24"/>
              </w:rPr>
              <w:t>5、施工期生态影响分析</w:t>
            </w:r>
          </w:p>
          <w:p>
            <w:pPr>
              <w:pStyle w:val="66"/>
              <w:adjustRightInd w:val="0"/>
              <w:snapToGrid w:val="0"/>
              <w:spacing w:line="360" w:lineRule="auto"/>
              <w:rPr>
                <w:szCs w:val="24"/>
              </w:rPr>
            </w:pPr>
            <w:r>
              <w:rPr>
                <w:rFonts w:hint="eastAsia"/>
                <w:szCs w:val="24"/>
              </w:rPr>
              <w:t>本项目施工范围内无生态环境保护目标。</w:t>
            </w:r>
          </w:p>
          <w:p>
            <w:pPr>
              <w:adjustRightInd w:val="0"/>
              <w:snapToGrid w:val="0"/>
              <w:spacing w:line="360" w:lineRule="auto"/>
              <w:ind w:firstLine="480" w:firstLineChars="200"/>
              <w:rPr>
                <w:bCs/>
                <w:spacing w:val="-10"/>
                <w:sz w:val="24"/>
              </w:rPr>
            </w:pPr>
            <w:r>
              <w:rPr>
                <w:sz w:val="24"/>
              </w:rPr>
              <w:t>综上所述，由于建设项目施工期对周围环境的影响是短暂的，采取以上防护措施后，可以将各项污染物的排放控制在可接受范围内；而且随着施工期的结束，各类污染会自行消失。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296" w:type="dxa"/>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bCs/>
              </w:rPr>
              <w:t>措施</w:t>
            </w:r>
          </w:p>
        </w:tc>
        <w:tc>
          <w:tcPr>
            <w:tcW w:w="8685" w:type="dxa"/>
            <w:vAlign w:val="center"/>
          </w:tcPr>
          <w:p>
            <w:pPr>
              <w:adjustRightInd w:val="0"/>
              <w:snapToGrid w:val="0"/>
              <w:spacing w:line="360" w:lineRule="auto"/>
              <w:ind w:firstLine="482" w:firstLineChars="200"/>
              <w:rPr>
                <w:b/>
                <w:bCs/>
                <w:sz w:val="24"/>
              </w:rPr>
            </w:pPr>
            <w:r>
              <w:rPr>
                <w:b/>
                <w:bCs/>
                <w:sz w:val="24"/>
              </w:rPr>
              <w:t>1、大气环境影响分析</w:t>
            </w:r>
          </w:p>
          <w:p>
            <w:pPr>
              <w:adjustRightInd w:val="0"/>
              <w:snapToGrid w:val="0"/>
              <w:spacing w:line="360" w:lineRule="auto"/>
              <w:ind w:firstLine="480" w:firstLineChars="200"/>
              <w:rPr>
                <w:sz w:val="24"/>
              </w:rPr>
            </w:pPr>
            <w:r>
              <w:rPr>
                <w:sz w:val="24"/>
              </w:rPr>
              <w:t>1.1 废气污染治理设施</w:t>
            </w:r>
          </w:p>
          <w:p>
            <w:pPr>
              <w:adjustRightInd w:val="0"/>
              <w:snapToGrid w:val="0"/>
              <w:spacing w:line="360" w:lineRule="auto"/>
              <w:ind w:firstLine="480" w:firstLineChars="200"/>
              <w:rPr>
                <w:sz w:val="24"/>
              </w:rPr>
            </w:pPr>
            <w:r>
              <w:rPr>
                <w:sz w:val="24"/>
              </w:rPr>
              <w:t>本项目废气污染治理设施情况见表</w:t>
            </w:r>
            <w:r>
              <w:rPr>
                <w:rFonts w:hint="eastAsia"/>
                <w:sz w:val="24"/>
              </w:rPr>
              <w:t>34</w:t>
            </w:r>
            <w:r>
              <w:rPr>
                <w:sz w:val="24"/>
              </w:rPr>
              <w:t>。</w:t>
            </w:r>
          </w:p>
          <w:p>
            <w:pPr>
              <w:adjustRightInd w:val="0"/>
              <w:snapToGrid w:val="0"/>
              <w:jc w:val="center"/>
              <w:rPr>
                <w:b/>
                <w:sz w:val="24"/>
              </w:rPr>
            </w:pPr>
            <w:r>
              <w:rPr>
                <w:b/>
                <w:sz w:val="24"/>
              </w:rPr>
              <w:t>表</w:t>
            </w:r>
            <w:r>
              <w:rPr>
                <w:rFonts w:hint="eastAsia"/>
                <w:b/>
                <w:sz w:val="24"/>
              </w:rPr>
              <w:t>34</w:t>
            </w:r>
            <w:r>
              <w:rPr>
                <w:b/>
                <w:sz w:val="24"/>
              </w:rPr>
              <w:t xml:space="preserve">  废气污染治理措施一览表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55"/>
              <w:gridCol w:w="1116"/>
              <w:gridCol w:w="427"/>
              <w:gridCol w:w="1092"/>
              <w:gridCol w:w="1079"/>
              <w:gridCol w:w="876"/>
              <w:gridCol w:w="110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Merge w:val="restart"/>
                  <w:vAlign w:val="center"/>
                </w:tcPr>
                <w:p>
                  <w:pPr>
                    <w:adjustRightInd w:val="0"/>
                    <w:snapToGrid w:val="0"/>
                    <w:jc w:val="center"/>
                    <w:rPr>
                      <w:b/>
                      <w:bCs/>
                      <w:szCs w:val="21"/>
                    </w:rPr>
                  </w:pPr>
                  <w:r>
                    <w:rPr>
                      <w:b/>
                      <w:bCs/>
                      <w:szCs w:val="21"/>
                    </w:rPr>
                    <w:t>序号</w:t>
                  </w:r>
                </w:p>
              </w:tc>
              <w:tc>
                <w:tcPr>
                  <w:tcW w:w="1255" w:type="dxa"/>
                  <w:vMerge w:val="restart"/>
                  <w:vAlign w:val="center"/>
                </w:tcPr>
                <w:p>
                  <w:pPr>
                    <w:adjustRightInd w:val="0"/>
                    <w:snapToGrid w:val="0"/>
                    <w:jc w:val="center"/>
                    <w:rPr>
                      <w:b/>
                      <w:bCs/>
                      <w:szCs w:val="21"/>
                    </w:rPr>
                  </w:pPr>
                  <w:r>
                    <w:rPr>
                      <w:b/>
                      <w:bCs/>
                      <w:szCs w:val="21"/>
                    </w:rPr>
                    <w:t>产污环节</w:t>
                  </w:r>
                </w:p>
              </w:tc>
              <w:tc>
                <w:tcPr>
                  <w:tcW w:w="1116" w:type="dxa"/>
                  <w:vMerge w:val="restart"/>
                  <w:vAlign w:val="center"/>
                </w:tcPr>
                <w:p>
                  <w:pPr>
                    <w:adjustRightInd w:val="0"/>
                    <w:snapToGrid w:val="0"/>
                    <w:jc w:val="center"/>
                    <w:rPr>
                      <w:b/>
                      <w:bCs/>
                      <w:szCs w:val="21"/>
                    </w:rPr>
                  </w:pPr>
                  <w:r>
                    <w:rPr>
                      <w:b/>
                      <w:bCs/>
                      <w:szCs w:val="21"/>
                    </w:rPr>
                    <w:t>污染物</w:t>
                  </w:r>
                </w:p>
              </w:tc>
              <w:tc>
                <w:tcPr>
                  <w:tcW w:w="381" w:type="dxa"/>
                  <w:vMerge w:val="restart"/>
                  <w:vAlign w:val="center"/>
                </w:tcPr>
                <w:p>
                  <w:pPr>
                    <w:adjustRightInd w:val="0"/>
                    <w:snapToGrid w:val="0"/>
                    <w:jc w:val="center"/>
                    <w:rPr>
                      <w:b/>
                      <w:bCs/>
                      <w:szCs w:val="21"/>
                    </w:rPr>
                  </w:pPr>
                  <w:r>
                    <w:rPr>
                      <w:b/>
                      <w:bCs/>
                      <w:szCs w:val="21"/>
                    </w:rPr>
                    <w:t>排放形式</w:t>
                  </w:r>
                </w:p>
              </w:tc>
              <w:tc>
                <w:tcPr>
                  <w:tcW w:w="5038" w:type="dxa"/>
                  <w:gridSpan w:val="5"/>
                  <w:vAlign w:val="center"/>
                </w:tcPr>
                <w:p>
                  <w:pPr>
                    <w:adjustRightInd w:val="0"/>
                    <w:snapToGrid w:val="0"/>
                    <w:jc w:val="center"/>
                    <w:rPr>
                      <w:b/>
                      <w:bCs/>
                      <w:szCs w:val="21"/>
                    </w:rPr>
                  </w:pPr>
                  <w:r>
                    <w:rPr>
                      <w:b/>
                      <w:bCs/>
                      <w:szCs w:val="21"/>
                    </w:rPr>
                    <w:t>污染治理措施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Merge w:val="continue"/>
                  <w:vAlign w:val="center"/>
                </w:tcPr>
                <w:p>
                  <w:pPr>
                    <w:adjustRightInd w:val="0"/>
                    <w:snapToGrid w:val="0"/>
                    <w:jc w:val="center"/>
                    <w:rPr>
                      <w:b/>
                      <w:bCs/>
                      <w:szCs w:val="21"/>
                    </w:rPr>
                  </w:pPr>
                </w:p>
              </w:tc>
              <w:tc>
                <w:tcPr>
                  <w:tcW w:w="1255" w:type="dxa"/>
                  <w:vMerge w:val="continue"/>
                  <w:vAlign w:val="center"/>
                </w:tcPr>
                <w:p>
                  <w:pPr>
                    <w:adjustRightInd w:val="0"/>
                    <w:snapToGrid w:val="0"/>
                    <w:jc w:val="center"/>
                    <w:rPr>
                      <w:b/>
                      <w:bCs/>
                      <w:szCs w:val="21"/>
                    </w:rPr>
                  </w:pPr>
                </w:p>
              </w:tc>
              <w:tc>
                <w:tcPr>
                  <w:tcW w:w="1116" w:type="dxa"/>
                  <w:vMerge w:val="continue"/>
                  <w:vAlign w:val="center"/>
                </w:tcPr>
                <w:p>
                  <w:pPr>
                    <w:adjustRightInd w:val="0"/>
                    <w:snapToGrid w:val="0"/>
                    <w:jc w:val="center"/>
                    <w:rPr>
                      <w:b/>
                      <w:bCs/>
                      <w:szCs w:val="21"/>
                    </w:rPr>
                  </w:pPr>
                </w:p>
              </w:tc>
              <w:tc>
                <w:tcPr>
                  <w:tcW w:w="381" w:type="dxa"/>
                  <w:vMerge w:val="continue"/>
                  <w:vAlign w:val="center"/>
                </w:tcPr>
                <w:p>
                  <w:pPr>
                    <w:adjustRightInd w:val="0"/>
                    <w:snapToGrid w:val="0"/>
                    <w:jc w:val="center"/>
                    <w:rPr>
                      <w:b/>
                      <w:bCs/>
                      <w:szCs w:val="21"/>
                    </w:rPr>
                  </w:pPr>
                </w:p>
              </w:tc>
              <w:tc>
                <w:tcPr>
                  <w:tcW w:w="2171" w:type="dxa"/>
                  <w:gridSpan w:val="2"/>
                  <w:vAlign w:val="center"/>
                </w:tcPr>
                <w:p>
                  <w:pPr>
                    <w:adjustRightInd w:val="0"/>
                    <w:snapToGrid w:val="0"/>
                    <w:jc w:val="center"/>
                    <w:rPr>
                      <w:b/>
                      <w:bCs/>
                      <w:szCs w:val="21"/>
                    </w:rPr>
                  </w:pPr>
                  <w:r>
                    <w:rPr>
                      <w:b/>
                      <w:bCs/>
                      <w:szCs w:val="21"/>
                    </w:rPr>
                    <w:t>工艺</w:t>
                  </w:r>
                </w:p>
              </w:tc>
              <w:tc>
                <w:tcPr>
                  <w:tcW w:w="876" w:type="dxa"/>
                  <w:vAlign w:val="center"/>
                </w:tcPr>
                <w:p>
                  <w:pPr>
                    <w:adjustRightInd w:val="0"/>
                    <w:snapToGrid w:val="0"/>
                    <w:jc w:val="center"/>
                    <w:rPr>
                      <w:b/>
                      <w:bCs/>
                      <w:szCs w:val="21"/>
                    </w:rPr>
                  </w:pPr>
                  <w:r>
                    <w:rPr>
                      <w:b/>
                      <w:bCs/>
                      <w:szCs w:val="21"/>
                    </w:rPr>
                    <w:t>收集效率</w:t>
                  </w:r>
                </w:p>
              </w:tc>
              <w:tc>
                <w:tcPr>
                  <w:tcW w:w="1109" w:type="dxa"/>
                  <w:vAlign w:val="center"/>
                </w:tcPr>
                <w:p>
                  <w:pPr>
                    <w:adjustRightInd w:val="0"/>
                    <w:snapToGrid w:val="0"/>
                    <w:jc w:val="center"/>
                    <w:rPr>
                      <w:b/>
                      <w:bCs/>
                      <w:szCs w:val="21"/>
                    </w:rPr>
                  </w:pPr>
                  <w:r>
                    <w:rPr>
                      <w:b/>
                      <w:bCs/>
                      <w:szCs w:val="21"/>
                    </w:rPr>
                    <w:t>去除率</w:t>
                  </w:r>
                </w:p>
              </w:tc>
              <w:tc>
                <w:tcPr>
                  <w:tcW w:w="882" w:type="dxa"/>
                  <w:vAlign w:val="center"/>
                </w:tcPr>
                <w:p>
                  <w:pPr>
                    <w:adjustRightInd w:val="0"/>
                    <w:snapToGrid w:val="0"/>
                    <w:jc w:val="center"/>
                    <w:rPr>
                      <w:b/>
                      <w:bCs/>
                      <w:szCs w:val="21"/>
                    </w:rPr>
                  </w:pPr>
                  <w:r>
                    <w:rPr>
                      <w:b/>
                      <w:bCs/>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pPr>
                    <w:adjustRightInd w:val="0"/>
                    <w:snapToGrid w:val="0"/>
                    <w:jc w:val="center"/>
                    <w:rPr>
                      <w:szCs w:val="21"/>
                    </w:rPr>
                  </w:pPr>
                  <w:r>
                    <w:rPr>
                      <w:szCs w:val="21"/>
                    </w:rPr>
                    <w:t>1</w:t>
                  </w:r>
                </w:p>
              </w:tc>
              <w:tc>
                <w:tcPr>
                  <w:tcW w:w="1255" w:type="dxa"/>
                  <w:vAlign w:val="center"/>
                </w:tcPr>
                <w:p>
                  <w:pPr>
                    <w:adjustRightInd w:val="0"/>
                    <w:snapToGrid w:val="0"/>
                    <w:jc w:val="center"/>
                    <w:rPr>
                      <w:szCs w:val="21"/>
                    </w:rPr>
                  </w:pPr>
                  <w:r>
                    <w:rPr>
                      <w:szCs w:val="21"/>
                    </w:rPr>
                    <w:t>焊接废气（DA001）</w:t>
                  </w:r>
                </w:p>
              </w:tc>
              <w:tc>
                <w:tcPr>
                  <w:tcW w:w="1116" w:type="dxa"/>
                  <w:vAlign w:val="center"/>
                </w:tcPr>
                <w:p>
                  <w:pPr>
                    <w:adjustRightInd w:val="0"/>
                    <w:snapToGrid w:val="0"/>
                    <w:jc w:val="center"/>
                    <w:rPr>
                      <w:szCs w:val="21"/>
                    </w:rPr>
                  </w:pPr>
                  <w:r>
                    <w:rPr>
                      <w:szCs w:val="21"/>
                    </w:rPr>
                    <w:t>颗粒物</w:t>
                  </w:r>
                </w:p>
              </w:tc>
              <w:tc>
                <w:tcPr>
                  <w:tcW w:w="381" w:type="dxa"/>
                  <w:vAlign w:val="center"/>
                </w:tcPr>
                <w:p>
                  <w:pPr>
                    <w:adjustRightInd w:val="0"/>
                    <w:snapToGrid w:val="0"/>
                    <w:jc w:val="center"/>
                    <w:rPr>
                      <w:szCs w:val="21"/>
                    </w:rPr>
                  </w:pPr>
                  <w:r>
                    <w:rPr>
                      <w:rFonts w:hint="eastAsia"/>
                      <w:szCs w:val="21"/>
                    </w:rPr>
                    <w:t>有组织</w:t>
                  </w:r>
                </w:p>
              </w:tc>
              <w:tc>
                <w:tcPr>
                  <w:tcW w:w="1092" w:type="dxa"/>
                  <w:vAlign w:val="center"/>
                </w:tcPr>
                <w:p>
                  <w:pPr>
                    <w:adjustRightInd w:val="0"/>
                    <w:snapToGrid w:val="0"/>
                    <w:jc w:val="center"/>
                    <w:rPr>
                      <w:szCs w:val="21"/>
                    </w:rPr>
                  </w:pPr>
                  <w:r>
                    <w:rPr>
                      <w:rFonts w:hint="eastAsia"/>
                      <w:szCs w:val="21"/>
                    </w:rPr>
                    <w:t>集气罩+布袋除尘器</w:t>
                  </w:r>
                </w:p>
              </w:tc>
              <w:tc>
                <w:tcPr>
                  <w:tcW w:w="1079" w:type="dxa"/>
                  <w:vMerge w:val="restart"/>
                  <w:vAlign w:val="center"/>
                </w:tcPr>
                <w:p>
                  <w:pPr>
                    <w:adjustRightInd w:val="0"/>
                    <w:snapToGrid w:val="0"/>
                    <w:jc w:val="center"/>
                    <w:rPr>
                      <w:szCs w:val="21"/>
                    </w:rPr>
                  </w:pPr>
                  <w:r>
                    <w:rPr>
                      <w:rFonts w:hint="eastAsia"/>
                      <w:szCs w:val="21"/>
                    </w:rPr>
                    <w:t>+20m高排气筒</w:t>
                  </w:r>
                </w:p>
              </w:tc>
              <w:tc>
                <w:tcPr>
                  <w:tcW w:w="876" w:type="dxa"/>
                  <w:vAlign w:val="center"/>
                </w:tcPr>
                <w:p>
                  <w:pPr>
                    <w:adjustRightInd w:val="0"/>
                    <w:snapToGrid w:val="0"/>
                    <w:jc w:val="center"/>
                    <w:rPr>
                      <w:szCs w:val="21"/>
                    </w:rPr>
                  </w:pPr>
                  <w:r>
                    <w:rPr>
                      <w:szCs w:val="21"/>
                    </w:rPr>
                    <w:t>80%</w:t>
                  </w:r>
                </w:p>
              </w:tc>
              <w:tc>
                <w:tcPr>
                  <w:tcW w:w="1109" w:type="dxa"/>
                  <w:vAlign w:val="center"/>
                </w:tcPr>
                <w:p>
                  <w:pPr>
                    <w:adjustRightInd w:val="0"/>
                    <w:snapToGrid w:val="0"/>
                    <w:jc w:val="center"/>
                    <w:rPr>
                      <w:szCs w:val="21"/>
                    </w:rPr>
                  </w:pPr>
                  <w:r>
                    <w:rPr>
                      <w:rFonts w:hint="eastAsia"/>
                      <w:szCs w:val="21"/>
                    </w:rPr>
                    <w:t>95</w:t>
                  </w:r>
                  <w:r>
                    <w:rPr>
                      <w:szCs w:val="21"/>
                    </w:rPr>
                    <w:t>%</w:t>
                  </w:r>
                </w:p>
              </w:tc>
              <w:tc>
                <w:tcPr>
                  <w:tcW w:w="882" w:type="dxa"/>
                  <w:vAlign w:val="center"/>
                </w:tcPr>
                <w:p>
                  <w:pPr>
                    <w:adjustRightInd w:val="0"/>
                    <w:snapToGrid w:val="0"/>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pPr>
                    <w:adjustRightInd w:val="0"/>
                    <w:snapToGrid w:val="0"/>
                    <w:jc w:val="center"/>
                    <w:rPr>
                      <w:szCs w:val="21"/>
                    </w:rPr>
                  </w:pPr>
                  <w:r>
                    <w:rPr>
                      <w:szCs w:val="21"/>
                    </w:rPr>
                    <w:t>2</w:t>
                  </w:r>
                </w:p>
              </w:tc>
              <w:tc>
                <w:tcPr>
                  <w:tcW w:w="1255" w:type="dxa"/>
                  <w:vAlign w:val="center"/>
                </w:tcPr>
                <w:p>
                  <w:pPr>
                    <w:adjustRightInd w:val="0"/>
                    <w:snapToGrid w:val="0"/>
                    <w:jc w:val="center"/>
                    <w:rPr>
                      <w:szCs w:val="21"/>
                    </w:rPr>
                  </w:pPr>
                  <w:r>
                    <w:rPr>
                      <w:rFonts w:hint="eastAsia"/>
                      <w:szCs w:val="21"/>
                    </w:rPr>
                    <w:t>激光切割废气</w:t>
                  </w:r>
                  <w:r>
                    <w:rPr>
                      <w:szCs w:val="21"/>
                    </w:rPr>
                    <w:t>（DA001）</w:t>
                  </w:r>
                </w:p>
              </w:tc>
              <w:tc>
                <w:tcPr>
                  <w:tcW w:w="1116" w:type="dxa"/>
                  <w:vAlign w:val="center"/>
                </w:tcPr>
                <w:p>
                  <w:pPr>
                    <w:adjustRightInd w:val="0"/>
                    <w:snapToGrid w:val="0"/>
                    <w:jc w:val="center"/>
                    <w:rPr>
                      <w:szCs w:val="21"/>
                    </w:rPr>
                  </w:pPr>
                  <w:r>
                    <w:rPr>
                      <w:rFonts w:hint="eastAsia"/>
                      <w:szCs w:val="21"/>
                    </w:rPr>
                    <w:t>颗粒物</w:t>
                  </w:r>
                </w:p>
              </w:tc>
              <w:tc>
                <w:tcPr>
                  <w:tcW w:w="381" w:type="dxa"/>
                  <w:vAlign w:val="center"/>
                </w:tcPr>
                <w:p>
                  <w:pPr>
                    <w:adjustRightInd w:val="0"/>
                    <w:snapToGrid w:val="0"/>
                    <w:jc w:val="center"/>
                    <w:rPr>
                      <w:szCs w:val="21"/>
                    </w:rPr>
                  </w:pPr>
                  <w:r>
                    <w:rPr>
                      <w:rFonts w:hint="eastAsia"/>
                      <w:szCs w:val="21"/>
                    </w:rPr>
                    <w:t>有组织</w:t>
                  </w:r>
                </w:p>
              </w:tc>
              <w:tc>
                <w:tcPr>
                  <w:tcW w:w="1092" w:type="dxa"/>
                  <w:vAlign w:val="center"/>
                </w:tcPr>
                <w:p>
                  <w:pPr>
                    <w:adjustRightInd w:val="0"/>
                    <w:snapToGrid w:val="0"/>
                    <w:jc w:val="center"/>
                    <w:rPr>
                      <w:szCs w:val="21"/>
                    </w:rPr>
                  </w:pPr>
                  <w:r>
                    <w:rPr>
                      <w:rFonts w:hint="eastAsia"/>
                      <w:szCs w:val="21"/>
                    </w:rPr>
                    <w:t>集气装置+自带布袋除尘器</w:t>
                  </w:r>
                </w:p>
              </w:tc>
              <w:tc>
                <w:tcPr>
                  <w:tcW w:w="1079" w:type="dxa"/>
                  <w:vMerge w:val="continue"/>
                  <w:vAlign w:val="center"/>
                </w:tcPr>
                <w:p>
                  <w:pPr>
                    <w:adjustRightInd w:val="0"/>
                    <w:snapToGrid w:val="0"/>
                    <w:jc w:val="center"/>
                    <w:rPr>
                      <w:szCs w:val="21"/>
                    </w:rPr>
                  </w:pPr>
                </w:p>
              </w:tc>
              <w:tc>
                <w:tcPr>
                  <w:tcW w:w="876" w:type="dxa"/>
                  <w:vAlign w:val="center"/>
                </w:tcPr>
                <w:p>
                  <w:pPr>
                    <w:adjustRightInd w:val="0"/>
                    <w:snapToGrid w:val="0"/>
                    <w:jc w:val="center"/>
                    <w:rPr>
                      <w:szCs w:val="21"/>
                    </w:rPr>
                  </w:pPr>
                  <w:r>
                    <w:rPr>
                      <w:rFonts w:hint="eastAsia"/>
                      <w:szCs w:val="21"/>
                    </w:rPr>
                    <w:t>90%</w:t>
                  </w:r>
                </w:p>
              </w:tc>
              <w:tc>
                <w:tcPr>
                  <w:tcW w:w="1109" w:type="dxa"/>
                  <w:vAlign w:val="center"/>
                </w:tcPr>
                <w:p>
                  <w:pPr>
                    <w:adjustRightInd w:val="0"/>
                    <w:snapToGrid w:val="0"/>
                    <w:jc w:val="center"/>
                    <w:rPr>
                      <w:szCs w:val="21"/>
                    </w:rPr>
                  </w:pPr>
                  <w:r>
                    <w:rPr>
                      <w:rFonts w:hint="eastAsia"/>
                      <w:szCs w:val="21"/>
                    </w:rPr>
                    <w:t>95</w:t>
                  </w:r>
                  <w:r>
                    <w:rPr>
                      <w:szCs w:val="21"/>
                    </w:rPr>
                    <w:t>%</w:t>
                  </w:r>
                </w:p>
              </w:tc>
              <w:tc>
                <w:tcPr>
                  <w:tcW w:w="882" w:type="dxa"/>
                  <w:vAlign w:val="center"/>
                </w:tcPr>
                <w:p>
                  <w:pPr>
                    <w:adjustRightInd w:val="0"/>
                    <w:snapToGrid w:val="0"/>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pPr>
                    <w:adjustRightInd w:val="0"/>
                    <w:snapToGrid w:val="0"/>
                    <w:jc w:val="center"/>
                    <w:rPr>
                      <w:szCs w:val="21"/>
                    </w:rPr>
                  </w:pPr>
                  <w:r>
                    <w:rPr>
                      <w:szCs w:val="21"/>
                    </w:rPr>
                    <w:t>3</w:t>
                  </w:r>
                </w:p>
              </w:tc>
              <w:tc>
                <w:tcPr>
                  <w:tcW w:w="1255" w:type="dxa"/>
                  <w:vAlign w:val="center"/>
                </w:tcPr>
                <w:p>
                  <w:pPr>
                    <w:adjustRightInd w:val="0"/>
                    <w:snapToGrid w:val="0"/>
                    <w:jc w:val="center"/>
                    <w:rPr>
                      <w:szCs w:val="21"/>
                    </w:rPr>
                  </w:pPr>
                  <w:r>
                    <w:rPr>
                      <w:rFonts w:hint="eastAsia"/>
                      <w:szCs w:val="21"/>
                    </w:rPr>
                    <w:t>喷涂废气</w:t>
                  </w:r>
                  <w:r>
                    <w:rPr>
                      <w:szCs w:val="21"/>
                    </w:rPr>
                    <w:t>（DA00</w:t>
                  </w:r>
                  <w:r>
                    <w:rPr>
                      <w:rFonts w:hint="eastAsia"/>
                      <w:szCs w:val="21"/>
                    </w:rPr>
                    <w:t>2</w:t>
                  </w:r>
                  <w:r>
                    <w:rPr>
                      <w:szCs w:val="21"/>
                    </w:rPr>
                    <w:t>）</w:t>
                  </w:r>
                </w:p>
              </w:tc>
              <w:tc>
                <w:tcPr>
                  <w:tcW w:w="1116" w:type="dxa"/>
                  <w:vAlign w:val="center"/>
                </w:tcPr>
                <w:p>
                  <w:pPr>
                    <w:adjustRightInd w:val="0"/>
                    <w:snapToGrid w:val="0"/>
                    <w:jc w:val="center"/>
                    <w:rPr>
                      <w:szCs w:val="21"/>
                    </w:rPr>
                  </w:pPr>
                  <w:r>
                    <w:rPr>
                      <w:rFonts w:hint="eastAsia"/>
                      <w:szCs w:val="21"/>
                    </w:rPr>
                    <w:t>颗粒物</w:t>
                  </w:r>
                </w:p>
              </w:tc>
              <w:tc>
                <w:tcPr>
                  <w:tcW w:w="381" w:type="dxa"/>
                  <w:vAlign w:val="center"/>
                </w:tcPr>
                <w:p>
                  <w:pPr>
                    <w:adjustRightInd w:val="0"/>
                    <w:snapToGrid w:val="0"/>
                    <w:jc w:val="center"/>
                    <w:rPr>
                      <w:szCs w:val="21"/>
                    </w:rPr>
                  </w:pPr>
                  <w:r>
                    <w:rPr>
                      <w:rFonts w:hint="eastAsia"/>
                      <w:szCs w:val="21"/>
                    </w:rPr>
                    <w:t>有组织</w:t>
                  </w:r>
                </w:p>
              </w:tc>
              <w:tc>
                <w:tcPr>
                  <w:tcW w:w="2171" w:type="dxa"/>
                  <w:gridSpan w:val="2"/>
                  <w:vAlign w:val="center"/>
                </w:tcPr>
                <w:p>
                  <w:pPr>
                    <w:adjustRightInd w:val="0"/>
                    <w:snapToGrid w:val="0"/>
                    <w:jc w:val="center"/>
                    <w:rPr>
                      <w:szCs w:val="21"/>
                    </w:rPr>
                  </w:pPr>
                  <w:r>
                    <w:rPr>
                      <w:rFonts w:hint="eastAsia"/>
                      <w:szCs w:val="21"/>
                    </w:rPr>
                    <w:t>集气装置+旋风除尘器+滤筒除尘+20m高排气筒</w:t>
                  </w:r>
                </w:p>
              </w:tc>
              <w:tc>
                <w:tcPr>
                  <w:tcW w:w="876" w:type="dxa"/>
                  <w:vAlign w:val="center"/>
                </w:tcPr>
                <w:p>
                  <w:pPr>
                    <w:adjustRightInd w:val="0"/>
                    <w:snapToGrid w:val="0"/>
                    <w:jc w:val="center"/>
                    <w:rPr>
                      <w:szCs w:val="21"/>
                    </w:rPr>
                  </w:pPr>
                  <w:r>
                    <w:rPr>
                      <w:rFonts w:hint="eastAsia"/>
                      <w:szCs w:val="21"/>
                    </w:rPr>
                    <w:t>95%</w:t>
                  </w:r>
                </w:p>
              </w:tc>
              <w:tc>
                <w:tcPr>
                  <w:tcW w:w="1109" w:type="dxa"/>
                  <w:vAlign w:val="center"/>
                </w:tcPr>
                <w:p>
                  <w:pPr>
                    <w:adjustRightInd w:val="0"/>
                    <w:snapToGrid w:val="0"/>
                    <w:jc w:val="center"/>
                    <w:rPr>
                      <w:szCs w:val="21"/>
                    </w:rPr>
                  </w:pPr>
                  <w:r>
                    <w:rPr>
                      <w:rFonts w:hint="eastAsia"/>
                      <w:szCs w:val="21"/>
                    </w:rPr>
                    <w:t>综合去除效率99%</w:t>
                  </w:r>
                </w:p>
              </w:tc>
              <w:tc>
                <w:tcPr>
                  <w:tcW w:w="882" w:type="dxa"/>
                  <w:vAlign w:val="center"/>
                </w:tcPr>
                <w:p>
                  <w:pPr>
                    <w:adjustRightInd w:val="0"/>
                    <w:snapToGrid w:val="0"/>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27" w:type="dxa"/>
                  <w:vMerge w:val="restart"/>
                  <w:vAlign w:val="center"/>
                </w:tcPr>
                <w:p>
                  <w:pPr>
                    <w:adjustRightInd w:val="0"/>
                    <w:snapToGrid w:val="0"/>
                    <w:jc w:val="center"/>
                    <w:rPr>
                      <w:szCs w:val="21"/>
                    </w:rPr>
                  </w:pPr>
                  <w:r>
                    <w:rPr>
                      <w:szCs w:val="21"/>
                    </w:rPr>
                    <w:t>4</w:t>
                  </w:r>
                </w:p>
              </w:tc>
              <w:tc>
                <w:tcPr>
                  <w:tcW w:w="1255" w:type="dxa"/>
                  <w:vAlign w:val="center"/>
                </w:tcPr>
                <w:p>
                  <w:pPr>
                    <w:adjustRightInd w:val="0"/>
                    <w:snapToGrid w:val="0"/>
                    <w:jc w:val="center"/>
                    <w:rPr>
                      <w:szCs w:val="21"/>
                    </w:rPr>
                  </w:pPr>
                  <w:r>
                    <w:rPr>
                      <w:rFonts w:hint="eastAsia"/>
                      <w:szCs w:val="21"/>
                    </w:rPr>
                    <w:t>天然气燃烧废气（DA003）</w:t>
                  </w:r>
                </w:p>
              </w:tc>
              <w:tc>
                <w:tcPr>
                  <w:tcW w:w="1116" w:type="dxa"/>
                  <w:vAlign w:val="center"/>
                </w:tcPr>
                <w:p>
                  <w:pPr>
                    <w:adjustRightInd w:val="0"/>
                    <w:snapToGrid w:val="0"/>
                    <w:jc w:val="center"/>
                    <w:rPr>
                      <w:szCs w:val="21"/>
                    </w:rPr>
                  </w:pPr>
                  <w:r>
                    <w:rPr>
                      <w:szCs w:val="21"/>
                    </w:rPr>
                    <w:t>颗粒物、</w:t>
                  </w: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r>
                    <w:rPr>
                      <w:szCs w:val="21"/>
                    </w:rPr>
                    <w:t>、</w:t>
                  </w:r>
                  <w:r>
                    <w:rPr>
                      <w:rFonts w:hint="eastAsia"/>
                      <w:szCs w:val="21"/>
                    </w:rPr>
                    <w:t>烟气黑度</w:t>
                  </w:r>
                </w:p>
              </w:tc>
              <w:tc>
                <w:tcPr>
                  <w:tcW w:w="381" w:type="dxa"/>
                  <w:vMerge w:val="restart"/>
                  <w:vAlign w:val="center"/>
                </w:tcPr>
                <w:p>
                  <w:pPr>
                    <w:adjustRightInd w:val="0"/>
                    <w:snapToGrid w:val="0"/>
                    <w:jc w:val="center"/>
                    <w:rPr>
                      <w:szCs w:val="21"/>
                    </w:rPr>
                  </w:pPr>
                  <w:r>
                    <w:rPr>
                      <w:szCs w:val="21"/>
                    </w:rPr>
                    <w:t>有组织</w:t>
                  </w:r>
                </w:p>
              </w:tc>
              <w:tc>
                <w:tcPr>
                  <w:tcW w:w="1092" w:type="dxa"/>
                  <w:vAlign w:val="center"/>
                </w:tcPr>
                <w:p>
                  <w:pPr>
                    <w:adjustRightInd w:val="0"/>
                    <w:snapToGrid w:val="0"/>
                    <w:jc w:val="center"/>
                    <w:rPr>
                      <w:szCs w:val="21"/>
                    </w:rPr>
                  </w:pPr>
                  <w:r>
                    <w:rPr>
                      <w:rFonts w:hint="eastAsia"/>
                      <w:szCs w:val="21"/>
                    </w:rPr>
                    <w:t>天然气燃烧器设置低氮燃烧器，集气装置</w:t>
                  </w:r>
                </w:p>
              </w:tc>
              <w:tc>
                <w:tcPr>
                  <w:tcW w:w="1079" w:type="dxa"/>
                  <w:vMerge w:val="restart"/>
                  <w:vAlign w:val="center"/>
                </w:tcPr>
                <w:p>
                  <w:pPr>
                    <w:adjustRightInd w:val="0"/>
                    <w:snapToGrid w:val="0"/>
                    <w:jc w:val="center"/>
                    <w:rPr>
                      <w:szCs w:val="21"/>
                    </w:rPr>
                  </w:pPr>
                  <w:r>
                    <w:rPr>
                      <w:szCs w:val="21"/>
                    </w:rPr>
                    <w:t>+干式过滤棉+活性炭吸附脱附催化燃烧装置+</w:t>
                  </w:r>
                  <w:r>
                    <w:rPr>
                      <w:rFonts w:hint="eastAsia"/>
                      <w:szCs w:val="21"/>
                    </w:rPr>
                    <w:t>20</w:t>
                  </w:r>
                  <w:r>
                    <w:rPr>
                      <w:szCs w:val="21"/>
                    </w:rPr>
                    <w:t>m排气筒</w:t>
                  </w:r>
                  <w:r>
                    <w:rPr>
                      <w:rFonts w:hint="eastAsia"/>
                      <w:szCs w:val="21"/>
                    </w:rPr>
                    <w:t>，设置VOCs超标报警装置</w:t>
                  </w:r>
                </w:p>
              </w:tc>
              <w:tc>
                <w:tcPr>
                  <w:tcW w:w="876" w:type="dxa"/>
                  <w:vAlign w:val="center"/>
                </w:tcPr>
                <w:p>
                  <w:pPr>
                    <w:adjustRightInd w:val="0"/>
                    <w:snapToGrid w:val="0"/>
                    <w:jc w:val="center"/>
                    <w:rPr>
                      <w:szCs w:val="21"/>
                    </w:rPr>
                  </w:pPr>
                  <w:r>
                    <w:rPr>
                      <w:rFonts w:hint="eastAsia"/>
                      <w:szCs w:val="21"/>
                    </w:rPr>
                    <w:t>90%</w:t>
                  </w:r>
                </w:p>
              </w:tc>
              <w:tc>
                <w:tcPr>
                  <w:tcW w:w="1109" w:type="dxa"/>
                  <w:vAlign w:val="center"/>
                </w:tcPr>
                <w:p>
                  <w:pPr>
                    <w:adjustRightInd w:val="0"/>
                    <w:snapToGrid w:val="0"/>
                    <w:jc w:val="center"/>
                    <w:rPr>
                      <w:szCs w:val="21"/>
                    </w:rPr>
                  </w:pPr>
                  <w:r>
                    <w:rPr>
                      <w:rFonts w:hint="eastAsia"/>
                      <w:szCs w:val="21"/>
                    </w:rPr>
                    <w:t>--</w:t>
                  </w:r>
                </w:p>
              </w:tc>
              <w:tc>
                <w:tcPr>
                  <w:tcW w:w="882" w:type="dxa"/>
                  <w:vMerge w:val="restart"/>
                  <w:vAlign w:val="center"/>
                </w:tcPr>
                <w:p>
                  <w:pPr>
                    <w:adjustRightInd w:val="0"/>
                    <w:snapToGrid w:val="0"/>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27" w:type="dxa"/>
                  <w:vMerge w:val="continue"/>
                  <w:vAlign w:val="center"/>
                </w:tcPr>
                <w:p>
                  <w:pPr>
                    <w:adjustRightInd w:val="0"/>
                    <w:snapToGrid w:val="0"/>
                    <w:jc w:val="center"/>
                  </w:pPr>
                </w:p>
              </w:tc>
              <w:tc>
                <w:tcPr>
                  <w:tcW w:w="1255" w:type="dxa"/>
                  <w:vMerge w:val="restart"/>
                  <w:vAlign w:val="center"/>
                </w:tcPr>
                <w:p>
                  <w:pPr>
                    <w:adjustRightInd w:val="0"/>
                    <w:snapToGrid w:val="0"/>
                    <w:jc w:val="center"/>
                  </w:pPr>
                  <w:r>
                    <w:rPr>
                      <w:rFonts w:hint="eastAsia"/>
                      <w:szCs w:val="21"/>
                    </w:rPr>
                    <w:t>固化废气</w:t>
                  </w:r>
                  <w:r>
                    <w:rPr>
                      <w:szCs w:val="21"/>
                    </w:rPr>
                    <w:t>（DA00</w:t>
                  </w:r>
                  <w:r>
                    <w:rPr>
                      <w:rFonts w:hint="eastAsia"/>
                      <w:szCs w:val="21"/>
                    </w:rPr>
                    <w:t>3</w:t>
                  </w:r>
                  <w:r>
                    <w:rPr>
                      <w:szCs w:val="21"/>
                    </w:rPr>
                    <w:t>）</w:t>
                  </w:r>
                </w:p>
              </w:tc>
              <w:tc>
                <w:tcPr>
                  <w:tcW w:w="1116" w:type="dxa"/>
                  <w:vMerge w:val="restart"/>
                  <w:vAlign w:val="center"/>
                </w:tcPr>
                <w:p>
                  <w:pPr>
                    <w:adjustRightInd w:val="0"/>
                    <w:snapToGrid w:val="0"/>
                    <w:jc w:val="center"/>
                    <w:rPr>
                      <w:szCs w:val="21"/>
                    </w:rPr>
                  </w:pPr>
                  <w:r>
                    <w:rPr>
                      <w:szCs w:val="21"/>
                    </w:rPr>
                    <w:t>非甲烷总烃</w:t>
                  </w:r>
                </w:p>
              </w:tc>
              <w:tc>
                <w:tcPr>
                  <w:tcW w:w="381" w:type="dxa"/>
                  <w:vMerge w:val="continue"/>
                  <w:vAlign w:val="center"/>
                </w:tcPr>
                <w:p>
                  <w:pPr>
                    <w:adjustRightInd w:val="0"/>
                    <w:snapToGrid w:val="0"/>
                    <w:jc w:val="center"/>
                    <w:rPr>
                      <w:szCs w:val="21"/>
                    </w:rPr>
                  </w:pPr>
                </w:p>
              </w:tc>
              <w:tc>
                <w:tcPr>
                  <w:tcW w:w="1092" w:type="dxa"/>
                  <w:vMerge w:val="restart"/>
                  <w:vAlign w:val="center"/>
                </w:tcPr>
                <w:p>
                  <w:pPr>
                    <w:adjustRightInd w:val="0"/>
                    <w:snapToGrid w:val="0"/>
                    <w:jc w:val="center"/>
                    <w:rPr>
                      <w:szCs w:val="21"/>
                    </w:rPr>
                  </w:pPr>
                  <w:r>
                    <w:rPr>
                      <w:rFonts w:hint="eastAsia"/>
                      <w:szCs w:val="21"/>
                    </w:rPr>
                    <w:t>集气装置</w:t>
                  </w:r>
                </w:p>
              </w:tc>
              <w:tc>
                <w:tcPr>
                  <w:tcW w:w="1079" w:type="dxa"/>
                  <w:vMerge w:val="continue"/>
                  <w:vAlign w:val="center"/>
                </w:tcPr>
                <w:p>
                  <w:pPr>
                    <w:adjustRightInd w:val="0"/>
                    <w:snapToGrid w:val="0"/>
                    <w:jc w:val="center"/>
                    <w:rPr>
                      <w:szCs w:val="21"/>
                    </w:rPr>
                  </w:pPr>
                </w:p>
              </w:tc>
              <w:tc>
                <w:tcPr>
                  <w:tcW w:w="876" w:type="dxa"/>
                  <w:vMerge w:val="restart"/>
                  <w:vAlign w:val="center"/>
                </w:tcPr>
                <w:p>
                  <w:pPr>
                    <w:adjustRightInd w:val="0"/>
                    <w:snapToGrid w:val="0"/>
                    <w:jc w:val="center"/>
                    <w:rPr>
                      <w:szCs w:val="21"/>
                    </w:rPr>
                  </w:pPr>
                  <w:r>
                    <w:rPr>
                      <w:rFonts w:hint="eastAsia"/>
                      <w:szCs w:val="21"/>
                    </w:rPr>
                    <w:t>90</w:t>
                  </w:r>
                  <w:r>
                    <w:rPr>
                      <w:szCs w:val="21"/>
                    </w:rPr>
                    <w:t>%</w:t>
                  </w:r>
                </w:p>
              </w:tc>
              <w:tc>
                <w:tcPr>
                  <w:tcW w:w="1109" w:type="dxa"/>
                  <w:vAlign w:val="center"/>
                </w:tcPr>
                <w:p>
                  <w:pPr>
                    <w:adjustRightInd w:val="0"/>
                    <w:snapToGrid w:val="0"/>
                    <w:jc w:val="center"/>
                    <w:rPr>
                      <w:szCs w:val="21"/>
                    </w:rPr>
                  </w:pPr>
                  <w:r>
                    <w:rPr>
                      <w:rFonts w:hint="eastAsia"/>
                      <w:szCs w:val="21"/>
                    </w:rPr>
                    <w:t>吸附90%</w:t>
                  </w:r>
                </w:p>
              </w:tc>
              <w:tc>
                <w:tcPr>
                  <w:tcW w:w="882"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27" w:type="dxa"/>
                  <w:vMerge w:val="continue"/>
                  <w:vAlign w:val="center"/>
                </w:tcPr>
                <w:p>
                  <w:pPr>
                    <w:adjustRightInd w:val="0"/>
                    <w:snapToGrid w:val="0"/>
                    <w:jc w:val="center"/>
                  </w:pPr>
                </w:p>
              </w:tc>
              <w:tc>
                <w:tcPr>
                  <w:tcW w:w="1255" w:type="dxa"/>
                  <w:vMerge w:val="continue"/>
                  <w:vAlign w:val="center"/>
                </w:tcPr>
                <w:p>
                  <w:pPr>
                    <w:adjustRightInd w:val="0"/>
                    <w:snapToGrid w:val="0"/>
                    <w:jc w:val="center"/>
                  </w:pPr>
                </w:p>
              </w:tc>
              <w:tc>
                <w:tcPr>
                  <w:tcW w:w="1116" w:type="dxa"/>
                  <w:vMerge w:val="continue"/>
                  <w:vAlign w:val="center"/>
                </w:tcPr>
                <w:p>
                  <w:pPr>
                    <w:adjustRightInd w:val="0"/>
                    <w:snapToGrid w:val="0"/>
                    <w:jc w:val="center"/>
                  </w:pPr>
                </w:p>
              </w:tc>
              <w:tc>
                <w:tcPr>
                  <w:tcW w:w="381" w:type="dxa"/>
                  <w:vMerge w:val="continue"/>
                  <w:vAlign w:val="center"/>
                </w:tcPr>
                <w:p>
                  <w:pPr>
                    <w:adjustRightInd w:val="0"/>
                    <w:snapToGrid w:val="0"/>
                    <w:jc w:val="center"/>
                  </w:pPr>
                </w:p>
              </w:tc>
              <w:tc>
                <w:tcPr>
                  <w:tcW w:w="1092" w:type="dxa"/>
                  <w:vMerge w:val="continue"/>
                  <w:vAlign w:val="center"/>
                </w:tcPr>
                <w:p>
                  <w:pPr>
                    <w:adjustRightInd w:val="0"/>
                    <w:snapToGrid w:val="0"/>
                    <w:jc w:val="center"/>
                  </w:pPr>
                </w:p>
              </w:tc>
              <w:tc>
                <w:tcPr>
                  <w:tcW w:w="1079" w:type="dxa"/>
                  <w:vMerge w:val="continue"/>
                  <w:vAlign w:val="center"/>
                </w:tcPr>
                <w:p>
                  <w:pPr>
                    <w:adjustRightInd w:val="0"/>
                    <w:snapToGrid w:val="0"/>
                    <w:jc w:val="center"/>
                  </w:pPr>
                </w:p>
              </w:tc>
              <w:tc>
                <w:tcPr>
                  <w:tcW w:w="876" w:type="dxa"/>
                  <w:vMerge w:val="continue"/>
                  <w:vAlign w:val="center"/>
                </w:tcPr>
                <w:p>
                  <w:pPr>
                    <w:adjustRightInd w:val="0"/>
                    <w:snapToGrid w:val="0"/>
                    <w:jc w:val="center"/>
                  </w:pPr>
                </w:p>
              </w:tc>
              <w:tc>
                <w:tcPr>
                  <w:tcW w:w="1109" w:type="dxa"/>
                  <w:vAlign w:val="center"/>
                </w:tcPr>
                <w:p>
                  <w:pPr>
                    <w:adjustRightInd w:val="0"/>
                    <w:snapToGrid w:val="0"/>
                    <w:jc w:val="center"/>
                    <w:rPr>
                      <w:szCs w:val="21"/>
                    </w:rPr>
                  </w:pPr>
                  <w:r>
                    <w:rPr>
                      <w:rFonts w:hint="eastAsia"/>
                      <w:szCs w:val="21"/>
                    </w:rPr>
                    <w:t>脱附-催化燃烧97%</w:t>
                  </w:r>
                </w:p>
              </w:tc>
              <w:tc>
                <w:tcPr>
                  <w:tcW w:w="882"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pPr>
                    <w:adjustRightInd w:val="0"/>
                    <w:snapToGrid w:val="0"/>
                    <w:jc w:val="center"/>
                    <w:rPr>
                      <w:szCs w:val="21"/>
                    </w:rPr>
                  </w:pPr>
                  <w:r>
                    <w:rPr>
                      <w:szCs w:val="21"/>
                    </w:rPr>
                    <w:t>5</w:t>
                  </w:r>
                </w:p>
              </w:tc>
              <w:tc>
                <w:tcPr>
                  <w:tcW w:w="1255" w:type="dxa"/>
                  <w:vAlign w:val="center"/>
                </w:tcPr>
                <w:p>
                  <w:pPr>
                    <w:adjustRightInd w:val="0"/>
                    <w:snapToGrid w:val="0"/>
                    <w:jc w:val="center"/>
                    <w:rPr>
                      <w:szCs w:val="21"/>
                    </w:rPr>
                  </w:pPr>
                  <w:r>
                    <w:rPr>
                      <w:szCs w:val="21"/>
                    </w:rPr>
                    <w:t>车间无组织</w:t>
                  </w:r>
                </w:p>
              </w:tc>
              <w:tc>
                <w:tcPr>
                  <w:tcW w:w="1116" w:type="dxa"/>
                  <w:vAlign w:val="center"/>
                </w:tcPr>
                <w:p>
                  <w:pPr>
                    <w:adjustRightInd w:val="0"/>
                    <w:snapToGrid w:val="0"/>
                    <w:jc w:val="center"/>
                    <w:rPr>
                      <w:szCs w:val="21"/>
                    </w:rPr>
                  </w:pPr>
                  <w:r>
                    <w:rPr>
                      <w:szCs w:val="21"/>
                    </w:rPr>
                    <w:t>颗粒物、非甲烷总烃</w:t>
                  </w: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p>
              </w:tc>
              <w:tc>
                <w:tcPr>
                  <w:tcW w:w="381" w:type="dxa"/>
                  <w:vAlign w:val="center"/>
                </w:tcPr>
                <w:p>
                  <w:pPr>
                    <w:adjustRightInd w:val="0"/>
                    <w:snapToGrid w:val="0"/>
                    <w:jc w:val="center"/>
                    <w:rPr>
                      <w:szCs w:val="21"/>
                    </w:rPr>
                  </w:pPr>
                  <w:r>
                    <w:rPr>
                      <w:szCs w:val="21"/>
                    </w:rPr>
                    <w:t>无组织</w:t>
                  </w:r>
                </w:p>
              </w:tc>
              <w:tc>
                <w:tcPr>
                  <w:tcW w:w="2171" w:type="dxa"/>
                  <w:gridSpan w:val="2"/>
                  <w:vAlign w:val="center"/>
                </w:tcPr>
                <w:p>
                  <w:pPr>
                    <w:adjustRightInd w:val="0"/>
                    <w:snapToGrid w:val="0"/>
                    <w:jc w:val="center"/>
                    <w:rPr>
                      <w:szCs w:val="21"/>
                    </w:rPr>
                  </w:pPr>
                  <w:r>
                    <w:rPr>
                      <w:szCs w:val="21"/>
                    </w:rPr>
                    <w:t>车间密闭</w:t>
                  </w:r>
                </w:p>
              </w:tc>
              <w:tc>
                <w:tcPr>
                  <w:tcW w:w="876" w:type="dxa"/>
                  <w:vAlign w:val="center"/>
                </w:tcPr>
                <w:p>
                  <w:pPr>
                    <w:adjustRightInd w:val="0"/>
                    <w:snapToGrid w:val="0"/>
                    <w:jc w:val="center"/>
                    <w:rPr>
                      <w:szCs w:val="21"/>
                    </w:rPr>
                  </w:pPr>
                  <w:r>
                    <w:rPr>
                      <w:szCs w:val="21"/>
                    </w:rPr>
                    <w:t>--</w:t>
                  </w:r>
                </w:p>
              </w:tc>
              <w:tc>
                <w:tcPr>
                  <w:tcW w:w="1109" w:type="dxa"/>
                  <w:vAlign w:val="center"/>
                </w:tcPr>
                <w:p>
                  <w:pPr>
                    <w:adjustRightInd w:val="0"/>
                    <w:snapToGrid w:val="0"/>
                    <w:jc w:val="center"/>
                    <w:rPr>
                      <w:szCs w:val="21"/>
                    </w:rPr>
                  </w:pPr>
                  <w:r>
                    <w:rPr>
                      <w:szCs w:val="21"/>
                    </w:rPr>
                    <w:t>--</w:t>
                  </w:r>
                </w:p>
              </w:tc>
              <w:tc>
                <w:tcPr>
                  <w:tcW w:w="882" w:type="dxa"/>
                  <w:vAlign w:val="center"/>
                </w:tcPr>
                <w:p>
                  <w:pPr>
                    <w:adjustRightInd w:val="0"/>
                    <w:snapToGrid w:val="0"/>
                    <w:jc w:val="center"/>
                    <w:rPr>
                      <w:szCs w:val="21"/>
                    </w:rPr>
                  </w:pPr>
                  <w:r>
                    <w:rPr>
                      <w:szCs w:val="21"/>
                    </w:rPr>
                    <w:t>--</w:t>
                  </w:r>
                </w:p>
              </w:tc>
            </w:tr>
          </w:tbl>
          <w:p>
            <w:pPr>
              <w:adjustRightInd w:val="0"/>
              <w:snapToGrid w:val="0"/>
              <w:spacing w:line="360" w:lineRule="auto"/>
              <w:ind w:firstLine="480" w:firstLineChars="200"/>
              <w:rPr>
                <w:sz w:val="24"/>
              </w:rPr>
            </w:pPr>
            <w:r>
              <w:rPr>
                <w:sz w:val="24"/>
              </w:rPr>
              <w:t>1.2污染源源强分析</w:t>
            </w:r>
          </w:p>
          <w:p>
            <w:pPr>
              <w:spacing w:line="360" w:lineRule="auto"/>
              <w:ind w:firstLine="480" w:firstLineChars="200"/>
              <w:rPr>
                <w:sz w:val="24"/>
              </w:rPr>
            </w:pPr>
            <w:r>
              <w:rPr>
                <w:rFonts w:hint="eastAsia"/>
                <w:sz w:val="24"/>
              </w:rPr>
              <w:t>本项目产生的废气主要有激光切割、焊接工序产生的颗粒物，喷涂工序产生的粉尘，烘干固化工序产生的天然气燃烧废气和有机废气，以颗粒物、SO</w:t>
            </w:r>
            <w:r>
              <w:rPr>
                <w:rFonts w:hint="eastAsia"/>
                <w:sz w:val="24"/>
                <w:vertAlign w:val="subscript"/>
              </w:rPr>
              <w:t>2</w:t>
            </w:r>
            <w:r>
              <w:rPr>
                <w:rFonts w:hint="eastAsia"/>
                <w:sz w:val="24"/>
              </w:rPr>
              <w:t>、NO</w:t>
            </w:r>
            <w:r>
              <w:rPr>
                <w:rFonts w:hint="eastAsia"/>
                <w:sz w:val="24"/>
                <w:vertAlign w:val="subscript"/>
              </w:rPr>
              <w:t>X</w:t>
            </w:r>
            <w:r>
              <w:rPr>
                <w:rFonts w:hint="eastAsia"/>
                <w:sz w:val="24"/>
              </w:rPr>
              <w:t>、烟气黑度、非甲烷总烃计。</w:t>
            </w:r>
          </w:p>
          <w:p>
            <w:pPr>
              <w:numPr>
                <w:ilvl w:val="0"/>
                <w:numId w:val="5"/>
              </w:numPr>
              <w:spacing w:line="360" w:lineRule="auto"/>
              <w:ind w:firstLine="480" w:firstLineChars="200"/>
              <w:rPr>
                <w:sz w:val="24"/>
              </w:rPr>
            </w:pPr>
            <w:r>
              <w:rPr>
                <w:rFonts w:hint="eastAsia"/>
                <w:sz w:val="24"/>
              </w:rPr>
              <w:t>有组织废气</w:t>
            </w:r>
          </w:p>
          <w:p>
            <w:pPr>
              <w:spacing w:line="360" w:lineRule="auto"/>
              <w:ind w:firstLine="480" w:firstLineChars="200"/>
              <w:rPr>
                <w:sz w:val="24"/>
              </w:rPr>
            </w:pPr>
            <w:r>
              <w:rPr>
                <w:sz w:val="24"/>
              </w:rPr>
              <w:t>①</w:t>
            </w:r>
            <w:r>
              <w:rPr>
                <w:rFonts w:hint="eastAsia"/>
                <w:sz w:val="24"/>
              </w:rPr>
              <w:t>焊接废气</w:t>
            </w:r>
            <w:r>
              <w:rPr>
                <w:sz w:val="24"/>
              </w:rPr>
              <w:t>及切割废气</w:t>
            </w:r>
            <w:r>
              <w:rPr>
                <w:rFonts w:hint="eastAsia"/>
                <w:sz w:val="24"/>
              </w:rPr>
              <w:t>（</w:t>
            </w:r>
            <w:r>
              <w:rPr>
                <w:sz w:val="24"/>
              </w:rPr>
              <w:t>DA001</w:t>
            </w:r>
            <w:r>
              <w:rPr>
                <w:rFonts w:hint="eastAsia"/>
                <w:sz w:val="24"/>
              </w:rPr>
              <w:t>）</w:t>
            </w:r>
          </w:p>
          <w:p>
            <w:pPr>
              <w:pStyle w:val="66"/>
              <w:spacing w:line="360" w:lineRule="auto"/>
              <w:rPr>
                <w:szCs w:val="24"/>
              </w:rPr>
            </w:pPr>
            <w:r>
              <w:rPr>
                <w:rFonts w:hint="eastAsia"/>
              </w:rPr>
              <w:t>A.焊接废气：</w:t>
            </w:r>
            <w:r>
              <w:rPr>
                <w:rFonts w:hint="eastAsia"/>
                <w:szCs w:val="24"/>
              </w:rPr>
              <w:t>根据《排放源统计调查产排污核算方法和系数手册》中33 金属制品业、34 通用设备制造业、35 专用设备制造业、36 汽车制造业、37 铁路、船舶、航空航天和其他运输设备制造业、431金属制品修理、432 通用设备修理、433 专用设备修理、434 铁路、船舶、航空航天等运输设备修理（不包括电镀工艺）行业系数手册，产排污系数一览表如下：</w:t>
            </w:r>
          </w:p>
          <w:p>
            <w:pPr>
              <w:ind w:firstLine="482" w:firstLineChars="200"/>
              <w:jc w:val="center"/>
              <w:rPr>
                <w:b/>
                <w:szCs w:val="21"/>
              </w:rPr>
            </w:pPr>
            <w:r>
              <w:rPr>
                <w:b/>
                <w:sz w:val="24"/>
              </w:rPr>
              <w:t>表</w:t>
            </w:r>
            <w:r>
              <w:rPr>
                <w:rFonts w:hint="eastAsia"/>
                <w:b/>
                <w:sz w:val="24"/>
              </w:rPr>
              <w:t>35</w:t>
            </w:r>
            <w:r>
              <w:rPr>
                <w:b/>
                <w:sz w:val="24"/>
              </w:rPr>
              <w:t xml:space="preserve">   产排污系数一览表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565"/>
              <w:gridCol w:w="1605"/>
              <w:gridCol w:w="1291"/>
              <w:gridCol w:w="1406"/>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spacing w:line="240" w:lineRule="exact"/>
                    <w:jc w:val="center"/>
                    <w:rPr>
                      <w:szCs w:val="21"/>
                    </w:rPr>
                  </w:pPr>
                  <w:r>
                    <w:rPr>
                      <w:rFonts w:hint="eastAsia"/>
                      <w:szCs w:val="21"/>
                    </w:rPr>
                    <w:t>原料</w:t>
                  </w:r>
                </w:p>
              </w:tc>
              <w:tc>
                <w:tcPr>
                  <w:tcW w:w="925" w:type="pct"/>
                  <w:vAlign w:val="center"/>
                </w:tcPr>
                <w:p>
                  <w:pPr>
                    <w:spacing w:line="240" w:lineRule="exact"/>
                    <w:jc w:val="center"/>
                    <w:rPr>
                      <w:szCs w:val="21"/>
                    </w:rPr>
                  </w:pPr>
                  <w:r>
                    <w:rPr>
                      <w:rFonts w:hint="eastAsia"/>
                      <w:szCs w:val="21"/>
                    </w:rPr>
                    <w:t>工艺</w:t>
                  </w:r>
                </w:p>
              </w:tc>
              <w:tc>
                <w:tcPr>
                  <w:tcW w:w="949" w:type="pct"/>
                  <w:vAlign w:val="center"/>
                </w:tcPr>
                <w:p>
                  <w:pPr>
                    <w:spacing w:line="240" w:lineRule="exact"/>
                    <w:jc w:val="center"/>
                    <w:rPr>
                      <w:szCs w:val="21"/>
                    </w:rPr>
                  </w:pPr>
                  <w:r>
                    <w:rPr>
                      <w:rFonts w:hint="eastAsia"/>
                      <w:szCs w:val="21"/>
                    </w:rPr>
                    <w:t>污染物指标</w:t>
                  </w:r>
                </w:p>
              </w:tc>
              <w:tc>
                <w:tcPr>
                  <w:tcW w:w="763" w:type="pct"/>
                  <w:vAlign w:val="center"/>
                </w:tcPr>
                <w:p>
                  <w:pPr>
                    <w:spacing w:line="240" w:lineRule="exact"/>
                    <w:jc w:val="center"/>
                    <w:rPr>
                      <w:szCs w:val="21"/>
                    </w:rPr>
                  </w:pPr>
                  <w:r>
                    <w:rPr>
                      <w:rFonts w:hint="eastAsia"/>
                      <w:szCs w:val="21"/>
                    </w:rPr>
                    <w:t>单位</w:t>
                  </w:r>
                </w:p>
              </w:tc>
              <w:tc>
                <w:tcPr>
                  <w:tcW w:w="831" w:type="pct"/>
                  <w:vAlign w:val="center"/>
                </w:tcPr>
                <w:p>
                  <w:pPr>
                    <w:spacing w:line="240" w:lineRule="exact"/>
                    <w:ind w:left="-105" w:leftChars="-50" w:right="-105" w:rightChars="-50"/>
                    <w:jc w:val="center"/>
                    <w:rPr>
                      <w:szCs w:val="21"/>
                    </w:rPr>
                  </w:pPr>
                  <w:r>
                    <w:rPr>
                      <w:rFonts w:hint="eastAsia"/>
                      <w:szCs w:val="21"/>
                    </w:rPr>
                    <w:t>产物系数</w:t>
                  </w:r>
                </w:p>
              </w:tc>
              <w:tc>
                <w:tcPr>
                  <w:tcW w:w="1108" w:type="pct"/>
                  <w:vAlign w:val="center"/>
                </w:tcPr>
                <w:p>
                  <w:pPr>
                    <w:spacing w:line="240" w:lineRule="exact"/>
                    <w:jc w:val="center"/>
                    <w:rPr>
                      <w:szCs w:val="21"/>
                    </w:rPr>
                  </w:pPr>
                  <w:r>
                    <w:rPr>
                      <w:rFonts w:hint="eastAsia"/>
                      <w:szCs w:val="21"/>
                    </w:rPr>
                    <w:t>末端治理技术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Merge w:val="restart"/>
                  <w:vAlign w:val="center"/>
                </w:tcPr>
                <w:p>
                  <w:pPr>
                    <w:snapToGrid w:val="0"/>
                    <w:spacing w:line="240" w:lineRule="exact"/>
                    <w:jc w:val="center"/>
                    <w:rPr>
                      <w:szCs w:val="21"/>
                    </w:rPr>
                  </w:pPr>
                  <w:r>
                    <w:rPr>
                      <w:rFonts w:hint="eastAsia"/>
                      <w:szCs w:val="21"/>
                    </w:rPr>
                    <w:t>实心焊丝</w:t>
                  </w:r>
                </w:p>
              </w:tc>
              <w:tc>
                <w:tcPr>
                  <w:tcW w:w="925" w:type="pct"/>
                  <w:vMerge w:val="restart"/>
                  <w:vAlign w:val="center"/>
                </w:tcPr>
                <w:p>
                  <w:pPr>
                    <w:snapToGrid w:val="0"/>
                    <w:spacing w:line="240" w:lineRule="exact"/>
                    <w:ind w:left="-105" w:leftChars="-50" w:right="-105" w:rightChars="-50"/>
                    <w:jc w:val="center"/>
                    <w:rPr>
                      <w:kern w:val="44"/>
                      <w:szCs w:val="21"/>
                    </w:rPr>
                  </w:pPr>
                  <w:r>
                    <w:rPr>
                      <w:rFonts w:hint="eastAsia"/>
                      <w:kern w:val="44"/>
                      <w:szCs w:val="21"/>
                    </w:rPr>
                    <w:t>二氧化碳保护焊、埋弧焊、氩弧焊</w:t>
                  </w:r>
                </w:p>
              </w:tc>
              <w:tc>
                <w:tcPr>
                  <w:tcW w:w="949" w:type="pct"/>
                  <w:vAlign w:val="center"/>
                </w:tcPr>
                <w:p>
                  <w:pPr>
                    <w:snapToGrid w:val="0"/>
                    <w:spacing w:line="240" w:lineRule="exact"/>
                    <w:jc w:val="center"/>
                    <w:rPr>
                      <w:szCs w:val="21"/>
                    </w:rPr>
                  </w:pPr>
                  <w:r>
                    <w:rPr>
                      <w:kern w:val="0"/>
                      <w:szCs w:val="21"/>
                    </w:rPr>
                    <w:t>工业废气量</w:t>
                  </w:r>
                </w:p>
              </w:tc>
              <w:tc>
                <w:tcPr>
                  <w:tcW w:w="763" w:type="pct"/>
                  <w:vAlign w:val="center"/>
                </w:tcPr>
                <w:p>
                  <w:pPr>
                    <w:snapToGrid w:val="0"/>
                    <w:spacing w:line="240" w:lineRule="exact"/>
                    <w:jc w:val="center"/>
                    <w:rPr>
                      <w:szCs w:val="21"/>
                    </w:rPr>
                  </w:pPr>
                  <w:r>
                    <w:rPr>
                      <w:rFonts w:hint="eastAsia"/>
                      <w:spacing w:val="-20"/>
                      <w:kern w:val="0"/>
                      <w:szCs w:val="21"/>
                    </w:rPr>
                    <w:t>m</w:t>
                  </w:r>
                  <w:r>
                    <w:rPr>
                      <w:rFonts w:hint="eastAsia"/>
                      <w:spacing w:val="-20"/>
                      <w:kern w:val="0"/>
                      <w:szCs w:val="21"/>
                      <w:vertAlign w:val="superscript"/>
                    </w:rPr>
                    <w:t>3</w:t>
                  </w:r>
                  <w:r>
                    <w:rPr>
                      <w:spacing w:val="-20"/>
                      <w:kern w:val="0"/>
                      <w:szCs w:val="21"/>
                    </w:rPr>
                    <w:t>/</w:t>
                  </w:r>
                  <w:r>
                    <w:rPr>
                      <w:rFonts w:hint="eastAsia"/>
                      <w:spacing w:val="-20"/>
                      <w:kern w:val="0"/>
                      <w:szCs w:val="21"/>
                    </w:rPr>
                    <w:t>t</w:t>
                  </w:r>
                  <w:r>
                    <w:rPr>
                      <w:spacing w:val="-20"/>
                      <w:kern w:val="0"/>
                      <w:szCs w:val="21"/>
                    </w:rPr>
                    <w:t>-原料</w:t>
                  </w:r>
                </w:p>
              </w:tc>
              <w:tc>
                <w:tcPr>
                  <w:tcW w:w="831" w:type="pct"/>
                  <w:vAlign w:val="center"/>
                </w:tcPr>
                <w:p>
                  <w:pPr>
                    <w:snapToGrid w:val="0"/>
                    <w:ind w:left="-105" w:leftChars="-50" w:right="-105" w:rightChars="-50"/>
                    <w:jc w:val="center"/>
                    <w:rPr>
                      <w:szCs w:val="21"/>
                    </w:rPr>
                  </w:pPr>
                  <w:r>
                    <w:rPr>
                      <w:rFonts w:hint="eastAsia"/>
                      <w:kern w:val="0"/>
                      <w:szCs w:val="21"/>
                    </w:rPr>
                    <w:t>2130193</w:t>
                  </w:r>
                </w:p>
              </w:tc>
              <w:tc>
                <w:tcPr>
                  <w:tcW w:w="1108" w:type="pct"/>
                  <w:vAlign w:val="center"/>
                </w:tcPr>
                <w:p>
                  <w:pPr>
                    <w:snapToGrid w:val="0"/>
                    <w:jc w:val="center"/>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Merge w:val="continue"/>
                  <w:vAlign w:val="center"/>
                </w:tcPr>
                <w:p>
                  <w:pPr>
                    <w:snapToGrid w:val="0"/>
                    <w:spacing w:line="240" w:lineRule="exact"/>
                    <w:jc w:val="center"/>
                    <w:rPr>
                      <w:szCs w:val="21"/>
                    </w:rPr>
                  </w:pPr>
                </w:p>
              </w:tc>
              <w:tc>
                <w:tcPr>
                  <w:tcW w:w="925" w:type="pct"/>
                  <w:vMerge w:val="continue"/>
                  <w:vAlign w:val="center"/>
                </w:tcPr>
                <w:p>
                  <w:pPr>
                    <w:snapToGrid w:val="0"/>
                    <w:spacing w:line="240" w:lineRule="exact"/>
                    <w:ind w:left="-105" w:leftChars="-50" w:right="-105" w:rightChars="-50"/>
                    <w:jc w:val="center"/>
                    <w:rPr>
                      <w:kern w:val="44"/>
                      <w:szCs w:val="21"/>
                    </w:rPr>
                  </w:pPr>
                </w:p>
              </w:tc>
              <w:tc>
                <w:tcPr>
                  <w:tcW w:w="949" w:type="pct"/>
                  <w:vAlign w:val="center"/>
                </w:tcPr>
                <w:p>
                  <w:pPr>
                    <w:snapToGrid w:val="0"/>
                    <w:spacing w:line="240" w:lineRule="exact"/>
                    <w:jc w:val="center"/>
                    <w:rPr>
                      <w:kern w:val="0"/>
                      <w:szCs w:val="21"/>
                    </w:rPr>
                  </w:pPr>
                  <w:r>
                    <w:rPr>
                      <w:rFonts w:hint="eastAsia"/>
                      <w:kern w:val="0"/>
                      <w:szCs w:val="21"/>
                    </w:rPr>
                    <w:t>颗粒物</w:t>
                  </w:r>
                </w:p>
              </w:tc>
              <w:tc>
                <w:tcPr>
                  <w:tcW w:w="763" w:type="pct"/>
                  <w:vAlign w:val="center"/>
                </w:tcPr>
                <w:p>
                  <w:pPr>
                    <w:snapToGrid w:val="0"/>
                    <w:spacing w:line="240" w:lineRule="exact"/>
                    <w:jc w:val="center"/>
                    <w:rPr>
                      <w:spacing w:val="-20"/>
                      <w:kern w:val="0"/>
                      <w:szCs w:val="21"/>
                    </w:rPr>
                  </w:pPr>
                  <w:r>
                    <w:rPr>
                      <w:rFonts w:hint="eastAsia"/>
                      <w:spacing w:val="-20"/>
                      <w:kern w:val="0"/>
                      <w:szCs w:val="21"/>
                    </w:rPr>
                    <w:t>kg/t-原料</w:t>
                  </w:r>
                </w:p>
              </w:tc>
              <w:tc>
                <w:tcPr>
                  <w:tcW w:w="831" w:type="pct"/>
                  <w:vAlign w:val="center"/>
                </w:tcPr>
                <w:p>
                  <w:pPr>
                    <w:snapToGrid w:val="0"/>
                    <w:jc w:val="center"/>
                    <w:rPr>
                      <w:kern w:val="0"/>
                      <w:szCs w:val="21"/>
                    </w:rPr>
                  </w:pPr>
                  <w:r>
                    <w:rPr>
                      <w:rFonts w:hint="eastAsia"/>
                      <w:kern w:val="0"/>
                      <w:szCs w:val="21"/>
                    </w:rPr>
                    <w:t>9.19</w:t>
                  </w:r>
                </w:p>
              </w:tc>
              <w:tc>
                <w:tcPr>
                  <w:tcW w:w="1108" w:type="pct"/>
                  <w:vAlign w:val="center"/>
                </w:tcPr>
                <w:p>
                  <w:pPr>
                    <w:snapToGrid w:val="0"/>
                    <w:ind w:left="-105" w:leftChars="-50" w:right="-105" w:rightChars="-50"/>
                    <w:jc w:val="center"/>
                    <w:rPr>
                      <w:kern w:val="0"/>
                      <w:szCs w:val="21"/>
                    </w:rPr>
                  </w:pPr>
                  <w:r>
                    <w:rPr>
                      <w:rFonts w:hint="eastAsia"/>
                      <w:kern w:val="0"/>
                      <w:szCs w:val="21"/>
                    </w:rPr>
                    <w:t>袋式除尘</w:t>
                  </w:r>
                </w:p>
              </w:tc>
            </w:tr>
          </w:tbl>
          <w:p>
            <w:pPr>
              <w:spacing w:line="360" w:lineRule="auto"/>
              <w:ind w:firstLine="480" w:firstLineChars="200"/>
              <w:rPr>
                <w:sz w:val="24"/>
              </w:rPr>
            </w:pPr>
            <w:r>
              <w:rPr>
                <w:rFonts w:hint="eastAsia"/>
                <w:sz w:val="24"/>
              </w:rPr>
              <w:t>本项目使用二氧化碳保护焊和全自动激光剪切机进行焊接，均使用实心焊丝、焊条进行焊接，根据上表可知，本项目焊接烟尘的产生量按照9.19</w:t>
            </w:r>
            <w:r>
              <w:rPr>
                <w:sz w:val="24"/>
              </w:rPr>
              <w:t>kg/t</w:t>
            </w:r>
            <w:r>
              <w:rPr>
                <w:rFonts w:hint="eastAsia"/>
                <w:sz w:val="24"/>
              </w:rPr>
              <w:t>-原料，项目焊丝（条）年使用量为5t，则焊接烟尘产生量为0.046t/a，焊接工序固定工位，在工位上方设置集气罩，焊接废气经集气罩收集进入1套布袋除尘器进行处理，处理后经1根20m高排气筒排放，风机风量为5000m</w:t>
            </w:r>
            <w:r>
              <w:rPr>
                <w:rFonts w:hint="eastAsia"/>
                <w:sz w:val="24"/>
                <w:vertAlign w:val="superscript"/>
              </w:rPr>
              <w:t>3</w:t>
            </w:r>
            <w:r>
              <w:rPr>
                <w:rFonts w:hint="eastAsia"/>
                <w:sz w:val="24"/>
              </w:rPr>
              <w:t>/h，年有效工作时间为3600h，集气罩的收集效率为80%，布袋除尘器的处理效率为95%，则焊接工序颗粒物有组织的产生量为0.0368t/a，产生速率为0.0102kg/h，产生浓度为2.04mg/m</w:t>
            </w:r>
            <w:r>
              <w:rPr>
                <w:rFonts w:hint="eastAsia"/>
                <w:sz w:val="24"/>
                <w:vertAlign w:val="superscript"/>
              </w:rPr>
              <w:t>3</w:t>
            </w:r>
            <w:r>
              <w:rPr>
                <w:rFonts w:hint="eastAsia"/>
                <w:sz w:val="24"/>
              </w:rPr>
              <w:t>；处理后的废气则经1根20m高排气筒（DA001）排放，经计算，焊接烟尘的有组织排放量为0.00184t/a。</w:t>
            </w:r>
          </w:p>
          <w:p>
            <w:pPr>
              <w:pStyle w:val="66"/>
              <w:spacing w:line="360" w:lineRule="auto"/>
              <w:rPr>
                <w:szCs w:val="24"/>
              </w:rPr>
            </w:pPr>
            <w:r>
              <w:rPr>
                <w:rFonts w:hint="eastAsia"/>
                <w:szCs w:val="24"/>
              </w:rPr>
              <w:t>B.切割废气：根据《排放源统计调查产排污核算方法和系数手册》中33 金属制品业、34 通用设备制造业、35 专用设备制造业、36 汽车制造业、37 铁路、船舶、航空航天和其他运输设备制造业、431金属制品修理、432 通用设备修理、433 专用设备修理、434 铁路、船舶、航空航天等运输设备修理（不包括电镀工艺）行业系数手册，产排污系数一览表如下：</w:t>
            </w:r>
          </w:p>
          <w:p>
            <w:pPr>
              <w:ind w:firstLine="482" w:firstLineChars="200"/>
              <w:jc w:val="center"/>
              <w:rPr>
                <w:b/>
                <w:sz w:val="24"/>
              </w:rPr>
            </w:pPr>
          </w:p>
          <w:p>
            <w:pPr>
              <w:ind w:firstLine="482" w:firstLineChars="200"/>
              <w:jc w:val="center"/>
              <w:rPr>
                <w:b/>
                <w:sz w:val="24"/>
              </w:rPr>
            </w:pPr>
          </w:p>
          <w:p>
            <w:pPr>
              <w:ind w:firstLine="482" w:firstLineChars="200"/>
              <w:jc w:val="center"/>
              <w:rPr>
                <w:b/>
                <w:sz w:val="24"/>
              </w:rPr>
            </w:pPr>
          </w:p>
          <w:p>
            <w:pPr>
              <w:ind w:firstLine="482" w:firstLineChars="200"/>
              <w:jc w:val="center"/>
              <w:rPr>
                <w:b/>
                <w:sz w:val="24"/>
              </w:rPr>
            </w:pPr>
          </w:p>
          <w:p>
            <w:pPr>
              <w:ind w:firstLine="482" w:firstLineChars="200"/>
              <w:jc w:val="center"/>
              <w:rPr>
                <w:b/>
                <w:szCs w:val="21"/>
              </w:rPr>
            </w:pPr>
            <w:r>
              <w:rPr>
                <w:b/>
                <w:sz w:val="24"/>
              </w:rPr>
              <w:t>表</w:t>
            </w:r>
            <w:r>
              <w:rPr>
                <w:rFonts w:hint="eastAsia"/>
                <w:b/>
                <w:sz w:val="24"/>
              </w:rPr>
              <w:t>36</w:t>
            </w:r>
            <w:r>
              <w:rPr>
                <w:b/>
                <w:sz w:val="24"/>
              </w:rPr>
              <w:t xml:space="preserve">   产排污系数一览表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565"/>
              <w:gridCol w:w="1605"/>
              <w:gridCol w:w="1291"/>
              <w:gridCol w:w="1406"/>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Align w:val="center"/>
                </w:tcPr>
                <w:p>
                  <w:pPr>
                    <w:spacing w:line="240" w:lineRule="exact"/>
                    <w:jc w:val="center"/>
                    <w:rPr>
                      <w:szCs w:val="21"/>
                    </w:rPr>
                  </w:pPr>
                  <w:r>
                    <w:rPr>
                      <w:rFonts w:hint="eastAsia"/>
                      <w:szCs w:val="21"/>
                    </w:rPr>
                    <w:t>原料</w:t>
                  </w:r>
                </w:p>
              </w:tc>
              <w:tc>
                <w:tcPr>
                  <w:tcW w:w="925" w:type="pct"/>
                  <w:vAlign w:val="center"/>
                </w:tcPr>
                <w:p>
                  <w:pPr>
                    <w:spacing w:line="240" w:lineRule="exact"/>
                    <w:jc w:val="center"/>
                    <w:rPr>
                      <w:szCs w:val="21"/>
                    </w:rPr>
                  </w:pPr>
                  <w:r>
                    <w:rPr>
                      <w:rFonts w:hint="eastAsia"/>
                      <w:szCs w:val="21"/>
                    </w:rPr>
                    <w:t>工艺</w:t>
                  </w:r>
                </w:p>
              </w:tc>
              <w:tc>
                <w:tcPr>
                  <w:tcW w:w="949" w:type="pct"/>
                  <w:vAlign w:val="center"/>
                </w:tcPr>
                <w:p>
                  <w:pPr>
                    <w:spacing w:line="240" w:lineRule="exact"/>
                    <w:jc w:val="center"/>
                    <w:rPr>
                      <w:szCs w:val="21"/>
                    </w:rPr>
                  </w:pPr>
                  <w:r>
                    <w:rPr>
                      <w:rFonts w:hint="eastAsia"/>
                      <w:szCs w:val="21"/>
                    </w:rPr>
                    <w:t>污染物指标</w:t>
                  </w:r>
                </w:p>
              </w:tc>
              <w:tc>
                <w:tcPr>
                  <w:tcW w:w="763" w:type="pct"/>
                  <w:vAlign w:val="center"/>
                </w:tcPr>
                <w:p>
                  <w:pPr>
                    <w:spacing w:line="240" w:lineRule="exact"/>
                    <w:jc w:val="center"/>
                    <w:rPr>
                      <w:szCs w:val="21"/>
                    </w:rPr>
                  </w:pPr>
                  <w:r>
                    <w:rPr>
                      <w:rFonts w:hint="eastAsia"/>
                      <w:szCs w:val="21"/>
                    </w:rPr>
                    <w:t>单位</w:t>
                  </w:r>
                </w:p>
              </w:tc>
              <w:tc>
                <w:tcPr>
                  <w:tcW w:w="831" w:type="pct"/>
                  <w:vAlign w:val="center"/>
                </w:tcPr>
                <w:p>
                  <w:pPr>
                    <w:spacing w:line="240" w:lineRule="exact"/>
                    <w:ind w:left="-105" w:leftChars="-50" w:right="-105" w:rightChars="-50"/>
                    <w:jc w:val="center"/>
                    <w:rPr>
                      <w:szCs w:val="21"/>
                    </w:rPr>
                  </w:pPr>
                  <w:r>
                    <w:rPr>
                      <w:rFonts w:hint="eastAsia"/>
                      <w:szCs w:val="21"/>
                    </w:rPr>
                    <w:t>产物系数</w:t>
                  </w:r>
                </w:p>
              </w:tc>
              <w:tc>
                <w:tcPr>
                  <w:tcW w:w="1108" w:type="pct"/>
                  <w:vAlign w:val="center"/>
                </w:tcPr>
                <w:p>
                  <w:pPr>
                    <w:spacing w:line="240" w:lineRule="exact"/>
                    <w:jc w:val="center"/>
                    <w:rPr>
                      <w:szCs w:val="21"/>
                    </w:rPr>
                  </w:pPr>
                  <w:r>
                    <w:rPr>
                      <w:rFonts w:hint="eastAsia"/>
                      <w:szCs w:val="21"/>
                    </w:rPr>
                    <w:t>末端治理技术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vAlign w:val="center"/>
                </w:tcPr>
                <w:p>
                  <w:pPr>
                    <w:snapToGrid w:val="0"/>
                    <w:spacing w:line="240" w:lineRule="exact"/>
                    <w:jc w:val="center"/>
                    <w:rPr>
                      <w:szCs w:val="21"/>
                    </w:rPr>
                  </w:pPr>
                  <w:r>
                    <w:rPr>
                      <w:rFonts w:hint="eastAsia"/>
                      <w:szCs w:val="21"/>
                    </w:rPr>
                    <w:t>钢材</w:t>
                  </w:r>
                </w:p>
              </w:tc>
              <w:tc>
                <w:tcPr>
                  <w:tcW w:w="925" w:type="pct"/>
                  <w:vMerge w:val="restart"/>
                  <w:vAlign w:val="center"/>
                </w:tcPr>
                <w:p>
                  <w:pPr>
                    <w:snapToGrid w:val="0"/>
                    <w:spacing w:line="240" w:lineRule="exact"/>
                    <w:jc w:val="center"/>
                    <w:rPr>
                      <w:kern w:val="44"/>
                      <w:szCs w:val="21"/>
                    </w:rPr>
                  </w:pPr>
                  <w:r>
                    <w:rPr>
                      <w:rFonts w:hint="eastAsia"/>
                      <w:kern w:val="44"/>
                      <w:szCs w:val="21"/>
                    </w:rPr>
                    <w:t>氧/可燃气切割</w:t>
                  </w:r>
                </w:p>
              </w:tc>
              <w:tc>
                <w:tcPr>
                  <w:tcW w:w="949" w:type="pct"/>
                  <w:vAlign w:val="center"/>
                </w:tcPr>
                <w:p>
                  <w:pPr>
                    <w:snapToGrid w:val="0"/>
                    <w:spacing w:line="240" w:lineRule="exact"/>
                    <w:jc w:val="center"/>
                    <w:rPr>
                      <w:kern w:val="0"/>
                      <w:szCs w:val="21"/>
                    </w:rPr>
                  </w:pPr>
                  <w:r>
                    <w:rPr>
                      <w:rFonts w:hint="eastAsia"/>
                      <w:kern w:val="0"/>
                      <w:szCs w:val="21"/>
                    </w:rPr>
                    <w:t>颗粒物</w:t>
                  </w:r>
                </w:p>
              </w:tc>
              <w:tc>
                <w:tcPr>
                  <w:tcW w:w="763" w:type="pct"/>
                  <w:vAlign w:val="center"/>
                </w:tcPr>
                <w:p>
                  <w:pPr>
                    <w:snapToGrid w:val="0"/>
                    <w:spacing w:line="240" w:lineRule="exact"/>
                    <w:jc w:val="center"/>
                    <w:rPr>
                      <w:spacing w:val="-20"/>
                      <w:kern w:val="0"/>
                      <w:szCs w:val="21"/>
                    </w:rPr>
                  </w:pPr>
                  <w:r>
                    <w:rPr>
                      <w:rFonts w:hint="eastAsia"/>
                      <w:spacing w:val="-20"/>
                      <w:kern w:val="0"/>
                      <w:szCs w:val="21"/>
                    </w:rPr>
                    <w:t>kg/t-原料</w:t>
                  </w:r>
                </w:p>
              </w:tc>
              <w:tc>
                <w:tcPr>
                  <w:tcW w:w="831" w:type="pct"/>
                  <w:vAlign w:val="center"/>
                </w:tcPr>
                <w:p>
                  <w:pPr>
                    <w:snapToGrid w:val="0"/>
                    <w:jc w:val="center"/>
                    <w:rPr>
                      <w:kern w:val="0"/>
                      <w:szCs w:val="21"/>
                    </w:rPr>
                  </w:pPr>
                  <w:r>
                    <w:rPr>
                      <w:rFonts w:hint="eastAsia"/>
                      <w:kern w:val="0"/>
                      <w:szCs w:val="21"/>
                    </w:rPr>
                    <w:t>1.50</w:t>
                  </w:r>
                </w:p>
              </w:tc>
              <w:tc>
                <w:tcPr>
                  <w:tcW w:w="1108" w:type="pct"/>
                  <w:vAlign w:val="center"/>
                </w:tcPr>
                <w:p>
                  <w:pPr>
                    <w:snapToGrid w:val="0"/>
                    <w:ind w:left="-105" w:leftChars="-50" w:right="-105" w:rightChars="-50"/>
                    <w:jc w:val="center"/>
                    <w:rPr>
                      <w:kern w:val="0"/>
                      <w:szCs w:val="21"/>
                    </w:rPr>
                  </w:pPr>
                  <w:r>
                    <w:rPr>
                      <w:rFonts w:hint="eastAsia"/>
                      <w:kern w:val="0"/>
                      <w:szCs w:val="21"/>
                    </w:rPr>
                    <w:t>袋式除尘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pPr>
                    <w:snapToGrid w:val="0"/>
                    <w:spacing w:line="240" w:lineRule="exact"/>
                    <w:jc w:val="center"/>
                    <w:rPr>
                      <w:szCs w:val="21"/>
                    </w:rPr>
                  </w:pPr>
                </w:p>
              </w:tc>
              <w:tc>
                <w:tcPr>
                  <w:tcW w:w="925" w:type="pct"/>
                  <w:vMerge w:val="continue"/>
                  <w:vAlign w:val="center"/>
                </w:tcPr>
                <w:p>
                  <w:pPr>
                    <w:snapToGrid w:val="0"/>
                    <w:spacing w:line="240" w:lineRule="exact"/>
                    <w:jc w:val="center"/>
                    <w:rPr>
                      <w:kern w:val="44"/>
                      <w:szCs w:val="21"/>
                    </w:rPr>
                  </w:pPr>
                </w:p>
              </w:tc>
              <w:tc>
                <w:tcPr>
                  <w:tcW w:w="949" w:type="pct"/>
                  <w:vAlign w:val="center"/>
                </w:tcPr>
                <w:p>
                  <w:pPr>
                    <w:snapToGrid w:val="0"/>
                    <w:spacing w:line="240" w:lineRule="exact"/>
                    <w:jc w:val="center"/>
                    <w:rPr>
                      <w:szCs w:val="21"/>
                    </w:rPr>
                  </w:pPr>
                  <w:r>
                    <w:rPr>
                      <w:kern w:val="0"/>
                      <w:szCs w:val="21"/>
                    </w:rPr>
                    <w:t>工业废气量</w:t>
                  </w:r>
                </w:p>
              </w:tc>
              <w:tc>
                <w:tcPr>
                  <w:tcW w:w="763" w:type="pct"/>
                  <w:vAlign w:val="center"/>
                </w:tcPr>
                <w:p>
                  <w:pPr>
                    <w:snapToGrid w:val="0"/>
                    <w:spacing w:line="240" w:lineRule="exact"/>
                    <w:jc w:val="center"/>
                    <w:rPr>
                      <w:szCs w:val="21"/>
                    </w:rPr>
                  </w:pPr>
                  <w:r>
                    <w:rPr>
                      <w:rFonts w:hint="eastAsia"/>
                      <w:spacing w:val="-20"/>
                      <w:kern w:val="0"/>
                      <w:szCs w:val="21"/>
                    </w:rPr>
                    <w:t>m</w:t>
                  </w:r>
                  <w:r>
                    <w:rPr>
                      <w:rFonts w:hint="eastAsia"/>
                      <w:spacing w:val="-20"/>
                      <w:kern w:val="0"/>
                      <w:szCs w:val="21"/>
                      <w:vertAlign w:val="superscript"/>
                    </w:rPr>
                    <w:t>3</w:t>
                  </w:r>
                  <w:r>
                    <w:rPr>
                      <w:spacing w:val="-20"/>
                      <w:kern w:val="0"/>
                      <w:szCs w:val="21"/>
                    </w:rPr>
                    <w:t>/</w:t>
                  </w:r>
                  <w:r>
                    <w:rPr>
                      <w:rFonts w:hint="eastAsia"/>
                      <w:spacing w:val="-20"/>
                      <w:kern w:val="0"/>
                      <w:szCs w:val="21"/>
                    </w:rPr>
                    <w:t>t</w:t>
                  </w:r>
                  <w:r>
                    <w:rPr>
                      <w:spacing w:val="-20"/>
                      <w:kern w:val="0"/>
                      <w:szCs w:val="21"/>
                    </w:rPr>
                    <w:t>-原料</w:t>
                  </w:r>
                </w:p>
              </w:tc>
              <w:tc>
                <w:tcPr>
                  <w:tcW w:w="831" w:type="pct"/>
                  <w:vAlign w:val="center"/>
                </w:tcPr>
                <w:p>
                  <w:pPr>
                    <w:snapToGrid w:val="0"/>
                    <w:jc w:val="center"/>
                    <w:rPr>
                      <w:szCs w:val="21"/>
                    </w:rPr>
                  </w:pPr>
                  <w:r>
                    <w:rPr>
                      <w:rFonts w:hint="eastAsia"/>
                      <w:kern w:val="0"/>
                      <w:szCs w:val="21"/>
                    </w:rPr>
                    <w:t>4635</w:t>
                  </w:r>
                </w:p>
              </w:tc>
              <w:tc>
                <w:tcPr>
                  <w:tcW w:w="1108" w:type="pct"/>
                  <w:vAlign w:val="center"/>
                </w:tcPr>
                <w:p>
                  <w:pPr>
                    <w:snapToGrid w:val="0"/>
                    <w:jc w:val="center"/>
                    <w:rPr>
                      <w:kern w:val="0"/>
                      <w:szCs w:val="21"/>
                    </w:rPr>
                  </w:pPr>
                  <w:r>
                    <w:rPr>
                      <w:rFonts w:hint="eastAsia"/>
                      <w:kern w:val="0"/>
                      <w:szCs w:val="21"/>
                    </w:rPr>
                    <w:t>/</w:t>
                  </w:r>
                </w:p>
              </w:tc>
            </w:tr>
          </w:tbl>
          <w:p>
            <w:pPr>
              <w:adjustRightInd w:val="0"/>
              <w:snapToGrid w:val="0"/>
              <w:spacing w:line="360" w:lineRule="auto"/>
              <w:ind w:firstLine="480" w:firstLineChars="200"/>
              <w:rPr>
                <w:sz w:val="24"/>
              </w:rPr>
            </w:pPr>
            <w:r>
              <w:rPr>
                <w:rFonts w:hint="eastAsia"/>
                <w:sz w:val="24"/>
              </w:rPr>
              <w:t>根据上表，本项目钢板下料切割采用激光切割机，参照“氧/可燃气切割”产污系数-1.50</w:t>
            </w:r>
            <w:r>
              <w:rPr>
                <w:sz w:val="24"/>
              </w:rPr>
              <w:t>kg/t</w:t>
            </w:r>
            <w:r>
              <w:rPr>
                <w:rFonts w:hint="eastAsia"/>
                <w:sz w:val="24"/>
              </w:rPr>
              <w:t>-原料，项目钢板年使用量为200t，则颗粒物产生量为0.3t/a，下料工序产生的颗粒物经集气装置进入设备自带布袋除尘器，集气装置的收集效率为90%，自带布袋除尘器的处理效率为95%，本项目共设置3台激光切割机，按照3台激光切割机的产能相等进行计算，则每台设备颗粒物的产生量均为0.1t/a，每套设备自带布袋除尘器，每套除尘器的风机风量为1000m</w:t>
            </w:r>
            <w:r>
              <w:rPr>
                <w:rFonts w:hint="eastAsia"/>
                <w:sz w:val="24"/>
                <w:vertAlign w:val="superscript"/>
              </w:rPr>
              <w:t>3</w:t>
            </w:r>
            <w:r>
              <w:rPr>
                <w:rFonts w:hint="eastAsia"/>
                <w:sz w:val="24"/>
              </w:rPr>
              <w:t>/h，则每套激光切割机颗粒物的有组织产生量为0.09t/a，产生速率为0.025kg/h，产生浓度为25mg/m</w:t>
            </w:r>
            <w:r>
              <w:rPr>
                <w:rFonts w:hint="eastAsia"/>
                <w:sz w:val="24"/>
                <w:vertAlign w:val="superscript"/>
              </w:rPr>
              <w:t>3</w:t>
            </w:r>
            <w:r>
              <w:rPr>
                <w:rFonts w:hint="eastAsia"/>
                <w:sz w:val="24"/>
              </w:rPr>
              <w:t>；经上述布袋除尘器处理后，3台激光切割机粉尘的有组织排放量为0.0135t/a。</w:t>
            </w:r>
          </w:p>
          <w:p>
            <w:pPr>
              <w:spacing w:line="360" w:lineRule="auto"/>
              <w:ind w:firstLine="480" w:firstLineChars="200"/>
              <w:rPr>
                <w:sz w:val="24"/>
              </w:rPr>
            </w:pPr>
            <w:r>
              <w:rPr>
                <w:rFonts w:hint="eastAsia"/>
                <w:sz w:val="24"/>
              </w:rPr>
              <w:t>焊接工序烟尘和切割粉尘经处理后通过管道经1根20m高排气筒排放，DA001的出风口风量为8000m</w:t>
            </w:r>
            <w:r>
              <w:rPr>
                <w:rFonts w:hint="eastAsia"/>
                <w:sz w:val="24"/>
                <w:vertAlign w:val="superscript"/>
              </w:rPr>
              <w:t>3</w:t>
            </w:r>
            <w:r>
              <w:rPr>
                <w:rFonts w:hint="eastAsia"/>
                <w:sz w:val="24"/>
              </w:rPr>
              <w:t>/h（5000m</w:t>
            </w:r>
            <w:r>
              <w:rPr>
                <w:rFonts w:hint="eastAsia"/>
                <w:sz w:val="24"/>
                <w:vertAlign w:val="superscript"/>
              </w:rPr>
              <w:t>3</w:t>
            </w:r>
            <w:r>
              <w:rPr>
                <w:rFonts w:hint="eastAsia"/>
                <w:sz w:val="24"/>
              </w:rPr>
              <w:t>/h+1000m</w:t>
            </w:r>
            <w:r>
              <w:rPr>
                <w:rFonts w:hint="eastAsia"/>
                <w:sz w:val="24"/>
                <w:vertAlign w:val="superscript"/>
              </w:rPr>
              <w:t>3</w:t>
            </w:r>
            <w:r>
              <w:rPr>
                <w:rFonts w:hint="eastAsia"/>
                <w:sz w:val="24"/>
              </w:rPr>
              <w:t>/h×3），工作时间为3600h，经上述A、B处理后则DA001的颗粒物排放量为0.01534t/a，排放速率为0.00426kg/h，排放浓度为0.53mg/m</w:t>
            </w:r>
            <w:r>
              <w:rPr>
                <w:rFonts w:hint="eastAsia"/>
                <w:sz w:val="24"/>
                <w:vertAlign w:val="superscript"/>
              </w:rPr>
              <w:t>3</w:t>
            </w:r>
            <w:r>
              <w:rPr>
                <w:rFonts w:hint="eastAsia"/>
                <w:sz w:val="24"/>
              </w:rPr>
              <w:t>，</w:t>
            </w:r>
            <w:r>
              <w:rPr>
                <w:spacing w:val="-2"/>
                <w:sz w:val="24"/>
              </w:rPr>
              <w:t>有组织</w:t>
            </w:r>
            <w:r>
              <w:rPr>
                <w:rFonts w:hint="eastAsia"/>
                <w:spacing w:val="-2"/>
                <w:sz w:val="24"/>
              </w:rPr>
              <w:t>颗粒物</w:t>
            </w:r>
            <w:r>
              <w:rPr>
                <w:spacing w:val="-2"/>
                <w:sz w:val="24"/>
              </w:rPr>
              <w:t>排放可满足《大气污染物综合排放标准》（GB16297-1996）表2</w:t>
            </w:r>
            <w:r>
              <w:rPr>
                <w:rFonts w:hint="eastAsia"/>
                <w:spacing w:val="-2"/>
                <w:sz w:val="24"/>
              </w:rPr>
              <w:t>二级</w:t>
            </w:r>
            <w:r>
              <w:rPr>
                <w:spacing w:val="-2"/>
                <w:sz w:val="24"/>
              </w:rPr>
              <w:t>排放限值要求。</w:t>
            </w:r>
          </w:p>
          <w:p>
            <w:pPr>
              <w:spacing w:line="360" w:lineRule="auto"/>
              <w:ind w:firstLine="480" w:firstLineChars="200"/>
              <w:rPr>
                <w:sz w:val="24"/>
              </w:rPr>
            </w:pPr>
            <w:r>
              <w:rPr>
                <w:rFonts w:hint="eastAsia" w:ascii="宋体" w:hAnsi="宋体" w:cs="宋体"/>
                <w:sz w:val="24"/>
              </w:rPr>
              <w:t>②</w:t>
            </w:r>
            <w:r>
              <w:rPr>
                <w:sz w:val="24"/>
              </w:rPr>
              <w:t>喷涂废气（DA00</w:t>
            </w:r>
            <w:r>
              <w:rPr>
                <w:rFonts w:hint="eastAsia"/>
                <w:sz w:val="24"/>
              </w:rPr>
              <w:t>2</w:t>
            </w:r>
            <w:r>
              <w:rPr>
                <w:sz w:val="24"/>
              </w:rPr>
              <w:t>）</w:t>
            </w:r>
          </w:p>
          <w:p>
            <w:pPr>
              <w:spacing w:line="360" w:lineRule="auto"/>
              <w:ind w:firstLine="480" w:firstLineChars="200"/>
              <w:rPr>
                <w:sz w:val="24"/>
              </w:rPr>
            </w:pPr>
            <w:r>
              <w:rPr>
                <w:rFonts w:hint="eastAsia"/>
                <w:sz w:val="24"/>
              </w:rPr>
              <w:t>根据</w:t>
            </w:r>
            <w:r>
              <w:rPr>
                <w:rFonts w:hint="eastAsia"/>
                <w:bCs/>
                <w:sz w:val="24"/>
              </w:rPr>
              <w:t>《排放源统计调查产排污核算方法和系数手册》</w:t>
            </w:r>
            <w:r>
              <w:rPr>
                <w:rFonts w:hint="eastAsia"/>
                <w:sz w:val="24"/>
              </w:rPr>
              <w:t>33 金属制品业 14 涂装核算环节喷涂工序颗粒物产污系数为300千克/吨-原料</w:t>
            </w:r>
            <w:r>
              <w:rPr>
                <w:sz w:val="24"/>
              </w:rPr>
              <w:t>，</w:t>
            </w:r>
            <w:r>
              <w:rPr>
                <w:rFonts w:hint="eastAsia"/>
                <w:sz w:val="24"/>
              </w:rPr>
              <w:t>项目塑粉使用量为25t/a，工作时间3600h，风机风量10000m</w:t>
            </w:r>
            <w:r>
              <w:rPr>
                <w:rFonts w:hint="eastAsia"/>
                <w:sz w:val="24"/>
                <w:vertAlign w:val="superscript"/>
              </w:rPr>
              <w:t>3</w:t>
            </w:r>
            <w:r>
              <w:rPr>
                <w:rFonts w:hint="eastAsia"/>
                <w:sz w:val="24"/>
              </w:rPr>
              <w:t>/h，则</w:t>
            </w:r>
            <w:r>
              <w:rPr>
                <w:sz w:val="24"/>
              </w:rPr>
              <w:t>喷涂过程</w:t>
            </w:r>
            <w:r>
              <w:rPr>
                <w:rFonts w:hint="eastAsia"/>
                <w:sz w:val="24"/>
              </w:rPr>
              <w:t>颗粒物</w:t>
            </w:r>
            <w:r>
              <w:rPr>
                <w:sz w:val="24"/>
              </w:rPr>
              <w:t>产生量</w:t>
            </w:r>
            <w:r>
              <w:rPr>
                <w:rFonts w:hint="eastAsia"/>
                <w:sz w:val="24"/>
              </w:rPr>
              <w:t>7.5</w:t>
            </w:r>
            <w:r>
              <w:rPr>
                <w:sz w:val="24"/>
              </w:rPr>
              <w:t>t/a</w:t>
            </w:r>
            <w:r>
              <w:rPr>
                <w:rFonts w:hint="eastAsia"/>
                <w:sz w:val="24"/>
              </w:rPr>
              <w:t>，考虑废气收集过程中少量废气逸散，颗粒物的收集效率按照95%计，因此有组织颗粒物的产生量为7.125t/a，产生速率1.979kg/h、产生浓度197.9mg/m</w:t>
            </w:r>
            <w:r>
              <w:rPr>
                <w:rFonts w:hint="eastAsia"/>
                <w:sz w:val="24"/>
                <w:vertAlign w:val="superscript"/>
              </w:rPr>
              <w:t>3</w:t>
            </w:r>
            <w:r>
              <w:rPr>
                <w:rFonts w:hint="eastAsia"/>
                <w:sz w:val="24"/>
              </w:rPr>
              <w:t>；经密闭集尘管道引入旋风除尘器+滤筒除尘器进行回收除尘处理，综合除尘效率99%，处理后的废气由1根20m高排气筒（DA002）排放，则DA002颗粒物排放量0.07125t/a，排放速率0.0198kg/h，排放浓度1.98mg/m</w:t>
            </w:r>
            <w:r>
              <w:rPr>
                <w:rFonts w:hint="eastAsia"/>
                <w:sz w:val="24"/>
                <w:vertAlign w:val="superscript"/>
              </w:rPr>
              <w:t>3</w:t>
            </w:r>
            <w:r>
              <w:rPr>
                <w:rFonts w:hint="eastAsia"/>
                <w:sz w:val="24"/>
              </w:rPr>
              <w:t>，</w:t>
            </w:r>
            <w:r>
              <w:rPr>
                <w:spacing w:val="-2"/>
                <w:sz w:val="24"/>
              </w:rPr>
              <w:t>有组织</w:t>
            </w:r>
            <w:r>
              <w:rPr>
                <w:rFonts w:hint="eastAsia"/>
                <w:spacing w:val="-2"/>
                <w:sz w:val="24"/>
              </w:rPr>
              <w:t>颗粒物</w:t>
            </w:r>
            <w:r>
              <w:rPr>
                <w:spacing w:val="-2"/>
                <w:sz w:val="24"/>
              </w:rPr>
              <w:t>排放可满足《大气污染物综合排放标准》（GB16297-1996）表2</w:t>
            </w:r>
            <w:r>
              <w:rPr>
                <w:rFonts w:hint="eastAsia"/>
                <w:spacing w:val="-2"/>
                <w:sz w:val="24"/>
              </w:rPr>
              <w:t>颗粒物</w:t>
            </w:r>
            <w:r>
              <w:rPr>
                <w:spacing w:val="-2"/>
                <w:sz w:val="24"/>
              </w:rPr>
              <w:t>（</w:t>
            </w:r>
            <w:r>
              <w:rPr>
                <w:rFonts w:hint="eastAsia"/>
                <w:spacing w:val="-2"/>
                <w:sz w:val="24"/>
              </w:rPr>
              <w:t>染料尘</w:t>
            </w:r>
            <w:r>
              <w:rPr>
                <w:spacing w:val="-2"/>
                <w:sz w:val="24"/>
              </w:rPr>
              <w:t>）最高允许排放限值要求。</w:t>
            </w:r>
          </w:p>
          <w:p>
            <w:pPr>
              <w:spacing w:line="360" w:lineRule="auto"/>
              <w:ind w:firstLine="480" w:firstLineChars="200"/>
              <w:rPr>
                <w:sz w:val="24"/>
              </w:rPr>
            </w:pPr>
            <w:r>
              <w:rPr>
                <w:rFonts w:hint="eastAsia" w:ascii="宋体" w:hAnsi="宋体" w:cs="宋体"/>
                <w:sz w:val="24"/>
              </w:rPr>
              <w:t>③</w:t>
            </w:r>
            <w:r>
              <w:rPr>
                <w:rFonts w:hint="eastAsia"/>
                <w:sz w:val="24"/>
              </w:rPr>
              <w:t>天然气燃烧废气及固化废气（DA003）</w:t>
            </w:r>
          </w:p>
          <w:p>
            <w:pPr>
              <w:adjustRightInd w:val="0"/>
              <w:snapToGrid w:val="0"/>
              <w:spacing w:line="360" w:lineRule="auto"/>
              <w:ind w:firstLine="480" w:firstLineChars="200"/>
              <w:rPr>
                <w:sz w:val="24"/>
              </w:rPr>
            </w:pPr>
            <w:r>
              <w:rPr>
                <w:rFonts w:hint="eastAsia"/>
                <w:sz w:val="24"/>
              </w:rPr>
              <w:t>A、固化工序产生的非甲烷总烃</w:t>
            </w:r>
          </w:p>
          <w:p>
            <w:pPr>
              <w:adjustRightInd w:val="0"/>
              <w:snapToGrid w:val="0"/>
              <w:spacing w:line="360" w:lineRule="auto"/>
              <w:ind w:firstLine="480" w:firstLineChars="200"/>
              <w:textAlignment w:val="baseline"/>
              <w:rPr>
                <w:sz w:val="24"/>
              </w:rPr>
            </w:pPr>
            <w:r>
              <w:rPr>
                <w:rFonts w:hint="eastAsia"/>
                <w:sz w:val="24"/>
              </w:rPr>
              <w:t>根据</w:t>
            </w:r>
            <w:r>
              <w:rPr>
                <w:rFonts w:hint="eastAsia"/>
                <w:bCs/>
                <w:sz w:val="24"/>
              </w:rPr>
              <w:t>《排放源统计调查产排污核算方法和系数手册》</w:t>
            </w:r>
            <w:r>
              <w:rPr>
                <w:rFonts w:hint="eastAsia"/>
                <w:sz w:val="24"/>
              </w:rPr>
              <w:t>33 金属制品业 14 涂装核算环节喷涂工序非甲烷总烃产污系数为1.2千克/吨-原料，项目塑粉使用量为25t/a，则固化工序非甲烷总烃产生量为0.03t/a，</w:t>
            </w:r>
            <w:r>
              <w:rPr>
                <w:sz w:val="24"/>
              </w:rPr>
              <w:t>在烘箱进出口的上方安装</w:t>
            </w:r>
            <w:r>
              <w:rPr>
                <w:rFonts w:hint="eastAsia"/>
                <w:sz w:val="24"/>
              </w:rPr>
              <w:t>集气装置</w:t>
            </w:r>
            <w:r>
              <w:rPr>
                <w:sz w:val="24"/>
              </w:rPr>
              <w:t>，</w:t>
            </w:r>
            <w:r>
              <w:rPr>
                <w:rFonts w:hint="eastAsia"/>
                <w:sz w:val="24"/>
              </w:rPr>
              <w:t>废气由干式过滤棉+活性炭吸附-脱附催化燃烧装置处理后</w:t>
            </w:r>
            <w:r>
              <w:rPr>
                <w:sz w:val="24"/>
              </w:rPr>
              <w:t>通过1根</w:t>
            </w:r>
            <w:r>
              <w:rPr>
                <w:rFonts w:hint="eastAsia"/>
                <w:sz w:val="24"/>
              </w:rPr>
              <w:t>20</w:t>
            </w:r>
            <w:r>
              <w:rPr>
                <w:sz w:val="24"/>
              </w:rPr>
              <w:t>m高排气筒（DA00</w:t>
            </w:r>
            <w:r>
              <w:rPr>
                <w:rFonts w:hint="eastAsia"/>
                <w:sz w:val="24"/>
              </w:rPr>
              <w:t>3</w:t>
            </w:r>
            <w:r>
              <w:rPr>
                <w:sz w:val="24"/>
              </w:rPr>
              <w:t>）排放</w:t>
            </w:r>
            <w:r>
              <w:rPr>
                <w:rFonts w:hint="eastAsia"/>
                <w:sz w:val="24"/>
              </w:rPr>
              <w:t>。</w:t>
            </w:r>
          </w:p>
          <w:p>
            <w:pPr>
              <w:adjustRightInd w:val="0"/>
              <w:snapToGrid w:val="0"/>
              <w:spacing w:line="360" w:lineRule="auto"/>
              <w:ind w:firstLine="480" w:firstLineChars="200"/>
              <w:textAlignment w:val="baseline"/>
              <w:rPr>
                <w:sz w:val="24"/>
              </w:rPr>
            </w:pPr>
            <w:r>
              <w:rPr>
                <w:rFonts w:hint="eastAsia"/>
                <w:sz w:val="24"/>
              </w:rPr>
              <w:t>集气装置的</w:t>
            </w:r>
            <w:r>
              <w:rPr>
                <w:sz w:val="24"/>
              </w:rPr>
              <w:t>收集率为</w:t>
            </w:r>
            <w:r>
              <w:rPr>
                <w:rFonts w:hint="eastAsia"/>
                <w:sz w:val="24"/>
              </w:rPr>
              <w:t>9</w:t>
            </w:r>
            <w:r>
              <w:rPr>
                <w:sz w:val="24"/>
              </w:rPr>
              <w:t>0%，</w:t>
            </w:r>
            <w:r>
              <w:rPr>
                <w:rFonts w:hint="eastAsia"/>
                <w:sz w:val="24"/>
              </w:rPr>
              <w:t>设计排风量</w:t>
            </w:r>
            <w:r>
              <w:rPr>
                <w:sz w:val="24"/>
              </w:rPr>
              <w:t>为</w:t>
            </w:r>
            <w:r>
              <w:rPr>
                <w:rFonts w:hint="eastAsia"/>
                <w:sz w:val="24"/>
              </w:rPr>
              <w:t>10</w:t>
            </w:r>
            <w:r>
              <w:rPr>
                <w:sz w:val="24"/>
              </w:rPr>
              <w:t>000m</w:t>
            </w:r>
            <w:r>
              <w:rPr>
                <w:sz w:val="24"/>
                <w:vertAlign w:val="superscript"/>
              </w:rPr>
              <w:t>3</w:t>
            </w:r>
            <w:r>
              <w:rPr>
                <w:sz w:val="24"/>
              </w:rPr>
              <w:t>/h，</w:t>
            </w:r>
            <w:r>
              <w:rPr>
                <w:rFonts w:hint="eastAsia"/>
                <w:sz w:val="24"/>
              </w:rPr>
              <w:t>则固化工序有组织非甲烷总烃的产生量为0.027t/a，产生速率为0.0075kg/h，产生浓度为0.75mg/m</w:t>
            </w:r>
            <w:r>
              <w:rPr>
                <w:rFonts w:hint="eastAsia"/>
                <w:sz w:val="24"/>
                <w:vertAlign w:val="superscript"/>
              </w:rPr>
              <w:t>3</w:t>
            </w:r>
            <w:r>
              <w:rPr>
                <w:rFonts w:hint="eastAsia"/>
                <w:sz w:val="24"/>
              </w:rPr>
              <w:t>。</w:t>
            </w:r>
          </w:p>
          <w:p>
            <w:pPr>
              <w:pStyle w:val="66"/>
              <w:adjustRightInd w:val="0"/>
              <w:snapToGrid w:val="0"/>
              <w:spacing w:line="360" w:lineRule="auto"/>
              <w:ind w:firstLine="482"/>
              <w:rPr>
                <w:sz w:val="21"/>
                <w:szCs w:val="21"/>
              </w:rPr>
            </w:pPr>
            <w:r>
              <w:rPr>
                <w:rFonts w:hint="eastAsia"/>
                <w:b/>
                <w:bCs/>
                <w:szCs w:val="24"/>
              </w:rPr>
              <w:t>1）吸附状态：</w:t>
            </w:r>
            <w:r>
              <w:rPr>
                <w:rFonts w:hint="eastAsia"/>
                <w:szCs w:val="24"/>
              </w:rPr>
              <w:t>当脱附不工作时，由于本项目活性炭碘值不低于800mg/g，则按照《吸附法工业有机废气治理工程技术规范》（HJ2026-2013），吸附效率应达90%以上，本次报告以90%计，则吸附状态下有组织非甲烷总烃排放量为0.0027t/a，排放速率为0.00075kg/h，排放浓度为0.075mg/m</w:t>
            </w:r>
            <w:r>
              <w:rPr>
                <w:rFonts w:hint="eastAsia"/>
                <w:szCs w:val="24"/>
                <w:vertAlign w:val="superscript"/>
              </w:rPr>
              <w:t>3</w:t>
            </w:r>
            <w:r>
              <w:rPr>
                <w:rFonts w:hint="eastAsia"/>
                <w:szCs w:val="24"/>
              </w:rPr>
              <w:t>。</w:t>
            </w:r>
          </w:p>
          <w:p>
            <w:pPr>
              <w:widowControl/>
              <w:adjustRightInd w:val="0"/>
              <w:snapToGrid w:val="0"/>
              <w:spacing w:line="360" w:lineRule="auto"/>
              <w:ind w:firstLine="482" w:firstLineChars="200"/>
              <w:rPr>
                <w:sz w:val="24"/>
              </w:rPr>
            </w:pPr>
            <w:r>
              <w:rPr>
                <w:rFonts w:hint="eastAsia"/>
                <w:b/>
                <w:bCs/>
                <w:kern w:val="44"/>
                <w:sz w:val="24"/>
              </w:rPr>
              <w:t>2）脱附-燃烧状态：</w:t>
            </w:r>
            <w:r>
              <w:rPr>
                <w:sz w:val="24"/>
              </w:rPr>
              <w:t>本项目</w:t>
            </w:r>
            <w:r>
              <w:rPr>
                <w:rFonts w:hint="eastAsia"/>
                <w:sz w:val="24"/>
              </w:rPr>
              <w:t>活性炭</w:t>
            </w:r>
            <w:r>
              <w:rPr>
                <w:sz w:val="24"/>
              </w:rPr>
              <w:t>脱附再生工艺如下：首先将催化蓄热室进行预热，预热完毕后通过高温风机将热</w:t>
            </w:r>
            <w:r>
              <w:rPr>
                <w:rFonts w:hint="eastAsia"/>
                <w:sz w:val="24"/>
              </w:rPr>
              <w:t>风</w:t>
            </w:r>
            <w:r>
              <w:rPr>
                <w:sz w:val="24"/>
              </w:rPr>
              <w:t>送入活性炭吸附装置</w:t>
            </w:r>
            <w:r>
              <w:rPr>
                <w:rFonts w:hint="eastAsia"/>
                <w:sz w:val="24"/>
              </w:rPr>
              <w:t>，</w:t>
            </w:r>
            <w:r>
              <w:rPr>
                <w:sz w:val="24"/>
              </w:rPr>
              <w:t>在热风</w:t>
            </w:r>
            <w:r>
              <w:rPr>
                <w:rFonts w:hint="eastAsia"/>
                <w:sz w:val="24"/>
              </w:rPr>
              <w:t>作用</w:t>
            </w:r>
            <w:r>
              <w:rPr>
                <w:sz w:val="24"/>
              </w:rPr>
              <w:t>下，被吸附的非甲烷总烃开始脱附，脱附后的浓缩废气送至催化燃烧装置，在特定催化剂的作用下发生氧化分解，生成CO</w:t>
            </w:r>
            <w:r>
              <w:rPr>
                <w:sz w:val="24"/>
                <w:vertAlign w:val="subscript"/>
              </w:rPr>
              <w:t>2</w:t>
            </w:r>
            <w:r>
              <w:rPr>
                <w:sz w:val="24"/>
              </w:rPr>
              <w:t>和H</w:t>
            </w:r>
            <w:r>
              <w:rPr>
                <w:sz w:val="24"/>
                <w:vertAlign w:val="subscript"/>
              </w:rPr>
              <w:t>2</w:t>
            </w:r>
            <w:r>
              <w:rPr>
                <w:sz w:val="24"/>
              </w:rPr>
              <w:t>O，并放出大量热量，热量被蓄热体“贮存”起来，用于预热新进入的有机废气，处理后的废气同时通过排气筒</w:t>
            </w:r>
            <w:r>
              <w:rPr>
                <w:rFonts w:hint="eastAsia"/>
                <w:sz w:val="24"/>
              </w:rPr>
              <w:t>DA0</w:t>
            </w:r>
            <w:r>
              <w:rPr>
                <w:sz w:val="24"/>
              </w:rPr>
              <w:t>0</w:t>
            </w:r>
            <w:r>
              <w:rPr>
                <w:rFonts w:hint="eastAsia"/>
                <w:sz w:val="24"/>
              </w:rPr>
              <w:t>1</w:t>
            </w:r>
            <w:r>
              <w:rPr>
                <w:sz w:val="24"/>
              </w:rPr>
              <w:t>排放。催化燃烧设备预热及助燃采用电加热，控制温度在250~300</w:t>
            </w:r>
            <w:r>
              <w:rPr>
                <w:rFonts w:hint="eastAsia"/>
                <w:sz w:val="24"/>
              </w:rPr>
              <w:t>℃</w:t>
            </w:r>
            <w:r>
              <w:rPr>
                <w:sz w:val="24"/>
              </w:rPr>
              <w:t>之间。</w:t>
            </w:r>
            <w:r>
              <w:rPr>
                <w:rFonts w:hint="eastAsia"/>
                <w:sz w:val="24"/>
              </w:rPr>
              <w:t>根据《催化</w:t>
            </w:r>
            <w:r>
              <w:rPr>
                <w:sz w:val="24"/>
              </w:rPr>
              <w:t>燃烧法工业</w:t>
            </w:r>
            <w:r>
              <w:rPr>
                <w:rFonts w:hint="eastAsia"/>
                <w:sz w:val="24"/>
              </w:rPr>
              <w:t>有机</w:t>
            </w:r>
            <w:r>
              <w:rPr>
                <w:sz w:val="24"/>
              </w:rPr>
              <w:t>废气治理工程技术规范</w:t>
            </w:r>
            <w:r>
              <w:rPr>
                <w:rFonts w:hint="eastAsia"/>
                <w:sz w:val="24"/>
              </w:rPr>
              <w:t>》（HJ2027-2013），催化</w:t>
            </w:r>
            <w:r>
              <w:rPr>
                <w:sz w:val="24"/>
              </w:rPr>
              <w:t>燃烧装置的净化效率不得低于</w:t>
            </w:r>
            <w:r>
              <w:rPr>
                <w:rFonts w:hint="eastAsia"/>
                <w:sz w:val="24"/>
              </w:rPr>
              <w:t>97</w:t>
            </w:r>
            <w:r>
              <w:rPr>
                <w:sz w:val="24"/>
              </w:rPr>
              <w:t>%，本次评价</w:t>
            </w:r>
            <w:r>
              <w:rPr>
                <w:rFonts w:hint="eastAsia"/>
                <w:sz w:val="24"/>
              </w:rPr>
              <w:t>按照</w:t>
            </w:r>
            <w:r>
              <w:rPr>
                <w:sz w:val="24"/>
              </w:rPr>
              <w:t>9</w:t>
            </w:r>
            <w:r>
              <w:rPr>
                <w:rFonts w:hint="eastAsia"/>
                <w:sz w:val="24"/>
              </w:rPr>
              <w:t>7</w:t>
            </w:r>
            <w:r>
              <w:rPr>
                <w:sz w:val="24"/>
              </w:rPr>
              <w:t>%</w:t>
            </w:r>
            <w:r>
              <w:rPr>
                <w:rFonts w:hint="eastAsia"/>
                <w:sz w:val="24"/>
              </w:rPr>
              <w:t>进行</w:t>
            </w:r>
            <w:r>
              <w:rPr>
                <w:sz w:val="24"/>
              </w:rPr>
              <w:t>计算。</w:t>
            </w:r>
          </w:p>
          <w:p>
            <w:pPr>
              <w:adjustRightInd w:val="0"/>
              <w:snapToGrid w:val="0"/>
              <w:spacing w:line="360" w:lineRule="auto"/>
              <w:ind w:firstLine="480" w:firstLineChars="200"/>
              <w:textAlignment w:val="baseline"/>
              <w:rPr>
                <w:sz w:val="24"/>
              </w:rPr>
            </w:pPr>
            <w:r>
              <w:rPr>
                <w:sz w:val="24"/>
              </w:rPr>
              <w:t>根据《关于印发&lt;2020年挥发性有机物治理攻坚方案&gt;的通知》（环大气〔2020〕33号），</w:t>
            </w:r>
            <w:r>
              <w:rPr>
                <w:rFonts w:hint="eastAsia"/>
                <w:sz w:val="24"/>
              </w:rPr>
              <w:t>“</w:t>
            </w:r>
            <w:r>
              <w:rPr>
                <w:sz w:val="24"/>
              </w:rPr>
              <w:t>采用活性炭吸附技术的，应选择碘值不低于800mg/g的活性炭，并按设计要求足量添加、及时更换</w:t>
            </w:r>
            <w:r>
              <w:rPr>
                <w:rFonts w:hint="eastAsia"/>
                <w:sz w:val="24"/>
              </w:rPr>
              <w:t>”。本项目要求采用</w:t>
            </w:r>
            <w:r>
              <w:rPr>
                <w:sz w:val="24"/>
              </w:rPr>
              <w:t>碘值不低于</w:t>
            </w:r>
            <w:r>
              <w:rPr>
                <w:rFonts w:hint="eastAsia"/>
                <w:sz w:val="24"/>
              </w:rPr>
              <w:t>800</w:t>
            </w:r>
            <w:r>
              <w:rPr>
                <w:sz w:val="24"/>
              </w:rPr>
              <w:t>mg/g的活性炭</w:t>
            </w:r>
            <w:r>
              <w:rPr>
                <w:rFonts w:hint="eastAsia"/>
                <w:sz w:val="24"/>
              </w:rPr>
              <w:t>。由于本项目非甲烷总烃产生量及产生浓度较小，根据设计单位提供数据，活性炭吸附箱运行吸附有机废气60天进行一次脱附，每次脱附时间3小时</w:t>
            </w:r>
            <w:r>
              <w:rPr>
                <w:sz w:val="24"/>
              </w:rPr>
              <w:t>，</w:t>
            </w:r>
            <w:r>
              <w:rPr>
                <w:rFonts w:hint="eastAsia"/>
                <w:sz w:val="24"/>
              </w:rPr>
              <w:t>则</w:t>
            </w:r>
            <w:r>
              <w:rPr>
                <w:sz w:val="24"/>
              </w:rPr>
              <w:t>脱附再生总时长为</w:t>
            </w:r>
            <w:r>
              <w:rPr>
                <w:rFonts w:hint="eastAsia"/>
                <w:sz w:val="24"/>
              </w:rPr>
              <w:t>15</w:t>
            </w:r>
            <w:r>
              <w:rPr>
                <w:sz w:val="24"/>
              </w:rPr>
              <w:t>h/a</w:t>
            </w:r>
            <w:r>
              <w:rPr>
                <w:rFonts w:hint="eastAsia"/>
                <w:sz w:val="24"/>
              </w:rPr>
              <w:t>；</w:t>
            </w:r>
          </w:p>
          <w:p>
            <w:pPr>
              <w:adjustRightInd w:val="0"/>
              <w:snapToGrid w:val="0"/>
              <w:spacing w:line="360" w:lineRule="auto"/>
              <w:ind w:firstLine="480" w:firstLineChars="200"/>
              <w:textAlignment w:val="baseline"/>
              <w:rPr>
                <w:b/>
                <w:bCs/>
                <w:sz w:val="24"/>
              </w:rPr>
            </w:pPr>
            <w:r>
              <w:rPr>
                <w:rFonts w:hint="eastAsia"/>
                <w:sz w:val="24"/>
              </w:rPr>
              <w:t>活性炭</w:t>
            </w:r>
            <w:r>
              <w:rPr>
                <w:sz w:val="24"/>
              </w:rPr>
              <w:t>脱附废气由催化燃烧装置处理，</w:t>
            </w:r>
            <w:r>
              <w:rPr>
                <w:rFonts w:hint="eastAsia"/>
                <w:sz w:val="24"/>
              </w:rPr>
              <w:t>非甲烷总烃</w:t>
            </w:r>
            <w:r>
              <w:rPr>
                <w:sz w:val="24"/>
              </w:rPr>
              <w:t>脱附量为</w:t>
            </w:r>
            <w:r>
              <w:rPr>
                <w:rFonts w:hint="eastAsia"/>
                <w:sz w:val="24"/>
              </w:rPr>
              <w:t>0.0243</w:t>
            </w:r>
            <w:r>
              <w:rPr>
                <w:sz w:val="24"/>
              </w:rPr>
              <w:t>t/a</w:t>
            </w:r>
            <w:r>
              <w:rPr>
                <w:rFonts w:hint="eastAsia"/>
                <w:sz w:val="24"/>
              </w:rPr>
              <w:t>、产生速率1.62kg/h、产生浓度810mg/m</w:t>
            </w:r>
            <w:r>
              <w:rPr>
                <w:rFonts w:hint="eastAsia"/>
                <w:sz w:val="24"/>
                <w:vertAlign w:val="superscript"/>
              </w:rPr>
              <w:t>3</w:t>
            </w:r>
            <w:r>
              <w:rPr>
                <w:rFonts w:hint="eastAsia"/>
                <w:sz w:val="24"/>
              </w:rPr>
              <w:t>；</w:t>
            </w:r>
            <w:r>
              <w:rPr>
                <w:sz w:val="24"/>
              </w:rPr>
              <w:t>催化燃烧装置净化效率按</w:t>
            </w:r>
            <w:r>
              <w:rPr>
                <w:rFonts w:hint="eastAsia"/>
                <w:sz w:val="24"/>
              </w:rPr>
              <w:t>97</w:t>
            </w:r>
            <w:r>
              <w:rPr>
                <w:sz w:val="24"/>
              </w:rPr>
              <w:t>%计</w:t>
            </w:r>
            <w:r>
              <w:rPr>
                <w:rFonts w:hint="eastAsia"/>
                <w:sz w:val="24"/>
              </w:rPr>
              <w:t>，脱附气量为2000m</w:t>
            </w:r>
            <w:r>
              <w:rPr>
                <w:rFonts w:hint="eastAsia"/>
                <w:sz w:val="24"/>
                <w:vertAlign w:val="superscript"/>
              </w:rPr>
              <w:t>3</w:t>
            </w:r>
            <w:r>
              <w:rPr>
                <w:rFonts w:hint="eastAsia"/>
                <w:sz w:val="24"/>
              </w:rPr>
              <w:t>/h，则处理后非甲烷总烃排放量为0.000729t/a、排放速率0.0486kg/h、排放浓度24.3mg/m</w:t>
            </w:r>
            <w:r>
              <w:rPr>
                <w:rFonts w:hint="eastAsia"/>
                <w:sz w:val="24"/>
                <w:vertAlign w:val="superscript"/>
              </w:rPr>
              <w:t>3</w:t>
            </w:r>
            <w:r>
              <w:rPr>
                <w:rFonts w:hint="eastAsia"/>
                <w:sz w:val="24"/>
              </w:rPr>
              <w:t>。由于脱附时吸附作业正常运行，则吸附同时脱附排气筒总风量为120</w:t>
            </w:r>
            <w:r>
              <w:rPr>
                <w:sz w:val="24"/>
              </w:rPr>
              <w:t>00</w:t>
            </w:r>
            <w:r>
              <w:rPr>
                <w:rFonts w:hint="eastAsia"/>
                <w:sz w:val="24"/>
              </w:rPr>
              <w:t>m</w:t>
            </w:r>
            <w:r>
              <w:rPr>
                <w:rFonts w:hint="eastAsia"/>
                <w:sz w:val="24"/>
                <w:vertAlign w:val="superscript"/>
              </w:rPr>
              <w:t>3</w:t>
            </w:r>
            <w:r>
              <w:rPr>
                <w:rFonts w:hint="eastAsia"/>
                <w:sz w:val="24"/>
              </w:rPr>
              <w:t>/h，则此时排气筒（催化燃烧后）排放的非甲烷总烃排放速率为0.04935kg/h、排放浓度为4.1125</w:t>
            </w:r>
            <w:r>
              <w:rPr>
                <w:sz w:val="24"/>
              </w:rPr>
              <w:t>mg/m</w:t>
            </w:r>
            <w:r>
              <w:rPr>
                <w:sz w:val="24"/>
                <w:vertAlign w:val="superscript"/>
              </w:rPr>
              <w:t>3</w:t>
            </w:r>
            <w:r>
              <w:rPr>
                <w:rFonts w:hint="eastAsia"/>
                <w:sz w:val="24"/>
              </w:rPr>
              <w:t>。</w:t>
            </w:r>
          </w:p>
          <w:p>
            <w:pPr>
              <w:adjustRightInd w:val="0"/>
              <w:snapToGrid w:val="0"/>
              <w:spacing w:line="360" w:lineRule="auto"/>
              <w:ind w:firstLine="482" w:firstLineChars="200"/>
              <w:textAlignment w:val="baseline"/>
              <w:rPr>
                <w:b/>
                <w:bCs/>
                <w:sz w:val="24"/>
              </w:rPr>
            </w:pPr>
            <w:r>
              <w:rPr>
                <w:rFonts w:hint="eastAsia"/>
                <w:b/>
                <w:bCs/>
                <w:sz w:val="24"/>
              </w:rPr>
              <w:t>综上，固化废气经“干式过滤棉+活性炭吸附-脱附催化燃烧装置”处理后</w:t>
            </w:r>
            <w:r>
              <w:rPr>
                <w:b/>
                <w:bCs/>
                <w:sz w:val="24"/>
              </w:rPr>
              <w:t>，</w:t>
            </w:r>
            <w:r>
              <w:rPr>
                <w:rFonts w:hint="eastAsia"/>
                <w:b/>
                <w:bCs/>
                <w:sz w:val="24"/>
              </w:rPr>
              <w:t>经20m高排气筒（DA003）排放，</w:t>
            </w:r>
            <w:r>
              <w:rPr>
                <w:b/>
                <w:bCs/>
                <w:sz w:val="24"/>
              </w:rPr>
              <w:t>非甲烷总烃排放满足《工业企业挥发性有机物排放控制标准》（DB13/2322-2016）中表1表面涂装业标准要求。</w:t>
            </w:r>
          </w:p>
          <w:p>
            <w:pPr>
              <w:adjustRightInd w:val="0"/>
              <w:snapToGrid w:val="0"/>
              <w:spacing w:line="360" w:lineRule="auto"/>
              <w:ind w:firstLine="480" w:firstLineChars="200"/>
              <w:rPr>
                <w:sz w:val="24"/>
              </w:rPr>
            </w:pPr>
            <w:r>
              <w:rPr>
                <w:sz w:val="24"/>
              </w:rPr>
              <w:t>另外，根据《挥发性有机物无组织排放控制标准》（GB37822-2019）要求，产品生产过程中应采用密闭设备或在密闭空间内操作，废气应排至VOCs废气收集处理系统；无法密闭的，应采取局部气体收集措施，废气应排至VOCs废气收集处理系统。</w:t>
            </w:r>
          </w:p>
          <w:p>
            <w:pPr>
              <w:adjustRightInd w:val="0"/>
              <w:snapToGrid w:val="0"/>
              <w:spacing w:line="360" w:lineRule="auto"/>
              <w:ind w:firstLine="480" w:firstLineChars="200"/>
              <w:rPr>
                <w:sz w:val="24"/>
              </w:rPr>
            </w:pPr>
            <w:r>
              <w:rPr>
                <w:sz w:val="24"/>
              </w:rPr>
              <w:t xml:space="preserve">此外，企业应建立台账，记录含VOCs原辅材料和含VOCs产品的名称、使用量、回收量、废气量、去向以及VOCs含量等信息。台账保存期限不少于5年。 </w:t>
            </w:r>
          </w:p>
          <w:p>
            <w:pPr>
              <w:adjustRightInd w:val="0"/>
              <w:snapToGrid w:val="0"/>
              <w:spacing w:line="360" w:lineRule="auto"/>
              <w:ind w:firstLine="480" w:firstLineChars="200"/>
              <w:rPr>
                <w:sz w:val="24"/>
              </w:rPr>
            </w:pPr>
            <w:r>
              <w:rPr>
                <w:sz w:val="24"/>
              </w:rPr>
              <w:t>通风生产设备、操作工位、车间厂房等应在符合安全生产、职业卫生相关规定的前提下，根据行业作业规程与标准、工业建筑及洁净厂房通风设计规范等的要求，采用合理的通风量。</w:t>
            </w:r>
          </w:p>
          <w:p>
            <w:pPr>
              <w:spacing w:line="360" w:lineRule="auto"/>
              <w:ind w:firstLine="480" w:firstLineChars="200"/>
              <w:rPr>
                <w:sz w:val="24"/>
              </w:rPr>
            </w:pPr>
            <w:r>
              <w:rPr>
                <w:rFonts w:hint="eastAsia"/>
                <w:sz w:val="24"/>
              </w:rPr>
              <w:t>B、天然气燃烧废气</w:t>
            </w:r>
          </w:p>
          <w:p>
            <w:pPr>
              <w:widowControl/>
              <w:adjustRightInd w:val="0"/>
              <w:spacing w:line="360" w:lineRule="auto"/>
              <w:ind w:firstLine="480"/>
              <w:rPr>
                <w:sz w:val="24"/>
              </w:rPr>
            </w:pPr>
            <w:r>
              <w:rPr>
                <w:rFonts w:ascii="宋体" w:hAnsi="宋体" w:cs="宋体"/>
                <w:sz w:val="24"/>
              </w:rPr>
              <w:t>本项目固化采用天然气直燃供热，燃烧</w:t>
            </w:r>
            <w:r>
              <w:rPr>
                <w:rFonts w:hint="eastAsia" w:ascii="宋体" w:hAnsi="宋体" w:cs="宋体"/>
                <w:sz w:val="24"/>
              </w:rPr>
              <w:t>器</w:t>
            </w:r>
            <w:r>
              <w:rPr>
                <w:rFonts w:ascii="宋体" w:hAnsi="宋体" w:cs="宋体"/>
                <w:sz w:val="24"/>
              </w:rPr>
              <w:t>设置低氮燃烧装置，燃烧废气同固化有机</w:t>
            </w:r>
            <w:r>
              <w:rPr>
                <w:sz w:val="24"/>
              </w:rPr>
              <w:t>废气经集气</w:t>
            </w:r>
            <w:r>
              <w:rPr>
                <w:rFonts w:hint="eastAsia"/>
                <w:sz w:val="24"/>
              </w:rPr>
              <w:t>系统</w:t>
            </w:r>
            <w:r>
              <w:rPr>
                <w:sz w:val="24"/>
              </w:rPr>
              <w:t>输送至二级活性炭吸附装置处理后经</w:t>
            </w:r>
            <w:r>
              <w:rPr>
                <w:rFonts w:hint="eastAsia"/>
                <w:sz w:val="24"/>
              </w:rPr>
              <w:t>20</w:t>
            </w:r>
            <w:r>
              <w:rPr>
                <w:sz w:val="24"/>
              </w:rPr>
              <w:t>m 高排气筒（DA00</w:t>
            </w:r>
            <w:r>
              <w:rPr>
                <w:rFonts w:hint="eastAsia"/>
                <w:sz w:val="24"/>
              </w:rPr>
              <w:t>3</w:t>
            </w:r>
            <w:r>
              <w:rPr>
                <w:sz w:val="24"/>
              </w:rPr>
              <w:t>）排放。</w:t>
            </w:r>
          </w:p>
          <w:p>
            <w:pPr>
              <w:widowControl/>
              <w:adjustRightInd w:val="0"/>
              <w:spacing w:line="360" w:lineRule="auto"/>
              <w:ind w:firstLine="480"/>
              <w:rPr>
                <w:bCs/>
                <w:sz w:val="24"/>
              </w:rPr>
            </w:pPr>
            <w:r>
              <w:rPr>
                <w:sz w:val="24"/>
              </w:rPr>
              <w:t>参照《排放</w:t>
            </w:r>
            <w:r>
              <w:rPr>
                <w:rFonts w:ascii="宋体" w:hAnsi="宋体" w:cs="宋体"/>
                <w:sz w:val="24"/>
              </w:rPr>
              <w:t>源统计调查产排污核算方法和系数手册》（生态环境部办公厅</w:t>
            </w:r>
            <w:r>
              <w:rPr>
                <w:sz w:val="24"/>
              </w:rPr>
              <w:t>2021年6月11日印发）33 金属制造业行业系数表中“天然气工业炉窑”，</w:t>
            </w:r>
            <w:r>
              <w:rPr>
                <w:rFonts w:hint="eastAsia"/>
                <w:bCs/>
                <w:sz w:val="24"/>
              </w:rPr>
              <w:t>天然气燃烧产污系数如下表所示。</w:t>
            </w:r>
          </w:p>
          <w:p>
            <w:pPr>
              <w:pStyle w:val="2"/>
              <w:adjustRightInd w:val="0"/>
              <w:snapToGrid w:val="0"/>
              <w:spacing w:line="240" w:lineRule="auto"/>
              <w:jc w:val="center"/>
              <w:rPr>
                <w:b/>
              </w:rPr>
            </w:pPr>
          </w:p>
          <w:p>
            <w:pPr>
              <w:pStyle w:val="2"/>
              <w:adjustRightInd w:val="0"/>
              <w:snapToGrid w:val="0"/>
              <w:spacing w:line="240" w:lineRule="auto"/>
              <w:jc w:val="center"/>
              <w:rPr>
                <w:b/>
              </w:rPr>
            </w:pPr>
          </w:p>
          <w:p>
            <w:pPr>
              <w:pStyle w:val="2"/>
              <w:adjustRightInd w:val="0"/>
              <w:snapToGrid w:val="0"/>
              <w:spacing w:line="240" w:lineRule="auto"/>
              <w:jc w:val="center"/>
              <w:rPr>
                <w:b/>
              </w:rPr>
            </w:pPr>
          </w:p>
          <w:p>
            <w:pPr>
              <w:pStyle w:val="2"/>
              <w:adjustRightInd w:val="0"/>
              <w:snapToGrid w:val="0"/>
              <w:spacing w:line="240" w:lineRule="auto"/>
              <w:jc w:val="center"/>
              <w:rPr>
                <w:b/>
              </w:rPr>
            </w:pPr>
          </w:p>
          <w:p>
            <w:pPr>
              <w:pStyle w:val="2"/>
              <w:adjustRightInd w:val="0"/>
              <w:snapToGrid w:val="0"/>
              <w:spacing w:line="240" w:lineRule="auto"/>
              <w:jc w:val="center"/>
              <w:rPr>
                <w:rFonts w:hint="eastAsia"/>
                <w:b/>
              </w:rPr>
            </w:pPr>
          </w:p>
          <w:p>
            <w:pPr>
              <w:pStyle w:val="2"/>
              <w:adjustRightInd w:val="0"/>
              <w:snapToGrid w:val="0"/>
              <w:spacing w:line="240" w:lineRule="auto"/>
              <w:jc w:val="center"/>
              <w:rPr>
                <w:rFonts w:hint="eastAsia"/>
                <w:b/>
              </w:rPr>
            </w:pPr>
          </w:p>
          <w:p>
            <w:pPr>
              <w:pStyle w:val="2"/>
              <w:adjustRightInd w:val="0"/>
              <w:snapToGrid w:val="0"/>
              <w:spacing w:line="240" w:lineRule="auto"/>
              <w:jc w:val="center"/>
              <w:rPr>
                <w:b/>
              </w:rPr>
            </w:pPr>
            <w:r>
              <w:rPr>
                <w:rFonts w:hint="eastAsia"/>
                <w:b/>
              </w:rPr>
              <w:t>表37  产排污系数情况表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425"/>
              <w:gridCol w:w="3122"/>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1434" w:type="pct"/>
                  <w:vAlign w:val="center"/>
                </w:tcPr>
                <w:p>
                  <w:pPr>
                    <w:adjustRightInd w:val="0"/>
                    <w:snapToGrid w:val="0"/>
                    <w:spacing w:line="360" w:lineRule="exact"/>
                    <w:jc w:val="center"/>
                    <w:textAlignment w:val="center"/>
                    <w:rPr>
                      <w:b/>
                      <w:bCs/>
                      <w:szCs w:val="21"/>
                    </w:rPr>
                  </w:pPr>
                  <w:r>
                    <w:rPr>
                      <w:rFonts w:hint="eastAsia"/>
                      <w:b/>
                      <w:bCs/>
                      <w:szCs w:val="21"/>
                    </w:rPr>
                    <w:t>污染物指标</w:t>
                  </w:r>
                </w:p>
              </w:tc>
              <w:tc>
                <w:tcPr>
                  <w:tcW w:w="1846" w:type="pct"/>
                  <w:vAlign w:val="center"/>
                </w:tcPr>
                <w:p>
                  <w:pPr>
                    <w:adjustRightInd w:val="0"/>
                    <w:snapToGrid w:val="0"/>
                    <w:spacing w:line="360" w:lineRule="exact"/>
                    <w:jc w:val="center"/>
                    <w:textAlignment w:val="center"/>
                    <w:rPr>
                      <w:b/>
                      <w:bCs/>
                      <w:szCs w:val="21"/>
                    </w:rPr>
                  </w:pPr>
                  <w:r>
                    <w:rPr>
                      <w:rFonts w:hint="eastAsia"/>
                      <w:b/>
                      <w:bCs/>
                      <w:szCs w:val="21"/>
                    </w:rPr>
                    <w:t>单位</w:t>
                  </w:r>
                </w:p>
              </w:tc>
              <w:tc>
                <w:tcPr>
                  <w:tcW w:w="1719" w:type="pct"/>
                  <w:vAlign w:val="center"/>
                </w:tcPr>
                <w:p>
                  <w:pPr>
                    <w:adjustRightInd w:val="0"/>
                    <w:snapToGrid w:val="0"/>
                    <w:spacing w:line="360" w:lineRule="exact"/>
                    <w:jc w:val="center"/>
                    <w:textAlignment w:val="center"/>
                    <w:rPr>
                      <w:b/>
                      <w:bCs/>
                      <w:szCs w:val="21"/>
                    </w:rPr>
                  </w:pPr>
                  <w:r>
                    <w:rPr>
                      <w:rFonts w:hint="eastAsia"/>
                      <w:b/>
                      <w:bCs/>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1434" w:type="pct"/>
                  <w:vAlign w:val="center"/>
                </w:tcPr>
                <w:p>
                  <w:pPr>
                    <w:adjustRightInd w:val="0"/>
                    <w:snapToGrid w:val="0"/>
                    <w:spacing w:line="360" w:lineRule="exact"/>
                    <w:jc w:val="center"/>
                    <w:textAlignment w:val="center"/>
                    <w:rPr>
                      <w:szCs w:val="21"/>
                    </w:rPr>
                  </w:pPr>
                  <w:r>
                    <w:rPr>
                      <w:rFonts w:hint="eastAsia"/>
                      <w:szCs w:val="21"/>
                    </w:rPr>
                    <w:t>烟气量</w:t>
                  </w:r>
                </w:p>
              </w:tc>
              <w:tc>
                <w:tcPr>
                  <w:tcW w:w="1846" w:type="pct"/>
                  <w:vAlign w:val="bottom"/>
                </w:tcPr>
                <w:p>
                  <w:pPr>
                    <w:widowControl/>
                    <w:adjustRightInd w:val="0"/>
                    <w:snapToGrid w:val="0"/>
                    <w:spacing w:line="400" w:lineRule="atLeast"/>
                    <w:jc w:val="center"/>
                    <w:rPr>
                      <w:szCs w:val="21"/>
                    </w:rPr>
                  </w:pPr>
                  <w:r>
                    <w:rPr>
                      <w:kern w:val="0"/>
                    </w:rPr>
                    <w:t>标立方米/立方米-原料</w:t>
                  </w:r>
                </w:p>
              </w:tc>
              <w:tc>
                <w:tcPr>
                  <w:tcW w:w="1719" w:type="pct"/>
                  <w:vAlign w:val="center"/>
                </w:tcPr>
                <w:p>
                  <w:pPr>
                    <w:widowControl/>
                    <w:adjustRightInd w:val="0"/>
                    <w:snapToGrid w:val="0"/>
                    <w:spacing w:line="400" w:lineRule="atLeast"/>
                    <w:jc w:val="center"/>
                    <w:rPr>
                      <w:szCs w:val="21"/>
                    </w:rPr>
                  </w:pPr>
                  <w:r>
                    <w:rPr>
                      <w:rFonts w:hint="eastAsia"/>
                      <w:kern w:val="0"/>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1434" w:type="pct"/>
                  <w:vAlign w:val="center"/>
                </w:tcPr>
                <w:p>
                  <w:pPr>
                    <w:adjustRightInd w:val="0"/>
                    <w:snapToGrid w:val="0"/>
                    <w:spacing w:line="360" w:lineRule="exact"/>
                    <w:jc w:val="center"/>
                    <w:textAlignment w:val="center"/>
                    <w:rPr>
                      <w:szCs w:val="21"/>
                    </w:rPr>
                  </w:pPr>
                  <w:r>
                    <w:rPr>
                      <w:rFonts w:hint="eastAsia"/>
                      <w:szCs w:val="21"/>
                    </w:rPr>
                    <w:t>二氧化硫</w:t>
                  </w:r>
                </w:p>
              </w:tc>
              <w:tc>
                <w:tcPr>
                  <w:tcW w:w="1846" w:type="pct"/>
                  <w:vAlign w:val="bottom"/>
                </w:tcPr>
                <w:p>
                  <w:pPr>
                    <w:widowControl/>
                    <w:adjustRightInd w:val="0"/>
                    <w:snapToGrid w:val="0"/>
                    <w:spacing w:line="400" w:lineRule="atLeast"/>
                    <w:jc w:val="center"/>
                    <w:rPr>
                      <w:szCs w:val="21"/>
                    </w:rPr>
                  </w:pPr>
                  <w:r>
                    <w:rPr>
                      <w:kern w:val="0"/>
                    </w:rPr>
                    <w:t>千克/立方米-原料</w:t>
                  </w:r>
                </w:p>
              </w:tc>
              <w:tc>
                <w:tcPr>
                  <w:tcW w:w="1719" w:type="pct"/>
                  <w:vAlign w:val="center"/>
                </w:tcPr>
                <w:p>
                  <w:pPr>
                    <w:widowControl/>
                    <w:adjustRightInd w:val="0"/>
                    <w:snapToGrid w:val="0"/>
                    <w:spacing w:line="400" w:lineRule="atLeast"/>
                    <w:jc w:val="center"/>
                    <w:rPr>
                      <w:szCs w:val="21"/>
                    </w:rPr>
                  </w:pPr>
                  <w:r>
                    <w:rPr>
                      <w:kern w:val="0"/>
                    </w:rPr>
                    <w:t>0.0</w:t>
                  </w:r>
                  <w:r>
                    <w:rPr>
                      <w:rFonts w:hint="eastAsia"/>
                      <w:kern w:val="0"/>
                    </w:rPr>
                    <w:t>0000</w:t>
                  </w:r>
                  <w:r>
                    <w:rPr>
                      <w:kern w:val="0"/>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1434" w:type="pct"/>
                  <w:vAlign w:val="center"/>
                </w:tcPr>
                <w:p>
                  <w:pPr>
                    <w:adjustRightInd w:val="0"/>
                    <w:snapToGrid w:val="0"/>
                    <w:spacing w:line="360" w:lineRule="exact"/>
                    <w:jc w:val="center"/>
                    <w:textAlignment w:val="center"/>
                    <w:rPr>
                      <w:szCs w:val="21"/>
                    </w:rPr>
                  </w:pPr>
                  <w:r>
                    <w:rPr>
                      <w:rFonts w:hint="eastAsia"/>
                      <w:szCs w:val="21"/>
                    </w:rPr>
                    <w:t>氮氧化物</w:t>
                  </w:r>
                </w:p>
              </w:tc>
              <w:tc>
                <w:tcPr>
                  <w:tcW w:w="1846" w:type="pct"/>
                  <w:vAlign w:val="bottom"/>
                </w:tcPr>
                <w:p>
                  <w:pPr>
                    <w:widowControl/>
                    <w:adjustRightInd w:val="0"/>
                    <w:snapToGrid w:val="0"/>
                    <w:spacing w:line="400" w:lineRule="atLeast"/>
                    <w:jc w:val="center"/>
                    <w:rPr>
                      <w:szCs w:val="21"/>
                    </w:rPr>
                  </w:pPr>
                  <w:r>
                    <w:rPr>
                      <w:kern w:val="0"/>
                    </w:rPr>
                    <w:t>千克/立方米-原料（低氮燃烧）</w:t>
                  </w:r>
                </w:p>
              </w:tc>
              <w:tc>
                <w:tcPr>
                  <w:tcW w:w="1719" w:type="pct"/>
                  <w:vAlign w:val="center"/>
                </w:tcPr>
                <w:p>
                  <w:pPr>
                    <w:widowControl/>
                    <w:adjustRightInd w:val="0"/>
                    <w:snapToGrid w:val="0"/>
                    <w:spacing w:line="400" w:lineRule="atLeast"/>
                    <w:jc w:val="center"/>
                    <w:rPr>
                      <w:szCs w:val="21"/>
                    </w:rPr>
                  </w:pPr>
                  <w:r>
                    <w:rPr>
                      <w:rFonts w:hint="eastAsia"/>
                      <w:kern w:val="0"/>
                    </w:rPr>
                    <w:t>0.000935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1434" w:type="pct"/>
                  <w:vAlign w:val="center"/>
                </w:tcPr>
                <w:p>
                  <w:pPr>
                    <w:adjustRightInd w:val="0"/>
                    <w:snapToGrid w:val="0"/>
                    <w:spacing w:line="360" w:lineRule="exact"/>
                    <w:jc w:val="center"/>
                    <w:textAlignment w:val="center"/>
                    <w:rPr>
                      <w:szCs w:val="21"/>
                    </w:rPr>
                  </w:pPr>
                  <w:r>
                    <w:rPr>
                      <w:rFonts w:hint="eastAsia"/>
                      <w:szCs w:val="21"/>
                    </w:rPr>
                    <w:t>颗粒物</w:t>
                  </w:r>
                </w:p>
              </w:tc>
              <w:tc>
                <w:tcPr>
                  <w:tcW w:w="1846" w:type="pct"/>
                  <w:vAlign w:val="bottom"/>
                </w:tcPr>
                <w:p>
                  <w:pPr>
                    <w:widowControl/>
                    <w:adjustRightInd w:val="0"/>
                    <w:snapToGrid w:val="0"/>
                    <w:spacing w:line="400" w:lineRule="atLeast"/>
                    <w:jc w:val="center"/>
                    <w:rPr>
                      <w:szCs w:val="21"/>
                    </w:rPr>
                  </w:pPr>
                  <w:r>
                    <w:rPr>
                      <w:kern w:val="0"/>
                    </w:rPr>
                    <w:t>千克/立方米-原料</w:t>
                  </w:r>
                </w:p>
              </w:tc>
              <w:tc>
                <w:tcPr>
                  <w:tcW w:w="1719" w:type="pct"/>
                  <w:vAlign w:val="center"/>
                </w:tcPr>
                <w:p>
                  <w:pPr>
                    <w:widowControl/>
                    <w:adjustRightInd w:val="0"/>
                    <w:snapToGrid w:val="0"/>
                    <w:spacing w:line="400" w:lineRule="atLeast"/>
                    <w:jc w:val="center"/>
                    <w:rPr>
                      <w:szCs w:val="21"/>
                    </w:rPr>
                  </w:pPr>
                  <w:r>
                    <w:rPr>
                      <w:rFonts w:hint="eastAsia"/>
                      <w:kern w:val="0"/>
                    </w:rPr>
                    <w:t>0.000286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0" w:hRule="atLeast"/>
                <w:jc w:val="center"/>
              </w:trPr>
              <w:tc>
                <w:tcPr>
                  <w:tcW w:w="5000" w:type="pct"/>
                  <w:gridSpan w:val="3"/>
                  <w:vAlign w:val="center"/>
                </w:tcPr>
                <w:p>
                  <w:pPr>
                    <w:widowControl/>
                    <w:adjustRightInd w:val="0"/>
                    <w:snapToGrid w:val="0"/>
                    <w:spacing w:line="400" w:lineRule="atLeast"/>
                    <w:rPr>
                      <w:kern w:val="0"/>
                    </w:rPr>
                  </w:pPr>
                  <w:r>
                    <w:rPr>
                      <w:kern w:val="0"/>
                    </w:rPr>
                    <w:t>注：S硫含量20毫克/立方米，即S=</w:t>
                  </w:r>
                  <w:r>
                    <w:rPr>
                      <w:rFonts w:hint="eastAsia"/>
                      <w:kern w:val="0"/>
                    </w:rPr>
                    <w:t>20</w:t>
                  </w:r>
                </w:p>
              </w:tc>
            </w:tr>
          </w:tbl>
          <w:p>
            <w:pPr>
              <w:spacing w:line="360" w:lineRule="auto"/>
              <w:ind w:firstLine="480" w:firstLineChars="200"/>
              <w:rPr>
                <w:sz w:val="24"/>
              </w:rPr>
            </w:pPr>
            <w:r>
              <w:rPr>
                <w:rFonts w:hint="eastAsia"/>
                <w:sz w:val="24"/>
              </w:rPr>
              <w:t>根据企业提供信息，年用天然气量为19万m</w:t>
            </w:r>
            <w:r>
              <w:rPr>
                <w:rFonts w:hint="eastAsia"/>
                <w:sz w:val="24"/>
                <w:vertAlign w:val="superscript"/>
              </w:rPr>
              <w:t>3</w:t>
            </w:r>
            <w:r>
              <w:rPr>
                <w:rFonts w:hint="eastAsia"/>
                <w:sz w:val="24"/>
              </w:rPr>
              <w:t>，主要污染因子为颗粒物、SO</w:t>
            </w:r>
            <w:r>
              <w:rPr>
                <w:rFonts w:hint="eastAsia"/>
                <w:sz w:val="24"/>
                <w:vertAlign w:val="subscript"/>
              </w:rPr>
              <w:t>2</w:t>
            </w:r>
            <w:r>
              <w:rPr>
                <w:rFonts w:hint="eastAsia"/>
                <w:sz w:val="24"/>
              </w:rPr>
              <w:t>和NOx，</w:t>
            </w:r>
            <w:r>
              <w:rPr>
                <w:sz w:val="24"/>
              </w:rPr>
              <w:t>经计算，</w:t>
            </w:r>
            <w:r>
              <w:rPr>
                <w:rFonts w:hint="eastAsia"/>
                <w:sz w:val="24"/>
              </w:rPr>
              <w:t>天然气燃烧产生</w:t>
            </w:r>
            <w:r>
              <w:rPr>
                <w:sz w:val="24"/>
              </w:rPr>
              <w:t>烟气量</w:t>
            </w:r>
            <w:r>
              <w:rPr>
                <w:rFonts w:hint="eastAsia"/>
                <w:sz w:val="24"/>
              </w:rPr>
              <w:t>2584000</w:t>
            </w:r>
            <w:r>
              <w:rPr>
                <w:sz w:val="24"/>
              </w:rPr>
              <w:t>m</w:t>
            </w:r>
            <w:r>
              <w:rPr>
                <w:sz w:val="24"/>
                <w:vertAlign w:val="superscript"/>
              </w:rPr>
              <w:t>3</w:t>
            </w:r>
            <w:r>
              <w:rPr>
                <w:sz w:val="24"/>
              </w:rPr>
              <w:t>/a，颗粒物</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rFonts w:hint="eastAsia"/>
                <w:sz w:val="24"/>
              </w:rPr>
              <w:t>产生量分别为0.05434t/a、0.0076</w:t>
            </w:r>
            <w:r>
              <w:rPr>
                <w:sz w:val="24"/>
              </w:rPr>
              <w:t>t/a</w:t>
            </w:r>
            <w:r>
              <w:rPr>
                <w:rFonts w:hint="eastAsia"/>
                <w:sz w:val="24"/>
              </w:rPr>
              <w:t>、0.17765</w:t>
            </w:r>
            <w:r>
              <w:rPr>
                <w:sz w:val="24"/>
              </w:rPr>
              <w:t>t/a</w:t>
            </w:r>
            <w:r>
              <w:rPr>
                <w:rFonts w:hint="eastAsia"/>
                <w:sz w:val="24"/>
              </w:rPr>
              <w:t>，产生速率分别为0.0151kg/h、0.0021kg/h、0.0493kg/h，产生浓度分别为21.03mg/m</w:t>
            </w:r>
            <w:r>
              <w:rPr>
                <w:rFonts w:hint="eastAsia"/>
                <w:sz w:val="24"/>
                <w:vertAlign w:val="superscript"/>
              </w:rPr>
              <w:t>3</w:t>
            </w:r>
            <w:r>
              <w:rPr>
                <w:rFonts w:hint="eastAsia"/>
                <w:sz w:val="24"/>
              </w:rPr>
              <w:t>、2.94g/m</w:t>
            </w:r>
            <w:r>
              <w:rPr>
                <w:rFonts w:hint="eastAsia"/>
                <w:sz w:val="24"/>
                <w:vertAlign w:val="superscript"/>
              </w:rPr>
              <w:t>3</w:t>
            </w:r>
            <w:r>
              <w:rPr>
                <w:rFonts w:hint="eastAsia"/>
                <w:sz w:val="24"/>
              </w:rPr>
              <w:t>、68.75mg/m</w:t>
            </w:r>
            <w:r>
              <w:rPr>
                <w:rFonts w:hint="eastAsia"/>
                <w:sz w:val="24"/>
                <w:vertAlign w:val="superscript"/>
              </w:rPr>
              <w:t>3</w:t>
            </w:r>
            <w:r>
              <w:rPr>
                <w:sz w:val="24"/>
              </w:rPr>
              <w:t>；</w:t>
            </w:r>
            <w:r>
              <w:rPr>
                <w:rFonts w:hint="eastAsia"/>
                <w:sz w:val="24"/>
              </w:rPr>
              <w:t>类比其他同类型项目，天然气燃烧废气中烟气黑度＜1级。上述污染物排放均</w:t>
            </w:r>
            <w:r>
              <w:rPr>
                <w:sz w:val="24"/>
              </w:rPr>
              <w:t>满足</w:t>
            </w:r>
            <w:r>
              <w:rPr>
                <w:rFonts w:hint="eastAsia"/>
                <w:sz w:val="24"/>
              </w:rPr>
              <w:t>《工业炉窑大气污染物排放标准》（DB13/1640-2012）表1及表2新建炉窑污染物排放限值及《邢台市空气质量综合指数“退后十”攻坚行动方案》（邢字〔2021〕3号）相关要求。</w:t>
            </w:r>
          </w:p>
          <w:p>
            <w:pPr>
              <w:spacing w:line="360" w:lineRule="auto"/>
              <w:ind w:firstLine="480" w:firstLineChars="200"/>
              <w:rPr>
                <w:sz w:val="24"/>
              </w:rPr>
            </w:pPr>
            <w:r>
              <w:rPr>
                <w:rFonts w:hint="eastAsia"/>
                <w:sz w:val="24"/>
              </w:rPr>
              <w:t>上述天然气燃烧废气进入固化室进行工件固化处理，最后通过集气装置收集后进入1套“干式过滤棉+活性炭吸附脱附催化燃烧装置”进行处理后</w:t>
            </w:r>
            <w:r>
              <w:rPr>
                <w:sz w:val="24"/>
              </w:rPr>
              <w:t>通过1根</w:t>
            </w:r>
            <w:r>
              <w:rPr>
                <w:rFonts w:hint="eastAsia"/>
                <w:sz w:val="24"/>
              </w:rPr>
              <w:t>20</w:t>
            </w:r>
            <w:r>
              <w:rPr>
                <w:sz w:val="24"/>
              </w:rPr>
              <w:t>米高</w:t>
            </w:r>
            <w:r>
              <w:rPr>
                <w:rFonts w:hint="eastAsia"/>
                <w:sz w:val="24"/>
              </w:rPr>
              <w:t>排气筒（DA003）</w:t>
            </w:r>
            <w:r>
              <w:rPr>
                <w:sz w:val="24"/>
              </w:rPr>
              <w:t>外排，</w:t>
            </w:r>
            <w:r>
              <w:rPr>
                <w:rFonts w:hint="eastAsia"/>
                <w:sz w:val="24"/>
              </w:rPr>
              <w:t>集气装置的收集效率为90%，排风量为10000m</w:t>
            </w:r>
            <w:r>
              <w:rPr>
                <w:rFonts w:hint="eastAsia"/>
                <w:sz w:val="24"/>
                <w:vertAlign w:val="superscript"/>
              </w:rPr>
              <w:t>3</w:t>
            </w:r>
            <w:r>
              <w:rPr>
                <w:rFonts w:hint="eastAsia"/>
                <w:sz w:val="24"/>
              </w:rPr>
              <w:t>/h，则DA003排气筒出口处，</w:t>
            </w:r>
            <w:r>
              <w:rPr>
                <w:sz w:val="24"/>
              </w:rPr>
              <w:t>颗粒物</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rFonts w:hint="eastAsia"/>
                <w:sz w:val="24"/>
              </w:rPr>
              <w:t>排放</w:t>
            </w:r>
            <w:r>
              <w:rPr>
                <w:sz w:val="24"/>
              </w:rPr>
              <w:t>量</w:t>
            </w:r>
            <w:r>
              <w:rPr>
                <w:rFonts w:hint="eastAsia"/>
                <w:sz w:val="24"/>
              </w:rPr>
              <w:t>分别为0.0489t/a、0.00684</w:t>
            </w:r>
            <w:r>
              <w:rPr>
                <w:sz w:val="24"/>
              </w:rPr>
              <w:t>t/a</w:t>
            </w:r>
            <w:r>
              <w:rPr>
                <w:rFonts w:hint="eastAsia"/>
                <w:sz w:val="24"/>
              </w:rPr>
              <w:t>、0.15989</w:t>
            </w:r>
            <w:r>
              <w:rPr>
                <w:sz w:val="24"/>
              </w:rPr>
              <w:t>t/a</w:t>
            </w:r>
            <w:r>
              <w:rPr>
                <w:rFonts w:hint="eastAsia"/>
                <w:sz w:val="24"/>
              </w:rPr>
              <w:t>，排放速率分别为0.0136kg/h、0.0019kg/h、0.0444kg/h，排放浓度分别为1.36mg/m</w:t>
            </w:r>
            <w:r>
              <w:rPr>
                <w:rFonts w:hint="eastAsia"/>
                <w:sz w:val="24"/>
                <w:vertAlign w:val="superscript"/>
              </w:rPr>
              <w:t>3</w:t>
            </w:r>
            <w:r>
              <w:rPr>
                <w:rFonts w:hint="eastAsia"/>
                <w:sz w:val="24"/>
              </w:rPr>
              <w:t>、0.19g/m</w:t>
            </w:r>
            <w:r>
              <w:rPr>
                <w:rFonts w:hint="eastAsia"/>
                <w:sz w:val="24"/>
                <w:vertAlign w:val="superscript"/>
              </w:rPr>
              <w:t>3</w:t>
            </w:r>
            <w:r>
              <w:rPr>
                <w:rFonts w:hint="eastAsia"/>
                <w:sz w:val="24"/>
              </w:rPr>
              <w:t>、4.44mg/m</w:t>
            </w:r>
            <w:r>
              <w:rPr>
                <w:rFonts w:hint="eastAsia"/>
                <w:sz w:val="24"/>
                <w:vertAlign w:val="superscript"/>
              </w:rPr>
              <w:t>3</w:t>
            </w:r>
            <w:r>
              <w:rPr>
                <w:rFonts w:hint="eastAsia"/>
                <w:sz w:val="24"/>
              </w:rPr>
              <w:t>；烟气黑度＜1级。亦满足《工业炉窑大气污染物排放标准》（DB13/1640-2012）表1及表2新建炉窑污染物排放限值及《邢台市空气质量综合指数“退后十”攻坚行动方案》（邢字〔2021〕3号）相关要求。</w:t>
            </w:r>
          </w:p>
          <w:p>
            <w:pPr>
              <w:spacing w:line="360" w:lineRule="auto"/>
              <w:ind w:firstLine="482" w:firstLineChars="200"/>
              <w:rPr>
                <w:b/>
                <w:bCs/>
                <w:sz w:val="24"/>
              </w:rPr>
            </w:pPr>
            <w:r>
              <w:rPr>
                <w:rFonts w:hint="eastAsia"/>
                <w:b/>
                <w:bCs/>
                <w:sz w:val="24"/>
              </w:rPr>
              <w:t>综上A、B所述，天然气燃烧废气及固化废气经上述处理措施处理后，DA003排气筒中</w:t>
            </w:r>
            <w:r>
              <w:rPr>
                <w:b/>
                <w:bCs/>
                <w:sz w:val="24"/>
              </w:rPr>
              <w:t>非甲烷总烃排放满足《工业企业挥发性有机物排放控制标准》（DB13/2322-2016）中表1表面涂装业标准要求</w:t>
            </w:r>
            <w:r>
              <w:rPr>
                <w:rFonts w:hint="eastAsia"/>
                <w:b/>
                <w:bCs/>
                <w:sz w:val="24"/>
              </w:rPr>
              <w:t>，</w:t>
            </w:r>
            <w:r>
              <w:rPr>
                <w:b/>
                <w:bCs/>
                <w:sz w:val="24"/>
              </w:rPr>
              <w:t>颗粒物</w:t>
            </w:r>
            <w:r>
              <w:rPr>
                <w:rFonts w:hint="eastAsia"/>
                <w:b/>
                <w:bCs/>
                <w:sz w:val="24"/>
              </w:rPr>
              <w:t>、SO</w:t>
            </w:r>
            <w:r>
              <w:rPr>
                <w:rFonts w:hint="eastAsia"/>
                <w:b/>
                <w:bCs/>
                <w:sz w:val="24"/>
                <w:vertAlign w:val="subscript"/>
              </w:rPr>
              <w:t>2</w:t>
            </w:r>
            <w:r>
              <w:rPr>
                <w:rFonts w:hint="eastAsia"/>
                <w:b/>
                <w:bCs/>
                <w:sz w:val="24"/>
              </w:rPr>
              <w:t>、NO</w:t>
            </w:r>
            <w:r>
              <w:rPr>
                <w:rFonts w:hint="eastAsia"/>
                <w:b/>
                <w:bCs/>
                <w:sz w:val="24"/>
                <w:vertAlign w:val="subscript"/>
              </w:rPr>
              <w:t>X</w:t>
            </w:r>
            <w:r>
              <w:rPr>
                <w:rFonts w:hint="eastAsia"/>
                <w:b/>
                <w:bCs/>
                <w:sz w:val="24"/>
              </w:rPr>
              <w:t>、烟气黑度排放满足《工业炉窑大气污染物排放标准》（DB13/1640-2012）表1及表2新建炉窑污染物排放限值及《邢台市空气质量综合指数“退后十”攻坚行动方案》（邢字〔2021〕3号）相关要求。</w:t>
            </w:r>
          </w:p>
          <w:p>
            <w:pPr>
              <w:pStyle w:val="2"/>
            </w:pPr>
            <w:r>
              <w:rPr>
                <w:rFonts w:hint="eastAsia"/>
              </w:rPr>
              <w:t>（2）无组织废气</w:t>
            </w:r>
          </w:p>
          <w:p>
            <w:pPr>
              <w:spacing w:line="360" w:lineRule="auto"/>
              <w:ind w:firstLine="480" w:firstLineChars="200"/>
              <w:rPr>
                <w:sz w:val="24"/>
              </w:rPr>
            </w:pPr>
            <w:r>
              <w:rPr>
                <w:rFonts w:hint="eastAsia"/>
                <w:sz w:val="24"/>
              </w:rPr>
              <w:t>焊接工序未被集气罩收集的颗粒物量0.0092t/a，切割工序未被集气罩收集的颗粒物量0.03t/a，喷涂工序未经集气措施收集的颗粒物量为0.375t/a，天然气燃烧废气未经集气装置</w:t>
            </w:r>
            <w:r>
              <w:rPr>
                <w:rFonts w:hint="eastAsia"/>
                <w:sz w:val="24"/>
                <w:szCs w:val="32"/>
              </w:rPr>
              <w:t>收集的颗粒物量0.00544t/a、SO</w:t>
            </w:r>
            <w:r>
              <w:rPr>
                <w:rFonts w:hint="eastAsia"/>
                <w:sz w:val="24"/>
                <w:szCs w:val="32"/>
                <w:vertAlign w:val="subscript"/>
              </w:rPr>
              <w:t>2</w:t>
            </w:r>
            <w:r>
              <w:rPr>
                <w:rFonts w:hint="eastAsia"/>
                <w:sz w:val="24"/>
                <w:szCs w:val="32"/>
              </w:rPr>
              <w:t>量0.00076t/a、NO</w:t>
            </w:r>
            <w:r>
              <w:rPr>
                <w:rFonts w:hint="eastAsia"/>
                <w:sz w:val="24"/>
                <w:szCs w:val="32"/>
                <w:vertAlign w:val="subscript"/>
              </w:rPr>
              <w:t>X</w:t>
            </w:r>
            <w:r>
              <w:rPr>
                <w:rFonts w:hint="eastAsia"/>
                <w:sz w:val="24"/>
                <w:szCs w:val="32"/>
              </w:rPr>
              <w:t>量0.01776t/a，固化废气未被收集的非甲烷总烃的量为</w:t>
            </w:r>
            <w:r>
              <w:rPr>
                <w:rFonts w:hint="eastAsia"/>
                <w:sz w:val="24"/>
              </w:rPr>
              <w:t>0.003</w:t>
            </w:r>
            <w:r>
              <w:rPr>
                <w:sz w:val="24"/>
              </w:rPr>
              <w:t>t/a</w:t>
            </w:r>
            <w:r>
              <w:rPr>
                <w:rFonts w:hint="eastAsia"/>
                <w:sz w:val="24"/>
              </w:rPr>
              <w:t>。</w:t>
            </w:r>
          </w:p>
          <w:p>
            <w:pPr>
              <w:spacing w:line="360" w:lineRule="auto"/>
              <w:ind w:firstLine="480" w:firstLineChars="200"/>
              <w:rPr>
                <w:b w:val="0"/>
                <w:bCs w:val="0"/>
                <w:sz w:val="24"/>
              </w:rPr>
            </w:pPr>
            <w:r>
              <w:rPr>
                <w:rFonts w:hint="eastAsia"/>
                <w:b w:val="0"/>
                <w:bCs w:val="0"/>
                <w:sz w:val="24"/>
                <w:szCs w:val="32"/>
              </w:rPr>
              <w:t>经计算可知，</w:t>
            </w:r>
            <w:r>
              <w:rPr>
                <w:rFonts w:hint="eastAsia" w:ascii="宋体" w:hAnsi="宋体" w:cs="宋体"/>
                <w:b w:val="0"/>
                <w:bCs w:val="0"/>
                <w:sz w:val="24"/>
              </w:rPr>
              <w:t>全厂各污染物无组织排放分别为</w:t>
            </w:r>
            <w:r>
              <w:rPr>
                <w:rFonts w:hint="eastAsia"/>
                <w:b w:val="0"/>
                <w:bCs w:val="0"/>
                <w:sz w:val="24"/>
                <w:szCs w:val="32"/>
              </w:rPr>
              <w:t>颗粒物0.41964t/a（0.1166kg/h），SO</w:t>
            </w:r>
            <w:r>
              <w:rPr>
                <w:rFonts w:hint="eastAsia"/>
                <w:b w:val="0"/>
                <w:bCs w:val="0"/>
                <w:sz w:val="24"/>
                <w:szCs w:val="32"/>
                <w:vertAlign w:val="subscript"/>
              </w:rPr>
              <w:t>2</w:t>
            </w:r>
            <w:r>
              <w:rPr>
                <w:rFonts w:hint="eastAsia"/>
                <w:b w:val="0"/>
                <w:bCs w:val="0"/>
                <w:sz w:val="24"/>
                <w:szCs w:val="32"/>
              </w:rPr>
              <w:t>0.00076t/a（0.0002kg/h），NO</w:t>
            </w:r>
            <w:r>
              <w:rPr>
                <w:rFonts w:hint="eastAsia"/>
                <w:b w:val="0"/>
                <w:bCs w:val="0"/>
                <w:sz w:val="24"/>
                <w:szCs w:val="32"/>
                <w:vertAlign w:val="subscript"/>
              </w:rPr>
              <w:t>X</w:t>
            </w:r>
            <w:r>
              <w:rPr>
                <w:rFonts w:hint="eastAsia"/>
                <w:b w:val="0"/>
                <w:bCs w:val="0"/>
                <w:sz w:val="24"/>
                <w:szCs w:val="32"/>
              </w:rPr>
              <w:t>0.01776t/a（0.0049kg/h）、非甲烷总烃</w:t>
            </w:r>
            <w:r>
              <w:rPr>
                <w:rFonts w:hint="eastAsia"/>
                <w:b w:val="0"/>
                <w:bCs w:val="0"/>
                <w:sz w:val="24"/>
              </w:rPr>
              <w:t>0.003</w:t>
            </w:r>
            <w:r>
              <w:rPr>
                <w:b w:val="0"/>
                <w:bCs w:val="0"/>
                <w:sz w:val="24"/>
              </w:rPr>
              <w:t>t/a</w:t>
            </w:r>
            <w:r>
              <w:rPr>
                <w:rFonts w:hint="eastAsia"/>
                <w:b w:val="0"/>
                <w:bCs w:val="0"/>
                <w:sz w:val="24"/>
                <w:szCs w:val="32"/>
              </w:rPr>
              <w:t>（0.00083kg/h）。</w:t>
            </w:r>
            <w:r>
              <w:rPr>
                <w:b w:val="0"/>
                <w:bCs w:val="0"/>
                <w:sz w:val="24"/>
              </w:rPr>
              <w:t>采用导则推荐的估算模型AERSCREEN知，无组织</w:t>
            </w:r>
            <w:r>
              <w:rPr>
                <w:rFonts w:hint="eastAsia"/>
                <w:b w:val="0"/>
                <w:bCs w:val="0"/>
                <w:sz w:val="24"/>
              </w:rPr>
              <w:t>颗粒物、SO</w:t>
            </w:r>
            <w:r>
              <w:rPr>
                <w:rFonts w:hint="eastAsia"/>
                <w:b w:val="0"/>
                <w:bCs w:val="0"/>
                <w:sz w:val="24"/>
                <w:vertAlign w:val="subscript"/>
              </w:rPr>
              <w:t>2</w:t>
            </w:r>
            <w:r>
              <w:rPr>
                <w:rFonts w:hint="eastAsia"/>
                <w:b w:val="0"/>
                <w:bCs w:val="0"/>
                <w:sz w:val="24"/>
              </w:rPr>
              <w:t>、NO</w:t>
            </w:r>
            <w:r>
              <w:rPr>
                <w:rFonts w:hint="eastAsia"/>
                <w:b w:val="0"/>
                <w:bCs w:val="0"/>
                <w:sz w:val="24"/>
                <w:vertAlign w:val="subscript"/>
              </w:rPr>
              <w:t>X</w:t>
            </w:r>
            <w:r>
              <w:rPr>
                <w:b w:val="0"/>
                <w:bCs w:val="0"/>
                <w:sz w:val="24"/>
              </w:rPr>
              <w:t>排放满足</w:t>
            </w:r>
            <w:r>
              <w:rPr>
                <w:rFonts w:hint="eastAsia"/>
                <w:b w:val="0"/>
                <w:bCs w:val="0"/>
                <w:sz w:val="24"/>
              </w:rPr>
              <w:t>《大气污染物综合排放标准》（GB16297-1996）表2相关无组织排放监控浓度限值要求；</w:t>
            </w:r>
            <w:r>
              <w:rPr>
                <w:b w:val="0"/>
                <w:bCs w:val="0"/>
                <w:sz w:val="24"/>
              </w:rPr>
              <w:t>无组织非甲烷总烃排放满足《工业企业挥发性有机物排放控制标准》（DB13/2322-2016）表2其他企业边界大气污染物浓度限值，同时满足《挥发性有机物无组织排放控制标准》(GB 37822—2019)表A.1 厂界内VOCs无组织排放限值特别排放限值。</w:t>
            </w:r>
          </w:p>
          <w:p>
            <w:pPr>
              <w:adjustRightInd w:val="0"/>
              <w:snapToGrid w:val="0"/>
              <w:spacing w:line="360" w:lineRule="auto"/>
              <w:ind w:firstLine="480" w:firstLineChars="200"/>
              <w:rPr>
                <w:b w:val="0"/>
                <w:bCs w:val="0"/>
                <w:sz w:val="24"/>
              </w:rPr>
            </w:pPr>
            <w:r>
              <w:rPr>
                <w:b w:val="0"/>
                <w:bCs w:val="0"/>
                <w:sz w:val="24"/>
              </w:rPr>
              <w:t>本项目污染源强汇总情况见表</w:t>
            </w:r>
            <w:r>
              <w:rPr>
                <w:rFonts w:hint="eastAsia"/>
                <w:b w:val="0"/>
                <w:bCs w:val="0"/>
                <w:sz w:val="24"/>
              </w:rPr>
              <w:t>38</w:t>
            </w:r>
            <w:r>
              <w:rPr>
                <w:b w:val="0"/>
                <w:bCs w:val="0"/>
                <w:sz w:val="24"/>
              </w:rPr>
              <w:t>。</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rPr>
                <w:sz w:val="24"/>
              </w:rPr>
            </w:pPr>
          </w:p>
        </w:tc>
      </w:tr>
    </w:tbl>
    <w:p>
      <w:pPr>
        <w:pStyle w:val="17"/>
        <w:adjustRightInd w:val="0"/>
        <w:snapToGrid w:val="0"/>
        <w:spacing w:before="0" w:beforeAutospacing="0" w:after="0" w:afterAutospacing="0"/>
        <w:jc w:val="center"/>
        <w:rPr>
          <w:rFonts w:ascii="Times New Roman" w:hAnsi="Times New Roman"/>
          <w:kern w:val="2"/>
          <w:szCs w:val="24"/>
        </w:rPr>
        <w:sectPr>
          <w:pgSz w:w="11907" w:h="16840"/>
          <w:pgMar w:top="1701" w:right="1531" w:bottom="2127" w:left="1531" w:header="851" w:footer="851" w:gutter="0"/>
          <w:cols w:space="720" w:num="1"/>
          <w:docGrid w:linePitch="312" w:charSpace="0"/>
        </w:sectPr>
      </w:pPr>
    </w:p>
    <w:tbl>
      <w:tblPr>
        <w:tblStyle w:val="24"/>
        <w:tblW w:w="131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
        <w:gridCol w:w="128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294"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br w:type="page"/>
            </w:r>
          </w:p>
        </w:tc>
        <w:tc>
          <w:tcPr>
            <w:tcW w:w="12830" w:type="dxa"/>
            <w:vAlign w:val="center"/>
          </w:tcPr>
          <w:p>
            <w:pPr>
              <w:adjustRightInd w:val="0"/>
              <w:snapToGrid w:val="0"/>
              <w:jc w:val="center"/>
              <w:rPr>
                <w:b/>
                <w:sz w:val="24"/>
              </w:rPr>
            </w:pPr>
            <w:r>
              <w:rPr>
                <w:b/>
                <w:sz w:val="24"/>
              </w:rPr>
              <w:t>表</w:t>
            </w:r>
            <w:r>
              <w:rPr>
                <w:rFonts w:hint="eastAsia"/>
                <w:b/>
                <w:sz w:val="24"/>
              </w:rPr>
              <w:t>38</w:t>
            </w:r>
            <w:r>
              <w:rPr>
                <w:b/>
                <w:sz w:val="24"/>
              </w:rPr>
              <w:t xml:space="preserve">  废气污染源源强情况一览表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8"/>
              <w:gridCol w:w="628"/>
              <w:gridCol w:w="839"/>
              <w:gridCol w:w="714"/>
              <w:gridCol w:w="1197"/>
              <w:gridCol w:w="678"/>
              <w:gridCol w:w="784"/>
              <w:gridCol w:w="877"/>
              <w:gridCol w:w="1323"/>
              <w:gridCol w:w="1123"/>
              <w:gridCol w:w="748"/>
              <w:gridCol w:w="841"/>
              <w:gridCol w:w="864"/>
              <w:gridCol w:w="758"/>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restart"/>
                  <w:vAlign w:val="center"/>
                </w:tcPr>
                <w:p>
                  <w:pPr>
                    <w:adjustRightInd w:val="0"/>
                    <w:snapToGrid w:val="0"/>
                    <w:spacing w:line="240" w:lineRule="exact"/>
                    <w:jc w:val="center"/>
                    <w:rPr>
                      <w:b/>
                      <w:bCs/>
                      <w:spacing w:val="-10"/>
                      <w:szCs w:val="21"/>
                    </w:rPr>
                  </w:pPr>
                  <w:r>
                    <w:rPr>
                      <w:b/>
                      <w:bCs/>
                      <w:spacing w:val="-10"/>
                      <w:szCs w:val="21"/>
                    </w:rPr>
                    <w:t>排放口</w:t>
                  </w:r>
                </w:p>
              </w:tc>
              <w:tc>
                <w:tcPr>
                  <w:tcW w:w="333" w:type="pct"/>
                  <w:vMerge w:val="restart"/>
                  <w:vAlign w:val="center"/>
                </w:tcPr>
                <w:p>
                  <w:pPr>
                    <w:adjustRightInd w:val="0"/>
                    <w:snapToGrid w:val="0"/>
                    <w:spacing w:line="240" w:lineRule="exact"/>
                    <w:jc w:val="center"/>
                    <w:rPr>
                      <w:b/>
                      <w:bCs/>
                      <w:spacing w:val="-10"/>
                      <w:szCs w:val="21"/>
                    </w:rPr>
                  </w:pPr>
                  <w:r>
                    <w:rPr>
                      <w:b/>
                      <w:bCs/>
                      <w:spacing w:val="-10"/>
                      <w:szCs w:val="21"/>
                    </w:rPr>
                    <w:t>污染物</w:t>
                  </w:r>
                </w:p>
              </w:tc>
              <w:tc>
                <w:tcPr>
                  <w:tcW w:w="283" w:type="pct"/>
                  <w:vMerge w:val="restart"/>
                  <w:vAlign w:val="center"/>
                </w:tcPr>
                <w:p>
                  <w:pPr>
                    <w:adjustRightInd w:val="0"/>
                    <w:snapToGrid w:val="0"/>
                    <w:spacing w:line="240" w:lineRule="exact"/>
                    <w:jc w:val="center"/>
                    <w:rPr>
                      <w:b/>
                      <w:bCs/>
                      <w:spacing w:val="-10"/>
                      <w:szCs w:val="21"/>
                    </w:rPr>
                  </w:pPr>
                  <w:r>
                    <w:rPr>
                      <w:rFonts w:hint="eastAsia"/>
                      <w:b/>
                      <w:bCs/>
                      <w:spacing w:val="-10"/>
                      <w:szCs w:val="21"/>
                    </w:rPr>
                    <w:t>核算方法</w:t>
                  </w:r>
                </w:p>
              </w:tc>
              <w:tc>
                <w:tcPr>
                  <w:tcW w:w="744" w:type="pct"/>
                  <w:gridSpan w:val="2"/>
                  <w:vMerge w:val="restart"/>
                  <w:vAlign w:val="center"/>
                </w:tcPr>
                <w:p>
                  <w:pPr>
                    <w:adjustRightInd w:val="0"/>
                    <w:snapToGrid w:val="0"/>
                    <w:spacing w:line="240" w:lineRule="exact"/>
                    <w:jc w:val="center"/>
                    <w:rPr>
                      <w:b/>
                      <w:bCs/>
                      <w:spacing w:val="-10"/>
                      <w:szCs w:val="21"/>
                    </w:rPr>
                  </w:pPr>
                  <w:r>
                    <w:rPr>
                      <w:b/>
                      <w:bCs/>
                      <w:spacing w:val="-10"/>
                      <w:szCs w:val="21"/>
                    </w:rPr>
                    <w:t>废气量m</w:t>
                  </w:r>
                  <w:r>
                    <w:rPr>
                      <w:b/>
                      <w:bCs/>
                      <w:spacing w:val="-10"/>
                      <w:szCs w:val="21"/>
                      <w:vertAlign w:val="superscript"/>
                    </w:rPr>
                    <w:t>3</w:t>
                  </w:r>
                  <w:r>
                    <w:rPr>
                      <w:b/>
                      <w:bCs/>
                      <w:spacing w:val="-10"/>
                      <w:szCs w:val="21"/>
                    </w:rPr>
                    <w:t>/h</w:t>
                  </w:r>
                </w:p>
              </w:tc>
              <w:tc>
                <w:tcPr>
                  <w:tcW w:w="659" w:type="pct"/>
                  <w:gridSpan w:val="2"/>
                  <w:vAlign w:val="center"/>
                </w:tcPr>
                <w:p>
                  <w:pPr>
                    <w:adjustRightInd w:val="0"/>
                    <w:snapToGrid w:val="0"/>
                    <w:spacing w:line="240" w:lineRule="exact"/>
                    <w:jc w:val="center"/>
                    <w:rPr>
                      <w:b/>
                      <w:bCs/>
                      <w:spacing w:val="-10"/>
                      <w:szCs w:val="21"/>
                    </w:rPr>
                  </w:pPr>
                  <w:r>
                    <w:rPr>
                      <w:b/>
                      <w:bCs/>
                      <w:spacing w:val="-10"/>
                      <w:szCs w:val="21"/>
                    </w:rPr>
                    <w:t>污染物产生</w:t>
                  </w:r>
                </w:p>
              </w:tc>
              <w:tc>
                <w:tcPr>
                  <w:tcW w:w="971" w:type="pct"/>
                  <w:gridSpan w:val="2"/>
                  <w:vMerge w:val="restart"/>
                  <w:vAlign w:val="center"/>
                </w:tcPr>
                <w:p>
                  <w:pPr>
                    <w:adjustRightInd w:val="0"/>
                    <w:snapToGrid w:val="0"/>
                    <w:spacing w:line="240" w:lineRule="exact"/>
                    <w:jc w:val="center"/>
                    <w:rPr>
                      <w:b/>
                      <w:bCs/>
                      <w:spacing w:val="-10"/>
                      <w:szCs w:val="21"/>
                    </w:rPr>
                  </w:pPr>
                  <w:r>
                    <w:rPr>
                      <w:b/>
                      <w:bCs/>
                      <w:spacing w:val="-10"/>
                      <w:szCs w:val="21"/>
                    </w:rPr>
                    <w:t>污染治理设施</w:t>
                  </w:r>
                </w:p>
              </w:tc>
              <w:tc>
                <w:tcPr>
                  <w:tcW w:w="1532" w:type="pct"/>
                  <w:gridSpan w:val="5"/>
                  <w:vAlign w:val="center"/>
                </w:tcPr>
                <w:p>
                  <w:pPr>
                    <w:adjustRightInd w:val="0"/>
                    <w:snapToGrid w:val="0"/>
                    <w:spacing w:line="240" w:lineRule="exact"/>
                    <w:jc w:val="center"/>
                    <w:rPr>
                      <w:b/>
                      <w:bCs/>
                      <w:spacing w:val="-10"/>
                      <w:szCs w:val="21"/>
                    </w:rPr>
                  </w:pPr>
                  <w:r>
                    <w:rPr>
                      <w:b/>
                      <w:bCs/>
                      <w:spacing w:val="-10"/>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b/>
                      <w:bCs/>
                      <w:spacing w:val="-10"/>
                      <w:szCs w:val="21"/>
                    </w:rPr>
                  </w:pPr>
                </w:p>
              </w:tc>
              <w:tc>
                <w:tcPr>
                  <w:tcW w:w="333" w:type="pct"/>
                  <w:vMerge w:val="continue"/>
                  <w:vAlign w:val="center"/>
                </w:tcPr>
                <w:p>
                  <w:pPr>
                    <w:adjustRightInd w:val="0"/>
                    <w:snapToGrid w:val="0"/>
                    <w:spacing w:line="240" w:lineRule="exact"/>
                    <w:jc w:val="center"/>
                    <w:rPr>
                      <w:b/>
                      <w:bCs/>
                      <w:spacing w:val="-10"/>
                      <w:szCs w:val="21"/>
                    </w:rPr>
                  </w:pPr>
                </w:p>
              </w:tc>
              <w:tc>
                <w:tcPr>
                  <w:tcW w:w="283" w:type="pct"/>
                  <w:vMerge w:val="continue"/>
                  <w:vAlign w:val="center"/>
                </w:tcPr>
                <w:p>
                  <w:pPr>
                    <w:adjustRightInd w:val="0"/>
                    <w:snapToGrid w:val="0"/>
                    <w:spacing w:line="240" w:lineRule="exact"/>
                    <w:jc w:val="center"/>
                    <w:rPr>
                      <w:b/>
                      <w:bCs/>
                      <w:spacing w:val="-10"/>
                      <w:szCs w:val="21"/>
                    </w:rPr>
                  </w:pPr>
                </w:p>
              </w:tc>
              <w:tc>
                <w:tcPr>
                  <w:tcW w:w="744" w:type="pct"/>
                  <w:gridSpan w:val="2"/>
                  <w:vMerge w:val="continue"/>
                  <w:vAlign w:val="center"/>
                </w:tcPr>
                <w:p>
                  <w:pPr>
                    <w:adjustRightInd w:val="0"/>
                    <w:snapToGrid w:val="0"/>
                    <w:spacing w:line="240" w:lineRule="exact"/>
                    <w:jc w:val="center"/>
                    <w:rPr>
                      <w:b/>
                      <w:bCs/>
                      <w:spacing w:val="-10"/>
                      <w:szCs w:val="21"/>
                    </w:rPr>
                  </w:pPr>
                </w:p>
              </w:tc>
              <w:tc>
                <w:tcPr>
                  <w:tcW w:w="311" w:type="pct"/>
                  <w:vMerge w:val="restart"/>
                  <w:vAlign w:val="center"/>
                </w:tcPr>
                <w:p>
                  <w:pPr>
                    <w:adjustRightInd w:val="0"/>
                    <w:snapToGrid w:val="0"/>
                    <w:spacing w:line="240" w:lineRule="exact"/>
                    <w:jc w:val="center"/>
                    <w:rPr>
                      <w:b/>
                      <w:bCs/>
                      <w:spacing w:val="-10"/>
                      <w:szCs w:val="21"/>
                    </w:rPr>
                  </w:pPr>
                  <w:r>
                    <w:rPr>
                      <w:b/>
                      <w:bCs/>
                      <w:spacing w:val="-10"/>
                      <w:szCs w:val="21"/>
                    </w:rPr>
                    <w:t>浓度mg/m</w:t>
                  </w:r>
                  <w:r>
                    <w:rPr>
                      <w:b/>
                      <w:bCs/>
                      <w:spacing w:val="-10"/>
                      <w:szCs w:val="21"/>
                      <w:vertAlign w:val="superscript"/>
                    </w:rPr>
                    <w:t>3</w:t>
                  </w:r>
                </w:p>
              </w:tc>
              <w:tc>
                <w:tcPr>
                  <w:tcW w:w="347" w:type="pct"/>
                  <w:vMerge w:val="restart"/>
                  <w:vAlign w:val="center"/>
                </w:tcPr>
                <w:p>
                  <w:pPr>
                    <w:adjustRightInd w:val="0"/>
                    <w:snapToGrid w:val="0"/>
                    <w:spacing w:line="240" w:lineRule="exact"/>
                    <w:jc w:val="center"/>
                    <w:rPr>
                      <w:b/>
                      <w:bCs/>
                      <w:spacing w:val="-10"/>
                      <w:szCs w:val="21"/>
                    </w:rPr>
                  </w:pPr>
                  <w:r>
                    <w:rPr>
                      <w:b/>
                      <w:bCs/>
                      <w:spacing w:val="-10"/>
                      <w:szCs w:val="21"/>
                    </w:rPr>
                    <w:t>产生量t/a</w:t>
                  </w:r>
                </w:p>
              </w:tc>
              <w:tc>
                <w:tcPr>
                  <w:tcW w:w="971" w:type="pct"/>
                  <w:gridSpan w:val="2"/>
                  <w:vMerge w:val="continue"/>
                  <w:vAlign w:val="center"/>
                </w:tcPr>
                <w:p>
                  <w:pPr>
                    <w:adjustRightInd w:val="0"/>
                    <w:snapToGrid w:val="0"/>
                    <w:spacing w:line="240" w:lineRule="exact"/>
                    <w:jc w:val="center"/>
                    <w:rPr>
                      <w:b/>
                      <w:bCs/>
                      <w:spacing w:val="-10"/>
                      <w:szCs w:val="21"/>
                    </w:rPr>
                  </w:pPr>
                </w:p>
              </w:tc>
              <w:tc>
                <w:tcPr>
                  <w:tcW w:w="297" w:type="pct"/>
                  <w:vMerge w:val="restart"/>
                  <w:vAlign w:val="center"/>
                </w:tcPr>
                <w:p>
                  <w:pPr>
                    <w:adjustRightInd w:val="0"/>
                    <w:snapToGrid w:val="0"/>
                    <w:spacing w:line="240" w:lineRule="exact"/>
                    <w:jc w:val="center"/>
                    <w:rPr>
                      <w:b/>
                      <w:bCs/>
                      <w:spacing w:val="-10"/>
                      <w:szCs w:val="21"/>
                    </w:rPr>
                  </w:pPr>
                  <w:r>
                    <w:rPr>
                      <w:b/>
                      <w:bCs/>
                      <w:spacing w:val="-10"/>
                      <w:szCs w:val="21"/>
                    </w:rPr>
                    <w:t>浓度mg/m</w:t>
                  </w:r>
                  <w:r>
                    <w:rPr>
                      <w:b/>
                      <w:bCs/>
                      <w:spacing w:val="-10"/>
                      <w:szCs w:val="21"/>
                      <w:vertAlign w:val="superscript"/>
                    </w:rPr>
                    <w:t>3</w:t>
                  </w:r>
                </w:p>
              </w:tc>
              <w:tc>
                <w:tcPr>
                  <w:tcW w:w="334" w:type="pct"/>
                  <w:vMerge w:val="restart"/>
                  <w:vAlign w:val="center"/>
                </w:tcPr>
                <w:p>
                  <w:pPr>
                    <w:adjustRightInd w:val="0"/>
                    <w:snapToGrid w:val="0"/>
                    <w:spacing w:line="240" w:lineRule="exact"/>
                    <w:jc w:val="center"/>
                    <w:rPr>
                      <w:b/>
                      <w:bCs/>
                      <w:spacing w:val="-10"/>
                      <w:szCs w:val="21"/>
                    </w:rPr>
                  </w:pPr>
                  <w:r>
                    <w:rPr>
                      <w:b/>
                      <w:bCs/>
                      <w:spacing w:val="-10"/>
                      <w:szCs w:val="21"/>
                    </w:rPr>
                    <w:t>速率kg/h</w:t>
                  </w:r>
                </w:p>
              </w:tc>
              <w:tc>
                <w:tcPr>
                  <w:tcW w:w="343" w:type="pct"/>
                  <w:vMerge w:val="restart"/>
                  <w:vAlign w:val="center"/>
                </w:tcPr>
                <w:p>
                  <w:pPr>
                    <w:adjustRightInd w:val="0"/>
                    <w:snapToGrid w:val="0"/>
                    <w:spacing w:line="240" w:lineRule="exact"/>
                    <w:jc w:val="center"/>
                    <w:rPr>
                      <w:b/>
                      <w:bCs/>
                      <w:spacing w:val="-10"/>
                      <w:szCs w:val="21"/>
                    </w:rPr>
                  </w:pPr>
                  <w:r>
                    <w:rPr>
                      <w:b/>
                      <w:bCs/>
                      <w:spacing w:val="-10"/>
                      <w:szCs w:val="21"/>
                    </w:rPr>
                    <w:t>排放量t/a</w:t>
                  </w:r>
                </w:p>
              </w:tc>
              <w:tc>
                <w:tcPr>
                  <w:tcW w:w="557" w:type="pct"/>
                  <w:gridSpan w:val="2"/>
                  <w:vAlign w:val="center"/>
                </w:tcPr>
                <w:p>
                  <w:pPr>
                    <w:adjustRightInd w:val="0"/>
                    <w:snapToGrid w:val="0"/>
                    <w:spacing w:line="240" w:lineRule="exact"/>
                    <w:jc w:val="center"/>
                    <w:rPr>
                      <w:b/>
                      <w:bCs/>
                      <w:spacing w:val="-10"/>
                      <w:szCs w:val="21"/>
                    </w:rPr>
                  </w:pPr>
                  <w:r>
                    <w:rPr>
                      <w:b/>
                      <w:bCs/>
                      <w:spacing w:val="-1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b/>
                      <w:bCs/>
                      <w:spacing w:val="-10"/>
                      <w:szCs w:val="21"/>
                    </w:rPr>
                  </w:pPr>
                </w:p>
              </w:tc>
              <w:tc>
                <w:tcPr>
                  <w:tcW w:w="333" w:type="pct"/>
                  <w:vMerge w:val="continue"/>
                  <w:vAlign w:val="center"/>
                </w:tcPr>
                <w:p>
                  <w:pPr>
                    <w:adjustRightInd w:val="0"/>
                    <w:snapToGrid w:val="0"/>
                    <w:spacing w:line="240" w:lineRule="exact"/>
                    <w:jc w:val="center"/>
                    <w:rPr>
                      <w:b/>
                      <w:bCs/>
                      <w:spacing w:val="-10"/>
                      <w:szCs w:val="21"/>
                    </w:rPr>
                  </w:pPr>
                </w:p>
              </w:tc>
              <w:tc>
                <w:tcPr>
                  <w:tcW w:w="283" w:type="pct"/>
                  <w:vMerge w:val="continue"/>
                  <w:vAlign w:val="center"/>
                </w:tcPr>
                <w:p>
                  <w:pPr>
                    <w:adjustRightInd w:val="0"/>
                    <w:snapToGrid w:val="0"/>
                    <w:spacing w:line="240" w:lineRule="exact"/>
                    <w:jc w:val="center"/>
                    <w:rPr>
                      <w:b/>
                      <w:bCs/>
                      <w:spacing w:val="-10"/>
                      <w:szCs w:val="21"/>
                    </w:rPr>
                  </w:pPr>
                </w:p>
              </w:tc>
              <w:tc>
                <w:tcPr>
                  <w:tcW w:w="744" w:type="pct"/>
                  <w:gridSpan w:val="2"/>
                  <w:vMerge w:val="continue"/>
                  <w:vAlign w:val="center"/>
                </w:tcPr>
                <w:p>
                  <w:pPr>
                    <w:adjustRightInd w:val="0"/>
                    <w:snapToGrid w:val="0"/>
                    <w:spacing w:line="240" w:lineRule="exact"/>
                    <w:jc w:val="center"/>
                    <w:rPr>
                      <w:b/>
                      <w:bCs/>
                      <w:spacing w:val="-10"/>
                      <w:szCs w:val="21"/>
                    </w:rPr>
                  </w:pPr>
                </w:p>
              </w:tc>
              <w:tc>
                <w:tcPr>
                  <w:tcW w:w="311" w:type="pct"/>
                  <w:vMerge w:val="continue"/>
                  <w:vAlign w:val="center"/>
                </w:tcPr>
                <w:p>
                  <w:pPr>
                    <w:adjustRightInd w:val="0"/>
                    <w:snapToGrid w:val="0"/>
                    <w:spacing w:line="240" w:lineRule="exact"/>
                    <w:jc w:val="center"/>
                    <w:rPr>
                      <w:b/>
                      <w:bCs/>
                      <w:spacing w:val="-10"/>
                      <w:szCs w:val="21"/>
                    </w:rPr>
                  </w:pPr>
                </w:p>
              </w:tc>
              <w:tc>
                <w:tcPr>
                  <w:tcW w:w="347" w:type="pct"/>
                  <w:vMerge w:val="continue"/>
                  <w:vAlign w:val="center"/>
                </w:tcPr>
                <w:p>
                  <w:pPr>
                    <w:adjustRightInd w:val="0"/>
                    <w:snapToGrid w:val="0"/>
                    <w:spacing w:line="240" w:lineRule="exact"/>
                    <w:jc w:val="center"/>
                    <w:rPr>
                      <w:b/>
                      <w:bCs/>
                      <w:spacing w:val="-10"/>
                      <w:szCs w:val="21"/>
                    </w:rPr>
                  </w:pPr>
                </w:p>
              </w:tc>
              <w:tc>
                <w:tcPr>
                  <w:tcW w:w="971" w:type="pct"/>
                  <w:gridSpan w:val="2"/>
                  <w:vMerge w:val="continue"/>
                  <w:vAlign w:val="center"/>
                </w:tcPr>
                <w:p>
                  <w:pPr>
                    <w:adjustRightInd w:val="0"/>
                    <w:snapToGrid w:val="0"/>
                    <w:spacing w:line="240" w:lineRule="exact"/>
                    <w:jc w:val="center"/>
                    <w:rPr>
                      <w:b/>
                      <w:bCs/>
                      <w:spacing w:val="-10"/>
                      <w:szCs w:val="21"/>
                    </w:rPr>
                  </w:pPr>
                </w:p>
              </w:tc>
              <w:tc>
                <w:tcPr>
                  <w:tcW w:w="297" w:type="pct"/>
                  <w:vMerge w:val="continue"/>
                  <w:vAlign w:val="center"/>
                </w:tcPr>
                <w:p>
                  <w:pPr>
                    <w:adjustRightInd w:val="0"/>
                    <w:snapToGrid w:val="0"/>
                    <w:spacing w:line="240" w:lineRule="exact"/>
                    <w:jc w:val="center"/>
                    <w:rPr>
                      <w:b/>
                      <w:bCs/>
                      <w:spacing w:val="-10"/>
                      <w:szCs w:val="21"/>
                    </w:rPr>
                  </w:pPr>
                </w:p>
              </w:tc>
              <w:tc>
                <w:tcPr>
                  <w:tcW w:w="334" w:type="pct"/>
                  <w:vMerge w:val="continue"/>
                  <w:vAlign w:val="center"/>
                </w:tcPr>
                <w:p>
                  <w:pPr>
                    <w:adjustRightInd w:val="0"/>
                    <w:snapToGrid w:val="0"/>
                    <w:spacing w:line="240" w:lineRule="exact"/>
                    <w:jc w:val="center"/>
                    <w:rPr>
                      <w:b/>
                      <w:bCs/>
                      <w:spacing w:val="-10"/>
                      <w:szCs w:val="21"/>
                    </w:rPr>
                  </w:pPr>
                </w:p>
              </w:tc>
              <w:tc>
                <w:tcPr>
                  <w:tcW w:w="343" w:type="pct"/>
                  <w:vMerge w:val="continue"/>
                  <w:vAlign w:val="center"/>
                </w:tcPr>
                <w:p>
                  <w:pPr>
                    <w:adjustRightInd w:val="0"/>
                    <w:snapToGrid w:val="0"/>
                    <w:spacing w:line="240" w:lineRule="exact"/>
                    <w:jc w:val="center"/>
                    <w:rPr>
                      <w:b/>
                      <w:bCs/>
                      <w:spacing w:val="-10"/>
                      <w:szCs w:val="21"/>
                    </w:rPr>
                  </w:pPr>
                </w:p>
              </w:tc>
              <w:tc>
                <w:tcPr>
                  <w:tcW w:w="301" w:type="pct"/>
                  <w:vAlign w:val="center"/>
                </w:tcPr>
                <w:p>
                  <w:pPr>
                    <w:adjustRightInd w:val="0"/>
                    <w:snapToGrid w:val="0"/>
                    <w:spacing w:line="240" w:lineRule="exact"/>
                    <w:jc w:val="center"/>
                    <w:rPr>
                      <w:b/>
                      <w:bCs/>
                      <w:spacing w:val="-10"/>
                      <w:szCs w:val="21"/>
                    </w:rPr>
                  </w:pPr>
                  <w:r>
                    <w:rPr>
                      <w:b/>
                      <w:bCs/>
                      <w:spacing w:val="-10"/>
                      <w:szCs w:val="21"/>
                    </w:rPr>
                    <w:t>浓度mg/m</w:t>
                  </w:r>
                  <w:r>
                    <w:rPr>
                      <w:b/>
                      <w:bCs/>
                      <w:spacing w:val="-10"/>
                      <w:szCs w:val="21"/>
                      <w:vertAlign w:val="superscript"/>
                    </w:rPr>
                    <w:t>3</w:t>
                  </w:r>
                </w:p>
              </w:tc>
              <w:tc>
                <w:tcPr>
                  <w:tcW w:w="256" w:type="pct"/>
                  <w:vAlign w:val="center"/>
                </w:tcPr>
                <w:p>
                  <w:pPr>
                    <w:adjustRightInd w:val="0"/>
                    <w:snapToGrid w:val="0"/>
                    <w:spacing w:line="240" w:lineRule="exact"/>
                    <w:jc w:val="center"/>
                    <w:rPr>
                      <w:b/>
                      <w:bCs/>
                      <w:spacing w:val="-10"/>
                      <w:szCs w:val="21"/>
                    </w:rPr>
                  </w:pPr>
                  <w:r>
                    <w:rPr>
                      <w:b/>
                      <w:bCs/>
                      <w:spacing w:val="-10"/>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restart"/>
                  <w:vAlign w:val="center"/>
                </w:tcPr>
                <w:p>
                  <w:pPr>
                    <w:adjustRightInd w:val="0"/>
                    <w:snapToGrid w:val="0"/>
                    <w:spacing w:line="240" w:lineRule="exact"/>
                    <w:jc w:val="center"/>
                    <w:rPr>
                      <w:spacing w:val="-10"/>
                      <w:szCs w:val="21"/>
                    </w:rPr>
                  </w:pPr>
                  <w:r>
                    <w:rPr>
                      <w:spacing w:val="-10"/>
                      <w:szCs w:val="21"/>
                    </w:rPr>
                    <w:t>DA001</w:t>
                  </w:r>
                </w:p>
              </w:tc>
              <w:tc>
                <w:tcPr>
                  <w:tcW w:w="333" w:type="pct"/>
                  <w:vMerge w:val="restart"/>
                  <w:vAlign w:val="center"/>
                </w:tcPr>
                <w:p>
                  <w:pPr>
                    <w:adjustRightInd w:val="0"/>
                    <w:snapToGrid w:val="0"/>
                    <w:spacing w:line="240" w:lineRule="exact"/>
                    <w:jc w:val="center"/>
                    <w:rPr>
                      <w:spacing w:val="-10"/>
                      <w:szCs w:val="21"/>
                    </w:rPr>
                  </w:pPr>
                  <w:r>
                    <w:rPr>
                      <w:spacing w:val="-10"/>
                      <w:szCs w:val="21"/>
                    </w:rPr>
                    <w:t>颗粒物</w:t>
                  </w:r>
                </w:p>
              </w:tc>
              <w:tc>
                <w:tcPr>
                  <w:tcW w:w="283" w:type="pct"/>
                  <w:vMerge w:val="restart"/>
                  <w:vAlign w:val="center"/>
                </w:tcPr>
                <w:p>
                  <w:pPr>
                    <w:adjustRightInd w:val="0"/>
                    <w:snapToGrid w:val="0"/>
                    <w:spacing w:line="240" w:lineRule="exact"/>
                    <w:jc w:val="center"/>
                    <w:rPr>
                      <w:spacing w:val="-10"/>
                      <w:szCs w:val="21"/>
                    </w:rPr>
                  </w:pPr>
                  <w:r>
                    <w:rPr>
                      <w:rFonts w:hint="eastAsia"/>
                      <w:spacing w:val="-10"/>
                      <w:szCs w:val="21"/>
                    </w:rPr>
                    <w:t>产污系数法</w:t>
                  </w:r>
                </w:p>
              </w:tc>
              <w:tc>
                <w:tcPr>
                  <w:tcW w:w="475" w:type="pct"/>
                  <w:vAlign w:val="center"/>
                </w:tcPr>
                <w:p>
                  <w:pPr>
                    <w:adjustRightInd w:val="0"/>
                    <w:snapToGrid w:val="0"/>
                    <w:spacing w:line="240" w:lineRule="exact"/>
                    <w:jc w:val="center"/>
                    <w:rPr>
                      <w:spacing w:val="-10"/>
                      <w:szCs w:val="21"/>
                    </w:rPr>
                  </w:pPr>
                  <w:r>
                    <w:rPr>
                      <w:rFonts w:hint="eastAsia"/>
                      <w:spacing w:val="-10"/>
                      <w:szCs w:val="21"/>
                    </w:rPr>
                    <w:t>焊接工序</w:t>
                  </w:r>
                </w:p>
              </w:tc>
              <w:tc>
                <w:tcPr>
                  <w:tcW w:w="269" w:type="pct"/>
                  <w:vAlign w:val="center"/>
                </w:tcPr>
                <w:p>
                  <w:pPr>
                    <w:adjustRightInd w:val="0"/>
                    <w:snapToGrid w:val="0"/>
                    <w:spacing w:line="240" w:lineRule="exact"/>
                    <w:jc w:val="center"/>
                    <w:rPr>
                      <w:spacing w:val="-10"/>
                      <w:szCs w:val="21"/>
                    </w:rPr>
                  </w:pPr>
                  <w:r>
                    <w:rPr>
                      <w:rFonts w:hint="eastAsia"/>
                      <w:spacing w:val="-10"/>
                      <w:szCs w:val="21"/>
                    </w:rPr>
                    <w:t>5000</w:t>
                  </w:r>
                </w:p>
              </w:tc>
              <w:tc>
                <w:tcPr>
                  <w:tcW w:w="311" w:type="pct"/>
                  <w:vAlign w:val="center"/>
                </w:tcPr>
                <w:p>
                  <w:pPr>
                    <w:adjustRightInd w:val="0"/>
                    <w:snapToGrid w:val="0"/>
                    <w:spacing w:line="240" w:lineRule="exact"/>
                    <w:jc w:val="center"/>
                    <w:rPr>
                      <w:spacing w:val="-10"/>
                      <w:szCs w:val="21"/>
                    </w:rPr>
                  </w:pPr>
                  <w:r>
                    <w:rPr>
                      <w:rFonts w:hint="eastAsia"/>
                      <w:spacing w:val="-10"/>
                      <w:szCs w:val="21"/>
                    </w:rPr>
                    <w:t>2.04</w:t>
                  </w:r>
                </w:p>
              </w:tc>
              <w:tc>
                <w:tcPr>
                  <w:tcW w:w="347" w:type="pct"/>
                  <w:vAlign w:val="center"/>
                </w:tcPr>
                <w:p>
                  <w:pPr>
                    <w:adjustRightInd w:val="0"/>
                    <w:snapToGrid w:val="0"/>
                    <w:spacing w:line="240" w:lineRule="exact"/>
                    <w:jc w:val="center"/>
                    <w:rPr>
                      <w:spacing w:val="-10"/>
                      <w:szCs w:val="21"/>
                    </w:rPr>
                  </w:pPr>
                  <w:r>
                    <w:rPr>
                      <w:rFonts w:hint="eastAsia"/>
                      <w:spacing w:val="-10"/>
                      <w:szCs w:val="21"/>
                    </w:rPr>
                    <w:t>0.0368</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集气罩+布袋除尘器</w:t>
                  </w:r>
                </w:p>
              </w:tc>
              <w:tc>
                <w:tcPr>
                  <w:tcW w:w="297" w:type="pct"/>
                  <w:vMerge w:val="restart"/>
                  <w:vAlign w:val="center"/>
                </w:tcPr>
                <w:p>
                  <w:pPr>
                    <w:adjustRightInd w:val="0"/>
                    <w:snapToGrid w:val="0"/>
                    <w:spacing w:line="240" w:lineRule="exact"/>
                    <w:jc w:val="center"/>
                    <w:rPr>
                      <w:spacing w:val="-10"/>
                      <w:szCs w:val="21"/>
                    </w:rPr>
                  </w:pPr>
                  <w:r>
                    <w:rPr>
                      <w:rFonts w:hint="eastAsia"/>
                      <w:spacing w:val="-10"/>
                      <w:szCs w:val="21"/>
                    </w:rPr>
                    <w:t>0.53</w:t>
                  </w:r>
                </w:p>
              </w:tc>
              <w:tc>
                <w:tcPr>
                  <w:tcW w:w="334" w:type="pct"/>
                  <w:vMerge w:val="restart"/>
                  <w:vAlign w:val="center"/>
                </w:tcPr>
                <w:p>
                  <w:pPr>
                    <w:adjustRightInd w:val="0"/>
                    <w:snapToGrid w:val="0"/>
                    <w:spacing w:line="240" w:lineRule="exact"/>
                    <w:jc w:val="center"/>
                    <w:rPr>
                      <w:spacing w:val="-10"/>
                      <w:szCs w:val="21"/>
                    </w:rPr>
                  </w:pPr>
                  <w:r>
                    <w:rPr>
                      <w:rFonts w:hint="eastAsia"/>
                      <w:spacing w:val="-10"/>
                      <w:szCs w:val="21"/>
                    </w:rPr>
                    <w:t>0.00426</w:t>
                  </w:r>
                </w:p>
              </w:tc>
              <w:tc>
                <w:tcPr>
                  <w:tcW w:w="343" w:type="pct"/>
                  <w:vMerge w:val="restart"/>
                  <w:vAlign w:val="center"/>
                </w:tcPr>
                <w:p>
                  <w:pPr>
                    <w:adjustRightInd w:val="0"/>
                    <w:snapToGrid w:val="0"/>
                    <w:spacing w:line="240" w:lineRule="exact"/>
                    <w:jc w:val="center"/>
                    <w:rPr>
                      <w:spacing w:val="-10"/>
                      <w:szCs w:val="21"/>
                    </w:rPr>
                  </w:pPr>
                  <w:r>
                    <w:rPr>
                      <w:rFonts w:hint="eastAsia"/>
                      <w:spacing w:val="-10"/>
                      <w:szCs w:val="21"/>
                    </w:rPr>
                    <w:t>0.01534</w:t>
                  </w:r>
                </w:p>
              </w:tc>
              <w:tc>
                <w:tcPr>
                  <w:tcW w:w="301" w:type="pct"/>
                  <w:vMerge w:val="restart"/>
                  <w:vAlign w:val="center"/>
                </w:tcPr>
                <w:p>
                  <w:pPr>
                    <w:adjustRightInd w:val="0"/>
                    <w:snapToGrid w:val="0"/>
                    <w:spacing w:line="240" w:lineRule="exact"/>
                    <w:jc w:val="center"/>
                    <w:rPr>
                      <w:spacing w:val="-10"/>
                      <w:szCs w:val="21"/>
                    </w:rPr>
                  </w:pPr>
                  <w:r>
                    <w:rPr>
                      <w:rFonts w:hint="eastAsia"/>
                      <w:spacing w:val="-10"/>
                      <w:szCs w:val="21"/>
                    </w:rPr>
                    <w:t>120</w:t>
                  </w:r>
                </w:p>
              </w:tc>
              <w:tc>
                <w:tcPr>
                  <w:tcW w:w="256" w:type="pct"/>
                  <w:vMerge w:val="restart"/>
                  <w:vAlign w:val="center"/>
                </w:tcPr>
                <w:p>
                  <w:pPr>
                    <w:adjustRightInd w:val="0"/>
                    <w:snapToGrid w:val="0"/>
                    <w:spacing w:line="240" w:lineRule="exact"/>
                    <w:jc w:val="center"/>
                    <w:rPr>
                      <w:spacing w:val="-10"/>
                      <w:szCs w:val="21"/>
                    </w:rPr>
                  </w:pPr>
                  <w:r>
                    <w:rPr>
                      <w:rFonts w:hint="eastAsia"/>
                      <w:spacing w:val="-10"/>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continue"/>
                  <w:vAlign w:val="center"/>
                </w:tcPr>
                <w:p>
                  <w:pPr>
                    <w:adjustRightInd w:val="0"/>
                    <w:snapToGrid w:val="0"/>
                    <w:spacing w:line="240" w:lineRule="exact"/>
                    <w:jc w:val="center"/>
                    <w:rPr>
                      <w:spacing w:val="-10"/>
                      <w:szCs w:val="21"/>
                    </w:rPr>
                  </w:pPr>
                </w:p>
              </w:tc>
              <w:tc>
                <w:tcPr>
                  <w:tcW w:w="283" w:type="pct"/>
                  <w:vMerge w:val="continue"/>
                  <w:vAlign w:val="center"/>
                </w:tcPr>
                <w:p>
                  <w:pPr>
                    <w:adjustRightInd w:val="0"/>
                    <w:snapToGrid w:val="0"/>
                    <w:spacing w:line="240" w:lineRule="exact"/>
                    <w:jc w:val="center"/>
                    <w:rPr>
                      <w:spacing w:val="-10"/>
                      <w:szCs w:val="21"/>
                    </w:rPr>
                  </w:pPr>
                </w:p>
              </w:tc>
              <w:tc>
                <w:tcPr>
                  <w:tcW w:w="475" w:type="pct"/>
                  <w:vAlign w:val="center"/>
                </w:tcPr>
                <w:p>
                  <w:pPr>
                    <w:adjustRightInd w:val="0"/>
                    <w:snapToGrid w:val="0"/>
                    <w:spacing w:line="240" w:lineRule="exact"/>
                    <w:jc w:val="center"/>
                    <w:rPr>
                      <w:spacing w:val="-10"/>
                      <w:szCs w:val="21"/>
                    </w:rPr>
                  </w:pPr>
                  <w:r>
                    <w:rPr>
                      <w:rFonts w:hint="eastAsia"/>
                      <w:spacing w:val="-10"/>
                      <w:szCs w:val="21"/>
                    </w:rPr>
                    <w:t>激光切割1#</w:t>
                  </w:r>
                </w:p>
              </w:tc>
              <w:tc>
                <w:tcPr>
                  <w:tcW w:w="269" w:type="pct"/>
                  <w:vAlign w:val="center"/>
                </w:tcPr>
                <w:p>
                  <w:pPr>
                    <w:adjustRightInd w:val="0"/>
                    <w:snapToGrid w:val="0"/>
                    <w:spacing w:line="240" w:lineRule="exact"/>
                    <w:jc w:val="center"/>
                    <w:rPr>
                      <w:spacing w:val="-10"/>
                      <w:szCs w:val="21"/>
                    </w:rPr>
                  </w:pPr>
                  <w:r>
                    <w:rPr>
                      <w:rFonts w:hint="eastAsia"/>
                      <w:spacing w:val="-10"/>
                      <w:szCs w:val="21"/>
                    </w:rPr>
                    <w:t>1000</w:t>
                  </w:r>
                </w:p>
              </w:tc>
              <w:tc>
                <w:tcPr>
                  <w:tcW w:w="311" w:type="pct"/>
                  <w:vAlign w:val="center"/>
                </w:tcPr>
                <w:p>
                  <w:pPr>
                    <w:adjustRightInd w:val="0"/>
                    <w:snapToGrid w:val="0"/>
                    <w:spacing w:line="240" w:lineRule="exact"/>
                    <w:jc w:val="center"/>
                    <w:rPr>
                      <w:spacing w:val="-10"/>
                      <w:szCs w:val="21"/>
                    </w:rPr>
                  </w:pPr>
                  <w:r>
                    <w:rPr>
                      <w:rFonts w:hint="eastAsia"/>
                      <w:spacing w:val="-10"/>
                      <w:szCs w:val="21"/>
                    </w:rPr>
                    <w:t>25</w:t>
                  </w:r>
                </w:p>
              </w:tc>
              <w:tc>
                <w:tcPr>
                  <w:tcW w:w="347" w:type="pct"/>
                  <w:vAlign w:val="center"/>
                </w:tcPr>
                <w:p>
                  <w:pPr>
                    <w:adjustRightInd w:val="0"/>
                    <w:snapToGrid w:val="0"/>
                    <w:spacing w:line="240" w:lineRule="exact"/>
                    <w:jc w:val="center"/>
                    <w:rPr>
                      <w:spacing w:val="-10"/>
                      <w:szCs w:val="21"/>
                    </w:rPr>
                  </w:pPr>
                  <w:r>
                    <w:rPr>
                      <w:rFonts w:hint="eastAsia"/>
                      <w:spacing w:val="-10"/>
                      <w:szCs w:val="21"/>
                    </w:rPr>
                    <w:t>0.09</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集气装置+自带布袋除尘器</w:t>
                  </w:r>
                </w:p>
              </w:tc>
              <w:tc>
                <w:tcPr>
                  <w:tcW w:w="297" w:type="pct"/>
                  <w:vMerge w:val="continue"/>
                  <w:vAlign w:val="center"/>
                </w:tcPr>
                <w:p>
                  <w:pPr>
                    <w:adjustRightInd w:val="0"/>
                    <w:snapToGrid w:val="0"/>
                    <w:spacing w:line="240" w:lineRule="exact"/>
                    <w:jc w:val="center"/>
                    <w:rPr>
                      <w:spacing w:val="-10"/>
                      <w:szCs w:val="21"/>
                    </w:rPr>
                  </w:pPr>
                </w:p>
              </w:tc>
              <w:tc>
                <w:tcPr>
                  <w:tcW w:w="334" w:type="pct"/>
                  <w:vMerge w:val="continue"/>
                  <w:vAlign w:val="center"/>
                </w:tcPr>
                <w:p>
                  <w:pPr>
                    <w:adjustRightInd w:val="0"/>
                    <w:snapToGrid w:val="0"/>
                    <w:spacing w:line="240" w:lineRule="exact"/>
                    <w:jc w:val="center"/>
                    <w:rPr>
                      <w:spacing w:val="-10"/>
                      <w:szCs w:val="21"/>
                    </w:rPr>
                  </w:pPr>
                </w:p>
              </w:tc>
              <w:tc>
                <w:tcPr>
                  <w:tcW w:w="343" w:type="pct"/>
                  <w:vMerge w:val="continue"/>
                  <w:vAlign w:val="center"/>
                </w:tcPr>
                <w:p>
                  <w:pPr>
                    <w:adjustRightInd w:val="0"/>
                    <w:snapToGrid w:val="0"/>
                    <w:spacing w:line="240" w:lineRule="exact"/>
                    <w:jc w:val="center"/>
                    <w:rPr>
                      <w:spacing w:val="-10"/>
                      <w:szCs w:val="21"/>
                    </w:rPr>
                  </w:pPr>
                </w:p>
              </w:tc>
              <w:tc>
                <w:tcPr>
                  <w:tcW w:w="301" w:type="pct"/>
                  <w:vMerge w:val="continue"/>
                  <w:vAlign w:val="center"/>
                </w:tcPr>
                <w:p>
                  <w:pPr>
                    <w:adjustRightInd w:val="0"/>
                    <w:snapToGrid w:val="0"/>
                    <w:spacing w:line="240" w:lineRule="exact"/>
                    <w:jc w:val="center"/>
                    <w:rPr>
                      <w:spacing w:val="-10"/>
                      <w:szCs w:val="21"/>
                    </w:rPr>
                  </w:pPr>
                </w:p>
              </w:tc>
              <w:tc>
                <w:tcPr>
                  <w:tcW w:w="256" w:type="pct"/>
                  <w:vMerge w:val="continue"/>
                  <w:vAlign w:val="center"/>
                </w:tcPr>
                <w:p>
                  <w:pPr>
                    <w:adjustRightInd w:val="0"/>
                    <w:snapToGrid w:val="0"/>
                    <w:spacing w:line="240" w:lineRule="exact"/>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continue"/>
                  <w:vAlign w:val="center"/>
                </w:tcPr>
                <w:p>
                  <w:pPr>
                    <w:adjustRightInd w:val="0"/>
                    <w:snapToGrid w:val="0"/>
                    <w:spacing w:line="240" w:lineRule="exact"/>
                    <w:jc w:val="center"/>
                    <w:rPr>
                      <w:spacing w:val="-10"/>
                      <w:szCs w:val="21"/>
                    </w:rPr>
                  </w:pPr>
                </w:p>
              </w:tc>
              <w:tc>
                <w:tcPr>
                  <w:tcW w:w="283" w:type="pct"/>
                  <w:vMerge w:val="continue"/>
                  <w:vAlign w:val="center"/>
                </w:tcPr>
                <w:p>
                  <w:pPr>
                    <w:adjustRightInd w:val="0"/>
                    <w:snapToGrid w:val="0"/>
                    <w:spacing w:line="240" w:lineRule="exact"/>
                    <w:jc w:val="center"/>
                    <w:rPr>
                      <w:spacing w:val="-10"/>
                      <w:szCs w:val="21"/>
                    </w:rPr>
                  </w:pPr>
                </w:p>
              </w:tc>
              <w:tc>
                <w:tcPr>
                  <w:tcW w:w="475" w:type="pct"/>
                  <w:vAlign w:val="center"/>
                </w:tcPr>
                <w:p>
                  <w:pPr>
                    <w:adjustRightInd w:val="0"/>
                    <w:snapToGrid w:val="0"/>
                    <w:spacing w:line="240" w:lineRule="exact"/>
                    <w:jc w:val="center"/>
                    <w:rPr>
                      <w:spacing w:val="-10"/>
                      <w:szCs w:val="21"/>
                    </w:rPr>
                  </w:pPr>
                  <w:r>
                    <w:rPr>
                      <w:rFonts w:hint="eastAsia"/>
                      <w:spacing w:val="-10"/>
                      <w:szCs w:val="21"/>
                    </w:rPr>
                    <w:t>激光切割2#</w:t>
                  </w:r>
                </w:p>
              </w:tc>
              <w:tc>
                <w:tcPr>
                  <w:tcW w:w="269" w:type="pct"/>
                  <w:vAlign w:val="center"/>
                </w:tcPr>
                <w:p>
                  <w:pPr>
                    <w:adjustRightInd w:val="0"/>
                    <w:snapToGrid w:val="0"/>
                    <w:spacing w:line="240" w:lineRule="exact"/>
                    <w:jc w:val="center"/>
                    <w:rPr>
                      <w:spacing w:val="-10"/>
                      <w:szCs w:val="21"/>
                    </w:rPr>
                  </w:pPr>
                  <w:r>
                    <w:rPr>
                      <w:rFonts w:hint="eastAsia"/>
                      <w:spacing w:val="-10"/>
                      <w:szCs w:val="21"/>
                    </w:rPr>
                    <w:t>1000</w:t>
                  </w:r>
                </w:p>
              </w:tc>
              <w:tc>
                <w:tcPr>
                  <w:tcW w:w="311" w:type="pct"/>
                  <w:vAlign w:val="center"/>
                </w:tcPr>
                <w:p>
                  <w:pPr>
                    <w:adjustRightInd w:val="0"/>
                    <w:snapToGrid w:val="0"/>
                    <w:spacing w:line="240" w:lineRule="exact"/>
                    <w:jc w:val="center"/>
                    <w:rPr>
                      <w:spacing w:val="-10"/>
                      <w:szCs w:val="21"/>
                    </w:rPr>
                  </w:pPr>
                  <w:r>
                    <w:rPr>
                      <w:rFonts w:hint="eastAsia"/>
                      <w:spacing w:val="-10"/>
                      <w:szCs w:val="21"/>
                    </w:rPr>
                    <w:t>25</w:t>
                  </w:r>
                </w:p>
              </w:tc>
              <w:tc>
                <w:tcPr>
                  <w:tcW w:w="347" w:type="pct"/>
                  <w:vAlign w:val="center"/>
                </w:tcPr>
                <w:p>
                  <w:pPr>
                    <w:adjustRightInd w:val="0"/>
                    <w:snapToGrid w:val="0"/>
                    <w:spacing w:line="240" w:lineRule="exact"/>
                    <w:jc w:val="center"/>
                    <w:rPr>
                      <w:spacing w:val="-10"/>
                      <w:szCs w:val="21"/>
                    </w:rPr>
                  </w:pPr>
                  <w:r>
                    <w:rPr>
                      <w:rFonts w:hint="eastAsia"/>
                      <w:spacing w:val="-10"/>
                      <w:szCs w:val="21"/>
                    </w:rPr>
                    <w:t>0.09</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集气装置+自带布袋除尘器</w:t>
                  </w:r>
                </w:p>
              </w:tc>
              <w:tc>
                <w:tcPr>
                  <w:tcW w:w="297" w:type="pct"/>
                  <w:vMerge w:val="continue"/>
                  <w:vAlign w:val="center"/>
                </w:tcPr>
                <w:p>
                  <w:pPr>
                    <w:adjustRightInd w:val="0"/>
                    <w:snapToGrid w:val="0"/>
                    <w:spacing w:line="240" w:lineRule="exact"/>
                    <w:jc w:val="center"/>
                    <w:rPr>
                      <w:spacing w:val="-10"/>
                      <w:szCs w:val="21"/>
                    </w:rPr>
                  </w:pPr>
                </w:p>
              </w:tc>
              <w:tc>
                <w:tcPr>
                  <w:tcW w:w="334" w:type="pct"/>
                  <w:vMerge w:val="continue"/>
                  <w:vAlign w:val="center"/>
                </w:tcPr>
                <w:p>
                  <w:pPr>
                    <w:adjustRightInd w:val="0"/>
                    <w:snapToGrid w:val="0"/>
                    <w:spacing w:line="240" w:lineRule="exact"/>
                    <w:jc w:val="center"/>
                    <w:rPr>
                      <w:spacing w:val="-10"/>
                      <w:szCs w:val="21"/>
                    </w:rPr>
                  </w:pPr>
                </w:p>
              </w:tc>
              <w:tc>
                <w:tcPr>
                  <w:tcW w:w="343" w:type="pct"/>
                  <w:vMerge w:val="continue"/>
                  <w:vAlign w:val="center"/>
                </w:tcPr>
                <w:p>
                  <w:pPr>
                    <w:adjustRightInd w:val="0"/>
                    <w:snapToGrid w:val="0"/>
                    <w:spacing w:line="240" w:lineRule="exact"/>
                    <w:jc w:val="center"/>
                    <w:rPr>
                      <w:spacing w:val="-10"/>
                      <w:szCs w:val="21"/>
                    </w:rPr>
                  </w:pPr>
                </w:p>
              </w:tc>
              <w:tc>
                <w:tcPr>
                  <w:tcW w:w="301" w:type="pct"/>
                  <w:vMerge w:val="continue"/>
                  <w:vAlign w:val="center"/>
                </w:tcPr>
                <w:p>
                  <w:pPr>
                    <w:adjustRightInd w:val="0"/>
                    <w:snapToGrid w:val="0"/>
                    <w:spacing w:line="240" w:lineRule="exact"/>
                    <w:jc w:val="center"/>
                    <w:rPr>
                      <w:spacing w:val="-10"/>
                      <w:szCs w:val="21"/>
                    </w:rPr>
                  </w:pPr>
                </w:p>
              </w:tc>
              <w:tc>
                <w:tcPr>
                  <w:tcW w:w="256" w:type="pct"/>
                  <w:vMerge w:val="continue"/>
                  <w:vAlign w:val="center"/>
                </w:tcPr>
                <w:p>
                  <w:pPr>
                    <w:adjustRightInd w:val="0"/>
                    <w:snapToGrid w:val="0"/>
                    <w:spacing w:line="240" w:lineRule="exact"/>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6" w:hRule="atLeast"/>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continue"/>
                  <w:vAlign w:val="center"/>
                </w:tcPr>
                <w:p>
                  <w:pPr>
                    <w:adjustRightInd w:val="0"/>
                    <w:snapToGrid w:val="0"/>
                    <w:spacing w:line="240" w:lineRule="exact"/>
                    <w:jc w:val="center"/>
                    <w:rPr>
                      <w:spacing w:val="-10"/>
                      <w:szCs w:val="21"/>
                    </w:rPr>
                  </w:pPr>
                </w:p>
              </w:tc>
              <w:tc>
                <w:tcPr>
                  <w:tcW w:w="283" w:type="pct"/>
                  <w:vMerge w:val="continue"/>
                  <w:vAlign w:val="center"/>
                </w:tcPr>
                <w:p>
                  <w:pPr>
                    <w:adjustRightInd w:val="0"/>
                    <w:snapToGrid w:val="0"/>
                    <w:spacing w:line="240" w:lineRule="exact"/>
                    <w:jc w:val="center"/>
                    <w:rPr>
                      <w:spacing w:val="-10"/>
                      <w:szCs w:val="21"/>
                    </w:rPr>
                  </w:pPr>
                </w:p>
              </w:tc>
              <w:tc>
                <w:tcPr>
                  <w:tcW w:w="475" w:type="pct"/>
                  <w:vAlign w:val="center"/>
                </w:tcPr>
                <w:p>
                  <w:pPr>
                    <w:adjustRightInd w:val="0"/>
                    <w:snapToGrid w:val="0"/>
                    <w:spacing w:line="240" w:lineRule="exact"/>
                    <w:jc w:val="center"/>
                    <w:rPr>
                      <w:spacing w:val="-10"/>
                      <w:szCs w:val="21"/>
                    </w:rPr>
                  </w:pPr>
                  <w:r>
                    <w:rPr>
                      <w:rFonts w:hint="eastAsia"/>
                      <w:spacing w:val="-10"/>
                      <w:szCs w:val="21"/>
                    </w:rPr>
                    <w:t>激光切割3#</w:t>
                  </w:r>
                </w:p>
              </w:tc>
              <w:tc>
                <w:tcPr>
                  <w:tcW w:w="269" w:type="pct"/>
                  <w:vAlign w:val="center"/>
                </w:tcPr>
                <w:p>
                  <w:pPr>
                    <w:adjustRightInd w:val="0"/>
                    <w:snapToGrid w:val="0"/>
                    <w:spacing w:line="240" w:lineRule="exact"/>
                    <w:jc w:val="center"/>
                    <w:rPr>
                      <w:spacing w:val="-10"/>
                      <w:szCs w:val="21"/>
                    </w:rPr>
                  </w:pPr>
                  <w:r>
                    <w:rPr>
                      <w:rFonts w:hint="eastAsia"/>
                      <w:spacing w:val="-10"/>
                      <w:szCs w:val="21"/>
                    </w:rPr>
                    <w:t>1000</w:t>
                  </w:r>
                </w:p>
              </w:tc>
              <w:tc>
                <w:tcPr>
                  <w:tcW w:w="311" w:type="pct"/>
                  <w:vAlign w:val="center"/>
                </w:tcPr>
                <w:p>
                  <w:pPr>
                    <w:adjustRightInd w:val="0"/>
                    <w:snapToGrid w:val="0"/>
                    <w:spacing w:line="240" w:lineRule="exact"/>
                    <w:jc w:val="center"/>
                    <w:rPr>
                      <w:spacing w:val="-10"/>
                      <w:szCs w:val="21"/>
                    </w:rPr>
                  </w:pPr>
                  <w:r>
                    <w:rPr>
                      <w:rFonts w:hint="eastAsia"/>
                      <w:spacing w:val="-10"/>
                      <w:szCs w:val="21"/>
                    </w:rPr>
                    <w:t>25</w:t>
                  </w:r>
                </w:p>
              </w:tc>
              <w:tc>
                <w:tcPr>
                  <w:tcW w:w="347" w:type="pct"/>
                  <w:vAlign w:val="center"/>
                </w:tcPr>
                <w:p>
                  <w:pPr>
                    <w:adjustRightInd w:val="0"/>
                    <w:snapToGrid w:val="0"/>
                    <w:spacing w:line="240" w:lineRule="exact"/>
                    <w:jc w:val="center"/>
                    <w:rPr>
                      <w:spacing w:val="-10"/>
                      <w:szCs w:val="21"/>
                    </w:rPr>
                  </w:pPr>
                  <w:r>
                    <w:rPr>
                      <w:rFonts w:hint="eastAsia"/>
                      <w:spacing w:val="-10"/>
                      <w:szCs w:val="21"/>
                    </w:rPr>
                    <w:t>0.09</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集气装置+自带布袋除尘器</w:t>
                  </w:r>
                </w:p>
              </w:tc>
              <w:tc>
                <w:tcPr>
                  <w:tcW w:w="297" w:type="pct"/>
                  <w:vMerge w:val="continue"/>
                  <w:vAlign w:val="center"/>
                </w:tcPr>
                <w:p>
                  <w:pPr>
                    <w:adjustRightInd w:val="0"/>
                    <w:snapToGrid w:val="0"/>
                    <w:spacing w:line="240" w:lineRule="exact"/>
                    <w:jc w:val="center"/>
                    <w:rPr>
                      <w:spacing w:val="-10"/>
                      <w:szCs w:val="21"/>
                    </w:rPr>
                  </w:pPr>
                </w:p>
              </w:tc>
              <w:tc>
                <w:tcPr>
                  <w:tcW w:w="334" w:type="pct"/>
                  <w:vMerge w:val="continue"/>
                  <w:vAlign w:val="center"/>
                </w:tcPr>
                <w:p>
                  <w:pPr>
                    <w:adjustRightInd w:val="0"/>
                    <w:snapToGrid w:val="0"/>
                    <w:spacing w:line="240" w:lineRule="exact"/>
                    <w:jc w:val="center"/>
                    <w:rPr>
                      <w:spacing w:val="-10"/>
                      <w:szCs w:val="21"/>
                    </w:rPr>
                  </w:pPr>
                </w:p>
              </w:tc>
              <w:tc>
                <w:tcPr>
                  <w:tcW w:w="343" w:type="pct"/>
                  <w:vMerge w:val="continue"/>
                  <w:vAlign w:val="center"/>
                </w:tcPr>
                <w:p>
                  <w:pPr>
                    <w:adjustRightInd w:val="0"/>
                    <w:snapToGrid w:val="0"/>
                    <w:spacing w:line="240" w:lineRule="exact"/>
                    <w:jc w:val="center"/>
                    <w:rPr>
                      <w:spacing w:val="-10"/>
                      <w:szCs w:val="21"/>
                    </w:rPr>
                  </w:pPr>
                </w:p>
              </w:tc>
              <w:tc>
                <w:tcPr>
                  <w:tcW w:w="301" w:type="pct"/>
                  <w:vMerge w:val="continue"/>
                  <w:vAlign w:val="center"/>
                </w:tcPr>
                <w:p>
                  <w:pPr>
                    <w:adjustRightInd w:val="0"/>
                    <w:snapToGrid w:val="0"/>
                    <w:spacing w:line="240" w:lineRule="exact"/>
                    <w:jc w:val="center"/>
                    <w:rPr>
                      <w:spacing w:val="-10"/>
                      <w:szCs w:val="21"/>
                    </w:rPr>
                  </w:pPr>
                </w:p>
              </w:tc>
              <w:tc>
                <w:tcPr>
                  <w:tcW w:w="256" w:type="pct"/>
                  <w:vMerge w:val="continue"/>
                  <w:vAlign w:val="center"/>
                </w:tcPr>
                <w:p>
                  <w:pPr>
                    <w:adjustRightInd w:val="0"/>
                    <w:snapToGrid w:val="0"/>
                    <w:spacing w:line="240" w:lineRule="exact"/>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Align w:val="center"/>
                </w:tcPr>
                <w:p>
                  <w:pPr>
                    <w:adjustRightInd w:val="0"/>
                    <w:snapToGrid w:val="0"/>
                    <w:spacing w:line="240" w:lineRule="exact"/>
                    <w:jc w:val="center"/>
                    <w:rPr>
                      <w:spacing w:val="-10"/>
                      <w:szCs w:val="21"/>
                    </w:rPr>
                  </w:pPr>
                  <w:r>
                    <w:rPr>
                      <w:rFonts w:hint="eastAsia"/>
                      <w:spacing w:val="-10"/>
                      <w:szCs w:val="21"/>
                    </w:rPr>
                    <w:t>DA002</w:t>
                  </w:r>
                </w:p>
              </w:tc>
              <w:tc>
                <w:tcPr>
                  <w:tcW w:w="333" w:type="pct"/>
                  <w:vAlign w:val="center"/>
                </w:tcPr>
                <w:p>
                  <w:pPr>
                    <w:adjustRightInd w:val="0"/>
                    <w:snapToGrid w:val="0"/>
                    <w:spacing w:line="240" w:lineRule="exact"/>
                    <w:jc w:val="center"/>
                    <w:rPr>
                      <w:spacing w:val="-10"/>
                      <w:szCs w:val="21"/>
                    </w:rPr>
                  </w:pPr>
                  <w:r>
                    <w:rPr>
                      <w:rFonts w:hint="eastAsia"/>
                      <w:spacing w:val="-10"/>
                      <w:szCs w:val="21"/>
                    </w:rPr>
                    <w:t>颗粒物</w:t>
                  </w:r>
                </w:p>
              </w:tc>
              <w:tc>
                <w:tcPr>
                  <w:tcW w:w="283" w:type="pct"/>
                  <w:vAlign w:val="center"/>
                </w:tcPr>
                <w:p>
                  <w:pPr>
                    <w:adjustRightInd w:val="0"/>
                    <w:snapToGrid w:val="0"/>
                    <w:spacing w:line="240" w:lineRule="exact"/>
                    <w:jc w:val="center"/>
                    <w:rPr>
                      <w:spacing w:val="-10"/>
                      <w:szCs w:val="21"/>
                    </w:rPr>
                  </w:pPr>
                  <w:r>
                    <w:rPr>
                      <w:rFonts w:hint="eastAsia"/>
                      <w:spacing w:val="-23"/>
                      <w:szCs w:val="21"/>
                    </w:rPr>
                    <w:t>产污系数法</w:t>
                  </w:r>
                </w:p>
              </w:tc>
              <w:tc>
                <w:tcPr>
                  <w:tcW w:w="744" w:type="pct"/>
                  <w:gridSpan w:val="2"/>
                  <w:vAlign w:val="center"/>
                </w:tcPr>
                <w:p>
                  <w:pPr>
                    <w:adjustRightInd w:val="0"/>
                    <w:snapToGrid w:val="0"/>
                    <w:spacing w:line="240" w:lineRule="exact"/>
                    <w:jc w:val="center"/>
                    <w:rPr>
                      <w:spacing w:val="-10"/>
                      <w:szCs w:val="21"/>
                    </w:rPr>
                  </w:pPr>
                  <w:r>
                    <w:rPr>
                      <w:rFonts w:hint="eastAsia"/>
                      <w:spacing w:val="-10"/>
                      <w:szCs w:val="21"/>
                    </w:rPr>
                    <w:t>10000</w:t>
                  </w:r>
                </w:p>
              </w:tc>
              <w:tc>
                <w:tcPr>
                  <w:tcW w:w="311" w:type="pct"/>
                  <w:vAlign w:val="center"/>
                </w:tcPr>
                <w:p>
                  <w:pPr>
                    <w:adjustRightInd w:val="0"/>
                    <w:snapToGrid w:val="0"/>
                    <w:spacing w:line="240" w:lineRule="exact"/>
                    <w:jc w:val="center"/>
                    <w:rPr>
                      <w:spacing w:val="-10"/>
                      <w:szCs w:val="21"/>
                    </w:rPr>
                  </w:pPr>
                  <w:r>
                    <w:rPr>
                      <w:rFonts w:hint="eastAsia"/>
                      <w:spacing w:val="-10"/>
                      <w:szCs w:val="21"/>
                    </w:rPr>
                    <w:t>197.9</w:t>
                  </w:r>
                </w:p>
              </w:tc>
              <w:tc>
                <w:tcPr>
                  <w:tcW w:w="347" w:type="pct"/>
                  <w:vAlign w:val="center"/>
                </w:tcPr>
                <w:p>
                  <w:pPr>
                    <w:adjustRightInd w:val="0"/>
                    <w:snapToGrid w:val="0"/>
                    <w:spacing w:line="240" w:lineRule="exact"/>
                    <w:jc w:val="center"/>
                    <w:rPr>
                      <w:spacing w:val="-10"/>
                      <w:szCs w:val="21"/>
                    </w:rPr>
                  </w:pPr>
                  <w:r>
                    <w:rPr>
                      <w:rFonts w:hint="eastAsia"/>
                      <w:spacing w:val="-10"/>
                      <w:szCs w:val="21"/>
                    </w:rPr>
                    <w:t>7.125</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集气装置+旋风除尘器+滤筒除尘器</w:t>
                  </w:r>
                </w:p>
              </w:tc>
              <w:tc>
                <w:tcPr>
                  <w:tcW w:w="297" w:type="pct"/>
                  <w:vAlign w:val="center"/>
                </w:tcPr>
                <w:p>
                  <w:pPr>
                    <w:adjustRightInd w:val="0"/>
                    <w:snapToGrid w:val="0"/>
                    <w:spacing w:line="240" w:lineRule="exact"/>
                    <w:jc w:val="center"/>
                    <w:rPr>
                      <w:spacing w:val="-10"/>
                      <w:szCs w:val="21"/>
                    </w:rPr>
                  </w:pPr>
                  <w:r>
                    <w:rPr>
                      <w:rFonts w:hint="eastAsia"/>
                      <w:spacing w:val="-10"/>
                      <w:szCs w:val="21"/>
                    </w:rPr>
                    <w:t>1.98</w:t>
                  </w:r>
                </w:p>
              </w:tc>
              <w:tc>
                <w:tcPr>
                  <w:tcW w:w="334" w:type="pct"/>
                  <w:vAlign w:val="center"/>
                </w:tcPr>
                <w:p>
                  <w:pPr>
                    <w:adjustRightInd w:val="0"/>
                    <w:snapToGrid w:val="0"/>
                    <w:spacing w:line="240" w:lineRule="exact"/>
                    <w:jc w:val="center"/>
                    <w:rPr>
                      <w:spacing w:val="-10"/>
                      <w:szCs w:val="21"/>
                    </w:rPr>
                  </w:pPr>
                  <w:r>
                    <w:rPr>
                      <w:rFonts w:hint="eastAsia"/>
                      <w:spacing w:val="-10"/>
                      <w:szCs w:val="21"/>
                    </w:rPr>
                    <w:t>0.0198</w:t>
                  </w:r>
                </w:p>
              </w:tc>
              <w:tc>
                <w:tcPr>
                  <w:tcW w:w="343" w:type="pct"/>
                  <w:vAlign w:val="center"/>
                </w:tcPr>
                <w:p>
                  <w:pPr>
                    <w:adjustRightInd w:val="0"/>
                    <w:snapToGrid w:val="0"/>
                    <w:spacing w:line="240" w:lineRule="exact"/>
                    <w:jc w:val="center"/>
                    <w:rPr>
                      <w:spacing w:val="-10"/>
                      <w:szCs w:val="21"/>
                    </w:rPr>
                  </w:pPr>
                  <w:r>
                    <w:rPr>
                      <w:rFonts w:hint="eastAsia"/>
                      <w:spacing w:val="-10"/>
                      <w:szCs w:val="21"/>
                    </w:rPr>
                    <w:t>0.07125</w:t>
                  </w:r>
                </w:p>
              </w:tc>
              <w:tc>
                <w:tcPr>
                  <w:tcW w:w="301" w:type="pct"/>
                  <w:vAlign w:val="center"/>
                </w:tcPr>
                <w:p>
                  <w:pPr>
                    <w:adjustRightInd w:val="0"/>
                    <w:snapToGrid w:val="0"/>
                    <w:spacing w:line="240" w:lineRule="exact"/>
                    <w:jc w:val="center"/>
                    <w:rPr>
                      <w:spacing w:val="-10"/>
                      <w:szCs w:val="21"/>
                    </w:rPr>
                  </w:pPr>
                  <w:r>
                    <w:rPr>
                      <w:rFonts w:hint="eastAsia"/>
                      <w:spacing w:val="-10"/>
                      <w:szCs w:val="21"/>
                    </w:rPr>
                    <w:t>18</w:t>
                  </w:r>
                </w:p>
              </w:tc>
              <w:tc>
                <w:tcPr>
                  <w:tcW w:w="256" w:type="pct"/>
                  <w:vAlign w:val="center"/>
                </w:tcPr>
                <w:p>
                  <w:pPr>
                    <w:adjustRightInd w:val="0"/>
                    <w:snapToGrid w:val="0"/>
                    <w:spacing w:line="240" w:lineRule="exact"/>
                    <w:jc w:val="center"/>
                    <w:rPr>
                      <w:spacing w:val="-10"/>
                      <w:szCs w:val="21"/>
                    </w:rPr>
                  </w:pPr>
                  <w:r>
                    <w:rPr>
                      <w:rFonts w:hint="eastAsia"/>
                      <w:spacing w:val="-10"/>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25" w:type="pct"/>
                  <w:vMerge w:val="restart"/>
                  <w:vAlign w:val="center"/>
                </w:tcPr>
                <w:p>
                  <w:pPr>
                    <w:adjustRightInd w:val="0"/>
                    <w:snapToGrid w:val="0"/>
                    <w:spacing w:line="240" w:lineRule="exact"/>
                    <w:jc w:val="center"/>
                    <w:rPr>
                      <w:spacing w:val="-10"/>
                      <w:szCs w:val="21"/>
                    </w:rPr>
                  </w:pPr>
                  <w:r>
                    <w:rPr>
                      <w:rFonts w:hint="eastAsia"/>
                      <w:spacing w:val="-10"/>
                      <w:szCs w:val="21"/>
                    </w:rPr>
                    <w:t>DA003</w:t>
                  </w:r>
                </w:p>
              </w:tc>
              <w:tc>
                <w:tcPr>
                  <w:tcW w:w="248" w:type="pct"/>
                  <w:vMerge w:val="restart"/>
                  <w:vAlign w:val="center"/>
                </w:tcPr>
                <w:p>
                  <w:pPr>
                    <w:adjustRightInd w:val="0"/>
                    <w:snapToGrid w:val="0"/>
                    <w:spacing w:line="240" w:lineRule="exact"/>
                    <w:jc w:val="center"/>
                    <w:rPr>
                      <w:spacing w:val="-10"/>
                      <w:szCs w:val="21"/>
                    </w:rPr>
                  </w:pPr>
                  <w:r>
                    <w:rPr>
                      <w:rFonts w:hint="eastAsia"/>
                      <w:spacing w:val="-10"/>
                      <w:szCs w:val="21"/>
                    </w:rPr>
                    <w:t>吸附</w:t>
                  </w:r>
                </w:p>
              </w:tc>
              <w:tc>
                <w:tcPr>
                  <w:tcW w:w="333" w:type="pct"/>
                  <w:vAlign w:val="center"/>
                </w:tcPr>
                <w:p>
                  <w:pPr>
                    <w:adjustRightInd w:val="0"/>
                    <w:snapToGrid w:val="0"/>
                    <w:spacing w:line="240" w:lineRule="exact"/>
                    <w:jc w:val="center"/>
                    <w:rPr>
                      <w:spacing w:val="-10"/>
                      <w:szCs w:val="21"/>
                    </w:rPr>
                  </w:pPr>
                  <w:r>
                    <w:rPr>
                      <w:rFonts w:hint="eastAsia"/>
                      <w:spacing w:val="-10"/>
                      <w:szCs w:val="21"/>
                    </w:rPr>
                    <w:t>非甲烷总烃</w:t>
                  </w:r>
                </w:p>
              </w:tc>
              <w:tc>
                <w:tcPr>
                  <w:tcW w:w="283" w:type="pct"/>
                  <w:vMerge w:val="restart"/>
                  <w:vAlign w:val="center"/>
                </w:tcPr>
                <w:p>
                  <w:pPr>
                    <w:adjustRightInd w:val="0"/>
                    <w:snapToGrid w:val="0"/>
                    <w:spacing w:line="240" w:lineRule="exact"/>
                    <w:jc w:val="center"/>
                    <w:rPr>
                      <w:spacing w:val="-10"/>
                      <w:szCs w:val="21"/>
                    </w:rPr>
                  </w:pPr>
                  <w:r>
                    <w:rPr>
                      <w:rFonts w:hint="eastAsia"/>
                      <w:spacing w:val="-10"/>
                      <w:szCs w:val="21"/>
                    </w:rPr>
                    <w:t>产污系数法</w:t>
                  </w:r>
                </w:p>
              </w:tc>
              <w:tc>
                <w:tcPr>
                  <w:tcW w:w="744" w:type="pct"/>
                  <w:gridSpan w:val="2"/>
                  <w:vMerge w:val="restart"/>
                  <w:vAlign w:val="center"/>
                </w:tcPr>
                <w:p>
                  <w:pPr>
                    <w:adjustRightInd w:val="0"/>
                    <w:snapToGrid w:val="0"/>
                    <w:spacing w:line="240" w:lineRule="exact"/>
                    <w:jc w:val="center"/>
                    <w:rPr>
                      <w:spacing w:val="-10"/>
                      <w:szCs w:val="21"/>
                    </w:rPr>
                  </w:pPr>
                  <w:r>
                    <w:rPr>
                      <w:rFonts w:hint="eastAsia"/>
                      <w:spacing w:val="-10"/>
                      <w:szCs w:val="21"/>
                    </w:rPr>
                    <w:t>10000</w:t>
                  </w:r>
                </w:p>
              </w:tc>
              <w:tc>
                <w:tcPr>
                  <w:tcW w:w="311" w:type="pct"/>
                  <w:vAlign w:val="center"/>
                </w:tcPr>
                <w:p>
                  <w:pPr>
                    <w:adjustRightInd w:val="0"/>
                    <w:snapToGrid w:val="0"/>
                    <w:spacing w:line="240" w:lineRule="exact"/>
                    <w:jc w:val="center"/>
                    <w:rPr>
                      <w:spacing w:val="-10"/>
                      <w:szCs w:val="21"/>
                    </w:rPr>
                  </w:pPr>
                  <w:r>
                    <w:rPr>
                      <w:rFonts w:hint="eastAsia"/>
                      <w:spacing w:val="-10"/>
                      <w:szCs w:val="21"/>
                    </w:rPr>
                    <w:t>0.75</w:t>
                  </w:r>
                </w:p>
              </w:tc>
              <w:tc>
                <w:tcPr>
                  <w:tcW w:w="347" w:type="pct"/>
                  <w:vAlign w:val="center"/>
                </w:tcPr>
                <w:p>
                  <w:pPr>
                    <w:adjustRightInd w:val="0"/>
                    <w:snapToGrid w:val="0"/>
                    <w:spacing w:line="240" w:lineRule="exact"/>
                    <w:jc w:val="center"/>
                    <w:rPr>
                      <w:spacing w:val="-10"/>
                      <w:szCs w:val="21"/>
                    </w:rPr>
                  </w:pPr>
                  <w:r>
                    <w:rPr>
                      <w:rFonts w:hint="eastAsia"/>
                      <w:spacing w:val="-10"/>
                      <w:szCs w:val="21"/>
                    </w:rPr>
                    <w:t>0.027</w:t>
                  </w:r>
                </w:p>
              </w:tc>
              <w:tc>
                <w:tcPr>
                  <w:tcW w:w="525" w:type="pct"/>
                  <w:vAlign w:val="center"/>
                </w:tcPr>
                <w:p>
                  <w:pPr>
                    <w:adjustRightInd w:val="0"/>
                    <w:snapToGrid w:val="0"/>
                    <w:spacing w:line="240" w:lineRule="exact"/>
                    <w:jc w:val="center"/>
                    <w:rPr>
                      <w:spacing w:val="-10"/>
                      <w:szCs w:val="21"/>
                    </w:rPr>
                  </w:pPr>
                  <w:r>
                    <w:rPr>
                      <w:rFonts w:hint="eastAsia"/>
                      <w:spacing w:val="-10"/>
                      <w:szCs w:val="21"/>
                    </w:rPr>
                    <w:t>集气装置</w:t>
                  </w:r>
                </w:p>
              </w:tc>
              <w:tc>
                <w:tcPr>
                  <w:tcW w:w="446" w:type="pct"/>
                  <w:vMerge w:val="restart"/>
                  <w:vAlign w:val="center"/>
                </w:tcPr>
                <w:p>
                  <w:pPr>
                    <w:adjustRightInd w:val="0"/>
                    <w:snapToGrid w:val="0"/>
                    <w:spacing w:line="240" w:lineRule="exact"/>
                    <w:jc w:val="center"/>
                    <w:rPr>
                      <w:spacing w:val="-10"/>
                      <w:szCs w:val="21"/>
                    </w:rPr>
                  </w:pPr>
                  <w:r>
                    <w:rPr>
                      <w:rFonts w:hint="eastAsia"/>
                      <w:szCs w:val="21"/>
                    </w:rPr>
                    <w:t>+干式过滤棉+活性炭吸附-脱附催化燃烧装置</w:t>
                  </w:r>
                </w:p>
              </w:tc>
              <w:tc>
                <w:tcPr>
                  <w:tcW w:w="297" w:type="pct"/>
                  <w:vAlign w:val="center"/>
                </w:tcPr>
                <w:p>
                  <w:pPr>
                    <w:adjustRightInd w:val="0"/>
                    <w:snapToGrid w:val="0"/>
                    <w:spacing w:line="240" w:lineRule="exact"/>
                    <w:jc w:val="center"/>
                    <w:rPr>
                      <w:spacing w:val="-10"/>
                      <w:szCs w:val="21"/>
                    </w:rPr>
                  </w:pPr>
                  <w:r>
                    <w:rPr>
                      <w:rFonts w:hint="eastAsia"/>
                      <w:spacing w:val="-10"/>
                      <w:szCs w:val="21"/>
                    </w:rPr>
                    <w:t>0.075</w:t>
                  </w:r>
                </w:p>
              </w:tc>
              <w:tc>
                <w:tcPr>
                  <w:tcW w:w="334" w:type="pct"/>
                  <w:vAlign w:val="center"/>
                </w:tcPr>
                <w:p>
                  <w:pPr>
                    <w:adjustRightInd w:val="0"/>
                    <w:snapToGrid w:val="0"/>
                    <w:spacing w:line="240" w:lineRule="exact"/>
                    <w:jc w:val="center"/>
                    <w:rPr>
                      <w:spacing w:val="-10"/>
                      <w:szCs w:val="21"/>
                    </w:rPr>
                  </w:pPr>
                  <w:r>
                    <w:rPr>
                      <w:rFonts w:hint="eastAsia"/>
                      <w:spacing w:val="-10"/>
                      <w:szCs w:val="21"/>
                    </w:rPr>
                    <w:t>0.00075</w:t>
                  </w:r>
                </w:p>
              </w:tc>
              <w:tc>
                <w:tcPr>
                  <w:tcW w:w="343" w:type="pct"/>
                  <w:vAlign w:val="center"/>
                </w:tcPr>
                <w:p>
                  <w:pPr>
                    <w:adjustRightInd w:val="0"/>
                    <w:snapToGrid w:val="0"/>
                    <w:spacing w:line="240" w:lineRule="exact"/>
                    <w:jc w:val="center"/>
                    <w:rPr>
                      <w:spacing w:val="-10"/>
                      <w:szCs w:val="21"/>
                    </w:rPr>
                  </w:pPr>
                  <w:r>
                    <w:rPr>
                      <w:rFonts w:hint="eastAsia"/>
                      <w:spacing w:val="-10"/>
                      <w:szCs w:val="21"/>
                    </w:rPr>
                    <w:t>0.0027</w:t>
                  </w:r>
                </w:p>
              </w:tc>
              <w:tc>
                <w:tcPr>
                  <w:tcW w:w="301" w:type="pct"/>
                  <w:vAlign w:val="center"/>
                </w:tcPr>
                <w:p>
                  <w:pPr>
                    <w:adjustRightInd w:val="0"/>
                    <w:snapToGrid w:val="0"/>
                    <w:spacing w:line="240" w:lineRule="exact"/>
                    <w:jc w:val="center"/>
                    <w:rPr>
                      <w:spacing w:val="-10"/>
                      <w:szCs w:val="21"/>
                    </w:rPr>
                  </w:pPr>
                  <w:r>
                    <w:rPr>
                      <w:rFonts w:hint="eastAsia"/>
                      <w:spacing w:val="-10"/>
                      <w:szCs w:val="21"/>
                    </w:rPr>
                    <w:t>60</w:t>
                  </w:r>
                </w:p>
              </w:tc>
              <w:tc>
                <w:tcPr>
                  <w:tcW w:w="256" w:type="pct"/>
                  <w:vAlign w:val="center"/>
                </w:tcPr>
                <w:p>
                  <w:pPr>
                    <w:adjustRightInd w:val="0"/>
                    <w:snapToGrid w:val="0"/>
                    <w:spacing w:line="240" w:lineRule="exact"/>
                    <w:jc w:val="center"/>
                    <w:rPr>
                      <w:spacing w:val="-10"/>
                      <w:szCs w:val="21"/>
                    </w:rPr>
                  </w:pPr>
                  <w:r>
                    <w:rPr>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25" w:type="pct"/>
                  <w:vMerge w:val="continue"/>
                  <w:vAlign w:val="center"/>
                </w:tcPr>
                <w:p>
                  <w:pPr>
                    <w:adjustRightInd w:val="0"/>
                    <w:snapToGrid w:val="0"/>
                    <w:spacing w:line="240" w:lineRule="exact"/>
                    <w:jc w:val="center"/>
                    <w:rPr>
                      <w:spacing w:val="-10"/>
                      <w:szCs w:val="21"/>
                    </w:rPr>
                  </w:pPr>
                </w:p>
              </w:tc>
              <w:tc>
                <w:tcPr>
                  <w:tcW w:w="248" w:type="pct"/>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颗粒物</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Align w:val="center"/>
                </w:tcPr>
                <w:p>
                  <w:pPr>
                    <w:adjustRightInd w:val="0"/>
                    <w:snapToGrid w:val="0"/>
                    <w:spacing w:line="240" w:lineRule="exact"/>
                    <w:jc w:val="center"/>
                    <w:rPr>
                      <w:spacing w:val="-10"/>
                      <w:szCs w:val="21"/>
                    </w:rPr>
                  </w:pPr>
                  <w:r>
                    <w:rPr>
                      <w:rFonts w:hint="eastAsia"/>
                      <w:spacing w:val="-10"/>
                      <w:szCs w:val="21"/>
                    </w:rPr>
                    <w:t>1.36</w:t>
                  </w:r>
                </w:p>
              </w:tc>
              <w:tc>
                <w:tcPr>
                  <w:tcW w:w="347" w:type="pct"/>
                  <w:vAlign w:val="center"/>
                </w:tcPr>
                <w:p>
                  <w:pPr>
                    <w:adjustRightInd w:val="0"/>
                    <w:snapToGrid w:val="0"/>
                    <w:spacing w:line="240" w:lineRule="exact"/>
                    <w:jc w:val="center"/>
                    <w:rPr>
                      <w:spacing w:val="-10"/>
                      <w:szCs w:val="21"/>
                    </w:rPr>
                  </w:pPr>
                  <w:r>
                    <w:rPr>
                      <w:rFonts w:hint="eastAsia"/>
                      <w:spacing w:val="-10"/>
                      <w:szCs w:val="21"/>
                    </w:rPr>
                    <w:t>0.0489</w:t>
                  </w:r>
                </w:p>
              </w:tc>
              <w:tc>
                <w:tcPr>
                  <w:tcW w:w="525" w:type="pct"/>
                  <w:vMerge w:val="restart"/>
                  <w:vAlign w:val="center"/>
                </w:tcPr>
                <w:p>
                  <w:pPr>
                    <w:adjustRightInd w:val="0"/>
                    <w:snapToGrid w:val="0"/>
                    <w:spacing w:line="240" w:lineRule="exact"/>
                    <w:jc w:val="center"/>
                    <w:rPr>
                      <w:spacing w:val="-10"/>
                      <w:szCs w:val="21"/>
                    </w:rPr>
                  </w:pPr>
                  <w:r>
                    <w:rPr>
                      <w:rFonts w:hint="eastAsia"/>
                      <w:spacing w:val="-10"/>
                      <w:szCs w:val="21"/>
                    </w:rPr>
                    <w:t>燃烧器设低氮燃烧器，集气装置</w:t>
                  </w:r>
                </w:p>
              </w:tc>
              <w:tc>
                <w:tcPr>
                  <w:tcW w:w="446" w:type="pct"/>
                  <w:vMerge w:val="continue"/>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r>
                    <w:rPr>
                      <w:rFonts w:hint="eastAsia"/>
                      <w:spacing w:val="-10"/>
                      <w:szCs w:val="21"/>
                    </w:rPr>
                    <w:t>1.36</w:t>
                  </w:r>
                </w:p>
              </w:tc>
              <w:tc>
                <w:tcPr>
                  <w:tcW w:w="334" w:type="pct"/>
                  <w:vAlign w:val="center"/>
                </w:tcPr>
                <w:p>
                  <w:pPr>
                    <w:adjustRightInd w:val="0"/>
                    <w:snapToGrid w:val="0"/>
                    <w:spacing w:line="240" w:lineRule="exact"/>
                    <w:jc w:val="center"/>
                    <w:rPr>
                      <w:spacing w:val="-10"/>
                      <w:szCs w:val="21"/>
                    </w:rPr>
                  </w:pPr>
                  <w:r>
                    <w:rPr>
                      <w:rFonts w:hint="eastAsia"/>
                      <w:spacing w:val="-10"/>
                      <w:szCs w:val="21"/>
                    </w:rPr>
                    <w:t>0.0136</w:t>
                  </w:r>
                </w:p>
              </w:tc>
              <w:tc>
                <w:tcPr>
                  <w:tcW w:w="343" w:type="pct"/>
                  <w:vAlign w:val="center"/>
                </w:tcPr>
                <w:p>
                  <w:pPr>
                    <w:adjustRightInd w:val="0"/>
                    <w:snapToGrid w:val="0"/>
                    <w:spacing w:line="240" w:lineRule="exact"/>
                    <w:jc w:val="center"/>
                    <w:rPr>
                      <w:spacing w:val="-10"/>
                      <w:szCs w:val="21"/>
                    </w:rPr>
                  </w:pPr>
                  <w:r>
                    <w:rPr>
                      <w:rFonts w:hint="eastAsia"/>
                      <w:spacing w:val="-10"/>
                      <w:szCs w:val="21"/>
                    </w:rPr>
                    <w:t>0.0489</w:t>
                  </w:r>
                </w:p>
              </w:tc>
              <w:tc>
                <w:tcPr>
                  <w:tcW w:w="301" w:type="pct"/>
                  <w:vAlign w:val="center"/>
                </w:tcPr>
                <w:p>
                  <w:pPr>
                    <w:adjustRightInd w:val="0"/>
                    <w:snapToGrid w:val="0"/>
                    <w:spacing w:line="240" w:lineRule="exact"/>
                    <w:jc w:val="center"/>
                    <w:rPr>
                      <w:spacing w:val="-10"/>
                      <w:szCs w:val="21"/>
                    </w:rPr>
                  </w:pPr>
                  <w:r>
                    <w:rPr>
                      <w:rFonts w:hint="eastAsia"/>
                      <w:spacing w:val="-10"/>
                      <w:szCs w:val="21"/>
                    </w:rPr>
                    <w:t>30</w:t>
                  </w:r>
                </w:p>
              </w:tc>
              <w:tc>
                <w:tcPr>
                  <w:tcW w:w="256" w:type="pct"/>
                  <w:vAlign w:val="center"/>
                </w:tcPr>
                <w:p>
                  <w:pPr>
                    <w:adjustRightInd w:val="0"/>
                    <w:snapToGrid w:val="0"/>
                    <w:spacing w:line="240" w:lineRule="exact"/>
                    <w:jc w:val="center"/>
                    <w:rPr>
                      <w:spacing w:val="-10"/>
                      <w:szCs w:val="21"/>
                    </w:rPr>
                  </w:pPr>
                  <w:r>
                    <w:rPr>
                      <w:rFonts w:hint="eastAsia"/>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8" w:hRule="atLeast"/>
                <w:jc w:val="center"/>
              </w:trPr>
              <w:tc>
                <w:tcPr>
                  <w:tcW w:w="225" w:type="pct"/>
                  <w:vMerge w:val="continue"/>
                  <w:vAlign w:val="center"/>
                </w:tcPr>
                <w:p>
                  <w:pPr>
                    <w:adjustRightInd w:val="0"/>
                    <w:snapToGrid w:val="0"/>
                    <w:spacing w:line="240" w:lineRule="exact"/>
                    <w:jc w:val="center"/>
                    <w:rPr>
                      <w:spacing w:val="-10"/>
                      <w:szCs w:val="21"/>
                    </w:rPr>
                  </w:pPr>
                </w:p>
              </w:tc>
              <w:tc>
                <w:tcPr>
                  <w:tcW w:w="248" w:type="pct"/>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SO</w:t>
                  </w:r>
                  <w:r>
                    <w:rPr>
                      <w:rFonts w:hint="eastAsia"/>
                      <w:spacing w:val="-10"/>
                      <w:szCs w:val="21"/>
                      <w:vertAlign w:val="subscript"/>
                    </w:rPr>
                    <w:t>2</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Align w:val="center"/>
                </w:tcPr>
                <w:p>
                  <w:pPr>
                    <w:adjustRightInd w:val="0"/>
                    <w:snapToGrid w:val="0"/>
                    <w:spacing w:line="240" w:lineRule="exact"/>
                    <w:jc w:val="center"/>
                    <w:rPr>
                      <w:spacing w:val="-10"/>
                      <w:szCs w:val="21"/>
                    </w:rPr>
                  </w:pPr>
                  <w:r>
                    <w:rPr>
                      <w:rFonts w:hint="eastAsia"/>
                      <w:spacing w:val="-10"/>
                      <w:szCs w:val="21"/>
                    </w:rPr>
                    <w:t>0.19</w:t>
                  </w:r>
                </w:p>
              </w:tc>
              <w:tc>
                <w:tcPr>
                  <w:tcW w:w="347" w:type="pct"/>
                  <w:vAlign w:val="center"/>
                </w:tcPr>
                <w:p>
                  <w:pPr>
                    <w:adjustRightInd w:val="0"/>
                    <w:snapToGrid w:val="0"/>
                    <w:spacing w:line="240" w:lineRule="exact"/>
                    <w:jc w:val="center"/>
                    <w:rPr>
                      <w:spacing w:val="-10"/>
                      <w:szCs w:val="21"/>
                    </w:rPr>
                  </w:pPr>
                  <w:r>
                    <w:rPr>
                      <w:rFonts w:hint="eastAsia"/>
                      <w:spacing w:val="-10"/>
                      <w:szCs w:val="21"/>
                    </w:rPr>
                    <w:t>0.00684</w:t>
                  </w:r>
                </w:p>
              </w:tc>
              <w:tc>
                <w:tcPr>
                  <w:tcW w:w="525" w:type="pct"/>
                  <w:vMerge w:val="continue"/>
                  <w:vAlign w:val="center"/>
                </w:tcPr>
                <w:p>
                  <w:pPr>
                    <w:adjustRightInd w:val="0"/>
                    <w:snapToGrid w:val="0"/>
                    <w:spacing w:line="240" w:lineRule="exact"/>
                    <w:jc w:val="center"/>
                    <w:rPr>
                      <w:spacing w:val="-10"/>
                      <w:szCs w:val="21"/>
                    </w:rPr>
                  </w:pPr>
                </w:p>
              </w:tc>
              <w:tc>
                <w:tcPr>
                  <w:tcW w:w="446" w:type="pct"/>
                  <w:vMerge w:val="continue"/>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r>
                    <w:rPr>
                      <w:rFonts w:hint="eastAsia"/>
                      <w:spacing w:val="-10"/>
                      <w:szCs w:val="21"/>
                    </w:rPr>
                    <w:t>0.19</w:t>
                  </w:r>
                </w:p>
              </w:tc>
              <w:tc>
                <w:tcPr>
                  <w:tcW w:w="334" w:type="pct"/>
                  <w:vAlign w:val="center"/>
                </w:tcPr>
                <w:p>
                  <w:pPr>
                    <w:adjustRightInd w:val="0"/>
                    <w:snapToGrid w:val="0"/>
                    <w:spacing w:line="240" w:lineRule="exact"/>
                    <w:jc w:val="center"/>
                    <w:rPr>
                      <w:spacing w:val="-10"/>
                      <w:szCs w:val="21"/>
                    </w:rPr>
                  </w:pPr>
                  <w:r>
                    <w:rPr>
                      <w:rFonts w:hint="eastAsia"/>
                      <w:spacing w:val="-10"/>
                      <w:szCs w:val="21"/>
                    </w:rPr>
                    <w:t>0.0019</w:t>
                  </w:r>
                </w:p>
              </w:tc>
              <w:tc>
                <w:tcPr>
                  <w:tcW w:w="343" w:type="pct"/>
                  <w:vAlign w:val="center"/>
                </w:tcPr>
                <w:p>
                  <w:pPr>
                    <w:adjustRightInd w:val="0"/>
                    <w:snapToGrid w:val="0"/>
                    <w:spacing w:line="240" w:lineRule="exact"/>
                    <w:jc w:val="center"/>
                    <w:rPr>
                      <w:spacing w:val="-10"/>
                      <w:szCs w:val="21"/>
                    </w:rPr>
                  </w:pPr>
                  <w:r>
                    <w:rPr>
                      <w:rFonts w:hint="eastAsia"/>
                      <w:spacing w:val="-10"/>
                      <w:szCs w:val="21"/>
                    </w:rPr>
                    <w:t>0.00684</w:t>
                  </w:r>
                </w:p>
              </w:tc>
              <w:tc>
                <w:tcPr>
                  <w:tcW w:w="301" w:type="pct"/>
                  <w:vAlign w:val="center"/>
                </w:tcPr>
                <w:p>
                  <w:pPr>
                    <w:adjustRightInd w:val="0"/>
                    <w:snapToGrid w:val="0"/>
                    <w:spacing w:line="240" w:lineRule="exact"/>
                    <w:jc w:val="center"/>
                    <w:rPr>
                      <w:spacing w:val="-10"/>
                      <w:szCs w:val="21"/>
                    </w:rPr>
                  </w:pPr>
                  <w:r>
                    <w:rPr>
                      <w:rFonts w:hint="eastAsia"/>
                      <w:spacing w:val="-10"/>
                      <w:szCs w:val="21"/>
                    </w:rPr>
                    <w:t>50</w:t>
                  </w:r>
                </w:p>
              </w:tc>
              <w:tc>
                <w:tcPr>
                  <w:tcW w:w="256" w:type="pct"/>
                  <w:vAlign w:val="center"/>
                </w:tcPr>
                <w:p>
                  <w:pPr>
                    <w:adjustRightInd w:val="0"/>
                    <w:snapToGrid w:val="0"/>
                    <w:spacing w:line="240" w:lineRule="exact"/>
                    <w:jc w:val="center"/>
                    <w:rPr>
                      <w:spacing w:val="-10"/>
                      <w:szCs w:val="21"/>
                    </w:rPr>
                  </w:pPr>
                  <w:r>
                    <w:rPr>
                      <w:rFonts w:hint="eastAsia"/>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225" w:type="pct"/>
                  <w:vMerge w:val="continue"/>
                  <w:vAlign w:val="center"/>
                </w:tcPr>
                <w:p>
                  <w:pPr>
                    <w:adjustRightInd w:val="0"/>
                    <w:snapToGrid w:val="0"/>
                    <w:spacing w:line="240" w:lineRule="exact"/>
                    <w:jc w:val="center"/>
                    <w:rPr>
                      <w:spacing w:val="-10"/>
                      <w:szCs w:val="21"/>
                    </w:rPr>
                  </w:pPr>
                </w:p>
              </w:tc>
              <w:tc>
                <w:tcPr>
                  <w:tcW w:w="248" w:type="pct"/>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NO</w:t>
                  </w:r>
                  <w:r>
                    <w:rPr>
                      <w:rFonts w:hint="eastAsia"/>
                      <w:spacing w:val="-10"/>
                      <w:szCs w:val="21"/>
                      <w:vertAlign w:val="subscript"/>
                    </w:rPr>
                    <w:t>X</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Align w:val="center"/>
                </w:tcPr>
                <w:p>
                  <w:pPr>
                    <w:adjustRightInd w:val="0"/>
                    <w:snapToGrid w:val="0"/>
                    <w:spacing w:line="240" w:lineRule="exact"/>
                    <w:jc w:val="center"/>
                    <w:rPr>
                      <w:spacing w:val="-10"/>
                      <w:szCs w:val="21"/>
                    </w:rPr>
                  </w:pPr>
                  <w:r>
                    <w:rPr>
                      <w:rFonts w:hint="eastAsia"/>
                      <w:spacing w:val="-10"/>
                      <w:szCs w:val="21"/>
                    </w:rPr>
                    <w:t>4.44</w:t>
                  </w:r>
                </w:p>
              </w:tc>
              <w:tc>
                <w:tcPr>
                  <w:tcW w:w="347" w:type="pct"/>
                  <w:vAlign w:val="center"/>
                </w:tcPr>
                <w:p>
                  <w:pPr>
                    <w:adjustRightInd w:val="0"/>
                    <w:snapToGrid w:val="0"/>
                    <w:spacing w:line="240" w:lineRule="exact"/>
                    <w:jc w:val="center"/>
                    <w:rPr>
                      <w:spacing w:val="-10"/>
                      <w:szCs w:val="21"/>
                    </w:rPr>
                  </w:pPr>
                  <w:r>
                    <w:rPr>
                      <w:rFonts w:hint="eastAsia"/>
                      <w:spacing w:val="-10"/>
                      <w:szCs w:val="21"/>
                    </w:rPr>
                    <w:t>0.15989</w:t>
                  </w:r>
                </w:p>
              </w:tc>
              <w:tc>
                <w:tcPr>
                  <w:tcW w:w="525" w:type="pct"/>
                  <w:vMerge w:val="continue"/>
                  <w:vAlign w:val="center"/>
                </w:tcPr>
                <w:p>
                  <w:pPr>
                    <w:adjustRightInd w:val="0"/>
                    <w:snapToGrid w:val="0"/>
                    <w:spacing w:line="240" w:lineRule="exact"/>
                    <w:jc w:val="center"/>
                    <w:rPr>
                      <w:spacing w:val="-10"/>
                      <w:szCs w:val="21"/>
                    </w:rPr>
                  </w:pPr>
                </w:p>
              </w:tc>
              <w:tc>
                <w:tcPr>
                  <w:tcW w:w="446" w:type="pct"/>
                  <w:vMerge w:val="continue"/>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r>
                    <w:rPr>
                      <w:rFonts w:hint="eastAsia"/>
                      <w:spacing w:val="-10"/>
                      <w:szCs w:val="21"/>
                    </w:rPr>
                    <w:t>4.44</w:t>
                  </w:r>
                </w:p>
              </w:tc>
              <w:tc>
                <w:tcPr>
                  <w:tcW w:w="334" w:type="pct"/>
                  <w:vAlign w:val="center"/>
                </w:tcPr>
                <w:p>
                  <w:pPr>
                    <w:adjustRightInd w:val="0"/>
                    <w:snapToGrid w:val="0"/>
                    <w:spacing w:line="240" w:lineRule="exact"/>
                    <w:jc w:val="center"/>
                    <w:rPr>
                      <w:spacing w:val="-10"/>
                      <w:szCs w:val="21"/>
                    </w:rPr>
                  </w:pPr>
                  <w:r>
                    <w:rPr>
                      <w:rFonts w:hint="eastAsia"/>
                      <w:spacing w:val="-10"/>
                      <w:szCs w:val="21"/>
                    </w:rPr>
                    <w:t>0.0444</w:t>
                  </w:r>
                </w:p>
              </w:tc>
              <w:tc>
                <w:tcPr>
                  <w:tcW w:w="343" w:type="pct"/>
                  <w:vAlign w:val="center"/>
                </w:tcPr>
                <w:p>
                  <w:pPr>
                    <w:adjustRightInd w:val="0"/>
                    <w:snapToGrid w:val="0"/>
                    <w:spacing w:line="240" w:lineRule="exact"/>
                    <w:jc w:val="center"/>
                    <w:rPr>
                      <w:spacing w:val="-10"/>
                      <w:szCs w:val="21"/>
                    </w:rPr>
                  </w:pPr>
                  <w:r>
                    <w:rPr>
                      <w:rFonts w:hint="eastAsia"/>
                      <w:spacing w:val="-10"/>
                      <w:szCs w:val="21"/>
                    </w:rPr>
                    <w:t>0.15989</w:t>
                  </w:r>
                </w:p>
              </w:tc>
              <w:tc>
                <w:tcPr>
                  <w:tcW w:w="301" w:type="pct"/>
                  <w:vAlign w:val="center"/>
                </w:tcPr>
                <w:p>
                  <w:pPr>
                    <w:adjustRightInd w:val="0"/>
                    <w:snapToGrid w:val="0"/>
                    <w:spacing w:line="240" w:lineRule="exact"/>
                    <w:jc w:val="center"/>
                    <w:rPr>
                      <w:spacing w:val="-10"/>
                      <w:szCs w:val="21"/>
                    </w:rPr>
                  </w:pPr>
                  <w:r>
                    <w:rPr>
                      <w:rFonts w:hint="eastAsia"/>
                      <w:spacing w:val="-10"/>
                      <w:szCs w:val="21"/>
                    </w:rPr>
                    <w:t>200</w:t>
                  </w:r>
                </w:p>
              </w:tc>
              <w:tc>
                <w:tcPr>
                  <w:tcW w:w="256" w:type="pct"/>
                  <w:vAlign w:val="center"/>
                </w:tcPr>
                <w:p>
                  <w:pPr>
                    <w:adjustRightInd w:val="0"/>
                    <w:snapToGrid w:val="0"/>
                    <w:spacing w:line="240" w:lineRule="exact"/>
                    <w:jc w:val="center"/>
                    <w:rPr>
                      <w:spacing w:val="-10"/>
                      <w:szCs w:val="21"/>
                    </w:rPr>
                  </w:pPr>
                  <w:r>
                    <w:rPr>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225" w:type="pct"/>
                  <w:vMerge w:val="continue"/>
                  <w:vAlign w:val="center"/>
                </w:tcPr>
                <w:p>
                  <w:pPr>
                    <w:adjustRightInd w:val="0"/>
                    <w:snapToGrid w:val="0"/>
                    <w:spacing w:line="240" w:lineRule="exact"/>
                    <w:jc w:val="center"/>
                    <w:rPr>
                      <w:spacing w:val="-10"/>
                      <w:szCs w:val="21"/>
                    </w:rPr>
                  </w:pPr>
                </w:p>
              </w:tc>
              <w:tc>
                <w:tcPr>
                  <w:tcW w:w="248" w:type="pct"/>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烟气黑度</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Align w:val="center"/>
                </w:tcPr>
                <w:p>
                  <w:pPr>
                    <w:adjustRightInd w:val="0"/>
                    <w:snapToGrid w:val="0"/>
                    <w:spacing w:line="240" w:lineRule="exact"/>
                    <w:jc w:val="center"/>
                    <w:rPr>
                      <w:spacing w:val="-10"/>
                      <w:szCs w:val="21"/>
                    </w:rPr>
                  </w:pPr>
                  <w:r>
                    <w:rPr>
                      <w:rFonts w:hint="eastAsia"/>
                      <w:spacing w:val="-10"/>
                      <w:szCs w:val="21"/>
                    </w:rPr>
                    <w:t>＜1级</w:t>
                  </w:r>
                </w:p>
              </w:tc>
              <w:tc>
                <w:tcPr>
                  <w:tcW w:w="347" w:type="pct"/>
                  <w:vAlign w:val="center"/>
                </w:tcPr>
                <w:p>
                  <w:pPr>
                    <w:adjustRightInd w:val="0"/>
                    <w:snapToGrid w:val="0"/>
                    <w:spacing w:line="240" w:lineRule="exact"/>
                    <w:jc w:val="center"/>
                    <w:rPr>
                      <w:spacing w:val="-10"/>
                      <w:szCs w:val="21"/>
                    </w:rPr>
                  </w:pPr>
                  <w:r>
                    <w:rPr>
                      <w:rFonts w:hint="eastAsia"/>
                      <w:spacing w:val="-10"/>
                      <w:szCs w:val="21"/>
                    </w:rPr>
                    <w:t>--</w:t>
                  </w:r>
                </w:p>
              </w:tc>
              <w:tc>
                <w:tcPr>
                  <w:tcW w:w="525" w:type="pct"/>
                  <w:vMerge w:val="continue"/>
                  <w:vAlign w:val="center"/>
                </w:tcPr>
                <w:p>
                  <w:pPr>
                    <w:adjustRightInd w:val="0"/>
                    <w:snapToGrid w:val="0"/>
                    <w:spacing w:line="240" w:lineRule="exact"/>
                    <w:jc w:val="center"/>
                    <w:rPr>
                      <w:spacing w:val="-10"/>
                      <w:szCs w:val="21"/>
                    </w:rPr>
                  </w:pPr>
                </w:p>
              </w:tc>
              <w:tc>
                <w:tcPr>
                  <w:tcW w:w="446" w:type="pct"/>
                  <w:vMerge w:val="continue"/>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r>
                    <w:rPr>
                      <w:rFonts w:hint="eastAsia"/>
                      <w:spacing w:val="-10"/>
                      <w:szCs w:val="21"/>
                    </w:rPr>
                    <w:t>＜1级</w:t>
                  </w:r>
                </w:p>
              </w:tc>
              <w:tc>
                <w:tcPr>
                  <w:tcW w:w="334" w:type="pct"/>
                  <w:vAlign w:val="center"/>
                </w:tcPr>
                <w:p>
                  <w:pPr>
                    <w:adjustRightInd w:val="0"/>
                    <w:snapToGrid w:val="0"/>
                    <w:spacing w:line="240" w:lineRule="exact"/>
                    <w:jc w:val="center"/>
                    <w:rPr>
                      <w:spacing w:val="-10"/>
                      <w:szCs w:val="21"/>
                    </w:rPr>
                  </w:pPr>
                  <w:r>
                    <w:rPr>
                      <w:rFonts w:hint="eastAsia"/>
                      <w:spacing w:val="-10"/>
                      <w:szCs w:val="21"/>
                    </w:rPr>
                    <w:t>--</w:t>
                  </w:r>
                </w:p>
              </w:tc>
              <w:tc>
                <w:tcPr>
                  <w:tcW w:w="343" w:type="pct"/>
                  <w:vAlign w:val="center"/>
                </w:tcPr>
                <w:p>
                  <w:pPr>
                    <w:adjustRightInd w:val="0"/>
                    <w:snapToGrid w:val="0"/>
                    <w:spacing w:line="240" w:lineRule="exact"/>
                    <w:jc w:val="center"/>
                    <w:rPr>
                      <w:spacing w:val="-10"/>
                      <w:szCs w:val="21"/>
                    </w:rPr>
                  </w:pPr>
                  <w:r>
                    <w:rPr>
                      <w:rFonts w:hint="eastAsia"/>
                      <w:spacing w:val="-10"/>
                      <w:szCs w:val="21"/>
                    </w:rPr>
                    <w:t>--</w:t>
                  </w:r>
                </w:p>
              </w:tc>
              <w:tc>
                <w:tcPr>
                  <w:tcW w:w="301" w:type="pct"/>
                  <w:vAlign w:val="center"/>
                </w:tcPr>
                <w:p>
                  <w:pPr>
                    <w:adjustRightInd w:val="0"/>
                    <w:snapToGrid w:val="0"/>
                    <w:spacing w:line="240" w:lineRule="exact"/>
                    <w:jc w:val="center"/>
                    <w:rPr>
                      <w:spacing w:val="-10"/>
                      <w:szCs w:val="21"/>
                    </w:rPr>
                  </w:pPr>
                  <w:r>
                    <w:rPr>
                      <w:rFonts w:hint="eastAsia"/>
                      <w:spacing w:val="-10"/>
                      <w:szCs w:val="21"/>
                    </w:rPr>
                    <w:t>＜1级</w:t>
                  </w:r>
                </w:p>
              </w:tc>
              <w:tc>
                <w:tcPr>
                  <w:tcW w:w="256" w:type="pct"/>
                  <w:vAlign w:val="center"/>
                </w:tcPr>
                <w:p>
                  <w:pPr>
                    <w:adjustRightInd w:val="0"/>
                    <w:snapToGrid w:val="0"/>
                    <w:spacing w:line="240" w:lineRule="exact"/>
                    <w:jc w:val="center"/>
                    <w:rPr>
                      <w:spacing w:val="-10"/>
                      <w:szCs w:val="21"/>
                    </w:rPr>
                  </w:pPr>
                  <w:r>
                    <w:rPr>
                      <w:rFonts w:hint="eastAsia"/>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225" w:type="pct"/>
                  <w:vMerge w:val="continue"/>
                  <w:vAlign w:val="center"/>
                </w:tcPr>
                <w:p>
                  <w:pPr>
                    <w:adjustRightInd w:val="0"/>
                    <w:snapToGrid w:val="0"/>
                    <w:spacing w:line="240" w:lineRule="exact"/>
                    <w:jc w:val="center"/>
                    <w:rPr>
                      <w:spacing w:val="-10"/>
                      <w:szCs w:val="21"/>
                    </w:rPr>
                  </w:pPr>
                </w:p>
              </w:tc>
              <w:tc>
                <w:tcPr>
                  <w:tcW w:w="248" w:type="pct"/>
                  <w:vAlign w:val="center"/>
                </w:tcPr>
                <w:p>
                  <w:pPr>
                    <w:adjustRightInd w:val="0"/>
                    <w:snapToGrid w:val="0"/>
                    <w:spacing w:line="240" w:lineRule="exact"/>
                    <w:jc w:val="center"/>
                    <w:rPr>
                      <w:spacing w:val="-10"/>
                      <w:szCs w:val="21"/>
                    </w:rPr>
                  </w:pPr>
                  <w:r>
                    <w:rPr>
                      <w:rFonts w:hint="eastAsia"/>
                      <w:spacing w:val="-23"/>
                      <w:szCs w:val="21"/>
                    </w:rPr>
                    <w:t>脱附-催化燃烧</w:t>
                  </w:r>
                </w:p>
              </w:tc>
              <w:tc>
                <w:tcPr>
                  <w:tcW w:w="333" w:type="pct"/>
                  <w:vAlign w:val="center"/>
                </w:tcPr>
                <w:p>
                  <w:pPr>
                    <w:adjustRightInd w:val="0"/>
                    <w:snapToGrid w:val="0"/>
                    <w:spacing w:line="240" w:lineRule="exact"/>
                    <w:jc w:val="center"/>
                    <w:rPr>
                      <w:spacing w:val="-10"/>
                      <w:szCs w:val="21"/>
                    </w:rPr>
                  </w:pPr>
                  <w:r>
                    <w:rPr>
                      <w:rFonts w:hint="eastAsia"/>
                      <w:spacing w:val="-10"/>
                      <w:szCs w:val="21"/>
                    </w:rPr>
                    <w:t>非甲烷总烃</w:t>
                  </w:r>
                </w:p>
              </w:tc>
              <w:tc>
                <w:tcPr>
                  <w:tcW w:w="283" w:type="pct"/>
                  <w:vAlign w:val="center"/>
                </w:tcPr>
                <w:p>
                  <w:pPr>
                    <w:adjustRightInd w:val="0"/>
                    <w:snapToGrid w:val="0"/>
                    <w:spacing w:line="240" w:lineRule="exact"/>
                    <w:jc w:val="center"/>
                    <w:rPr>
                      <w:spacing w:val="-10"/>
                      <w:szCs w:val="21"/>
                    </w:rPr>
                  </w:pPr>
                  <w:r>
                    <w:rPr>
                      <w:rFonts w:hint="eastAsia"/>
                      <w:spacing w:val="-10"/>
                      <w:szCs w:val="21"/>
                    </w:rPr>
                    <w:t>产污系数法</w:t>
                  </w:r>
                </w:p>
              </w:tc>
              <w:tc>
                <w:tcPr>
                  <w:tcW w:w="744" w:type="pct"/>
                  <w:gridSpan w:val="2"/>
                  <w:vAlign w:val="center"/>
                </w:tcPr>
                <w:p>
                  <w:pPr>
                    <w:adjustRightInd w:val="0"/>
                    <w:snapToGrid w:val="0"/>
                    <w:spacing w:line="240" w:lineRule="exact"/>
                    <w:jc w:val="center"/>
                    <w:rPr>
                      <w:spacing w:val="-10"/>
                      <w:szCs w:val="21"/>
                    </w:rPr>
                  </w:pPr>
                  <w:r>
                    <w:rPr>
                      <w:rFonts w:hint="eastAsia"/>
                      <w:spacing w:val="-10"/>
                      <w:szCs w:val="21"/>
                    </w:rPr>
                    <w:t>2000</w:t>
                  </w:r>
                </w:p>
              </w:tc>
              <w:tc>
                <w:tcPr>
                  <w:tcW w:w="311" w:type="pct"/>
                  <w:vAlign w:val="center"/>
                </w:tcPr>
                <w:p>
                  <w:pPr>
                    <w:adjustRightInd w:val="0"/>
                    <w:snapToGrid w:val="0"/>
                    <w:spacing w:line="240" w:lineRule="exact"/>
                    <w:jc w:val="center"/>
                    <w:rPr>
                      <w:spacing w:val="-10"/>
                      <w:szCs w:val="21"/>
                    </w:rPr>
                  </w:pPr>
                  <w:r>
                    <w:rPr>
                      <w:rFonts w:hint="eastAsia"/>
                      <w:spacing w:val="-10"/>
                      <w:szCs w:val="21"/>
                    </w:rPr>
                    <w:t>810</w:t>
                  </w:r>
                </w:p>
              </w:tc>
              <w:tc>
                <w:tcPr>
                  <w:tcW w:w="347" w:type="pct"/>
                  <w:vAlign w:val="center"/>
                </w:tcPr>
                <w:p>
                  <w:pPr>
                    <w:adjustRightInd w:val="0"/>
                    <w:snapToGrid w:val="0"/>
                    <w:spacing w:line="240" w:lineRule="exact"/>
                    <w:jc w:val="center"/>
                    <w:rPr>
                      <w:spacing w:val="-10"/>
                      <w:szCs w:val="21"/>
                    </w:rPr>
                  </w:pPr>
                  <w:r>
                    <w:rPr>
                      <w:rFonts w:hint="eastAsia"/>
                      <w:spacing w:val="-10"/>
                      <w:szCs w:val="21"/>
                    </w:rPr>
                    <w:t>0.0243</w:t>
                  </w:r>
                </w:p>
              </w:tc>
              <w:tc>
                <w:tcPr>
                  <w:tcW w:w="525" w:type="pct"/>
                  <w:vAlign w:val="center"/>
                </w:tcPr>
                <w:p>
                  <w:pPr>
                    <w:adjustRightInd w:val="0"/>
                    <w:snapToGrid w:val="0"/>
                    <w:spacing w:line="240" w:lineRule="exact"/>
                    <w:jc w:val="center"/>
                    <w:rPr>
                      <w:spacing w:val="-10"/>
                      <w:szCs w:val="21"/>
                      <w:highlight w:val="yellow"/>
                    </w:rPr>
                  </w:pPr>
                  <w:r>
                    <w:rPr>
                      <w:rFonts w:hint="eastAsia"/>
                      <w:spacing w:val="-10"/>
                      <w:szCs w:val="21"/>
                    </w:rPr>
                    <w:t>集气装置</w:t>
                  </w:r>
                </w:p>
              </w:tc>
              <w:tc>
                <w:tcPr>
                  <w:tcW w:w="446" w:type="pct"/>
                  <w:vMerge w:val="continue"/>
                  <w:vAlign w:val="center"/>
                </w:tcPr>
                <w:p>
                  <w:pPr>
                    <w:adjustRightInd w:val="0"/>
                    <w:snapToGrid w:val="0"/>
                    <w:spacing w:line="240" w:lineRule="exact"/>
                    <w:jc w:val="center"/>
                    <w:rPr>
                      <w:spacing w:val="-10"/>
                      <w:szCs w:val="21"/>
                      <w:highlight w:val="yellow"/>
                    </w:rPr>
                  </w:pPr>
                </w:p>
              </w:tc>
              <w:tc>
                <w:tcPr>
                  <w:tcW w:w="297" w:type="pct"/>
                  <w:vAlign w:val="center"/>
                </w:tcPr>
                <w:p>
                  <w:pPr>
                    <w:adjustRightInd w:val="0"/>
                    <w:snapToGrid w:val="0"/>
                    <w:spacing w:line="240" w:lineRule="exact"/>
                    <w:jc w:val="center"/>
                    <w:rPr>
                      <w:spacing w:val="-10"/>
                      <w:szCs w:val="21"/>
                    </w:rPr>
                  </w:pPr>
                  <w:r>
                    <w:rPr>
                      <w:rFonts w:hint="eastAsia"/>
                      <w:spacing w:val="-10"/>
                      <w:szCs w:val="21"/>
                    </w:rPr>
                    <w:t>24.3</w:t>
                  </w:r>
                </w:p>
              </w:tc>
              <w:tc>
                <w:tcPr>
                  <w:tcW w:w="334" w:type="pct"/>
                  <w:vAlign w:val="center"/>
                </w:tcPr>
                <w:p>
                  <w:pPr>
                    <w:adjustRightInd w:val="0"/>
                    <w:snapToGrid w:val="0"/>
                    <w:spacing w:line="240" w:lineRule="exact"/>
                    <w:jc w:val="center"/>
                    <w:rPr>
                      <w:spacing w:val="-10"/>
                      <w:szCs w:val="21"/>
                    </w:rPr>
                  </w:pPr>
                  <w:r>
                    <w:rPr>
                      <w:rFonts w:hint="eastAsia"/>
                      <w:spacing w:val="-10"/>
                      <w:szCs w:val="21"/>
                    </w:rPr>
                    <w:t>0.0486</w:t>
                  </w:r>
                </w:p>
              </w:tc>
              <w:tc>
                <w:tcPr>
                  <w:tcW w:w="343" w:type="pct"/>
                  <w:vAlign w:val="center"/>
                </w:tcPr>
                <w:p>
                  <w:pPr>
                    <w:adjustRightInd w:val="0"/>
                    <w:snapToGrid w:val="0"/>
                    <w:spacing w:line="240" w:lineRule="exact"/>
                    <w:jc w:val="center"/>
                    <w:rPr>
                      <w:spacing w:val="-10"/>
                      <w:szCs w:val="21"/>
                    </w:rPr>
                  </w:pPr>
                  <w:r>
                    <w:rPr>
                      <w:rFonts w:hint="eastAsia"/>
                      <w:spacing w:val="-23"/>
                      <w:szCs w:val="21"/>
                    </w:rPr>
                    <w:t>0.000729</w:t>
                  </w:r>
                </w:p>
              </w:tc>
              <w:tc>
                <w:tcPr>
                  <w:tcW w:w="301" w:type="pct"/>
                  <w:vAlign w:val="center"/>
                </w:tcPr>
                <w:p>
                  <w:pPr>
                    <w:adjustRightInd w:val="0"/>
                    <w:snapToGrid w:val="0"/>
                    <w:spacing w:line="240" w:lineRule="exact"/>
                    <w:jc w:val="center"/>
                    <w:rPr>
                      <w:spacing w:val="-10"/>
                      <w:szCs w:val="21"/>
                    </w:rPr>
                  </w:pPr>
                  <w:r>
                    <w:rPr>
                      <w:rFonts w:hint="eastAsia"/>
                      <w:spacing w:val="-10"/>
                      <w:szCs w:val="21"/>
                    </w:rPr>
                    <w:t>60</w:t>
                  </w:r>
                </w:p>
              </w:tc>
              <w:tc>
                <w:tcPr>
                  <w:tcW w:w="256" w:type="pct"/>
                  <w:vAlign w:val="center"/>
                </w:tcPr>
                <w:p>
                  <w:pPr>
                    <w:adjustRightInd w:val="0"/>
                    <w:snapToGrid w:val="0"/>
                    <w:spacing w:line="240" w:lineRule="exact"/>
                    <w:jc w:val="center"/>
                    <w:rPr>
                      <w:spacing w:val="-10"/>
                      <w:szCs w:val="21"/>
                    </w:rPr>
                  </w:pPr>
                  <w:r>
                    <w:rPr>
                      <w:rFonts w:hint="eastAsia"/>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5" w:hRule="atLeast"/>
                <w:jc w:val="center"/>
              </w:trPr>
              <w:tc>
                <w:tcPr>
                  <w:tcW w:w="474" w:type="pct"/>
                  <w:gridSpan w:val="2"/>
                  <w:vMerge w:val="restart"/>
                  <w:vAlign w:val="center"/>
                </w:tcPr>
                <w:p>
                  <w:pPr>
                    <w:adjustRightInd w:val="0"/>
                    <w:snapToGrid w:val="0"/>
                    <w:spacing w:line="240" w:lineRule="exact"/>
                    <w:jc w:val="center"/>
                    <w:rPr>
                      <w:spacing w:val="-10"/>
                      <w:szCs w:val="21"/>
                    </w:rPr>
                  </w:pPr>
                  <w:r>
                    <w:rPr>
                      <w:rFonts w:hint="eastAsia"/>
                      <w:spacing w:val="-10"/>
                      <w:szCs w:val="21"/>
                    </w:rPr>
                    <w:t>无组织（集气罩未收集）</w:t>
                  </w:r>
                </w:p>
              </w:tc>
              <w:tc>
                <w:tcPr>
                  <w:tcW w:w="333" w:type="pct"/>
                  <w:vAlign w:val="center"/>
                </w:tcPr>
                <w:p>
                  <w:pPr>
                    <w:adjustRightInd w:val="0"/>
                    <w:snapToGrid w:val="0"/>
                    <w:spacing w:line="240" w:lineRule="exact"/>
                    <w:jc w:val="center"/>
                    <w:rPr>
                      <w:spacing w:val="-10"/>
                      <w:szCs w:val="21"/>
                    </w:rPr>
                  </w:pPr>
                  <w:r>
                    <w:rPr>
                      <w:rFonts w:hint="eastAsia"/>
                      <w:spacing w:val="-10"/>
                      <w:szCs w:val="21"/>
                    </w:rPr>
                    <w:t>颗粒物</w:t>
                  </w:r>
                </w:p>
              </w:tc>
              <w:tc>
                <w:tcPr>
                  <w:tcW w:w="283" w:type="pct"/>
                  <w:vMerge w:val="restart"/>
                  <w:vAlign w:val="center"/>
                </w:tcPr>
                <w:p>
                  <w:pPr>
                    <w:adjustRightInd w:val="0"/>
                    <w:snapToGrid w:val="0"/>
                    <w:spacing w:line="240" w:lineRule="exact"/>
                    <w:jc w:val="center"/>
                    <w:rPr>
                      <w:spacing w:val="-10"/>
                      <w:szCs w:val="21"/>
                    </w:rPr>
                  </w:pPr>
                  <w:r>
                    <w:rPr>
                      <w:rFonts w:hint="eastAsia"/>
                      <w:spacing w:val="-10"/>
                      <w:szCs w:val="21"/>
                    </w:rPr>
                    <w:t>物料衡算法</w:t>
                  </w:r>
                </w:p>
              </w:tc>
              <w:tc>
                <w:tcPr>
                  <w:tcW w:w="744" w:type="pct"/>
                  <w:gridSpan w:val="2"/>
                  <w:vAlign w:val="center"/>
                </w:tcPr>
                <w:p>
                  <w:pPr>
                    <w:adjustRightInd w:val="0"/>
                    <w:snapToGrid w:val="0"/>
                    <w:spacing w:line="240" w:lineRule="exact"/>
                    <w:jc w:val="center"/>
                    <w:rPr>
                      <w:spacing w:val="-10"/>
                      <w:szCs w:val="21"/>
                    </w:rPr>
                  </w:pPr>
                  <w:r>
                    <w:rPr>
                      <w:rFonts w:hint="eastAsia"/>
                      <w:spacing w:val="-10"/>
                      <w:szCs w:val="21"/>
                    </w:rPr>
                    <w:t>--</w:t>
                  </w:r>
                </w:p>
              </w:tc>
              <w:tc>
                <w:tcPr>
                  <w:tcW w:w="311" w:type="pct"/>
                  <w:vAlign w:val="center"/>
                </w:tcPr>
                <w:p>
                  <w:pPr>
                    <w:adjustRightInd w:val="0"/>
                    <w:snapToGrid w:val="0"/>
                    <w:spacing w:line="240" w:lineRule="exact"/>
                    <w:jc w:val="center"/>
                    <w:rPr>
                      <w:spacing w:val="-10"/>
                      <w:szCs w:val="21"/>
                    </w:rPr>
                  </w:pPr>
                  <w:r>
                    <w:rPr>
                      <w:rFonts w:hint="eastAsia"/>
                      <w:spacing w:val="-10"/>
                      <w:szCs w:val="21"/>
                    </w:rPr>
                    <w:t>--</w:t>
                  </w:r>
                </w:p>
              </w:tc>
              <w:tc>
                <w:tcPr>
                  <w:tcW w:w="347" w:type="pct"/>
                  <w:vAlign w:val="center"/>
                </w:tcPr>
                <w:p>
                  <w:pPr>
                    <w:adjustRightInd w:val="0"/>
                    <w:snapToGrid w:val="0"/>
                    <w:spacing w:line="240" w:lineRule="exact"/>
                    <w:jc w:val="center"/>
                    <w:rPr>
                      <w:spacing w:val="-10"/>
                      <w:szCs w:val="21"/>
                    </w:rPr>
                  </w:pPr>
                  <w:r>
                    <w:rPr>
                      <w:rFonts w:hint="eastAsia"/>
                      <w:spacing w:val="-10"/>
                      <w:szCs w:val="21"/>
                    </w:rPr>
                    <w:t>0.41964</w:t>
                  </w:r>
                </w:p>
              </w:tc>
              <w:tc>
                <w:tcPr>
                  <w:tcW w:w="971" w:type="pct"/>
                  <w:gridSpan w:val="2"/>
                  <w:vAlign w:val="center"/>
                </w:tcPr>
                <w:p>
                  <w:pPr>
                    <w:adjustRightInd w:val="0"/>
                    <w:snapToGrid w:val="0"/>
                    <w:spacing w:line="240" w:lineRule="exact"/>
                    <w:jc w:val="center"/>
                    <w:rPr>
                      <w:spacing w:val="-10"/>
                      <w:szCs w:val="21"/>
                    </w:rPr>
                  </w:pPr>
                  <w:r>
                    <w:rPr>
                      <w:rFonts w:hint="eastAsia"/>
                      <w:spacing w:val="-10"/>
                      <w:szCs w:val="21"/>
                    </w:rPr>
                    <w:t>--</w:t>
                  </w:r>
                </w:p>
              </w:tc>
              <w:tc>
                <w:tcPr>
                  <w:tcW w:w="297" w:type="pct"/>
                  <w:vAlign w:val="center"/>
                </w:tcPr>
                <w:p>
                  <w:pPr>
                    <w:adjustRightInd w:val="0"/>
                    <w:snapToGrid w:val="0"/>
                    <w:spacing w:line="240" w:lineRule="exact"/>
                    <w:jc w:val="center"/>
                    <w:rPr>
                      <w:spacing w:val="-10"/>
                      <w:szCs w:val="21"/>
                    </w:rPr>
                  </w:pPr>
                  <w:r>
                    <w:rPr>
                      <w:rFonts w:hint="eastAsia"/>
                      <w:spacing w:val="-10"/>
                      <w:szCs w:val="21"/>
                    </w:rPr>
                    <w:t>--</w:t>
                  </w:r>
                </w:p>
              </w:tc>
              <w:tc>
                <w:tcPr>
                  <w:tcW w:w="334" w:type="pct"/>
                  <w:vAlign w:val="center"/>
                </w:tcPr>
                <w:p>
                  <w:pPr>
                    <w:adjustRightInd w:val="0"/>
                    <w:snapToGrid w:val="0"/>
                    <w:spacing w:line="240" w:lineRule="exact"/>
                    <w:jc w:val="center"/>
                    <w:rPr>
                      <w:spacing w:val="-10"/>
                      <w:szCs w:val="21"/>
                    </w:rPr>
                  </w:pPr>
                  <w:r>
                    <w:rPr>
                      <w:rFonts w:hint="eastAsia"/>
                      <w:spacing w:val="-10"/>
                      <w:szCs w:val="21"/>
                    </w:rPr>
                    <w:t>0.1166</w:t>
                  </w:r>
                </w:p>
              </w:tc>
              <w:tc>
                <w:tcPr>
                  <w:tcW w:w="343" w:type="pct"/>
                  <w:vAlign w:val="center"/>
                </w:tcPr>
                <w:p>
                  <w:pPr>
                    <w:adjustRightInd w:val="0"/>
                    <w:snapToGrid w:val="0"/>
                    <w:spacing w:line="240" w:lineRule="exact"/>
                    <w:jc w:val="center"/>
                    <w:rPr>
                      <w:spacing w:val="-10"/>
                      <w:szCs w:val="21"/>
                    </w:rPr>
                  </w:pPr>
                  <w:r>
                    <w:rPr>
                      <w:rFonts w:hint="eastAsia"/>
                      <w:spacing w:val="-10"/>
                      <w:szCs w:val="21"/>
                    </w:rPr>
                    <w:t>0.41964</w:t>
                  </w:r>
                </w:p>
              </w:tc>
              <w:tc>
                <w:tcPr>
                  <w:tcW w:w="301" w:type="pct"/>
                  <w:vAlign w:val="center"/>
                </w:tcPr>
                <w:p>
                  <w:pPr>
                    <w:adjustRightInd w:val="0"/>
                    <w:snapToGrid w:val="0"/>
                    <w:spacing w:line="240" w:lineRule="exact"/>
                    <w:jc w:val="center"/>
                    <w:rPr>
                      <w:spacing w:val="-10"/>
                      <w:szCs w:val="21"/>
                    </w:rPr>
                  </w:pPr>
                  <w:r>
                    <w:rPr>
                      <w:rFonts w:hint="eastAsia"/>
                      <w:spacing w:val="-17"/>
                      <w:szCs w:val="21"/>
                    </w:rPr>
                    <w:t>1.0，且肉眼不可见</w:t>
                  </w:r>
                </w:p>
              </w:tc>
              <w:tc>
                <w:tcPr>
                  <w:tcW w:w="256" w:type="pct"/>
                  <w:vAlign w:val="center"/>
                </w:tcPr>
                <w:p>
                  <w:pPr>
                    <w:adjustRightInd w:val="0"/>
                    <w:snapToGrid w:val="0"/>
                    <w:spacing w:line="240" w:lineRule="exact"/>
                    <w:jc w:val="center"/>
                    <w:rPr>
                      <w:spacing w:val="-10"/>
                      <w:szCs w:val="21"/>
                    </w:rPr>
                  </w:pPr>
                  <w:r>
                    <w:rPr>
                      <w:rFonts w:hint="eastAsia"/>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SO</w:t>
                  </w:r>
                  <w:r>
                    <w:rPr>
                      <w:rFonts w:hint="eastAsia"/>
                      <w:spacing w:val="-10"/>
                      <w:szCs w:val="21"/>
                      <w:vertAlign w:val="subscript"/>
                    </w:rPr>
                    <w:t>2</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Align w:val="center"/>
                </w:tcPr>
                <w:p>
                  <w:pPr>
                    <w:adjustRightInd w:val="0"/>
                    <w:snapToGrid w:val="0"/>
                    <w:spacing w:line="240" w:lineRule="exact"/>
                    <w:jc w:val="center"/>
                    <w:rPr>
                      <w:spacing w:val="-10"/>
                      <w:szCs w:val="21"/>
                    </w:rPr>
                  </w:pPr>
                  <w:r>
                    <w:rPr>
                      <w:rFonts w:hint="eastAsia"/>
                      <w:spacing w:val="-10"/>
                      <w:szCs w:val="21"/>
                    </w:rPr>
                    <w:t>--</w:t>
                  </w:r>
                </w:p>
              </w:tc>
              <w:tc>
                <w:tcPr>
                  <w:tcW w:w="311" w:type="pct"/>
                  <w:vAlign w:val="center"/>
                </w:tcPr>
                <w:p>
                  <w:pPr>
                    <w:adjustRightInd w:val="0"/>
                    <w:snapToGrid w:val="0"/>
                    <w:spacing w:line="240" w:lineRule="exact"/>
                    <w:jc w:val="center"/>
                    <w:rPr>
                      <w:spacing w:val="-10"/>
                      <w:szCs w:val="21"/>
                    </w:rPr>
                  </w:pPr>
                  <w:r>
                    <w:rPr>
                      <w:rFonts w:hint="eastAsia"/>
                      <w:spacing w:val="-10"/>
                      <w:szCs w:val="21"/>
                    </w:rPr>
                    <w:t>--</w:t>
                  </w:r>
                </w:p>
              </w:tc>
              <w:tc>
                <w:tcPr>
                  <w:tcW w:w="347" w:type="pct"/>
                  <w:vAlign w:val="center"/>
                </w:tcPr>
                <w:p>
                  <w:pPr>
                    <w:adjustRightInd w:val="0"/>
                    <w:snapToGrid w:val="0"/>
                    <w:spacing w:line="240" w:lineRule="exact"/>
                    <w:jc w:val="center"/>
                    <w:rPr>
                      <w:spacing w:val="-10"/>
                      <w:szCs w:val="21"/>
                    </w:rPr>
                  </w:pPr>
                  <w:r>
                    <w:rPr>
                      <w:rFonts w:hint="eastAsia"/>
                      <w:spacing w:val="-10"/>
                      <w:szCs w:val="21"/>
                    </w:rPr>
                    <w:t>0.00076</w:t>
                  </w:r>
                </w:p>
              </w:tc>
              <w:tc>
                <w:tcPr>
                  <w:tcW w:w="971" w:type="pct"/>
                  <w:gridSpan w:val="2"/>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p>
              </w:tc>
              <w:tc>
                <w:tcPr>
                  <w:tcW w:w="334" w:type="pct"/>
                  <w:vAlign w:val="center"/>
                </w:tcPr>
                <w:p>
                  <w:pPr>
                    <w:adjustRightInd w:val="0"/>
                    <w:snapToGrid w:val="0"/>
                    <w:spacing w:line="240" w:lineRule="exact"/>
                    <w:jc w:val="center"/>
                    <w:rPr>
                      <w:spacing w:val="-10"/>
                      <w:szCs w:val="21"/>
                    </w:rPr>
                  </w:pPr>
                  <w:r>
                    <w:rPr>
                      <w:rFonts w:hint="eastAsia"/>
                      <w:spacing w:val="-10"/>
                      <w:szCs w:val="21"/>
                    </w:rPr>
                    <w:t>0.0002</w:t>
                  </w:r>
                </w:p>
              </w:tc>
              <w:tc>
                <w:tcPr>
                  <w:tcW w:w="343" w:type="pct"/>
                  <w:vAlign w:val="center"/>
                </w:tcPr>
                <w:p>
                  <w:pPr>
                    <w:adjustRightInd w:val="0"/>
                    <w:snapToGrid w:val="0"/>
                    <w:spacing w:line="240" w:lineRule="exact"/>
                    <w:jc w:val="center"/>
                    <w:rPr>
                      <w:spacing w:val="-10"/>
                      <w:szCs w:val="21"/>
                    </w:rPr>
                  </w:pPr>
                  <w:r>
                    <w:rPr>
                      <w:rFonts w:hint="eastAsia"/>
                      <w:spacing w:val="-10"/>
                      <w:szCs w:val="21"/>
                    </w:rPr>
                    <w:t>0.00076</w:t>
                  </w:r>
                </w:p>
              </w:tc>
              <w:tc>
                <w:tcPr>
                  <w:tcW w:w="301" w:type="pct"/>
                  <w:vAlign w:val="center"/>
                </w:tcPr>
                <w:p>
                  <w:pPr>
                    <w:adjustRightInd w:val="0"/>
                    <w:snapToGrid w:val="0"/>
                    <w:spacing w:line="240" w:lineRule="exact"/>
                    <w:jc w:val="center"/>
                    <w:rPr>
                      <w:spacing w:val="-10"/>
                      <w:szCs w:val="21"/>
                    </w:rPr>
                  </w:pPr>
                  <w:r>
                    <w:rPr>
                      <w:rFonts w:hint="eastAsia"/>
                      <w:spacing w:val="-10"/>
                      <w:szCs w:val="21"/>
                    </w:rPr>
                    <w:t>0.4</w:t>
                  </w:r>
                </w:p>
              </w:tc>
              <w:tc>
                <w:tcPr>
                  <w:tcW w:w="256" w:type="pct"/>
                  <w:vAlign w:val="center"/>
                </w:tcPr>
                <w:p>
                  <w:pPr>
                    <w:adjustRightInd w:val="0"/>
                    <w:snapToGrid w:val="0"/>
                    <w:spacing w:line="240" w:lineRule="exact"/>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Align w:val="center"/>
                </w:tcPr>
                <w:p>
                  <w:pPr>
                    <w:adjustRightInd w:val="0"/>
                    <w:snapToGrid w:val="0"/>
                    <w:spacing w:line="240" w:lineRule="exact"/>
                    <w:jc w:val="center"/>
                    <w:rPr>
                      <w:spacing w:val="-10"/>
                      <w:szCs w:val="21"/>
                    </w:rPr>
                  </w:pPr>
                  <w:r>
                    <w:rPr>
                      <w:rFonts w:hint="eastAsia"/>
                      <w:spacing w:val="-10"/>
                      <w:szCs w:val="21"/>
                    </w:rPr>
                    <w:t>NO</w:t>
                  </w:r>
                  <w:r>
                    <w:rPr>
                      <w:rFonts w:hint="eastAsia"/>
                      <w:spacing w:val="-10"/>
                      <w:szCs w:val="21"/>
                      <w:vertAlign w:val="subscript"/>
                    </w:rPr>
                    <w:t>X</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Align w:val="center"/>
                </w:tcPr>
                <w:p>
                  <w:pPr>
                    <w:adjustRightInd w:val="0"/>
                    <w:snapToGrid w:val="0"/>
                    <w:spacing w:line="240" w:lineRule="exact"/>
                    <w:jc w:val="center"/>
                    <w:rPr>
                      <w:spacing w:val="-10"/>
                      <w:szCs w:val="21"/>
                    </w:rPr>
                  </w:pPr>
                  <w:r>
                    <w:rPr>
                      <w:rFonts w:hint="eastAsia"/>
                      <w:spacing w:val="-10"/>
                      <w:szCs w:val="21"/>
                    </w:rPr>
                    <w:t>--</w:t>
                  </w:r>
                </w:p>
              </w:tc>
              <w:tc>
                <w:tcPr>
                  <w:tcW w:w="311" w:type="pct"/>
                  <w:vAlign w:val="center"/>
                </w:tcPr>
                <w:p>
                  <w:pPr>
                    <w:adjustRightInd w:val="0"/>
                    <w:snapToGrid w:val="0"/>
                    <w:spacing w:line="240" w:lineRule="exact"/>
                    <w:jc w:val="center"/>
                    <w:rPr>
                      <w:spacing w:val="-10"/>
                      <w:szCs w:val="21"/>
                    </w:rPr>
                  </w:pPr>
                  <w:r>
                    <w:rPr>
                      <w:rFonts w:hint="eastAsia"/>
                      <w:spacing w:val="-10"/>
                      <w:szCs w:val="21"/>
                    </w:rPr>
                    <w:t>--</w:t>
                  </w:r>
                </w:p>
              </w:tc>
              <w:tc>
                <w:tcPr>
                  <w:tcW w:w="347" w:type="pct"/>
                  <w:vAlign w:val="center"/>
                </w:tcPr>
                <w:p>
                  <w:pPr>
                    <w:adjustRightInd w:val="0"/>
                    <w:snapToGrid w:val="0"/>
                    <w:spacing w:line="240" w:lineRule="exact"/>
                    <w:jc w:val="center"/>
                    <w:rPr>
                      <w:spacing w:val="-10"/>
                      <w:szCs w:val="21"/>
                    </w:rPr>
                  </w:pPr>
                  <w:r>
                    <w:rPr>
                      <w:rFonts w:hint="eastAsia"/>
                      <w:spacing w:val="-10"/>
                      <w:szCs w:val="21"/>
                    </w:rPr>
                    <w:t>0.01776</w:t>
                  </w:r>
                </w:p>
              </w:tc>
              <w:tc>
                <w:tcPr>
                  <w:tcW w:w="971" w:type="pct"/>
                  <w:gridSpan w:val="2"/>
                  <w:vAlign w:val="center"/>
                </w:tcPr>
                <w:p>
                  <w:pPr>
                    <w:adjustRightInd w:val="0"/>
                    <w:snapToGrid w:val="0"/>
                    <w:spacing w:line="240" w:lineRule="exact"/>
                    <w:jc w:val="center"/>
                    <w:rPr>
                      <w:spacing w:val="-10"/>
                      <w:szCs w:val="21"/>
                    </w:rPr>
                  </w:pPr>
                </w:p>
              </w:tc>
              <w:tc>
                <w:tcPr>
                  <w:tcW w:w="297" w:type="pct"/>
                  <w:vAlign w:val="center"/>
                </w:tcPr>
                <w:p>
                  <w:pPr>
                    <w:adjustRightInd w:val="0"/>
                    <w:snapToGrid w:val="0"/>
                    <w:spacing w:line="240" w:lineRule="exact"/>
                    <w:jc w:val="center"/>
                    <w:rPr>
                      <w:spacing w:val="-10"/>
                      <w:szCs w:val="21"/>
                    </w:rPr>
                  </w:pPr>
                </w:p>
              </w:tc>
              <w:tc>
                <w:tcPr>
                  <w:tcW w:w="334" w:type="pct"/>
                  <w:vAlign w:val="center"/>
                </w:tcPr>
                <w:p>
                  <w:pPr>
                    <w:adjustRightInd w:val="0"/>
                    <w:snapToGrid w:val="0"/>
                    <w:spacing w:line="240" w:lineRule="exact"/>
                    <w:jc w:val="center"/>
                    <w:rPr>
                      <w:spacing w:val="-10"/>
                      <w:szCs w:val="21"/>
                    </w:rPr>
                  </w:pPr>
                  <w:r>
                    <w:rPr>
                      <w:rFonts w:hint="eastAsia"/>
                      <w:spacing w:val="-10"/>
                      <w:szCs w:val="21"/>
                    </w:rPr>
                    <w:t>0.0049</w:t>
                  </w:r>
                </w:p>
              </w:tc>
              <w:tc>
                <w:tcPr>
                  <w:tcW w:w="343" w:type="pct"/>
                  <w:vAlign w:val="center"/>
                </w:tcPr>
                <w:p>
                  <w:pPr>
                    <w:adjustRightInd w:val="0"/>
                    <w:snapToGrid w:val="0"/>
                    <w:spacing w:line="240" w:lineRule="exact"/>
                    <w:jc w:val="center"/>
                    <w:rPr>
                      <w:spacing w:val="-10"/>
                      <w:szCs w:val="21"/>
                    </w:rPr>
                  </w:pPr>
                  <w:r>
                    <w:rPr>
                      <w:rFonts w:hint="eastAsia"/>
                      <w:spacing w:val="-10"/>
                      <w:szCs w:val="21"/>
                    </w:rPr>
                    <w:t>0.01776</w:t>
                  </w:r>
                </w:p>
              </w:tc>
              <w:tc>
                <w:tcPr>
                  <w:tcW w:w="301" w:type="pct"/>
                  <w:vAlign w:val="center"/>
                </w:tcPr>
                <w:p>
                  <w:pPr>
                    <w:adjustRightInd w:val="0"/>
                    <w:snapToGrid w:val="0"/>
                    <w:spacing w:line="240" w:lineRule="exact"/>
                    <w:jc w:val="center"/>
                    <w:rPr>
                      <w:spacing w:val="-10"/>
                      <w:szCs w:val="21"/>
                    </w:rPr>
                  </w:pPr>
                  <w:r>
                    <w:rPr>
                      <w:rFonts w:hint="eastAsia"/>
                      <w:spacing w:val="-10"/>
                      <w:szCs w:val="21"/>
                    </w:rPr>
                    <w:t>0.12</w:t>
                  </w:r>
                </w:p>
              </w:tc>
              <w:tc>
                <w:tcPr>
                  <w:tcW w:w="256" w:type="pct"/>
                  <w:vAlign w:val="center"/>
                </w:tcPr>
                <w:p>
                  <w:pPr>
                    <w:adjustRightInd w:val="0"/>
                    <w:snapToGrid w:val="0"/>
                    <w:spacing w:line="240" w:lineRule="exact"/>
                    <w:jc w:val="center"/>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restart"/>
                  <w:vAlign w:val="center"/>
                </w:tcPr>
                <w:p>
                  <w:pPr>
                    <w:adjustRightInd w:val="0"/>
                    <w:snapToGrid w:val="0"/>
                    <w:spacing w:line="240" w:lineRule="exact"/>
                    <w:jc w:val="center"/>
                    <w:rPr>
                      <w:spacing w:val="-10"/>
                      <w:szCs w:val="21"/>
                    </w:rPr>
                  </w:pPr>
                  <w:r>
                    <w:rPr>
                      <w:spacing w:val="-10"/>
                      <w:szCs w:val="21"/>
                    </w:rPr>
                    <w:t>非甲烷总烃</w:t>
                  </w: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restart"/>
                  <w:vAlign w:val="center"/>
                </w:tcPr>
                <w:p>
                  <w:pPr>
                    <w:adjustRightInd w:val="0"/>
                    <w:snapToGrid w:val="0"/>
                    <w:spacing w:line="240" w:lineRule="exact"/>
                    <w:jc w:val="center"/>
                    <w:rPr>
                      <w:spacing w:val="-10"/>
                      <w:szCs w:val="21"/>
                    </w:rPr>
                  </w:pPr>
                  <w:r>
                    <w:rPr>
                      <w:spacing w:val="-10"/>
                      <w:szCs w:val="21"/>
                    </w:rPr>
                    <w:t>--</w:t>
                  </w:r>
                </w:p>
              </w:tc>
              <w:tc>
                <w:tcPr>
                  <w:tcW w:w="311" w:type="pct"/>
                  <w:vMerge w:val="restart"/>
                  <w:vAlign w:val="center"/>
                </w:tcPr>
                <w:p>
                  <w:pPr>
                    <w:adjustRightInd w:val="0"/>
                    <w:snapToGrid w:val="0"/>
                    <w:spacing w:line="240" w:lineRule="exact"/>
                    <w:jc w:val="center"/>
                    <w:rPr>
                      <w:spacing w:val="-10"/>
                      <w:szCs w:val="21"/>
                    </w:rPr>
                  </w:pPr>
                  <w:r>
                    <w:rPr>
                      <w:spacing w:val="-10"/>
                      <w:szCs w:val="21"/>
                    </w:rPr>
                    <w:t>--</w:t>
                  </w:r>
                </w:p>
              </w:tc>
              <w:tc>
                <w:tcPr>
                  <w:tcW w:w="347" w:type="pct"/>
                  <w:vMerge w:val="restart"/>
                  <w:vAlign w:val="center"/>
                </w:tcPr>
                <w:p>
                  <w:pPr>
                    <w:adjustRightInd w:val="0"/>
                    <w:snapToGrid w:val="0"/>
                    <w:spacing w:line="240" w:lineRule="exact"/>
                    <w:jc w:val="center"/>
                    <w:rPr>
                      <w:spacing w:val="-10"/>
                      <w:szCs w:val="21"/>
                    </w:rPr>
                  </w:pPr>
                  <w:r>
                    <w:rPr>
                      <w:rFonts w:hint="eastAsia"/>
                      <w:spacing w:val="-10"/>
                      <w:szCs w:val="21"/>
                    </w:rPr>
                    <w:t>0.003</w:t>
                  </w:r>
                </w:p>
              </w:tc>
              <w:tc>
                <w:tcPr>
                  <w:tcW w:w="971" w:type="pct"/>
                  <w:gridSpan w:val="2"/>
                  <w:vMerge w:val="restart"/>
                  <w:vAlign w:val="center"/>
                </w:tcPr>
                <w:p>
                  <w:pPr>
                    <w:adjustRightInd w:val="0"/>
                    <w:snapToGrid w:val="0"/>
                    <w:spacing w:line="240" w:lineRule="exact"/>
                    <w:jc w:val="center"/>
                    <w:rPr>
                      <w:spacing w:val="-10"/>
                      <w:szCs w:val="21"/>
                    </w:rPr>
                  </w:pPr>
                  <w:r>
                    <w:rPr>
                      <w:spacing w:val="-10"/>
                      <w:szCs w:val="21"/>
                    </w:rPr>
                    <w:t>--</w:t>
                  </w:r>
                </w:p>
              </w:tc>
              <w:tc>
                <w:tcPr>
                  <w:tcW w:w="297" w:type="pct"/>
                  <w:vMerge w:val="restart"/>
                  <w:vAlign w:val="center"/>
                </w:tcPr>
                <w:p>
                  <w:pPr>
                    <w:adjustRightInd w:val="0"/>
                    <w:snapToGrid w:val="0"/>
                    <w:spacing w:line="240" w:lineRule="exact"/>
                    <w:jc w:val="center"/>
                    <w:rPr>
                      <w:spacing w:val="-10"/>
                      <w:szCs w:val="21"/>
                    </w:rPr>
                  </w:pPr>
                  <w:r>
                    <w:rPr>
                      <w:spacing w:val="-10"/>
                      <w:szCs w:val="21"/>
                    </w:rPr>
                    <w:t>--</w:t>
                  </w:r>
                </w:p>
              </w:tc>
              <w:tc>
                <w:tcPr>
                  <w:tcW w:w="334" w:type="pct"/>
                  <w:vMerge w:val="restart"/>
                  <w:vAlign w:val="center"/>
                </w:tcPr>
                <w:p>
                  <w:pPr>
                    <w:adjustRightInd w:val="0"/>
                    <w:snapToGrid w:val="0"/>
                    <w:spacing w:line="240" w:lineRule="exact"/>
                    <w:jc w:val="center"/>
                    <w:rPr>
                      <w:spacing w:val="-10"/>
                      <w:szCs w:val="21"/>
                    </w:rPr>
                  </w:pPr>
                  <w:r>
                    <w:rPr>
                      <w:spacing w:val="-10"/>
                      <w:szCs w:val="21"/>
                    </w:rPr>
                    <w:t>0</w:t>
                  </w:r>
                  <w:r>
                    <w:rPr>
                      <w:rFonts w:hint="eastAsia"/>
                      <w:spacing w:val="-10"/>
                      <w:szCs w:val="21"/>
                    </w:rPr>
                    <w:t>.00083</w:t>
                  </w:r>
                </w:p>
              </w:tc>
              <w:tc>
                <w:tcPr>
                  <w:tcW w:w="343" w:type="pct"/>
                  <w:vMerge w:val="restart"/>
                  <w:vAlign w:val="center"/>
                </w:tcPr>
                <w:p>
                  <w:pPr>
                    <w:adjustRightInd w:val="0"/>
                    <w:snapToGrid w:val="0"/>
                    <w:spacing w:line="240" w:lineRule="exact"/>
                    <w:jc w:val="center"/>
                    <w:rPr>
                      <w:spacing w:val="-10"/>
                      <w:szCs w:val="21"/>
                    </w:rPr>
                  </w:pPr>
                  <w:r>
                    <w:rPr>
                      <w:rFonts w:hint="eastAsia"/>
                      <w:spacing w:val="-10"/>
                      <w:szCs w:val="21"/>
                    </w:rPr>
                    <w:t>0.003</w:t>
                  </w:r>
                </w:p>
              </w:tc>
              <w:tc>
                <w:tcPr>
                  <w:tcW w:w="301" w:type="pct"/>
                  <w:vAlign w:val="center"/>
                </w:tcPr>
                <w:p>
                  <w:pPr>
                    <w:adjustRightInd w:val="0"/>
                    <w:snapToGrid w:val="0"/>
                    <w:spacing w:line="220" w:lineRule="exact"/>
                    <w:jc w:val="center"/>
                    <w:rPr>
                      <w:spacing w:val="-10"/>
                      <w:szCs w:val="21"/>
                    </w:rPr>
                  </w:pPr>
                  <w:r>
                    <w:rPr>
                      <w:spacing w:val="-10"/>
                      <w:szCs w:val="21"/>
                    </w:rPr>
                    <w:t>厂界2.0</w:t>
                  </w:r>
                </w:p>
              </w:tc>
              <w:tc>
                <w:tcPr>
                  <w:tcW w:w="256" w:type="pct"/>
                  <w:vAlign w:val="center"/>
                </w:tcPr>
                <w:p>
                  <w:pPr>
                    <w:adjustRightInd w:val="0"/>
                    <w:snapToGrid w:val="0"/>
                    <w:spacing w:line="240" w:lineRule="exact"/>
                    <w:jc w:val="center"/>
                    <w:rPr>
                      <w:spacing w:val="-10"/>
                      <w:szCs w:val="21"/>
                    </w:rPr>
                  </w:pPr>
                  <w:r>
                    <w:rPr>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continue"/>
                  <w:vAlign w:val="center"/>
                </w:tcPr>
                <w:p>
                  <w:pPr>
                    <w:adjustRightInd w:val="0"/>
                    <w:snapToGrid w:val="0"/>
                    <w:spacing w:line="240" w:lineRule="exact"/>
                    <w:jc w:val="center"/>
                    <w:rPr>
                      <w:spacing w:val="-10"/>
                      <w:szCs w:val="21"/>
                    </w:rPr>
                  </w:pP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Merge w:val="continue"/>
                  <w:vAlign w:val="center"/>
                </w:tcPr>
                <w:p>
                  <w:pPr>
                    <w:adjustRightInd w:val="0"/>
                    <w:snapToGrid w:val="0"/>
                    <w:spacing w:line="240" w:lineRule="exact"/>
                    <w:jc w:val="center"/>
                    <w:rPr>
                      <w:spacing w:val="-10"/>
                      <w:szCs w:val="21"/>
                    </w:rPr>
                  </w:pPr>
                </w:p>
              </w:tc>
              <w:tc>
                <w:tcPr>
                  <w:tcW w:w="347" w:type="pct"/>
                  <w:vMerge w:val="continue"/>
                  <w:vAlign w:val="center"/>
                </w:tcPr>
                <w:p>
                  <w:pPr>
                    <w:adjustRightInd w:val="0"/>
                    <w:snapToGrid w:val="0"/>
                    <w:spacing w:line="240" w:lineRule="exact"/>
                    <w:jc w:val="center"/>
                    <w:rPr>
                      <w:spacing w:val="-10"/>
                      <w:szCs w:val="21"/>
                    </w:rPr>
                  </w:pPr>
                </w:p>
              </w:tc>
              <w:tc>
                <w:tcPr>
                  <w:tcW w:w="971" w:type="pct"/>
                  <w:gridSpan w:val="2"/>
                  <w:vMerge w:val="continue"/>
                  <w:vAlign w:val="center"/>
                </w:tcPr>
                <w:p>
                  <w:pPr>
                    <w:adjustRightInd w:val="0"/>
                    <w:snapToGrid w:val="0"/>
                    <w:spacing w:line="240" w:lineRule="exact"/>
                    <w:jc w:val="center"/>
                    <w:rPr>
                      <w:spacing w:val="-10"/>
                      <w:szCs w:val="21"/>
                    </w:rPr>
                  </w:pPr>
                </w:p>
              </w:tc>
              <w:tc>
                <w:tcPr>
                  <w:tcW w:w="297" w:type="pct"/>
                  <w:vMerge w:val="continue"/>
                  <w:vAlign w:val="center"/>
                </w:tcPr>
                <w:p>
                  <w:pPr>
                    <w:adjustRightInd w:val="0"/>
                    <w:snapToGrid w:val="0"/>
                    <w:spacing w:line="240" w:lineRule="exact"/>
                    <w:jc w:val="center"/>
                    <w:rPr>
                      <w:spacing w:val="-10"/>
                      <w:szCs w:val="21"/>
                    </w:rPr>
                  </w:pPr>
                </w:p>
              </w:tc>
              <w:tc>
                <w:tcPr>
                  <w:tcW w:w="334" w:type="pct"/>
                  <w:vMerge w:val="continue"/>
                  <w:vAlign w:val="center"/>
                </w:tcPr>
                <w:p>
                  <w:pPr>
                    <w:adjustRightInd w:val="0"/>
                    <w:snapToGrid w:val="0"/>
                    <w:spacing w:line="240" w:lineRule="exact"/>
                    <w:jc w:val="center"/>
                    <w:rPr>
                      <w:spacing w:val="-10"/>
                      <w:szCs w:val="21"/>
                    </w:rPr>
                  </w:pPr>
                </w:p>
              </w:tc>
              <w:tc>
                <w:tcPr>
                  <w:tcW w:w="343" w:type="pct"/>
                  <w:vMerge w:val="continue"/>
                  <w:vAlign w:val="center"/>
                </w:tcPr>
                <w:p>
                  <w:pPr>
                    <w:adjustRightInd w:val="0"/>
                    <w:snapToGrid w:val="0"/>
                    <w:spacing w:line="240" w:lineRule="exact"/>
                    <w:jc w:val="center"/>
                    <w:rPr>
                      <w:spacing w:val="-10"/>
                      <w:szCs w:val="21"/>
                    </w:rPr>
                  </w:pPr>
                </w:p>
              </w:tc>
              <w:tc>
                <w:tcPr>
                  <w:tcW w:w="301" w:type="pct"/>
                  <w:vAlign w:val="center"/>
                </w:tcPr>
                <w:p>
                  <w:pPr>
                    <w:adjustRightInd w:val="0"/>
                    <w:snapToGrid w:val="0"/>
                    <w:spacing w:line="220" w:lineRule="exact"/>
                    <w:jc w:val="center"/>
                    <w:rPr>
                      <w:spacing w:val="-10"/>
                      <w:szCs w:val="21"/>
                    </w:rPr>
                  </w:pPr>
                  <w:r>
                    <w:rPr>
                      <w:spacing w:val="-23"/>
                      <w:szCs w:val="21"/>
                    </w:rPr>
                    <w:t>厂区内1h平均6.0</w:t>
                  </w:r>
                </w:p>
              </w:tc>
              <w:tc>
                <w:tcPr>
                  <w:tcW w:w="256" w:type="pct"/>
                  <w:vAlign w:val="center"/>
                </w:tcPr>
                <w:p>
                  <w:pPr>
                    <w:adjustRightInd w:val="0"/>
                    <w:snapToGrid w:val="0"/>
                    <w:spacing w:line="240" w:lineRule="exact"/>
                    <w:jc w:val="center"/>
                    <w:rPr>
                      <w:spacing w:val="-10"/>
                      <w:szCs w:val="21"/>
                    </w:rPr>
                  </w:pPr>
                  <w:r>
                    <w:rPr>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74" w:type="pct"/>
                  <w:gridSpan w:val="2"/>
                  <w:vMerge w:val="continue"/>
                  <w:vAlign w:val="center"/>
                </w:tcPr>
                <w:p>
                  <w:pPr>
                    <w:adjustRightInd w:val="0"/>
                    <w:snapToGrid w:val="0"/>
                    <w:spacing w:line="240" w:lineRule="exact"/>
                    <w:jc w:val="center"/>
                    <w:rPr>
                      <w:spacing w:val="-10"/>
                      <w:szCs w:val="21"/>
                    </w:rPr>
                  </w:pPr>
                </w:p>
              </w:tc>
              <w:tc>
                <w:tcPr>
                  <w:tcW w:w="333" w:type="pct"/>
                  <w:vMerge w:val="continue"/>
                  <w:vAlign w:val="center"/>
                </w:tcPr>
                <w:p>
                  <w:pPr>
                    <w:adjustRightInd w:val="0"/>
                    <w:snapToGrid w:val="0"/>
                    <w:spacing w:line="240" w:lineRule="exact"/>
                    <w:jc w:val="center"/>
                    <w:rPr>
                      <w:spacing w:val="-10"/>
                      <w:szCs w:val="21"/>
                    </w:rPr>
                  </w:pPr>
                </w:p>
              </w:tc>
              <w:tc>
                <w:tcPr>
                  <w:tcW w:w="283" w:type="pct"/>
                  <w:vMerge w:val="continue"/>
                  <w:vAlign w:val="center"/>
                </w:tcPr>
                <w:p>
                  <w:pPr>
                    <w:adjustRightInd w:val="0"/>
                    <w:snapToGrid w:val="0"/>
                    <w:spacing w:line="240" w:lineRule="exact"/>
                    <w:jc w:val="center"/>
                    <w:rPr>
                      <w:spacing w:val="-10"/>
                      <w:szCs w:val="21"/>
                    </w:rPr>
                  </w:pPr>
                </w:p>
              </w:tc>
              <w:tc>
                <w:tcPr>
                  <w:tcW w:w="744" w:type="pct"/>
                  <w:gridSpan w:val="2"/>
                  <w:vMerge w:val="continue"/>
                  <w:vAlign w:val="center"/>
                </w:tcPr>
                <w:p>
                  <w:pPr>
                    <w:adjustRightInd w:val="0"/>
                    <w:snapToGrid w:val="0"/>
                    <w:spacing w:line="240" w:lineRule="exact"/>
                    <w:jc w:val="center"/>
                    <w:rPr>
                      <w:spacing w:val="-10"/>
                      <w:szCs w:val="21"/>
                    </w:rPr>
                  </w:pPr>
                </w:p>
              </w:tc>
              <w:tc>
                <w:tcPr>
                  <w:tcW w:w="311" w:type="pct"/>
                  <w:vMerge w:val="continue"/>
                  <w:vAlign w:val="center"/>
                </w:tcPr>
                <w:p>
                  <w:pPr>
                    <w:adjustRightInd w:val="0"/>
                    <w:snapToGrid w:val="0"/>
                    <w:spacing w:line="240" w:lineRule="exact"/>
                    <w:jc w:val="center"/>
                    <w:rPr>
                      <w:spacing w:val="-10"/>
                      <w:szCs w:val="21"/>
                    </w:rPr>
                  </w:pPr>
                </w:p>
              </w:tc>
              <w:tc>
                <w:tcPr>
                  <w:tcW w:w="347" w:type="pct"/>
                  <w:vMerge w:val="continue"/>
                  <w:vAlign w:val="center"/>
                </w:tcPr>
                <w:p>
                  <w:pPr>
                    <w:adjustRightInd w:val="0"/>
                    <w:snapToGrid w:val="0"/>
                    <w:spacing w:line="240" w:lineRule="exact"/>
                    <w:jc w:val="center"/>
                    <w:rPr>
                      <w:spacing w:val="-10"/>
                      <w:szCs w:val="21"/>
                    </w:rPr>
                  </w:pPr>
                </w:p>
              </w:tc>
              <w:tc>
                <w:tcPr>
                  <w:tcW w:w="971" w:type="pct"/>
                  <w:gridSpan w:val="2"/>
                  <w:vMerge w:val="continue"/>
                  <w:vAlign w:val="center"/>
                </w:tcPr>
                <w:p>
                  <w:pPr>
                    <w:adjustRightInd w:val="0"/>
                    <w:snapToGrid w:val="0"/>
                    <w:spacing w:line="240" w:lineRule="exact"/>
                    <w:jc w:val="center"/>
                    <w:rPr>
                      <w:spacing w:val="-10"/>
                      <w:szCs w:val="21"/>
                    </w:rPr>
                  </w:pPr>
                </w:p>
              </w:tc>
              <w:tc>
                <w:tcPr>
                  <w:tcW w:w="297" w:type="pct"/>
                  <w:vMerge w:val="continue"/>
                  <w:vAlign w:val="center"/>
                </w:tcPr>
                <w:p>
                  <w:pPr>
                    <w:adjustRightInd w:val="0"/>
                    <w:snapToGrid w:val="0"/>
                    <w:spacing w:line="240" w:lineRule="exact"/>
                    <w:jc w:val="center"/>
                    <w:rPr>
                      <w:spacing w:val="-10"/>
                      <w:szCs w:val="21"/>
                    </w:rPr>
                  </w:pPr>
                </w:p>
              </w:tc>
              <w:tc>
                <w:tcPr>
                  <w:tcW w:w="334" w:type="pct"/>
                  <w:vMerge w:val="continue"/>
                  <w:vAlign w:val="center"/>
                </w:tcPr>
                <w:p>
                  <w:pPr>
                    <w:adjustRightInd w:val="0"/>
                    <w:snapToGrid w:val="0"/>
                    <w:spacing w:line="240" w:lineRule="exact"/>
                    <w:jc w:val="center"/>
                    <w:rPr>
                      <w:spacing w:val="-10"/>
                      <w:szCs w:val="21"/>
                    </w:rPr>
                  </w:pPr>
                </w:p>
              </w:tc>
              <w:tc>
                <w:tcPr>
                  <w:tcW w:w="343" w:type="pct"/>
                  <w:vMerge w:val="continue"/>
                  <w:vAlign w:val="center"/>
                </w:tcPr>
                <w:p>
                  <w:pPr>
                    <w:adjustRightInd w:val="0"/>
                    <w:snapToGrid w:val="0"/>
                    <w:spacing w:line="240" w:lineRule="exact"/>
                    <w:jc w:val="center"/>
                    <w:rPr>
                      <w:spacing w:val="-10"/>
                      <w:szCs w:val="21"/>
                    </w:rPr>
                  </w:pPr>
                </w:p>
              </w:tc>
              <w:tc>
                <w:tcPr>
                  <w:tcW w:w="301" w:type="pct"/>
                  <w:vAlign w:val="center"/>
                </w:tcPr>
                <w:p>
                  <w:pPr>
                    <w:adjustRightInd w:val="0"/>
                    <w:snapToGrid w:val="0"/>
                    <w:spacing w:line="220" w:lineRule="exact"/>
                    <w:jc w:val="center"/>
                    <w:rPr>
                      <w:spacing w:val="-10"/>
                      <w:szCs w:val="21"/>
                    </w:rPr>
                  </w:pPr>
                  <w:r>
                    <w:rPr>
                      <w:spacing w:val="-23"/>
                      <w:szCs w:val="21"/>
                    </w:rPr>
                    <w:t>厂区内任意一次浓度值20</w:t>
                  </w:r>
                </w:p>
              </w:tc>
              <w:tc>
                <w:tcPr>
                  <w:tcW w:w="256" w:type="pct"/>
                  <w:vAlign w:val="center"/>
                </w:tcPr>
                <w:p>
                  <w:pPr>
                    <w:adjustRightInd w:val="0"/>
                    <w:snapToGrid w:val="0"/>
                    <w:spacing w:line="240" w:lineRule="exact"/>
                    <w:jc w:val="center"/>
                    <w:rPr>
                      <w:spacing w:val="-10"/>
                      <w:szCs w:val="21"/>
                    </w:rPr>
                  </w:pPr>
                  <w:r>
                    <w:rPr>
                      <w:spacing w:val="-10"/>
                      <w:szCs w:val="21"/>
                    </w:rPr>
                    <w:t>--</w:t>
                  </w:r>
                </w:p>
              </w:tc>
            </w:tr>
          </w:tbl>
          <w:p>
            <w:pPr>
              <w:adjustRightInd w:val="0"/>
              <w:snapToGrid w:val="0"/>
              <w:spacing w:line="360" w:lineRule="auto"/>
              <w:ind w:firstLine="480" w:firstLineChars="200"/>
              <w:rPr>
                <w:sz w:val="24"/>
              </w:rPr>
            </w:pPr>
          </w:p>
        </w:tc>
      </w:tr>
    </w:tbl>
    <w:p>
      <w:pPr>
        <w:adjustRightInd w:val="0"/>
        <w:snapToGrid w:val="0"/>
        <w:jc w:val="center"/>
        <w:rPr>
          <w:bCs/>
          <w:sz w:val="24"/>
        </w:rPr>
        <w:sectPr>
          <w:pgSz w:w="16840" w:h="11907" w:orient="landscape"/>
          <w:pgMar w:top="1531" w:right="1701" w:bottom="1531" w:left="2127" w:header="851" w:footer="851" w:gutter="0"/>
          <w:cols w:space="720" w:num="1"/>
          <w:docGrid w:linePitch="312" w:charSpace="0"/>
        </w:sectPr>
      </w:pPr>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5" w:hRule="atLeast"/>
          <w:jc w:val="center"/>
        </w:trPr>
        <w:tc>
          <w:tcPr>
            <w:tcW w:w="272" w:type="dxa"/>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709" w:type="dxa"/>
            <w:vAlign w:val="center"/>
          </w:tcPr>
          <w:p>
            <w:pPr>
              <w:adjustRightInd w:val="0"/>
              <w:snapToGrid w:val="0"/>
              <w:spacing w:line="360" w:lineRule="auto"/>
              <w:ind w:firstLine="480" w:firstLineChars="200"/>
              <w:rPr>
                <w:sz w:val="24"/>
              </w:rPr>
            </w:pPr>
            <w:r>
              <w:rPr>
                <w:sz w:val="24"/>
              </w:rPr>
              <w:t>1.3废气排污口基本情况</w:t>
            </w:r>
          </w:p>
          <w:p>
            <w:pPr>
              <w:adjustRightInd w:val="0"/>
              <w:snapToGrid w:val="0"/>
              <w:spacing w:line="360" w:lineRule="auto"/>
              <w:ind w:firstLine="480" w:firstLineChars="200"/>
              <w:rPr>
                <w:sz w:val="24"/>
              </w:rPr>
            </w:pPr>
            <w:r>
              <w:rPr>
                <w:sz w:val="24"/>
              </w:rPr>
              <w:t>项目排放口基本情况见下表</w:t>
            </w:r>
            <w:r>
              <w:rPr>
                <w:rFonts w:hint="eastAsia"/>
                <w:sz w:val="24"/>
              </w:rPr>
              <w:t>39</w:t>
            </w:r>
            <w:r>
              <w:rPr>
                <w:sz w:val="24"/>
              </w:rPr>
              <w:t>。</w:t>
            </w:r>
          </w:p>
          <w:p>
            <w:pPr>
              <w:adjustRightInd w:val="0"/>
              <w:snapToGrid w:val="0"/>
              <w:jc w:val="center"/>
              <w:rPr>
                <w:b/>
                <w:bCs/>
                <w:sz w:val="24"/>
              </w:rPr>
            </w:pPr>
            <w:r>
              <w:rPr>
                <w:b/>
                <w:bCs/>
                <w:sz w:val="24"/>
              </w:rPr>
              <w:t>表</w:t>
            </w:r>
            <w:r>
              <w:rPr>
                <w:rFonts w:hint="eastAsia"/>
                <w:b/>
                <w:bCs/>
                <w:sz w:val="24"/>
              </w:rPr>
              <w:t>39</w:t>
            </w:r>
            <w:r>
              <w:rPr>
                <w:b/>
                <w:bCs/>
                <w:sz w:val="24"/>
              </w:rPr>
              <w:t xml:space="preserve"> 项目废气排放口基本情况一览表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935"/>
              <w:gridCol w:w="827"/>
              <w:gridCol w:w="1521"/>
              <w:gridCol w:w="1424"/>
              <w:gridCol w:w="994"/>
              <w:gridCol w:w="918"/>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68" w:type="pct"/>
                  <w:vMerge w:val="restart"/>
                  <w:vAlign w:val="center"/>
                </w:tcPr>
                <w:p>
                  <w:pPr>
                    <w:adjustRightInd w:val="0"/>
                    <w:snapToGrid w:val="0"/>
                    <w:jc w:val="center"/>
                    <w:rPr>
                      <w:b/>
                      <w:bCs/>
                      <w:szCs w:val="21"/>
                    </w:rPr>
                  </w:pPr>
                  <w:r>
                    <w:rPr>
                      <w:b/>
                      <w:bCs/>
                      <w:szCs w:val="21"/>
                    </w:rPr>
                    <w:t>污染源</w:t>
                  </w:r>
                </w:p>
                <w:p>
                  <w:pPr>
                    <w:adjustRightInd w:val="0"/>
                    <w:snapToGrid w:val="0"/>
                    <w:jc w:val="center"/>
                    <w:rPr>
                      <w:b/>
                      <w:bCs/>
                      <w:szCs w:val="21"/>
                    </w:rPr>
                  </w:pPr>
                  <w:r>
                    <w:rPr>
                      <w:b/>
                      <w:bCs/>
                      <w:szCs w:val="21"/>
                    </w:rPr>
                    <w:t>名称</w:t>
                  </w:r>
                </w:p>
              </w:tc>
              <w:tc>
                <w:tcPr>
                  <w:tcW w:w="560" w:type="pct"/>
                  <w:vMerge w:val="restart"/>
                  <w:vAlign w:val="center"/>
                </w:tcPr>
                <w:p>
                  <w:pPr>
                    <w:adjustRightInd w:val="0"/>
                    <w:snapToGrid w:val="0"/>
                    <w:jc w:val="center"/>
                    <w:rPr>
                      <w:b/>
                      <w:bCs/>
                      <w:szCs w:val="21"/>
                    </w:rPr>
                  </w:pPr>
                  <w:r>
                    <w:rPr>
                      <w:b/>
                      <w:bCs/>
                      <w:szCs w:val="21"/>
                    </w:rPr>
                    <w:t>编号</w:t>
                  </w:r>
                </w:p>
              </w:tc>
              <w:tc>
                <w:tcPr>
                  <w:tcW w:w="496" w:type="pct"/>
                  <w:vMerge w:val="restart"/>
                  <w:vAlign w:val="center"/>
                </w:tcPr>
                <w:p>
                  <w:pPr>
                    <w:adjustRightInd w:val="0"/>
                    <w:snapToGrid w:val="0"/>
                    <w:jc w:val="center"/>
                    <w:rPr>
                      <w:b/>
                      <w:bCs/>
                      <w:szCs w:val="21"/>
                    </w:rPr>
                  </w:pPr>
                  <w:r>
                    <w:rPr>
                      <w:b/>
                      <w:bCs/>
                      <w:szCs w:val="21"/>
                    </w:rPr>
                    <w:t>类型</w:t>
                  </w:r>
                </w:p>
              </w:tc>
              <w:tc>
                <w:tcPr>
                  <w:tcW w:w="1694" w:type="pct"/>
                  <w:gridSpan w:val="2"/>
                  <w:vAlign w:val="center"/>
                </w:tcPr>
                <w:p>
                  <w:pPr>
                    <w:adjustRightInd w:val="0"/>
                    <w:snapToGrid w:val="0"/>
                    <w:jc w:val="center"/>
                    <w:rPr>
                      <w:b/>
                      <w:bCs/>
                      <w:szCs w:val="21"/>
                    </w:rPr>
                  </w:pPr>
                  <w:r>
                    <w:rPr>
                      <w:b/>
                      <w:bCs/>
                      <w:szCs w:val="21"/>
                    </w:rPr>
                    <w:t>坐标(o)</w:t>
                  </w:r>
                </w:p>
              </w:tc>
              <w:tc>
                <w:tcPr>
                  <w:tcW w:w="1145" w:type="pct"/>
                  <w:gridSpan w:val="2"/>
                  <w:vAlign w:val="center"/>
                </w:tcPr>
                <w:p>
                  <w:pPr>
                    <w:adjustRightInd w:val="0"/>
                    <w:snapToGrid w:val="0"/>
                    <w:jc w:val="center"/>
                    <w:rPr>
                      <w:b/>
                      <w:bCs/>
                      <w:szCs w:val="21"/>
                    </w:rPr>
                  </w:pPr>
                  <w:r>
                    <w:rPr>
                      <w:b/>
                      <w:bCs/>
                      <w:szCs w:val="21"/>
                    </w:rPr>
                    <w:t>排气筒</w:t>
                  </w:r>
                </w:p>
              </w:tc>
              <w:tc>
                <w:tcPr>
                  <w:tcW w:w="434" w:type="pct"/>
                  <w:vMerge w:val="restart"/>
                  <w:vAlign w:val="center"/>
                </w:tcPr>
                <w:p>
                  <w:pPr>
                    <w:adjustRightInd w:val="0"/>
                    <w:snapToGrid w:val="0"/>
                    <w:jc w:val="center"/>
                    <w:rPr>
                      <w:b/>
                      <w:bCs/>
                      <w:szCs w:val="21"/>
                    </w:rPr>
                  </w:pPr>
                  <w:r>
                    <w:rPr>
                      <w:b/>
                      <w:bCs/>
                      <w:szCs w:val="21"/>
                    </w:rPr>
                    <w:t>出口温度/℃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vMerge w:val="continue"/>
                  <w:vAlign w:val="center"/>
                </w:tcPr>
                <w:p>
                  <w:pPr>
                    <w:adjustRightInd w:val="0"/>
                    <w:snapToGrid w:val="0"/>
                    <w:jc w:val="center"/>
                    <w:rPr>
                      <w:szCs w:val="21"/>
                    </w:rPr>
                  </w:pPr>
                </w:p>
              </w:tc>
              <w:tc>
                <w:tcPr>
                  <w:tcW w:w="560" w:type="pct"/>
                  <w:vMerge w:val="continue"/>
                  <w:vAlign w:val="center"/>
                </w:tcPr>
                <w:p>
                  <w:pPr>
                    <w:adjustRightInd w:val="0"/>
                    <w:snapToGrid w:val="0"/>
                    <w:jc w:val="center"/>
                    <w:rPr>
                      <w:szCs w:val="21"/>
                    </w:rPr>
                  </w:pPr>
                </w:p>
              </w:tc>
              <w:tc>
                <w:tcPr>
                  <w:tcW w:w="496" w:type="pct"/>
                  <w:vMerge w:val="continue"/>
                  <w:vAlign w:val="center"/>
                </w:tcPr>
                <w:p>
                  <w:pPr>
                    <w:adjustRightInd w:val="0"/>
                    <w:snapToGrid w:val="0"/>
                    <w:jc w:val="center"/>
                    <w:rPr>
                      <w:szCs w:val="21"/>
                    </w:rPr>
                  </w:pPr>
                </w:p>
              </w:tc>
              <w:tc>
                <w:tcPr>
                  <w:tcW w:w="876" w:type="pct"/>
                  <w:vAlign w:val="center"/>
                </w:tcPr>
                <w:p>
                  <w:pPr>
                    <w:adjustRightInd w:val="0"/>
                    <w:snapToGrid w:val="0"/>
                    <w:jc w:val="center"/>
                    <w:rPr>
                      <w:b/>
                      <w:bCs/>
                      <w:szCs w:val="21"/>
                    </w:rPr>
                  </w:pPr>
                  <w:r>
                    <w:rPr>
                      <w:b/>
                      <w:bCs/>
                      <w:szCs w:val="21"/>
                    </w:rPr>
                    <w:t>经度</w:t>
                  </w:r>
                </w:p>
              </w:tc>
              <w:tc>
                <w:tcPr>
                  <w:tcW w:w="818" w:type="pct"/>
                  <w:vAlign w:val="center"/>
                </w:tcPr>
                <w:p>
                  <w:pPr>
                    <w:adjustRightInd w:val="0"/>
                    <w:snapToGrid w:val="0"/>
                    <w:jc w:val="center"/>
                    <w:rPr>
                      <w:b/>
                      <w:bCs/>
                      <w:szCs w:val="21"/>
                    </w:rPr>
                  </w:pPr>
                  <w:r>
                    <w:rPr>
                      <w:b/>
                      <w:bCs/>
                      <w:szCs w:val="21"/>
                    </w:rPr>
                    <w:t>纬度</w:t>
                  </w:r>
                </w:p>
              </w:tc>
              <w:tc>
                <w:tcPr>
                  <w:tcW w:w="595" w:type="pct"/>
                  <w:vAlign w:val="center"/>
                </w:tcPr>
                <w:p>
                  <w:pPr>
                    <w:adjustRightInd w:val="0"/>
                    <w:snapToGrid w:val="0"/>
                    <w:jc w:val="center"/>
                    <w:rPr>
                      <w:szCs w:val="21"/>
                    </w:rPr>
                  </w:pPr>
                  <w:r>
                    <w:rPr>
                      <w:b/>
                      <w:bCs/>
                      <w:szCs w:val="21"/>
                    </w:rPr>
                    <w:t>高度/m</w:t>
                  </w:r>
                </w:p>
              </w:tc>
              <w:tc>
                <w:tcPr>
                  <w:tcW w:w="550" w:type="pct"/>
                  <w:vAlign w:val="center"/>
                </w:tcPr>
                <w:p>
                  <w:pPr>
                    <w:adjustRightInd w:val="0"/>
                    <w:snapToGrid w:val="0"/>
                    <w:jc w:val="center"/>
                    <w:rPr>
                      <w:szCs w:val="21"/>
                    </w:rPr>
                  </w:pPr>
                  <w:r>
                    <w:rPr>
                      <w:b/>
                      <w:bCs/>
                      <w:szCs w:val="21"/>
                    </w:rPr>
                    <w:t>内径/m</w:t>
                  </w:r>
                </w:p>
              </w:tc>
              <w:tc>
                <w:tcPr>
                  <w:tcW w:w="434"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68" w:type="pct"/>
                  <w:vAlign w:val="center"/>
                </w:tcPr>
                <w:p>
                  <w:pPr>
                    <w:adjustRightInd w:val="0"/>
                    <w:snapToGrid w:val="0"/>
                    <w:jc w:val="center"/>
                    <w:rPr>
                      <w:szCs w:val="21"/>
                    </w:rPr>
                  </w:pPr>
                  <w:r>
                    <w:rPr>
                      <w:rFonts w:hint="eastAsia"/>
                      <w:szCs w:val="21"/>
                    </w:rPr>
                    <w:t>焊接机切割工序废气排气筒</w:t>
                  </w:r>
                </w:p>
              </w:tc>
              <w:tc>
                <w:tcPr>
                  <w:tcW w:w="560" w:type="pct"/>
                  <w:vAlign w:val="center"/>
                </w:tcPr>
                <w:p>
                  <w:pPr>
                    <w:adjustRightInd w:val="0"/>
                    <w:snapToGrid w:val="0"/>
                    <w:jc w:val="center"/>
                    <w:rPr>
                      <w:szCs w:val="21"/>
                    </w:rPr>
                  </w:pPr>
                  <w:r>
                    <w:rPr>
                      <w:szCs w:val="21"/>
                    </w:rPr>
                    <w:t>DA001</w:t>
                  </w:r>
                </w:p>
              </w:tc>
              <w:tc>
                <w:tcPr>
                  <w:tcW w:w="496" w:type="pct"/>
                  <w:vAlign w:val="center"/>
                </w:tcPr>
                <w:p>
                  <w:pPr>
                    <w:adjustRightInd w:val="0"/>
                    <w:snapToGrid w:val="0"/>
                    <w:jc w:val="center"/>
                    <w:rPr>
                      <w:szCs w:val="21"/>
                    </w:rPr>
                  </w:pPr>
                  <w:r>
                    <w:rPr>
                      <w:szCs w:val="21"/>
                    </w:rPr>
                    <w:t>一般排放口</w:t>
                  </w:r>
                </w:p>
              </w:tc>
              <w:tc>
                <w:tcPr>
                  <w:tcW w:w="876" w:type="pct"/>
                  <w:vAlign w:val="center"/>
                </w:tcPr>
                <w:p>
                  <w:pPr>
                    <w:adjustRightInd w:val="0"/>
                    <w:snapToGrid w:val="0"/>
                    <w:jc w:val="center"/>
                    <w:rPr>
                      <w:szCs w:val="21"/>
                    </w:rPr>
                  </w:pPr>
                  <w:r>
                    <w:rPr>
                      <w:rFonts w:hint="eastAsia"/>
                      <w:szCs w:val="21"/>
                    </w:rPr>
                    <w:t>115.292040911</w:t>
                  </w:r>
                </w:p>
              </w:tc>
              <w:tc>
                <w:tcPr>
                  <w:tcW w:w="818" w:type="pct"/>
                  <w:vAlign w:val="center"/>
                </w:tcPr>
                <w:p>
                  <w:pPr>
                    <w:adjustRightInd w:val="0"/>
                    <w:snapToGrid w:val="0"/>
                    <w:jc w:val="center"/>
                    <w:rPr>
                      <w:szCs w:val="21"/>
                    </w:rPr>
                  </w:pPr>
                  <w:r>
                    <w:rPr>
                      <w:rFonts w:hint="eastAsia"/>
                      <w:szCs w:val="21"/>
                    </w:rPr>
                    <w:t>37.509254069</w:t>
                  </w:r>
                </w:p>
              </w:tc>
              <w:tc>
                <w:tcPr>
                  <w:tcW w:w="595" w:type="pct"/>
                  <w:vAlign w:val="center"/>
                </w:tcPr>
                <w:p>
                  <w:pPr>
                    <w:adjustRightInd w:val="0"/>
                    <w:snapToGrid w:val="0"/>
                    <w:jc w:val="center"/>
                    <w:rPr>
                      <w:szCs w:val="21"/>
                    </w:rPr>
                  </w:pPr>
                  <w:r>
                    <w:rPr>
                      <w:rFonts w:hint="eastAsia"/>
                      <w:szCs w:val="21"/>
                    </w:rPr>
                    <w:t>20</w:t>
                  </w:r>
                </w:p>
              </w:tc>
              <w:tc>
                <w:tcPr>
                  <w:tcW w:w="550" w:type="pct"/>
                  <w:vAlign w:val="center"/>
                </w:tcPr>
                <w:p>
                  <w:pPr>
                    <w:adjustRightInd w:val="0"/>
                    <w:snapToGrid w:val="0"/>
                    <w:jc w:val="center"/>
                    <w:rPr>
                      <w:szCs w:val="21"/>
                    </w:rPr>
                  </w:pPr>
                  <w:r>
                    <w:rPr>
                      <w:szCs w:val="21"/>
                    </w:rPr>
                    <w:t>0.</w:t>
                  </w:r>
                  <w:r>
                    <w:rPr>
                      <w:rFonts w:hint="eastAsia"/>
                      <w:szCs w:val="21"/>
                    </w:rPr>
                    <w:t>4</w:t>
                  </w:r>
                </w:p>
              </w:tc>
              <w:tc>
                <w:tcPr>
                  <w:tcW w:w="434" w:type="pct"/>
                  <w:vAlign w:val="center"/>
                </w:tcPr>
                <w:p>
                  <w:pPr>
                    <w:adjustRightInd w:val="0"/>
                    <w:snapToGrid w:val="0"/>
                    <w:jc w:val="center"/>
                    <w:rPr>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68" w:type="pct"/>
                  <w:vAlign w:val="center"/>
                </w:tcPr>
                <w:p>
                  <w:pPr>
                    <w:adjustRightInd w:val="0"/>
                    <w:snapToGrid w:val="0"/>
                    <w:jc w:val="center"/>
                    <w:rPr>
                      <w:szCs w:val="21"/>
                    </w:rPr>
                  </w:pPr>
                  <w:r>
                    <w:rPr>
                      <w:rFonts w:hint="eastAsia"/>
                      <w:szCs w:val="21"/>
                    </w:rPr>
                    <w:t>喷涂工序</w:t>
                  </w:r>
                  <w:r>
                    <w:rPr>
                      <w:szCs w:val="21"/>
                    </w:rPr>
                    <w:t>废气排气筒</w:t>
                  </w:r>
                </w:p>
              </w:tc>
              <w:tc>
                <w:tcPr>
                  <w:tcW w:w="560" w:type="pct"/>
                  <w:vAlign w:val="center"/>
                </w:tcPr>
                <w:p>
                  <w:pPr>
                    <w:adjustRightInd w:val="0"/>
                    <w:snapToGrid w:val="0"/>
                    <w:jc w:val="center"/>
                    <w:rPr>
                      <w:szCs w:val="21"/>
                    </w:rPr>
                  </w:pPr>
                  <w:r>
                    <w:rPr>
                      <w:szCs w:val="21"/>
                    </w:rPr>
                    <w:t>DA00</w:t>
                  </w:r>
                  <w:r>
                    <w:rPr>
                      <w:rFonts w:hint="eastAsia"/>
                      <w:szCs w:val="21"/>
                    </w:rPr>
                    <w:t>2</w:t>
                  </w:r>
                </w:p>
              </w:tc>
              <w:tc>
                <w:tcPr>
                  <w:tcW w:w="496" w:type="pct"/>
                  <w:vAlign w:val="center"/>
                </w:tcPr>
                <w:p>
                  <w:pPr>
                    <w:adjustRightInd w:val="0"/>
                    <w:snapToGrid w:val="0"/>
                    <w:jc w:val="center"/>
                    <w:rPr>
                      <w:szCs w:val="21"/>
                    </w:rPr>
                  </w:pPr>
                  <w:r>
                    <w:rPr>
                      <w:szCs w:val="21"/>
                    </w:rPr>
                    <w:t>一般排放口</w:t>
                  </w:r>
                </w:p>
              </w:tc>
              <w:tc>
                <w:tcPr>
                  <w:tcW w:w="876" w:type="pct"/>
                  <w:vAlign w:val="center"/>
                </w:tcPr>
                <w:p>
                  <w:pPr>
                    <w:adjustRightInd w:val="0"/>
                    <w:snapToGrid w:val="0"/>
                    <w:jc w:val="center"/>
                    <w:rPr>
                      <w:szCs w:val="21"/>
                    </w:rPr>
                  </w:pPr>
                  <w:r>
                    <w:rPr>
                      <w:rFonts w:hint="eastAsia"/>
                      <w:szCs w:val="21"/>
                    </w:rPr>
                    <w:t>115.291890708</w:t>
                  </w:r>
                </w:p>
              </w:tc>
              <w:tc>
                <w:tcPr>
                  <w:tcW w:w="818" w:type="pct"/>
                  <w:vAlign w:val="center"/>
                </w:tcPr>
                <w:p>
                  <w:pPr>
                    <w:adjustRightInd w:val="0"/>
                    <w:snapToGrid w:val="0"/>
                    <w:jc w:val="center"/>
                    <w:rPr>
                      <w:szCs w:val="21"/>
                    </w:rPr>
                  </w:pPr>
                  <w:r>
                    <w:rPr>
                      <w:rFonts w:hint="eastAsia"/>
                      <w:szCs w:val="21"/>
                    </w:rPr>
                    <w:t>37.509833425</w:t>
                  </w:r>
                </w:p>
              </w:tc>
              <w:tc>
                <w:tcPr>
                  <w:tcW w:w="595" w:type="pct"/>
                  <w:vAlign w:val="center"/>
                </w:tcPr>
                <w:p>
                  <w:pPr>
                    <w:adjustRightInd w:val="0"/>
                    <w:snapToGrid w:val="0"/>
                    <w:jc w:val="center"/>
                    <w:rPr>
                      <w:szCs w:val="21"/>
                    </w:rPr>
                  </w:pPr>
                  <w:r>
                    <w:rPr>
                      <w:rFonts w:hint="eastAsia"/>
                      <w:szCs w:val="21"/>
                    </w:rPr>
                    <w:t>20</w:t>
                  </w:r>
                </w:p>
              </w:tc>
              <w:tc>
                <w:tcPr>
                  <w:tcW w:w="550" w:type="pct"/>
                  <w:vAlign w:val="center"/>
                </w:tcPr>
                <w:p>
                  <w:pPr>
                    <w:adjustRightInd w:val="0"/>
                    <w:snapToGrid w:val="0"/>
                    <w:jc w:val="center"/>
                    <w:rPr>
                      <w:szCs w:val="21"/>
                    </w:rPr>
                  </w:pPr>
                  <w:r>
                    <w:rPr>
                      <w:rFonts w:hint="eastAsia"/>
                      <w:szCs w:val="21"/>
                    </w:rPr>
                    <w:t>0.5</w:t>
                  </w:r>
                </w:p>
              </w:tc>
              <w:tc>
                <w:tcPr>
                  <w:tcW w:w="434" w:type="pct"/>
                  <w:vAlign w:val="center"/>
                </w:tcPr>
                <w:p>
                  <w:pPr>
                    <w:adjustRightInd w:val="0"/>
                    <w:snapToGrid w:val="0"/>
                    <w:jc w:val="center"/>
                    <w:rPr>
                      <w:szCs w:val="21"/>
                    </w:rPr>
                  </w:pPr>
                  <w:r>
                    <w:rPr>
                      <w:rFonts w:hint="eastAsia"/>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68" w:type="pct"/>
                  <w:vAlign w:val="center"/>
                </w:tcPr>
                <w:p>
                  <w:pPr>
                    <w:adjustRightInd w:val="0"/>
                    <w:snapToGrid w:val="0"/>
                    <w:jc w:val="center"/>
                    <w:rPr>
                      <w:szCs w:val="21"/>
                    </w:rPr>
                  </w:pPr>
                  <w:r>
                    <w:rPr>
                      <w:rFonts w:hint="eastAsia"/>
                      <w:szCs w:val="21"/>
                    </w:rPr>
                    <w:t>天然气燃烧废气及固化废气排气筒</w:t>
                  </w:r>
                </w:p>
              </w:tc>
              <w:tc>
                <w:tcPr>
                  <w:tcW w:w="560" w:type="pct"/>
                  <w:vAlign w:val="center"/>
                </w:tcPr>
                <w:p>
                  <w:pPr>
                    <w:adjustRightInd w:val="0"/>
                    <w:snapToGrid w:val="0"/>
                    <w:jc w:val="center"/>
                    <w:rPr>
                      <w:szCs w:val="21"/>
                    </w:rPr>
                  </w:pPr>
                  <w:r>
                    <w:rPr>
                      <w:rFonts w:hint="eastAsia"/>
                      <w:szCs w:val="21"/>
                    </w:rPr>
                    <w:t>DA003</w:t>
                  </w:r>
                </w:p>
              </w:tc>
              <w:tc>
                <w:tcPr>
                  <w:tcW w:w="496" w:type="pct"/>
                  <w:vAlign w:val="center"/>
                </w:tcPr>
                <w:p>
                  <w:pPr>
                    <w:adjustRightInd w:val="0"/>
                    <w:snapToGrid w:val="0"/>
                    <w:jc w:val="center"/>
                    <w:rPr>
                      <w:szCs w:val="21"/>
                    </w:rPr>
                  </w:pPr>
                  <w:r>
                    <w:rPr>
                      <w:rFonts w:hint="eastAsia"/>
                      <w:szCs w:val="21"/>
                    </w:rPr>
                    <w:t>一般排放口</w:t>
                  </w:r>
                </w:p>
              </w:tc>
              <w:tc>
                <w:tcPr>
                  <w:tcW w:w="876" w:type="pct"/>
                  <w:vAlign w:val="center"/>
                </w:tcPr>
                <w:p>
                  <w:pPr>
                    <w:adjustRightInd w:val="0"/>
                    <w:snapToGrid w:val="0"/>
                    <w:jc w:val="center"/>
                    <w:rPr>
                      <w:szCs w:val="21"/>
                    </w:rPr>
                  </w:pPr>
                  <w:r>
                    <w:rPr>
                      <w:szCs w:val="21"/>
                    </w:rPr>
                    <w:t>115.291338172</w:t>
                  </w:r>
                </w:p>
              </w:tc>
              <w:tc>
                <w:tcPr>
                  <w:tcW w:w="818" w:type="pct"/>
                  <w:vAlign w:val="center"/>
                </w:tcPr>
                <w:p>
                  <w:pPr>
                    <w:adjustRightInd w:val="0"/>
                    <w:snapToGrid w:val="0"/>
                    <w:jc w:val="center"/>
                    <w:rPr>
                      <w:szCs w:val="21"/>
                    </w:rPr>
                  </w:pPr>
                  <w:r>
                    <w:rPr>
                      <w:szCs w:val="21"/>
                    </w:rPr>
                    <w:t>37.509854883</w:t>
                  </w:r>
                </w:p>
              </w:tc>
              <w:tc>
                <w:tcPr>
                  <w:tcW w:w="595" w:type="pct"/>
                  <w:vAlign w:val="center"/>
                </w:tcPr>
                <w:p>
                  <w:pPr>
                    <w:adjustRightInd w:val="0"/>
                    <w:snapToGrid w:val="0"/>
                    <w:jc w:val="center"/>
                    <w:rPr>
                      <w:szCs w:val="21"/>
                    </w:rPr>
                  </w:pPr>
                  <w:r>
                    <w:rPr>
                      <w:rFonts w:hint="eastAsia"/>
                      <w:szCs w:val="21"/>
                    </w:rPr>
                    <w:t>20</w:t>
                  </w:r>
                </w:p>
              </w:tc>
              <w:tc>
                <w:tcPr>
                  <w:tcW w:w="550" w:type="pct"/>
                  <w:vAlign w:val="center"/>
                </w:tcPr>
                <w:p>
                  <w:pPr>
                    <w:adjustRightInd w:val="0"/>
                    <w:snapToGrid w:val="0"/>
                    <w:jc w:val="center"/>
                    <w:rPr>
                      <w:szCs w:val="21"/>
                    </w:rPr>
                  </w:pPr>
                  <w:r>
                    <w:rPr>
                      <w:rFonts w:hint="eastAsia"/>
                      <w:szCs w:val="21"/>
                    </w:rPr>
                    <w:t>0.5</w:t>
                  </w:r>
                </w:p>
              </w:tc>
              <w:tc>
                <w:tcPr>
                  <w:tcW w:w="434" w:type="pct"/>
                  <w:vAlign w:val="center"/>
                </w:tcPr>
                <w:p>
                  <w:pPr>
                    <w:adjustRightInd w:val="0"/>
                    <w:snapToGrid w:val="0"/>
                    <w:jc w:val="center"/>
                    <w:rPr>
                      <w:szCs w:val="21"/>
                    </w:rPr>
                  </w:pPr>
                  <w:r>
                    <w:rPr>
                      <w:rFonts w:hint="eastAsia"/>
                      <w:szCs w:val="21"/>
                    </w:rPr>
                    <w:t>60</w:t>
                  </w:r>
                </w:p>
              </w:tc>
            </w:tr>
          </w:tbl>
          <w:p>
            <w:pPr>
              <w:spacing w:line="360" w:lineRule="auto"/>
              <w:ind w:firstLine="480" w:firstLineChars="200"/>
              <w:rPr>
                <w:sz w:val="24"/>
              </w:rPr>
            </w:pPr>
            <w:r>
              <w:rPr>
                <w:sz w:val="24"/>
              </w:rPr>
              <w:t>1.4监测计划</w:t>
            </w:r>
          </w:p>
          <w:p>
            <w:pPr>
              <w:pStyle w:val="2"/>
            </w:pPr>
            <w:r>
              <w:t xml:space="preserve">根据《排污许可证申请与核发技术规范 总则》（HJ942-2018）、《排污单位自行监测技术指南 </w:t>
            </w:r>
            <w:r>
              <w:rPr>
                <w:rFonts w:hint="eastAsia"/>
              </w:rPr>
              <w:t>涂装</w:t>
            </w:r>
            <w:r>
              <w:t>》（HJ</w:t>
            </w:r>
            <w:r>
              <w:rPr>
                <w:rFonts w:hint="eastAsia"/>
              </w:rPr>
              <w:t>1086-2020</w:t>
            </w:r>
            <w:r>
              <w:t>），确定本项目废气排污口情况及监测计划如下表</w:t>
            </w:r>
            <w:r>
              <w:rPr>
                <w:rFonts w:hint="eastAsia"/>
              </w:rPr>
              <w:t>40</w:t>
            </w:r>
            <w:r>
              <w:t>。</w:t>
            </w:r>
          </w:p>
          <w:p>
            <w:pPr>
              <w:jc w:val="center"/>
              <w:rPr>
                <w:b/>
                <w:bCs/>
                <w:sz w:val="24"/>
              </w:rPr>
            </w:pPr>
            <w:r>
              <w:rPr>
                <w:b/>
                <w:bCs/>
                <w:sz w:val="24"/>
              </w:rPr>
              <w:t>表</w:t>
            </w:r>
            <w:r>
              <w:rPr>
                <w:rFonts w:hint="eastAsia"/>
                <w:b/>
                <w:bCs/>
                <w:sz w:val="24"/>
              </w:rPr>
              <w:t>40</w:t>
            </w:r>
            <w:r>
              <w:rPr>
                <w:b/>
                <w:bCs/>
                <w:sz w:val="24"/>
              </w:rPr>
              <w:t xml:space="preserve">  项目监测要求一览表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281"/>
              <w:gridCol w:w="885"/>
              <w:gridCol w:w="1281"/>
              <w:gridCol w:w="985"/>
              <w:gridCol w:w="3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55" w:type="pct"/>
                  <w:vAlign w:val="center"/>
                </w:tcPr>
                <w:p>
                  <w:pPr>
                    <w:widowControl/>
                    <w:spacing w:line="238" w:lineRule="auto"/>
                    <w:ind w:left="-105" w:leftChars="-50" w:right="-105" w:rightChars="-50"/>
                    <w:jc w:val="center"/>
                    <w:rPr>
                      <w:b/>
                      <w:bCs/>
                      <w:szCs w:val="21"/>
                    </w:rPr>
                  </w:pPr>
                  <w:r>
                    <w:rPr>
                      <w:b/>
                      <w:bCs/>
                      <w:szCs w:val="21"/>
                    </w:rPr>
                    <w:t>序号</w:t>
                  </w:r>
                </w:p>
              </w:tc>
              <w:tc>
                <w:tcPr>
                  <w:tcW w:w="757" w:type="pct"/>
                  <w:vAlign w:val="center"/>
                </w:tcPr>
                <w:p>
                  <w:pPr>
                    <w:widowControl/>
                    <w:spacing w:line="238" w:lineRule="auto"/>
                    <w:jc w:val="center"/>
                    <w:rPr>
                      <w:b/>
                      <w:bCs/>
                      <w:szCs w:val="21"/>
                    </w:rPr>
                  </w:pPr>
                  <w:r>
                    <w:rPr>
                      <w:b/>
                      <w:bCs/>
                      <w:szCs w:val="21"/>
                    </w:rPr>
                    <w:t>监测项目</w:t>
                  </w:r>
                </w:p>
              </w:tc>
              <w:tc>
                <w:tcPr>
                  <w:tcW w:w="523" w:type="pct"/>
                  <w:vAlign w:val="center"/>
                </w:tcPr>
                <w:p>
                  <w:pPr>
                    <w:widowControl/>
                    <w:spacing w:line="238" w:lineRule="auto"/>
                    <w:jc w:val="center"/>
                    <w:rPr>
                      <w:b/>
                      <w:bCs/>
                      <w:szCs w:val="21"/>
                    </w:rPr>
                  </w:pPr>
                  <w:r>
                    <w:rPr>
                      <w:b/>
                      <w:bCs/>
                      <w:szCs w:val="21"/>
                    </w:rPr>
                    <w:t>监测</w:t>
                  </w:r>
                </w:p>
                <w:p>
                  <w:pPr>
                    <w:widowControl/>
                    <w:spacing w:line="238" w:lineRule="auto"/>
                    <w:jc w:val="center"/>
                    <w:rPr>
                      <w:b/>
                      <w:bCs/>
                      <w:szCs w:val="21"/>
                    </w:rPr>
                  </w:pPr>
                  <w:r>
                    <w:rPr>
                      <w:b/>
                      <w:bCs/>
                      <w:szCs w:val="21"/>
                    </w:rPr>
                    <w:t>因子</w:t>
                  </w:r>
                </w:p>
              </w:tc>
              <w:tc>
                <w:tcPr>
                  <w:tcW w:w="757" w:type="pct"/>
                  <w:vAlign w:val="center"/>
                </w:tcPr>
                <w:p>
                  <w:pPr>
                    <w:widowControl/>
                    <w:spacing w:line="238" w:lineRule="auto"/>
                    <w:jc w:val="center"/>
                    <w:rPr>
                      <w:b/>
                      <w:bCs/>
                      <w:szCs w:val="21"/>
                    </w:rPr>
                  </w:pPr>
                  <w:r>
                    <w:rPr>
                      <w:b/>
                      <w:bCs/>
                      <w:szCs w:val="21"/>
                    </w:rPr>
                    <w:t>采样位置</w:t>
                  </w:r>
                </w:p>
              </w:tc>
              <w:tc>
                <w:tcPr>
                  <w:tcW w:w="582" w:type="pct"/>
                  <w:vAlign w:val="center"/>
                </w:tcPr>
                <w:p>
                  <w:pPr>
                    <w:widowControl/>
                    <w:spacing w:line="238" w:lineRule="auto"/>
                    <w:ind w:left="-105" w:leftChars="-50" w:right="-105" w:rightChars="-50"/>
                    <w:jc w:val="center"/>
                    <w:rPr>
                      <w:b/>
                      <w:bCs/>
                      <w:szCs w:val="21"/>
                    </w:rPr>
                  </w:pPr>
                  <w:r>
                    <w:rPr>
                      <w:b/>
                      <w:bCs/>
                      <w:szCs w:val="21"/>
                    </w:rPr>
                    <w:t>监测频率</w:t>
                  </w:r>
                </w:p>
              </w:tc>
              <w:tc>
                <w:tcPr>
                  <w:tcW w:w="2123" w:type="pct"/>
                  <w:vAlign w:val="center"/>
                </w:tcPr>
                <w:p>
                  <w:pPr>
                    <w:widowControl/>
                    <w:spacing w:line="238" w:lineRule="auto"/>
                    <w:jc w:val="center"/>
                    <w:rPr>
                      <w:b/>
                      <w:bCs/>
                      <w:szCs w:val="21"/>
                    </w:rPr>
                  </w:pPr>
                  <w:r>
                    <w:rPr>
                      <w:b/>
                      <w:bCs/>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255" w:type="pct"/>
                  <w:vAlign w:val="center"/>
                </w:tcPr>
                <w:p>
                  <w:pPr>
                    <w:widowControl/>
                    <w:spacing w:line="238" w:lineRule="auto"/>
                    <w:jc w:val="center"/>
                    <w:rPr>
                      <w:szCs w:val="21"/>
                    </w:rPr>
                  </w:pPr>
                  <w:r>
                    <w:rPr>
                      <w:szCs w:val="21"/>
                    </w:rPr>
                    <w:t>1</w:t>
                  </w:r>
                </w:p>
              </w:tc>
              <w:tc>
                <w:tcPr>
                  <w:tcW w:w="757" w:type="pct"/>
                  <w:vAlign w:val="center"/>
                </w:tcPr>
                <w:p>
                  <w:pPr>
                    <w:adjustRightInd w:val="0"/>
                    <w:snapToGrid w:val="0"/>
                    <w:jc w:val="center"/>
                    <w:rPr>
                      <w:szCs w:val="21"/>
                    </w:rPr>
                  </w:pPr>
                  <w:r>
                    <w:rPr>
                      <w:rFonts w:hint="eastAsia"/>
                      <w:szCs w:val="21"/>
                    </w:rPr>
                    <w:t>焊接及切割工序排气筒</w:t>
                  </w:r>
                </w:p>
              </w:tc>
              <w:tc>
                <w:tcPr>
                  <w:tcW w:w="523" w:type="pct"/>
                  <w:vAlign w:val="center"/>
                </w:tcPr>
                <w:p>
                  <w:pPr>
                    <w:adjustRightInd w:val="0"/>
                    <w:snapToGrid w:val="0"/>
                    <w:spacing w:line="238" w:lineRule="auto"/>
                    <w:jc w:val="center"/>
                    <w:rPr>
                      <w:szCs w:val="21"/>
                    </w:rPr>
                  </w:pPr>
                  <w:r>
                    <w:rPr>
                      <w:szCs w:val="21"/>
                    </w:rPr>
                    <w:t>颗粒物</w:t>
                  </w:r>
                </w:p>
              </w:tc>
              <w:tc>
                <w:tcPr>
                  <w:tcW w:w="757" w:type="pct"/>
                  <w:vAlign w:val="center"/>
                </w:tcPr>
                <w:p>
                  <w:pPr>
                    <w:widowControl/>
                    <w:spacing w:line="238" w:lineRule="auto"/>
                    <w:jc w:val="center"/>
                    <w:rPr>
                      <w:szCs w:val="21"/>
                    </w:rPr>
                  </w:pPr>
                  <w:r>
                    <w:rPr>
                      <w:szCs w:val="21"/>
                    </w:rPr>
                    <w:t>排气筒（DA001）</w:t>
                  </w:r>
                </w:p>
                <w:p>
                  <w:pPr>
                    <w:widowControl/>
                    <w:spacing w:line="238" w:lineRule="auto"/>
                    <w:jc w:val="center"/>
                    <w:rPr>
                      <w:szCs w:val="21"/>
                    </w:rPr>
                  </w:pPr>
                  <w:r>
                    <w:rPr>
                      <w:szCs w:val="21"/>
                    </w:rPr>
                    <w:t>出口</w:t>
                  </w:r>
                </w:p>
              </w:tc>
              <w:tc>
                <w:tcPr>
                  <w:tcW w:w="582" w:type="pct"/>
                  <w:vAlign w:val="center"/>
                </w:tcPr>
                <w:p>
                  <w:pPr>
                    <w:widowControl/>
                    <w:spacing w:line="238" w:lineRule="auto"/>
                    <w:ind w:left="-105" w:leftChars="-50" w:right="-105" w:rightChars="-50"/>
                    <w:jc w:val="center"/>
                    <w:rPr>
                      <w:szCs w:val="21"/>
                    </w:rPr>
                  </w:pPr>
                  <w:r>
                    <w:rPr>
                      <w:szCs w:val="21"/>
                    </w:rPr>
                    <w:t>1次/年</w:t>
                  </w:r>
                </w:p>
              </w:tc>
              <w:tc>
                <w:tcPr>
                  <w:tcW w:w="2123" w:type="pct"/>
                  <w:vAlign w:val="center"/>
                </w:tcPr>
                <w:p>
                  <w:pPr>
                    <w:widowControl/>
                    <w:spacing w:line="238" w:lineRule="auto"/>
                    <w:jc w:val="center"/>
                    <w:rPr>
                      <w:szCs w:val="21"/>
                    </w:rPr>
                  </w:pPr>
                  <w:r>
                    <w:rPr>
                      <w:szCs w:val="21"/>
                    </w:rPr>
                    <w:t>《大气污染物综合排放标准》（GB16297-1996）表2</w:t>
                  </w:r>
                  <w:r>
                    <w:rPr>
                      <w:rFonts w:hint="eastAsia"/>
                      <w:szCs w:val="21"/>
                    </w:rPr>
                    <w:t>“其他”二级排放</w:t>
                  </w:r>
                  <w:r>
                    <w:rPr>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255" w:type="pct"/>
                  <w:vAlign w:val="center"/>
                </w:tcPr>
                <w:p>
                  <w:pPr>
                    <w:widowControl/>
                    <w:spacing w:line="238" w:lineRule="auto"/>
                    <w:jc w:val="center"/>
                    <w:rPr>
                      <w:szCs w:val="21"/>
                    </w:rPr>
                  </w:pPr>
                  <w:r>
                    <w:rPr>
                      <w:rFonts w:hint="eastAsia"/>
                      <w:szCs w:val="21"/>
                    </w:rPr>
                    <w:t>2</w:t>
                  </w:r>
                </w:p>
              </w:tc>
              <w:tc>
                <w:tcPr>
                  <w:tcW w:w="757" w:type="pct"/>
                  <w:vAlign w:val="center"/>
                </w:tcPr>
                <w:p>
                  <w:pPr>
                    <w:adjustRightInd w:val="0"/>
                    <w:snapToGrid w:val="0"/>
                    <w:jc w:val="center"/>
                    <w:rPr>
                      <w:szCs w:val="21"/>
                    </w:rPr>
                  </w:pPr>
                  <w:r>
                    <w:rPr>
                      <w:rFonts w:hint="eastAsia"/>
                      <w:szCs w:val="21"/>
                    </w:rPr>
                    <w:t>喷涂工序</w:t>
                  </w:r>
                  <w:r>
                    <w:rPr>
                      <w:szCs w:val="21"/>
                    </w:rPr>
                    <w:t>排气筒</w:t>
                  </w:r>
                </w:p>
              </w:tc>
              <w:tc>
                <w:tcPr>
                  <w:tcW w:w="523" w:type="pct"/>
                  <w:vAlign w:val="center"/>
                </w:tcPr>
                <w:p>
                  <w:pPr>
                    <w:adjustRightInd w:val="0"/>
                    <w:snapToGrid w:val="0"/>
                    <w:spacing w:line="238" w:lineRule="auto"/>
                    <w:jc w:val="center"/>
                    <w:rPr>
                      <w:szCs w:val="21"/>
                    </w:rPr>
                  </w:pPr>
                  <w:r>
                    <w:rPr>
                      <w:szCs w:val="21"/>
                    </w:rPr>
                    <w:t>颗粒物</w:t>
                  </w:r>
                </w:p>
              </w:tc>
              <w:tc>
                <w:tcPr>
                  <w:tcW w:w="757" w:type="pct"/>
                  <w:vAlign w:val="center"/>
                </w:tcPr>
                <w:p>
                  <w:pPr>
                    <w:widowControl/>
                    <w:spacing w:line="238" w:lineRule="auto"/>
                    <w:jc w:val="center"/>
                    <w:rPr>
                      <w:szCs w:val="21"/>
                    </w:rPr>
                  </w:pPr>
                  <w:r>
                    <w:rPr>
                      <w:szCs w:val="21"/>
                    </w:rPr>
                    <w:t>排气筒（DA00</w:t>
                  </w:r>
                  <w:r>
                    <w:rPr>
                      <w:rFonts w:hint="eastAsia"/>
                      <w:szCs w:val="21"/>
                    </w:rPr>
                    <w:t>2</w:t>
                  </w:r>
                  <w:r>
                    <w:rPr>
                      <w:szCs w:val="21"/>
                    </w:rPr>
                    <w:t>）</w:t>
                  </w:r>
                </w:p>
                <w:p>
                  <w:pPr>
                    <w:widowControl/>
                    <w:spacing w:line="238" w:lineRule="auto"/>
                    <w:jc w:val="center"/>
                    <w:rPr>
                      <w:szCs w:val="21"/>
                    </w:rPr>
                  </w:pPr>
                  <w:r>
                    <w:rPr>
                      <w:szCs w:val="21"/>
                    </w:rPr>
                    <w:t>出口</w:t>
                  </w:r>
                </w:p>
              </w:tc>
              <w:tc>
                <w:tcPr>
                  <w:tcW w:w="582" w:type="pct"/>
                  <w:vAlign w:val="center"/>
                </w:tcPr>
                <w:p>
                  <w:pPr>
                    <w:widowControl/>
                    <w:spacing w:line="238" w:lineRule="auto"/>
                    <w:ind w:left="-105" w:leftChars="-50" w:right="-105" w:rightChars="-50"/>
                    <w:jc w:val="center"/>
                    <w:rPr>
                      <w:szCs w:val="21"/>
                    </w:rPr>
                  </w:pPr>
                  <w:r>
                    <w:rPr>
                      <w:szCs w:val="21"/>
                    </w:rPr>
                    <w:t>1次/年</w:t>
                  </w:r>
                </w:p>
              </w:tc>
              <w:tc>
                <w:tcPr>
                  <w:tcW w:w="2123" w:type="pct"/>
                  <w:vAlign w:val="center"/>
                </w:tcPr>
                <w:p>
                  <w:pPr>
                    <w:widowControl/>
                    <w:spacing w:line="238" w:lineRule="auto"/>
                    <w:jc w:val="center"/>
                    <w:rPr>
                      <w:szCs w:val="21"/>
                    </w:rPr>
                  </w:pPr>
                  <w:r>
                    <w:rPr>
                      <w:szCs w:val="21"/>
                    </w:rPr>
                    <w:t>《大气污染物综合排放标准》（GB16297-1996）表2</w:t>
                  </w:r>
                  <w:r>
                    <w:rPr>
                      <w:rFonts w:hint="eastAsia"/>
                      <w:szCs w:val="21"/>
                    </w:rPr>
                    <w:t>“</w:t>
                  </w:r>
                  <w:r>
                    <w:rPr>
                      <w:szCs w:val="21"/>
                    </w:rPr>
                    <w:t>染料尘</w:t>
                  </w:r>
                  <w:r>
                    <w:rPr>
                      <w:rFonts w:hint="eastAsia"/>
                      <w:szCs w:val="21"/>
                    </w:rPr>
                    <w:t>”排放</w:t>
                  </w:r>
                  <w:r>
                    <w:rPr>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255" w:type="pct"/>
                  <w:vMerge w:val="restart"/>
                  <w:vAlign w:val="center"/>
                </w:tcPr>
                <w:p>
                  <w:pPr>
                    <w:widowControl/>
                    <w:spacing w:line="238" w:lineRule="auto"/>
                    <w:jc w:val="center"/>
                    <w:rPr>
                      <w:szCs w:val="21"/>
                    </w:rPr>
                  </w:pPr>
                  <w:r>
                    <w:rPr>
                      <w:rFonts w:hint="eastAsia"/>
                      <w:szCs w:val="21"/>
                    </w:rPr>
                    <w:t>3</w:t>
                  </w:r>
                </w:p>
              </w:tc>
              <w:tc>
                <w:tcPr>
                  <w:tcW w:w="757" w:type="pct"/>
                  <w:vAlign w:val="center"/>
                </w:tcPr>
                <w:p>
                  <w:pPr>
                    <w:adjustRightInd w:val="0"/>
                    <w:snapToGrid w:val="0"/>
                    <w:jc w:val="center"/>
                    <w:rPr>
                      <w:szCs w:val="21"/>
                    </w:rPr>
                  </w:pPr>
                  <w:r>
                    <w:rPr>
                      <w:rFonts w:hint="eastAsia"/>
                      <w:szCs w:val="21"/>
                    </w:rPr>
                    <w:t>固化工序废气</w:t>
                  </w:r>
                </w:p>
              </w:tc>
              <w:tc>
                <w:tcPr>
                  <w:tcW w:w="523" w:type="pct"/>
                  <w:vAlign w:val="center"/>
                </w:tcPr>
                <w:p>
                  <w:pPr>
                    <w:adjustRightInd w:val="0"/>
                    <w:snapToGrid w:val="0"/>
                    <w:spacing w:line="238" w:lineRule="auto"/>
                    <w:ind w:left="-105" w:leftChars="-50" w:right="-105" w:rightChars="-50"/>
                    <w:jc w:val="center"/>
                    <w:rPr>
                      <w:szCs w:val="21"/>
                    </w:rPr>
                  </w:pPr>
                  <w:r>
                    <w:rPr>
                      <w:szCs w:val="21"/>
                    </w:rPr>
                    <w:t>非甲烷总烃（进出口）</w:t>
                  </w:r>
                </w:p>
              </w:tc>
              <w:tc>
                <w:tcPr>
                  <w:tcW w:w="757" w:type="pct"/>
                  <w:vAlign w:val="center"/>
                </w:tcPr>
                <w:p>
                  <w:pPr>
                    <w:widowControl/>
                    <w:spacing w:line="238" w:lineRule="auto"/>
                    <w:jc w:val="center"/>
                    <w:rPr>
                      <w:szCs w:val="21"/>
                    </w:rPr>
                  </w:pPr>
                  <w:r>
                    <w:rPr>
                      <w:rFonts w:hint="eastAsia"/>
                      <w:szCs w:val="21"/>
                    </w:rPr>
                    <w:t>废气处理设施进出口（DA003）</w:t>
                  </w:r>
                </w:p>
              </w:tc>
              <w:tc>
                <w:tcPr>
                  <w:tcW w:w="582" w:type="pct"/>
                  <w:vAlign w:val="center"/>
                </w:tcPr>
                <w:p>
                  <w:pPr>
                    <w:widowControl/>
                    <w:spacing w:line="238" w:lineRule="auto"/>
                    <w:jc w:val="center"/>
                    <w:rPr>
                      <w:szCs w:val="21"/>
                    </w:rPr>
                  </w:pPr>
                  <w:r>
                    <w:rPr>
                      <w:szCs w:val="21"/>
                    </w:rPr>
                    <w:t>1次/年</w:t>
                  </w:r>
                </w:p>
              </w:tc>
              <w:tc>
                <w:tcPr>
                  <w:tcW w:w="2123" w:type="pct"/>
                  <w:vAlign w:val="center"/>
                </w:tcPr>
                <w:p>
                  <w:pPr>
                    <w:widowControl/>
                    <w:spacing w:line="238" w:lineRule="auto"/>
                    <w:jc w:val="center"/>
                    <w:rPr>
                      <w:szCs w:val="21"/>
                    </w:rPr>
                  </w:pPr>
                  <w:r>
                    <w:rPr>
                      <w:szCs w:val="21"/>
                    </w:rPr>
                    <w:t>《工业企业挥发性有机物排放控制标准》（DB13/2322-2016）表1表面涂装业浓度限值及去除效率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255" w:type="pct"/>
                  <w:vMerge w:val="continue"/>
                  <w:vAlign w:val="center"/>
                </w:tcPr>
                <w:p>
                  <w:pPr>
                    <w:widowControl/>
                    <w:spacing w:line="238" w:lineRule="auto"/>
                    <w:jc w:val="center"/>
                    <w:rPr>
                      <w:szCs w:val="21"/>
                    </w:rPr>
                  </w:pPr>
                </w:p>
              </w:tc>
              <w:tc>
                <w:tcPr>
                  <w:tcW w:w="757" w:type="pct"/>
                  <w:vAlign w:val="center"/>
                </w:tcPr>
                <w:p>
                  <w:pPr>
                    <w:adjustRightInd w:val="0"/>
                    <w:snapToGrid w:val="0"/>
                    <w:spacing w:line="238" w:lineRule="auto"/>
                    <w:jc w:val="center"/>
                    <w:rPr>
                      <w:szCs w:val="21"/>
                    </w:rPr>
                  </w:pPr>
                  <w:r>
                    <w:rPr>
                      <w:rFonts w:hint="eastAsia"/>
                      <w:szCs w:val="21"/>
                    </w:rPr>
                    <w:t>天然气燃烧废气</w:t>
                  </w:r>
                </w:p>
              </w:tc>
              <w:tc>
                <w:tcPr>
                  <w:tcW w:w="523" w:type="pct"/>
                  <w:vAlign w:val="center"/>
                </w:tcPr>
                <w:p>
                  <w:pPr>
                    <w:adjustRightInd w:val="0"/>
                    <w:snapToGrid w:val="0"/>
                    <w:spacing w:line="238" w:lineRule="auto"/>
                    <w:ind w:left="-105" w:leftChars="-50" w:right="-105" w:rightChars="-50"/>
                    <w:jc w:val="center"/>
                    <w:rPr>
                      <w:szCs w:val="21"/>
                    </w:rPr>
                  </w:pPr>
                  <w:r>
                    <w:rPr>
                      <w:rFonts w:hint="eastAsia"/>
                      <w:szCs w:val="21"/>
                    </w:rPr>
                    <w:t>颗粒物、SO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、烟气黑度</w:t>
                  </w:r>
                </w:p>
              </w:tc>
              <w:tc>
                <w:tcPr>
                  <w:tcW w:w="757" w:type="pct"/>
                  <w:vAlign w:val="center"/>
                </w:tcPr>
                <w:p>
                  <w:pPr>
                    <w:widowControl/>
                    <w:spacing w:line="238" w:lineRule="auto"/>
                    <w:jc w:val="center"/>
                    <w:rPr>
                      <w:szCs w:val="21"/>
                    </w:rPr>
                  </w:pPr>
                  <w:r>
                    <w:rPr>
                      <w:rFonts w:hint="eastAsia"/>
                      <w:szCs w:val="21"/>
                    </w:rPr>
                    <w:t>排气筒出口</w:t>
                  </w:r>
                  <w:r>
                    <w:rPr>
                      <w:szCs w:val="21"/>
                    </w:rPr>
                    <w:t>（DA00</w:t>
                  </w:r>
                  <w:r>
                    <w:rPr>
                      <w:rFonts w:hint="eastAsia"/>
                      <w:szCs w:val="21"/>
                    </w:rPr>
                    <w:t>3</w:t>
                  </w:r>
                  <w:r>
                    <w:rPr>
                      <w:szCs w:val="21"/>
                    </w:rPr>
                    <w:t>）</w:t>
                  </w:r>
                </w:p>
              </w:tc>
              <w:tc>
                <w:tcPr>
                  <w:tcW w:w="582" w:type="pct"/>
                  <w:vAlign w:val="center"/>
                </w:tcPr>
                <w:p>
                  <w:pPr>
                    <w:widowControl/>
                    <w:spacing w:line="238" w:lineRule="auto"/>
                    <w:jc w:val="center"/>
                    <w:rPr>
                      <w:szCs w:val="21"/>
                    </w:rPr>
                  </w:pPr>
                  <w:r>
                    <w:rPr>
                      <w:szCs w:val="21"/>
                    </w:rPr>
                    <w:t>1次/</w:t>
                  </w:r>
                  <w:r>
                    <w:rPr>
                      <w:rFonts w:hint="eastAsia"/>
                      <w:szCs w:val="21"/>
                    </w:rPr>
                    <w:t>年</w:t>
                  </w:r>
                </w:p>
              </w:tc>
              <w:tc>
                <w:tcPr>
                  <w:tcW w:w="2123" w:type="pct"/>
                  <w:vAlign w:val="center"/>
                </w:tcPr>
                <w:p>
                  <w:pPr>
                    <w:widowControl/>
                    <w:spacing w:line="238" w:lineRule="auto"/>
                    <w:jc w:val="center"/>
                    <w:rPr>
                      <w:szCs w:val="21"/>
                    </w:rPr>
                  </w:pPr>
                  <w:r>
                    <w:rPr>
                      <w:szCs w:val="21"/>
                    </w:rPr>
                    <w:t>《工业炉窑大气污染物排放标准》（DB13/1640-2012）中表1、表2排放限值标准要求同时满足</w:t>
                  </w:r>
                  <w:r>
                    <w:rPr>
                      <w:rFonts w:hint="eastAsia"/>
                      <w:szCs w:val="21"/>
                    </w:rPr>
                    <w:t>《邢台市空气质量综合指数“退后十”攻坚行动方案》（邢字〔2021〕3号）要求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255" w:type="pct"/>
                  <w:vMerge w:val="restart"/>
                  <w:vAlign w:val="center"/>
                </w:tcPr>
                <w:p>
                  <w:pPr>
                    <w:widowControl/>
                    <w:spacing w:line="238" w:lineRule="auto"/>
                    <w:jc w:val="center"/>
                    <w:rPr>
                      <w:szCs w:val="21"/>
                    </w:rPr>
                  </w:pPr>
                  <w:r>
                    <w:rPr>
                      <w:rFonts w:hint="eastAsia"/>
                      <w:szCs w:val="21"/>
                    </w:rPr>
                    <w:t>4</w:t>
                  </w:r>
                </w:p>
              </w:tc>
              <w:tc>
                <w:tcPr>
                  <w:tcW w:w="757" w:type="pct"/>
                  <w:vMerge w:val="restart"/>
                  <w:vAlign w:val="center"/>
                </w:tcPr>
                <w:p>
                  <w:pPr>
                    <w:widowControl/>
                    <w:spacing w:line="238" w:lineRule="auto"/>
                    <w:jc w:val="center"/>
                    <w:rPr>
                      <w:szCs w:val="21"/>
                    </w:rPr>
                  </w:pPr>
                  <w:r>
                    <w:rPr>
                      <w:szCs w:val="21"/>
                    </w:rPr>
                    <w:t>厂界无组织废气</w:t>
                  </w:r>
                </w:p>
              </w:tc>
              <w:tc>
                <w:tcPr>
                  <w:tcW w:w="523" w:type="pct"/>
                  <w:vAlign w:val="center"/>
                </w:tcPr>
                <w:p>
                  <w:pPr>
                    <w:spacing w:line="238" w:lineRule="auto"/>
                    <w:jc w:val="center"/>
                    <w:rPr>
                      <w:szCs w:val="21"/>
                    </w:rPr>
                  </w:pPr>
                  <w:r>
                    <w:rPr>
                      <w:szCs w:val="21"/>
                    </w:rPr>
                    <w:t>非甲烷总烃</w:t>
                  </w:r>
                </w:p>
              </w:tc>
              <w:tc>
                <w:tcPr>
                  <w:tcW w:w="757" w:type="pct"/>
                  <w:vAlign w:val="center"/>
                </w:tcPr>
                <w:p>
                  <w:pPr>
                    <w:widowControl/>
                    <w:spacing w:line="238" w:lineRule="auto"/>
                    <w:jc w:val="center"/>
                    <w:rPr>
                      <w:szCs w:val="21"/>
                    </w:rPr>
                  </w:pPr>
                  <w:r>
                    <w:rPr>
                      <w:szCs w:val="21"/>
                    </w:rPr>
                    <w:t>厂界</w:t>
                  </w:r>
                </w:p>
              </w:tc>
              <w:tc>
                <w:tcPr>
                  <w:tcW w:w="582" w:type="pct"/>
                  <w:vAlign w:val="center"/>
                </w:tcPr>
                <w:p>
                  <w:pPr>
                    <w:widowControl/>
                    <w:spacing w:line="238" w:lineRule="auto"/>
                    <w:jc w:val="center"/>
                    <w:rPr>
                      <w:szCs w:val="21"/>
                    </w:rPr>
                  </w:pPr>
                  <w:r>
                    <w:rPr>
                      <w:szCs w:val="21"/>
                    </w:rPr>
                    <w:t>1次/</w:t>
                  </w:r>
                  <w:r>
                    <w:rPr>
                      <w:rFonts w:hint="eastAsia"/>
                      <w:szCs w:val="21"/>
                    </w:rPr>
                    <w:t>半</w:t>
                  </w:r>
                  <w:r>
                    <w:rPr>
                      <w:szCs w:val="21"/>
                    </w:rPr>
                    <w:t>年</w:t>
                  </w:r>
                </w:p>
              </w:tc>
              <w:tc>
                <w:tcPr>
                  <w:tcW w:w="2123" w:type="pct"/>
                  <w:vAlign w:val="center"/>
                </w:tcPr>
                <w:p>
                  <w:pPr>
                    <w:widowControl/>
                    <w:spacing w:line="238" w:lineRule="auto"/>
                    <w:jc w:val="center"/>
                    <w:rPr>
                      <w:szCs w:val="21"/>
                    </w:rPr>
                  </w:pPr>
                  <w:r>
                    <w:rPr>
                      <w:szCs w:val="21"/>
                    </w:rPr>
                    <w:t>《工业企业挥发性有机物排放控制标准》（DB13/2322-2016）表2其他企业浓度限值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255" w:type="pct"/>
                  <w:vMerge w:val="continue"/>
                </w:tcPr>
                <w:p>
                  <w:pPr>
                    <w:widowControl/>
                    <w:spacing w:line="238" w:lineRule="auto"/>
                    <w:jc w:val="center"/>
                    <w:rPr>
                      <w:szCs w:val="21"/>
                    </w:rPr>
                  </w:pPr>
                </w:p>
              </w:tc>
              <w:tc>
                <w:tcPr>
                  <w:tcW w:w="757" w:type="pct"/>
                  <w:vMerge w:val="continue"/>
                </w:tcPr>
                <w:p>
                  <w:pPr>
                    <w:adjustRightInd w:val="0"/>
                    <w:snapToGrid w:val="0"/>
                    <w:spacing w:line="238" w:lineRule="auto"/>
                    <w:jc w:val="center"/>
                    <w:rPr>
                      <w:szCs w:val="21"/>
                    </w:rPr>
                  </w:pPr>
                </w:p>
              </w:tc>
              <w:tc>
                <w:tcPr>
                  <w:tcW w:w="523" w:type="pct"/>
                  <w:vAlign w:val="center"/>
                </w:tcPr>
                <w:p>
                  <w:pPr>
                    <w:widowControl/>
                    <w:spacing w:line="238" w:lineRule="auto"/>
                    <w:ind w:left="-105" w:leftChars="-50" w:right="-105" w:rightChars="-50"/>
                    <w:jc w:val="center"/>
                    <w:rPr>
                      <w:szCs w:val="21"/>
                    </w:rPr>
                  </w:pPr>
                  <w:r>
                    <w:rPr>
                      <w:szCs w:val="21"/>
                    </w:rPr>
                    <w:t>颗粒物</w:t>
                  </w: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p>
              </w:tc>
              <w:tc>
                <w:tcPr>
                  <w:tcW w:w="757" w:type="pct"/>
                  <w:vAlign w:val="center"/>
                </w:tcPr>
                <w:p>
                  <w:pPr>
                    <w:widowControl/>
                    <w:spacing w:line="238" w:lineRule="auto"/>
                    <w:jc w:val="center"/>
                    <w:rPr>
                      <w:szCs w:val="21"/>
                    </w:rPr>
                  </w:pPr>
                  <w:r>
                    <w:rPr>
                      <w:szCs w:val="21"/>
                    </w:rPr>
                    <w:t>厂界</w:t>
                  </w:r>
                </w:p>
              </w:tc>
              <w:tc>
                <w:tcPr>
                  <w:tcW w:w="582" w:type="pct"/>
                  <w:vAlign w:val="center"/>
                </w:tcPr>
                <w:p>
                  <w:pPr>
                    <w:widowControl/>
                    <w:spacing w:line="238" w:lineRule="auto"/>
                    <w:jc w:val="center"/>
                    <w:rPr>
                      <w:szCs w:val="21"/>
                    </w:rPr>
                  </w:pPr>
                  <w:r>
                    <w:rPr>
                      <w:szCs w:val="21"/>
                    </w:rPr>
                    <w:t>1次/</w:t>
                  </w:r>
                  <w:r>
                    <w:rPr>
                      <w:rFonts w:hint="eastAsia"/>
                      <w:szCs w:val="21"/>
                    </w:rPr>
                    <w:t>半</w:t>
                  </w:r>
                  <w:r>
                    <w:rPr>
                      <w:szCs w:val="21"/>
                    </w:rPr>
                    <w:t>年</w:t>
                  </w:r>
                </w:p>
              </w:tc>
              <w:tc>
                <w:tcPr>
                  <w:tcW w:w="2123" w:type="pct"/>
                  <w:vAlign w:val="center"/>
                </w:tcPr>
                <w:p>
                  <w:pPr>
                    <w:widowControl/>
                    <w:spacing w:line="238" w:lineRule="auto"/>
                    <w:ind w:left="-105" w:leftChars="-50" w:right="-105" w:rightChars="-50"/>
                    <w:jc w:val="center"/>
                    <w:rPr>
                      <w:szCs w:val="21"/>
                    </w:rPr>
                  </w:pPr>
                  <w:r>
                    <w:rPr>
                      <w:szCs w:val="21"/>
                    </w:rPr>
                    <w:t>《大气污染物综合排放标准》（GB16297-1996）表2无组织排放监控浓度限值</w:t>
                  </w:r>
                  <w:r>
                    <w:rPr>
                      <w:rFonts w:hint="eastAsia"/>
                      <w:szCs w:val="21"/>
                    </w:rPr>
                    <w:t>，颗粒物同时满足“染料尘”要求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255" w:type="pct"/>
                  <w:vMerge w:val="continue"/>
                </w:tcPr>
                <w:p>
                  <w:pPr>
                    <w:widowControl/>
                    <w:spacing w:line="238" w:lineRule="auto"/>
                    <w:jc w:val="center"/>
                    <w:rPr>
                      <w:szCs w:val="21"/>
                    </w:rPr>
                  </w:pPr>
                </w:p>
              </w:tc>
              <w:tc>
                <w:tcPr>
                  <w:tcW w:w="757" w:type="pct"/>
                  <w:vAlign w:val="center"/>
                </w:tcPr>
                <w:p>
                  <w:pPr>
                    <w:widowControl/>
                    <w:spacing w:line="238" w:lineRule="auto"/>
                    <w:jc w:val="center"/>
                    <w:rPr>
                      <w:szCs w:val="21"/>
                    </w:rPr>
                  </w:pPr>
                  <w:r>
                    <w:rPr>
                      <w:szCs w:val="21"/>
                    </w:rPr>
                    <w:t>厂区内无组织废气</w:t>
                  </w:r>
                </w:p>
              </w:tc>
              <w:tc>
                <w:tcPr>
                  <w:tcW w:w="523" w:type="pct"/>
                  <w:vAlign w:val="center"/>
                </w:tcPr>
                <w:p>
                  <w:pPr>
                    <w:spacing w:line="238" w:lineRule="auto"/>
                    <w:jc w:val="center"/>
                    <w:rPr>
                      <w:szCs w:val="21"/>
                    </w:rPr>
                  </w:pPr>
                  <w:r>
                    <w:rPr>
                      <w:szCs w:val="21"/>
                    </w:rPr>
                    <w:t>非甲烷总烃</w:t>
                  </w:r>
                </w:p>
              </w:tc>
              <w:tc>
                <w:tcPr>
                  <w:tcW w:w="757" w:type="pct"/>
                  <w:vAlign w:val="center"/>
                </w:tcPr>
                <w:p>
                  <w:pPr>
                    <w:widowControl/>
                    <w:spacing w:line="238" w:lineRule="auto"/>
                    <w:jc w:val="center"/>
                    <w:rPr>
                      <w:szCs w:val="21"/>
                    </w:rPr>
                  </w:pPr>
                  <w:r>
                    <w:rPr>
                      <w:szCs w:val="21"/>
                    </w:rPr>
                    <w:t>厂区内</w:t>
                  </w:r>
                </w:p>
              </w:tc>
              <w:tc>
                <w:tcPr>
                  <w:tcW w:w="582" w:type="pct"/>
                  <w:vAlign w:val="center"/>
                </w:tcPr>
                <w:p>
                  <w:pPr>
                    <w:widowControl/>
                    <w:spacing w:line="238" w:lineRule="auto"/>
                    <w:jc w:val="center"/>
                    <w:rPr>
                      <w:szCs w:val="21"/>
                    </w:rPr>
                  </w:pPr>
                  <w:r>
                    <w:rPr>
                      <w:szCs w:val="21"/>
                    </w:rPr>
                    <w:t>1次/</w:t>
                  </w:r>
                  <w:r>
                    <w:rPr>
                      <w:rFonts w:hint="eastAsia"/>
                      <w:szCs w:val="21"/>
                    </w:rPr>
                    <w:t>半年</w:t>
                  </w:r>
                </w:p>
              </w:tc>
              <w:tc>
                <w:tcPr>
                  <w:tcW w:w="2123" w:type="pct"/>
                  <w:vAlign w:val="center"/>
                </w:tcPr>
                <w:p>
                  <w:pPr>
                    <w:widowControl/>
                    <w:spacing w:line="238" w:lineRule="auto"/>
                    <w:ind w:left="-105" w:leftChars="-50" w:right="-105" w:rightChars="-50"/>
                    <w:jc w:val="center"/>
                    <w:rPr>
                      <w:szCs w:val="21"/>
                    </w:rPr>
                  </w:pPr>
                  <w:r>
                    <w:rPr>
                      <w:szCs w:val="21"/>
                    </w:rPr>
                    <w:t>《挥发性有机物无组织排放控制标准》（GB37822-2019）中表A.1厂区内VOCs无组织特别排放限值</w:t>
                  </w:r>
                </w:p>
              </w:tc>
            </w:tr>
          </w:tbl>
          <w:p>
            <w:pPr>
              <w:spacing w:line="360" w:lineRule="auto"/>
              <w:ind w:firstLine="480" w:firstLineChars="200"/>
              <w:rPr>
                <w:sz w:val="24"/>
              </w:rPr>
            </w:pPr>
            <w:r>
              <w:rPr>
                <w:sz w:val="24"/>
              </w:rPr>
              <w:t>1.5环保措施可行性论证</w:t>
            </w:r>
          </w:p>
          <w:p>
            <w:pPr>
              <w:spacing w:line="360" w:lineRule="auto"/>
              <w:ind w:firstLine="464" w:firstLineChars="200"/>
              <w:rPr>
                <w:spacing w:val="-4"/>
                <w:sz w:val="24"/>
              </w:rPr>
            </w:pPr>
            <w:r>
              <w:rPr>
                <w:rFonts w:hint="eastAsia"/>
                <w:spacing w:val="-4"/>
                <w:sz w:val="24"/>
              </w:rPr>
              <w:t>本项目所对应行业尚未发布排污许可证申请与核发技术规范。本次参照</w:t>
            </w:r>
            <w:r>
              <w:rPr>
                <w:rFonts w:ascii="宋体" w:hAnsi="宋体" w:cs="宋体"/>
                <w:sz w:val="24"/>
              </w:rPr>
              <w:t>《排污许可证申请与核发技术规范</w:t>
            </w:r>
            <w:r>
              <w:rPr>
                <w:rFonts w:hint="eastAsia" w:ascii="宋体" w:hAnsi="宋体" w:cs="宋体"/>
                <w:sz w:val="24"/>
              </w:rPr>
              <w:t xml:space="preserve"> </w:t>
            </w:r>
            <w:r>
              <w:rPr>
                <w:rFonts w:ascii="宋体" w:hAnsi="宋体" w:cs="宋体"/>
                <w:sz w:val="24"/>
              </w:rPr>
              <w:t>铁路、船舶、航空航天和其他运输设备制造业》</w:t>
            </w:r>
            <w:r>
              <w:rPr>
                <w:rFonts w:hint="eastAsia"/>
                <w:spacing w:val="-4"/>
                <w:sz w:val="24"/>
              </w:rPr>
              <w:t>(HJ1124—2020)表A.4及《排污许可证申请与核发技术规范 总则》（HJ942-2018）进行环保措施的可行性论证。</w:t>
            </w:r>
          </w:p>
          <w:p>
            <w:pPr>
              <w:numPr>
                <w:ilvl w:val="0"/>
                <w:numId w:val="6"/>
              </w:numPr>
              <w:spacing w:line="360" w:lineRule="auto"/>
              <w:ind w:firstLine="480" w:firstLineChars="200"/>
              <w:rPr>
                <w:sz w:val="24"/>
              </w:rPr>
            </w:pPr>
            <w:r>
              <w:rPr>
                <w:rFonts w:hint="eastAsia"/>
                <w:sz w:val="24"/>
              </w:rPr>
              <w:t>焊接、切割废气</w:t>
            </w:r>
          </w:p>
          <w:p>
            <w:pPr>
              <w:spacing w:line="360" w:lineRule="auto"/>
              <w:ind w:firstLine="464" w:firstLineChars="200"/>
              <w:rPr>
                <w:sz w:val="24"/>
              </w:rPr>
            </w:pPr>
            <w:r>
              <w:rPr>
                <w:rFonts w:hint="eastAsia"/>
                <w:spacing w:val="-4"/>
                <w:sz w:val="24"/>
              </w:rPr>
              <w:t>根据《排污许可证申请与核发技术规范 总则》（HJ942-2018）要求：除尘设施包括袋式除尘器、电除尘器、电袋复合除尘器、其他。</w:t>
            </w:r>
          </w:p>
          <w:p>
            <w:pPr>
              <w:spacing w:line="360" w:lineRule="auto"/>
              <w:ind w:firstLine="480" w:firstLineChars="200"/>
              <w:rPr>
                <w:spacing w:val="-4"/>
                <w:sz w:val="24"/>
              </w:rPr>
            </w:pPr>
            <w:r>
              <w:rPr>
                <w:sz w:val="24"/>
              </w:rPr>
              <w:t>本项目</w:t>
            </w:r>
            <w:r>
              <w:rPr>
                <w:rFonts w:hint="eastAsia"/>
                <w:sz w:val="24"/>
              </w:rPr>
              <w:t>焊接工序烟尘经集气罩收集后进入1套布袋除尘器进行处理后经1根20m高排气筒（DA001）外排；切割粉尘经集气装置收集后进入自带布袋除尘器进行处理后与焊接烟尘共用1根排气筒（DA001）外排。采用的处理措施属于</w:t>
            </w:r>
            <w:r>
              <w:rPr>
                <w:rFonts w:hint="eastAsia"/>
                <w:spacing w:val="-4"/>
                <w:sz w:val="24"/>
              </w:rPr>
              <w:t>《排污许可证申请与核发技术规范 总则》（HJ942-2018）。</w:t>
            </w:r>
          </w:p>
          <w:p>
            <w:pPr>
              <w:spacing w:line="360" w:lineRule="auto"/>
              <w:ind w:firstLine="480" w:firstLineChars="200"/>
              <w:rPr>
                <w:sz w:val="24"/>
              </w:rPr>
            </w:pPr>
            <w:r>
              <w:rPr>
                <w:rFonts w:hint="eastAsia"/>
                <w:sz w:val="24"/>
              </w:rPr>
              <w:t>（2）喷涂废气</w:t>
            </w:r>
          </w:p>
          <w:p>
            <w:pPr>
              <w:spacing w:line="360" w:lineRule="auto"/>
              <w:ind w:firstLine="464" w:firstLineChars="200"/>
              <w:rPr>
                <w:sz w:val="24"/>
              </w:rPr>
            </w:pPr>
            <w:r>
              <w:rPr>
                <w:rFonts w:hint="eastAsia"/>
                <w:spacing w:val="-4"/>
                <w:sz w:val="24"/>
              </w:rPr>
              <w:t>参照</w:t>
            </w:r>
            <w:r>
              <w:rPr>
                <w:rFonts w:ascii="宋体" w:hAnsi="宋体" w:cs="宋体"/>
                <w:sz w:val="24"/>
              </w:rPr>
              <w:t>《排污许可证申请与核发技术规范</w:t>
            </w:r>
            <w:r>
              <w:rPr>
                <w:rFonts w:hint="eastAsia" w:ascii="宋体" w:hAnsi="宋体" w:cs="宋体"/>
                <w:sz w:val="24"/>
              </w:rPr>
              <w:t xml:space="preserve"> </w:t>
            </w:r>
            <w:r>
              <w:rPr>
                <w:rFonts w:ascii="宋体" w:hAnsi="宋体" w:cs="宋体"/>
                <w:sz w:val="24"/>
              </w:rPr>
              <w:t>铁路、船舶、航空航天和其他运输设备制造业》</w:t>
            </w:r>
            <w:r>
              <w:rPr>
                <w:rFonts w:hint="eastAsia"/>
                <w:spacing w:val="-4"/>
                <w:sz w:val="24"/>
              </w:rPr>
              <w:t>(HJ1124—2020)表A.4，粉末喷涂废气推荐采用袋式除尘器；根据《排污许可证申请与核发技术规范 总则》（HJ942-2018）要求：除尘设施包括袋式除尘器、电除尘器、电袋复合除尘器、其他。</w:t>
            </w:r>
          </w:p>
          <w:p>
            <w:pPr>
              <w:spacing w:line="360" w:lineRule="auto"/>
              <w:ind w:firstLine="480" w:firstLineChars="200"/>
              <w:rPr>
                <w:spacing w:val="-4"/>
                <w:sz w:val="24"/>
              </w:rPr>
            </w:pPr>
            <w:r>
              <w:rPr>
                <w:rFonts w:hint="eastAsia"/>
                <w:sz w:val="24"/>
              </w:rPr>
              <w:t>本项目喷涂</w:t>
            </w:r>
            <w:r>
              <w:rPr>
                <w:sz w:val="24"/>
              </w:rPr>
              <w:t>置于密闭</w:t>
            </w:r>
            <w:r>
              <w:rPr>
                <w:rFonts w:hint="eastAsia"/>
                <w:sz w:val="24"/>
              </w:rPr>
              <w:t>喷室内</w:t>
            </w:r>
            <w:r>
              <w:rPr>
                <w:sz w:val="24"/>
              </w:rPr>
              <w:t>进行，工作过程中产生的废气经管道收集后进入</w:t>
            </w:r>
            <w:r>
              <w:rPr>
                <w:rFonts w:hint="eastAsia"/>
                <w:sz w:val="24"/>
              </w:rPr>
              <w:t>旋风+滤筒除尘器进行处理后，</w:t>
            </w:r>
            <w:r>
              <w:rPr>
                <w:sz w:val="24"/>
              </w:rPr>
              <w:t>经1根</w:t>
            </w:r>
            <w:r>
              <w:rPr>
                <w:rFonts w:hint="eastAsia"/>
                <w:sz w:val="24"/>
              </w:rPr>
              <w:t>20</w:t>
            </w:r>
            <w:r>
              <w:rPr>
                <w:sz w:val="24"/>
              </w:rPr>
              <w:t>m排气筒（DA00</w:t>
            </w:r>
            <w:r>
              <w:rPr>
                <w:rFonts w:hint="eastAsia"/>
                <w:sz w:val="24"/>
              </w:rPr>
              <w:t>2</w:t>
            </w:r>
            <w:r>
              <w:rPr>
                <w:sz w:val="24"/>
              </w:rPr>
              <w:t>）排放</w:t>
            </w:r>
            <w:r>
              <w:rPr>
                <w:rFonts w:hint="eastAsia"/>
                <w:sz w:val="24"/>
              </w:rPr>
              <w:t>。采用的处理措施属于</w:t>
            </w:r>
            <w:r>
              <w:rPr>
                <w:rFonts w:ascii="宋体" w:hAnsi="宋体" w:cs="宋体"/>
                <w:sz w:val="24"/>
              </w:rPr>
              <w:t>《排污许可证申请与核发技术规范</w:t>
            </w:r>
            <w:r>
              <w:rPr>
                <w:rFonts w:hint="eastAsia" w:ascii="宋体" w:hAnsi="宋体" w:cs="宋体"/>
                <w:sz w:val="24"/>
              </w:rPr>
              <w:t xml:space="preserve"> </w:t>
            </w:r>
            <w:r>
              <w:rPr>
                <w:rFonts w:ascii="宋体" w:hAnsi="宋体" w:cs="宋体"/>
                <w:sz w:val="24"/>
              </w:rPr>
              <w:t>铁路、船舶、航空航天和其他运输设备制造业》</w:t>
            </w:r>
            <w:r>
              <w:rPr>
                <w:rFonts w:hint="eastAsia"/>
                <w:spacing w:val="-4"/>
                <w:sz w:val="24"/>
              </w:rPr>
              <w:t>(HJ1124-2020)表A.4及《排污许可证申请与核发技术规范 总则》（HJ942-2018）推荐技术。</w:t>
            </w:r>
          </w:p>
          <w:p>
            <w:pPr>
              <w:spacing w:line="360" w:lineRule="auto"/>
              <w:ind w:firstLine="480" w:firstLineChars="200"/>
              <w:rPr>
                <w:sz w:val="24"/>
              </w:rPr>
            </w:pPr>
            <w:r>
              <w:rPr>
                <w:rFonts w:hint="eastAsia"/>
                <w:sz w:val="24"/>
              </w:rPr>
              <w:t>（3）天然气燃烧、固化废气</w:t>
            </w:r>
          </w:p>
          <w:p>
            <w:pPr>
              <w:spacing w:line="360" w:lineRule="auto"/>
              <w:ind w:firstLine="464" w:firstLineChars="200"/>
              <w:rPr>
                <w:sz w:val="24"/>
              </w:rPr>
            </w:pPr>
            <w:r>
              <w:rPr>
                <w:rFonts w:hint="eastAsia"/>
                <w:spacing w:val="-4"/>
                <w:sz w:val="24"/>
              </w:rPr>
              <w:t>参照</w:t>
            </w:r>
            <w:r>
              <w:rPr>
                <w:rFonts w:ascii="宋体" w:hAnsi="宋体" w:cs="宋体"/>
                <w:sz w:val="24"/>
              </w:rPr>
              <w:t>《排污许可证申请与核发技术规范</w:t>
            </w:r>
            <w:r>
              <w:rPr>
                <w:rFonts w:hint="eastAsia" w:ascii="宋体" w:hAnsi="宋体" w:cs="宋体"/>
                <w:sz w:val="24"/>
              </w:rPr>
              <w:t xml:space="preserve"> </w:t>
            </w:r>
            <w:r>
              <w:rPr>
                <w:rFonts w:ascii="宋体" w:hAnsi="宋体" w:cs="宋体"/>
                <w:sz w:val="24"/>
              </w:rPr>
              <w:t>铁路、船舶、航空航天和其他运输设备制造业》</w:t>
            </w:r>
            <w:r>
              <w:rPr>
                <w:rFonts w:hint="eastAsia"/>
                <w:spacing w:val="-4"/>
                <w:sz w:val="24"/>
              </w:rPr>
              <w:t>(HJ1124—2020)表A.4，固化成膜废气推荐采用</w:t>
            </w:r>
            <w:r>
              <w:rPr>
                <w:rFonts w:ascii="宋体" w:hAnsi="宋体" w:cs="宋体"/>
                <w:sz w:val="24"/>
              </w:rPr>
              <w:t>热力焚烧/催化氧化、吸附/浓缩+热力燃烧/催化氧化、吸附+冷凝回收</w:t>
            </w:r>
            <w:r>
              <w:rPr>
                <w:rFonts w:hint="eastAsia" w:ascii="宋体" w:hAnsi="宋体" w:cs="宋体"/>
                <w:sz w:val="24"/>
              </w:rPr>
              <w:t>。</w:t>
            </w:r>
          </w:p>
          <w:p>
            <w:pPr>
              <w:spacing w:line="360" w:lineRule="auto"/>
              <w:ind w:firstLine="480" w:firstLineChars="200"/>
              <w:rPr>
                <w:sz w:val="24"/>
              </w:rPr>
            </w:pPr>
            <w:r>
              <w:rPr>
                <w:rFonts w:hint="eastAsia"/>
                <w:sz w:val="24"/>
              </w:rPr>
              <w:t>本项目天然气热风炉加装低氮燃烧器，燃烧气体进入固化工序与固化废气经集气装置收集进入1套“干式过滤棉+活性炭吸附-脱附催化燃烧装置”进行处理后经1根20m高排气筒（DA003）排放。采用的固化处理措施属于</w:t>
            </w:r>
            <w:r>
              <w:rPr>
                <w:rFonts w:ascii="宋体" w:hAnsi="宋体" w:cs="宋体"/>
                <w:sz w:val="24"/>
              </w:rPr>
              <w:t>《排污许可证申请与核发技术规范</w:t>
            </w:r>
            <w:r>
              <w:rPr>
                <w:rFonts w:hint="eastAsia" w:ascii="宋体" w:hAnsi="宋体" w:cs="宋体"/>
                <w:sz w:val="24"/>
              </w:rPr>
              <w:t xml:space="preserve"> </w:t>
            </w:r>
            <w:r>
              <w:rPr>
                <w:rFonts w:ascii="宋体" w:hAnsi="宋体" w:cs="宋体"/>
                <w:sz w:val="24"/>
              </w:rPr>
              <w:t>铁路、船舶、航空航天和其他运输设备制造业》</w:t>
            </w:r>
            <w:r>
              <w:rPr>
                <w:rFonts w:hint="eastAsia"/>
                <w:spacing w:val="-4"/>
                <w:sz w:val="24"/>
              </w:rPr>
              <w:t>(HJ1124—2020)表A.4及《排污许可证申请与核发技术规范 总则》（HJ942-2018）中推荐技术</w:t>
            </w:r>
            <w:r>
              <w:rPr>
                <w:sz w:val="24"/>
              </w:rPr>
              <w:t>。</w:t>
            </w:r>
          </w:p>
          <w:p>
            <w:pPr>
              <w:spacing w:line="360" w:lineRule="auto"/>
              <w:ind w:firstLine="480" w:firstLineChars="200"/>
              <w:rPr>
                <w:sz w:val="24"/>
              </w:rPr>
            </w:pPr>
            <w:r>
              <w:rPr>
                <w:rFonts w:hint="eastAsia"/>
                <w:sz w:val="24"/>
              </w:rPr>
              <w:t>天然气热风炉加装低氮燃烧器，</w:t>
            </w:r>
            <w:r>
              <w:rPr>
                <w:sz w:val="24"/>
              </w:rPr>
              <w:t>低氮燃烧装置采用烟气外循环燃烧，将部分烟气与空气混合后送至燃烧室助燃，混合后的助燃风可以有效降低燃烧室内温度和氧量浓度。由于燃气与氧气的燃烧反应活化能，远远小于氧气与氮气的反应活化能，所以燃气首先与氧气发生燃烧反应。当氧气有剩余时，燃气才进行与氮气的反应生成NOx，但是较低的反应区温度使得与氮气的反应变得非常缓慢，从而有效抑制热力型NOx 的生成。</w:t>
            </w:r>
            <w:r>
              <w:rPr>
                <w:rFonts w:hint="eastAsia"/>
                <w:sz w:val="24"/>
              </w:rPr>
              <w:t>根据源强分析知，天然气燃烧废气中，NO</w:t>
            </w:r>
            <w:r>
              <w:rPr>
                <w:rFonts w:hint="eastAsia"/>
                <w:sz w:val="24"/>
                <w:vertAlign w:val="subscript"/>
              </w:rPr>
              <w:t>X</w:t>
            </w:r>
            <w:r>
              <w:rPr>
                <w:rFonts w:hint="eastAsia"/>
                <w:sz w:val="24"/>
              </w:rPr>
              <w:t>能达标排放。因此处理措施可行。</w:t>
            </w:r>
          </w:p>
          <w:p>
            <w:pPr>
              <w:spacing w:line="360" w:lineRule="auto"/>
              <w:ind w:firstLine="464" w:firstLineChars="200"/>
              <w:rPr>
                <w:spacing w:val="-4"/>
                <w:sz w:val="24"/>
              </w:rPr>
            </w:pPr>
            <w:r>
              <w:rPr>
                <w:rFonts w:hint="eastAsia"/>
                <w:spacing w:val="-4"/>
                <w:sz w:val="24"/>
              </w:rPr>
              <w:t>综上，废气污染防治措施为可行技术。根据源强核算，项目污染物排放可达到相应的排放标准；同时废气污染物的排放量较小，排放方式为有组织排放，因此项目建设对周边大气环境的影响较小。</w:t>
            </w:r>
          </w:p>
          <w:p>
            <w:pPr>
              <w:pStyle w:val="2"/>
              <w:adjustRightInd w:val="0"/>
              <w:snapToGrid w:val="0"/>
              <w:ind w:firstLine="480" w:firstLineChars="200"/>
              <w:rPr>
                <w:szCs w:val="32"/>
              </w:rPr>
            </w:pPr>
            <w:r>
              <w:rPr>
                <w:szCs w:val="32"/>
              </w:rPr>
              <w:t>1.6污染物排放达标判定及环境影响分析</w:t>
            </w:r>
          </w:p>
          <w:p>
            <w:pPr>
              <w:pStyle w:val="61"/>
              <w:snapToGrid w:val="0"/>
              <w:spacing w:line="360" w:lineRule="auto"/>
              <w:ind w:left="0" w:leftChars="0" w:firstLine="482"/>
              <w:jc w:val="both"/>
              <w:rPr>
                <w:w w:val="100"/>
                <w:sz w:val="24"/>
                <w:szCs w:val="24"/>
              </w:rPr>
            </w:pPr>
            <w:r>
              <w:rPr>
                <w:w w:val="100"/>
                <w:sz w:val="24"/>
                <w:szCs w:val="24"/>
              </w:rPr>
              <w:t>根据1.1污染源及其治理措施分析结果知，本项目</w:t>
            </w:r>
            <w:r>
              <w:rPr>
                <w:rFonts w:hint="eastAsia"/>
                <w:w w:val="100"/>
                <w:sz w:val="24"/>
                <w:szCs w:val="24"/>
              </w:rPr>
              <w:t>焊接工序烟尘经集气罩收集后进入1套布袋除尘器进行处理后经1根20m高排气筒（DA001）外排；切割粉尘经集气装置收集后进入自带布袋除尘器进行处理后与焊接烟尘共用1根排气筒（DA001）外排，颗粒物排放满足《大气污染物综合排放标准》(GB16297-1996)表2二级标准。喷涂</w:t>
            </w:r>
            <w:r>
              <w:rPr>
                <w:w w:val="100"/>
                <w:sz w:val="24"/>
                <w:szCs w:val="24"/>
              </w:rPr>
              <w:t>置于密闭</w:t>
            </w:r>
            <w:r>
              <w:rPr>
                <w:rFonts w:hint="eastAsia"/>
                <w:w w:val="100"/>
                <w:sz w:val="24"/>
                <w:szCs w:val="24"/>
              </w:rPr>
              <w:t>喷室内</w:t>
            </w:r>
            <w:r>
              <w:rPr>
                <w:w w:val="100"/>
                <w:sz w:val="24"/>
                <w:szCs w:val="24"/>
              </w:rPr>
              <w:t>进行，工作过程中产生的废气经管道收集后进入</w:t>
            </w:r>
            <w:r>
              <w:rPr>
                <w:rFonts w:hint="eastAsia"/>
                <w:w w:val="100"/>
                <w:sz w:val="24"/>
                <w:szCs w:val="24"/>
              </w:rPr>
              <w:t>旋风+滤筒除尘器进行处理后</w:t>
            </w:r>
            <w:r>
              <w:rPr>
                <w:w w:val="100"/>
                <w:sz w:val="24"/>
                <w:szCs w:val="24"/>
              </w:rPr>
              <w:t>经1根</w:t>
            </w:r>
            <w:r>
              <w:rPr>
                <w:rFonts w:hint="eastAsia"/>
                <w:w w:val="100"/>
                <w:sz w:val="24"/>
                <w:szCs w:val="24"/>
              </w:rPr>
              <w:t>20</w:t>
            </w:r>
            <w:r>
              <w:rPr>
                <w:w w:val="100"/>
                <w:sz w:val="24"/>
                <w:szCs w:val="24"/>
              </w:rPr>
              <w:t>m排气筒（DA00</w:t>
            </w:r>
            <w:r>
              <w:rPr>
                <w:rFonts w:hint="eastAsia"/>
                <w:w w:val="100"/>
                <w:sz w:val="24"/>
                <w:szCs w:val="24"/>
              </w:rPr>
              <w:t>2</w:t>
            </w:r>
            <w:r>
              <w:rPr>
                <w:w w:val="100"/>
                <w:sz w:val="24"/>
                <w:szCs w:val="24"/>
              </w:rPr>
              <w:t>）排放</w:t>
            </w:r>
            <w:r>
              <w:rPr>
                <w:rFonts w:hint="eastAsia"/>
                <w:w w:val="100"/>
                <w:sz w:val="24"/>
                <w:szCs w:val="24"/>
              </w:rPr>
              <w:t>，颗粒物排放满足《大气污染物综合排放标准》(GB16297-1996)表2颗粒物(染料尘)二级标准。天然气热风炉加装低氮燃烧器，燃烧气体进入固化工序与固化废气经集气装置收集进入1套“干式过滤棉+活性炭吸附-脱附催化燃烧装置”进行处理后经1根20m高排气筒（DA003）排放</w:t>
            </w:r>
            <w:r>
              <w:rPr>
                <w:w w:val="100"/>
                <w:sz w:val="24"/>
                <w:szCs w:val="24"/>
              </w:rPr>
              <w:t>，非甲烷总烃排放浓度均能满足《工业企业挥发性有机物排放控制标准》（DB13/2322-2016）表1表面涂装业浓度限值要求</w:t>
            </w:r>
            <w:r>
              <w:rPr>
                <w:rFonts w:hint="eastAsia"/>
                <w:w w:val="100"/>
                <w:sz w:val="24"/>
                <w:szCs w:val="24"/>
              </w:rPr>
              <w:t>；天然气燃烧废气中颗粒物、SO</w:t>
            </w:r>
            <w:r>
              <w:rPr>
                <w:rFonts w:hint="eastAsia"/>
                <w:w w:val="100"/>
                <w:sz w:val="24"/>
                <w:szCs w:val="24"/>
                <w:vertAlign w:val="subscript"/>
              </w:rPr>
              <w:t>2</w:t>
            </w:r>
            <w:r>
              <w:rPr>
                <w:rFonts w:hint="eastAsia"/>
                <w:w w:val="100"/>
                <w:sz w:val="24"/>
                <w:szCs w:val="24"/>
              </w:rPr>
              <w:t>、NO</w:t>
            </w:r>
            <w:r>
              <w:rPr>
                <w:rFonts w:hint="eastAsia"/>
                <w:w w:val="100"/>
                <w:sz w:val="24"/>
                <w:szCs w:val="24"/>
                <w:vertAlign w:val="subscript"/>
              </w:rPr>
              <w:t>X</w:t>
            </w:r>
            <w:r>
              <w:rPr>
                <w:rFonts w:hint="eastAsia"/>
                <w:w w:val="100"/>
                <w:sz w:val="24"/>
                <w:szCs w:val="24"/>
              </w:rPr>
              <w:t>、烟气黑度排放满足《工业炉窑大气污染物排放标准》（DB13/1640-2012）中表1、表2排放限值标准要求同时满足《邢台市空气质量综合指数“退后十”攻坚行动方案》（邢字〔2021〕3号）相关要求</w:t>
            </w:r>
            <w:r>
              <w:rPr>
                <w:w w:val="100"/>
                <w:sz w:val="24"/>
                <w:szCs w:val="24"/>
              </w:rPr>
              <w:t>。</w:t>
            </w:r>
          </w:p>
          <w:p>
            <w:pPr>
              <w:pStyle w:val="61"/>
              <w:snapToGrid w:val="0"/>
              <w:spacing w:line="360" w:lineRule="auto"/>
              <w:ind w:left="0" w:leftChars="0" w:firstLine="482"/>
              <w:jc w:val="both"/>
              <w:rPr>
                <w:w w:val="100"/>
                <w:sz w:val="24"/>
                <w:szCs w:val="24"/>
              </w:rPr>
            </w:pPr>
            <w:r>
              <w:rPr>
                <w:w w:val="100"/>
                <w:sz w:val="24"/>
                <w:szCs w:val="24"/>
              </w:rPr>
              <w:t>本项目未收集的</w:t>
            </w:r>
            <w:r>
              <w:rPr>
                <w:rFonts w:hint="eastAsia"/>
                <w:w w:val="100"/>
                <w:sz w:val="24"/>
                <w:szCs w:val="24"/>
              </w:rPr>
              <w:t>焊接工序、切割工序废气和固化工序废气进行</w:t>
            </w:r>
            <w:r>
              <w:rPr>
                <w:w w:val="100"/>
                <w:sz w:val="24"/>
                <w:szCs w:val="24"/>
              </w:rPr>
              <w:t>车间无组织排放。厂界颗粒物排放满足《大气污染物综合排放标准》（GB16297-1996）表2</w:t>
            </w:r>
            <w:r>
              <w:rPr>
                <w:rFonts w:hint="eastAsia"/>
                <w:w w:val="100"/>
                <w:sz w:val="24"/>
                <w:szCs w:val="24"/>
              </w:rPr>
              <w:t>“其他”</w:t>
            </w:r>
            <w:r>
              <w:rPr>
                <w:w w:val="100"/>
                <w:sz w:val="24"/>
                <w:szCs w:val="24"/>
              </w:rPr>
              <w:t>无组织排放监控浓度限值</w:t>
            </w:r>
            <w:r>
              <w:rPr>
                <w:rFonts w:hint="eastAsia"/>
                <w:w w:val="100"/>
                <w:sz w:val="24"/>
                <w:szCs w:val="24"/>
              </w:rPr>
              <w:t>及“染料尘”要求</w:t>
            </w:r>
            <w:r>
              <w:rPr>
                <w:w w:val="100"/>
                <w:sz w:val="24"/>
                <w:szCs w:val="24"/>
              </w:rPr>
              <w:t>，非甲烷总烃排放满足《工业企业挥发性有机物排放控制标准》（DB13/2322-2016）中表2限值要求，厂区内非甲烷总烃满足《挥发性有机物无组织排放控制标准》（GB37822-2019）中表A.1厂区内VOCs无组织特别排放限值要求。</w:t>
            </w:r>
          </w:p>
          <w:p>
            <w:pPr>
              <w:adjustRightInd w:val="0"/>
              <w:snapToGrid w:val="0"/>
              <w:spacing w:line="360" w:lineRule="auto"/>
              <w:ind w:firstLine="482" w:firstLineChars="200"/>
              <w:rPr>
                <w:b/>
                <w:sz w:val="24"/>
              </w:rPr>
            </w:pPr>
            <w:r>
              <w:rPr>
                <w:b/>
                <w:sz w:val="24"/>
              </w:rPr>
              <w:t>综上所述，本项目废气均能达标排放，对区域大气环境影响较小。</w:t>
            </w:r>
          </w:p>
          <w:p>
            <w:pPr>
              <w:spacing w:line="360" w:lineRule="auto"/>
              <w:ind w:firstLine="480" w:firstLineChars="200"/>
              <w:rPr>
                <w:sz w:val="24"/>
              </w:rPr>
            </w:pPr>
            <w:r>
              <w:rPr>
                <w:sz w:val="24"/>
              </w:rPr>
              <w:t>1.7非正常工况</w:t>
            </w:r>
          </w:p>
          <w:p>
            <w:pPr>
              <w:spacing w:line="360" w:lineRule="auto"/>
              <w:ind w:firstLine="420" w:firstLineChars="175"/>
              <w:rPr>
                <w:sz w:val="24"/>
              </w:rPr>
            </w:pPr>
            <w:r>
              <w:rPr>
                <w:sz w:val="24"/>
              </w:rPr>
              <w:t>本项目非正常排放情景为污染物排放控制措施达不到应有效率的排放，经类比调查，运营期非正常排放情形主要为环保治理设施发生故障造成</w:t>
            </w:r>
            <w:r>
              <w:rPr>
                <w:rFonts w:hint="eastAsia"/>
                <w:sz w:val="24"/>
              </w:rPr>
              <w:t>焊接、切割、喷涂</w:t>
            </w:r>
            <w:r>
              <w:rPr>
                <w:sz w:val="24"/>
              </w:rPr>
              <w:t>工序废气</w:t>
            </w:r>
            <w:r>
              <w:rPr>
                <w:rFonts w:hint="eastAsia"/>
                <w:sz w:val="24"/>
              </w:rPr>
              <w:t>和固化工序废气</w:t>
            </w:r>
            <w:r>
              <w:rPr>
                <w:sz w:val="24"/>
              </w:rPr>
              <w:t>直接排放。</w:t>
            </w:r>
          </w:p>
          <w:p>
            <w:pPr>
              <w:spacing w:line="360" w:lineRule="auto"/>
              <w:ind w:firstLine="420" w:firstLineChars="175"/>
              <w:rPr>
                <w:sz w:val="24"/>
              </w:rPr>
            </w:pPr>
            <w:r>
              <w:rPr>
                <w:rFonts w:hint="eastAsia"/>
                <w:sz w:val="24"/>
              </w:rPr>
              <w:t>具体排放情况见表41。</w:t>
            </w:r>
          </w:p>
          <w:p>
            <w:pPr>
              <w:jc w:val="center"/>
              <w:rPr>
                <w:b/>
                <w:sz w:val="24"/>
              </w:rPr>
            </w:pPr>
            <w:r>
              <w:rPr>
                <w:b/>
                <w:sz w:val="24"/>
              </w:rPr>
              <w:t>表</w:t>
            </w:r>
            <w:r>
              <w:rPr>
                <w:rFonts w:hint="eastAsia"/>
                <w:b/>
                <w:sz w:val="24"/>
              </w:rPr>
              <w:t xml:space="preserve">41 </w:t>
            </w:r>
            <w:r>
              <w:rPr>
                <w:b/>
                <w:sz w:val="24"/>
              </w:rPr>
              <w:t xml:space="preserve"> 项目非正常工况排污一览表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35"/>
              <w:gridCol w:w="807"/>
              <w:gridCol w:w="533"/>
              <w:gridCol w:w="1064"/>
              <w:gridCol w:w="1306"/>
              <w:gridCol w:w="970"/>
              <w:gridCol w:w="970"/>
              <w:gridCol w:w="1088"/>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4" w:hRule="atLeast"/>
                <w:jc w:val="center"/>
              </w:trPr>
              <w:tc>
                <w:tcPr>
                  <w:tcW w:w="257" w:type="pct"/>
                  <w:vAlign w:val="center"/>
                </w:tcPr>
                <w:p>
                  <w:pPr>
                    <w:adjustRightInd w:val="0"/>
                    <w:snapToGrid w:val="0"/>
                    <w:jc w:val="center"/>
                    <w:rPr>
                      <w:b/>
                      <w:bCs/>
                      <w:szCs w:val="21"/>
                    </w:rPr>
                  </w:pPr>
                  <w:r>
                    <w:rPr>
                      <w:b/>
                      <w:bCs/>
                      <w:szCs w:val="21"/>
                    </w:rPr>
                    <w:t>序号</w:t>
                  </w:r>
                </w:p>
              </w:tc>
              <w:tc>
                <w:tcPr>
                  <w:tcW w:w="792" w:type="pct"/>
                  <w:gridSpan w:val="2"/>
                  <w:vAlign w:val="center"/>
                </w:tcPr>
                <w:p>
                  <w:pPr>
                    <w:adjustRightInd w:val="0"/>
                    <w:snapToGrid w:val="0"/>
                    <w:jc w:val="center"/>
                    <w:rPr>
                      <w:b/>
                      <w:bCs/>
                      <w:szCs w:val="21"/>
                    </w:rPr>
                  </w:pPr>
                  <w:r>
                    <w:rPr>
                      <w:rFonts w:hint="eastAsia"/>
                      <w:b/>
                      <w:bCs/>
                      <w:szCs w:val="21"/>
                    </w:rPr>
                    <w:t>排气筒</w:t>
                  </w:r>
                </w:p>
              </w:tc>
              <w:tc>
                <w:tcPr>
                  <w:tcW w:w="629" w:type="pct"/>
                  <w:vAlign w:val="center"/>
                </w:tcPr>
                <w:p>
                  <w:pPr>
                    <w:adjustRightInd w:val="0"/>
                    <w:snapToGrid w:val="0"/>
                    <w:jc w:val="center"/>
                    <w:rPr>
                      <w:b/>
                      <w:bCs/>
                      <w:szCs w:val="21"/>
                    </w:rPr>
                  </w:pPr>
                  <w:r>
                    <w:rPr>
                      <w:b/>
                      <w:bCs/>
                      <w:szCs w:val="21"/>
                    </w:rPr>
                    <w:t>项目</w:t>
                  </w:r>
                </w:p>
              </w:tc>
              <w:tc>
                <w:tcPr>
                  <w:tcW w:w="772" w:type="pct"/>
                  <w:vAlign w:val="center"/>
                </w:tcPr>
                <w:p>
                  <w:pPr>
                    <w:adjustRightInd w:val="0"/>
                    <w:snapToGrid w:val="0"/>
                    <w:jc w:val="center"/>
                    <w:rPr>
                      <w:b/>
                      <w:bCs/>
                      <w:szCs w:val="21"/>
                    </w:rPr>
                  </w:pPr>
                  <w:r>
                    <w:rPr>
                      <w:b/>
                      <w:bCs/>
                      <w:szCs w:val="21"/>
                    </w:rPr>
                    <w:t>排放浓度</w:t>
                  </w:r>
                </w:p>
                <w:p>
                  <w:pPr>
                    <w:adjustRightInd w:val="0"/>
                    <w:snapToGrid w:val="0"/>
                    <w:jc w:val="center"/>
                    <w:rPr>
                      <w:b/>
                      <w:bCs/>
                      <w:szCs w:val="21"/>
                    </w:rPr>
                  </w:pPr>
                  <w:r>
                    <w:rPr>
                      <w:b/>
                      <w:bCs/>
                      <w:szCs w:val="21"/>
                    </w:rPr>
                    <w:t>(mg/m</w:t>
                  </w:r>
                  <w:r>
                    <w:rPr>
                      <w:b/>
                      <w:bCs/>
                      <w:szCs w:val="21"/>
                      <w:vertAlign w:val="superscript"/>
                    </w:rPr>
                    <w:t>3</w:t>
                  </w:r>
                  <w:r>
                    <w:rPr>
                      <w:b/>
                      <w:bCs/>
                      <w:szCs w:val="21"/>
                    </w:rPr>
                    <w:t>)</w:t>
                  </w:r>
                </w:p>
              </w:tc>
              <w:tc>
                <w:tcPr>
                  <w:tcW w:w="573" w:type="pct"/>
                  <w:vAlign w:val="center"/>
                </w:tcPr>
                <w:p>
                  <w:pPr>
                    <w:adjustRightInd w:val="0"/>
                    <w:snapToGrid w:val="0"/>
                    <w:jc w:val="center"/>
                    <w:rPr>
                      <w:b/>
                      <w:bCs/>
                      <w:szCs w:val="21"/>
                    </w:rPr>
                  </w:pPr>
                  <w:r>
                    <w:rPr>
                      <w:b/>
                      <w:bCs/>
                      <w:szCs w:val="21"/>
                    </w:rPr>
                    <w:t>排放速率(kg/h)</w:t>
                  </w:r>
                </w:p>
              </w:tc>
              <w:tc>
                <w:tcPr>
                  <w:tcW w:w="573" w:type="pct"/>
                  <w:vAlign w:val="center"/>
                </w:tcPr>
                <w:p>
                  <w:pPr>
                    <w:adjustRightInd w:val="0"/>
                    <w:snapToGrid w:val="0"/>
                    <w:jc w:val="center"/>
                    <w:rPr>
                      <w:b/>
                      <w:bCs/>
                      <w:szCs w:val="21"/>
                    </w:rPr>
                  </w:pPr>
                  <w:r>
                    <w:rPr>
                      <w:b/>
                      <w:bCs/>
                      <w:szCs w:val="21"/>
                    </w:rPr>
                    <w:t>单次持续时间(h)</w:t>
                  </w:r>
                </w:p>
              </w:tc>
              <w:tc>
                <w:tcPr>
                  <w:tcW w:w="643" w:type="pct"/>
                  <w:vAlign w:val="center"/>
                </w:tcPr>
                <w:p>
                  <w:pPr>
                    <w:adjustRightInd w:val="0"/>
                    <w:snapToGrid w:val="0"/>
                    <w:jc w:val="center"/>
                    <w:rPr>
                      <w:b/>
                      <w:bCs/>
                      <w:szCs w:val="21"/>
                    </w:rPr>
                  </w:pPr>
                  <w:r>
                    <w:rPr>
                      <w:b/>
                      <w:bCs/>
                      <w:szCs w:val="21"/>
                    </w:rPr>
                    <w:t>年发生频次(次)</w:t>
                  </w:r>
                </w:p>
              </w:tc>
              <w:tc>
                <w:tcPr>
                  <w:tcW w:w="757" w:type="pct"/>
                  <w:vAlign w:val="center"/>
                </w:tcPr>
                <w:p>
                  <w:pPr>
                    <w:adjustRightInd w:val="0"/>
                    <w:snapToGrid w:val="0"/>
                    <w:jc w:val="center"/>
                    <w:rPr>
                      <w:b/>
                      <w:bCs/>
                      <w:szCs w:val="21"/>
                    </w:rPr>
                  </w:pPr>
                  <w:r>
                    <w:rPr>
                      <w:rFonts w:hint="eastAsia"/>
                      <w:b/>
                      <w:bCs/>
                      <w:szCs w:val="21"/>
                    </w:rPr>
                    <w:t>故障情景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57" w:type="pct"/>
                  <w:vAlign w:val="center"/>
                </w:tcPr>
                <w:p>
                  <w:pPr>
                    <w:adjustRightInd w:val="0"/>
                    <w:snapToGrid w:val="0"/>
                    <w:jc w:val="center"/>
                    <w:rPr>
                      <w:szCs w:val="21"/>
                    </w:rPr>
                  </w:pPr>
                  <w:r>
                    <w:rPr>
                      <w:szCs w:val="21"/>
                    </w:rPr>
                    <w:t>1</w:t>
                  </w:r>
                </w:p>
              </w:tc>
              <w:tc>
                <w:tcPr>
                  <w:tcW w:w="792" w:type="pct"/>
                  <w:gridSpan w:val="2"/>
                  <w:vAlign w:val="center"/>
                </w:tcPr>
                <w:p>
                  <w:pPr>
                    <w:adjustRightInd w:val="0"/>
                    <w:snapToGrid w:val="0"/>
                    <w:jc w:val="center"/>
                    <w:rPr>
                      <w:szCs w:val="21"/>
                    </w:rPr>
                  </w:pPr>
                  <w:r>
                    <w:rPr>
                      <w:rFonts w:hint="eastAsia"/>
                      <w:szCs w:val="21"/>
                    </w:rPr>
                    <w:t>DA001</w:t>
                  </w:r>
                </w:p>
              </w:tc>
              <w:tc>
                <w:tcPr>
                  <w:tcW w:w="629" w:type="pct"/>
                  <w:vAlign w:val="center"/>
                </w:tcPr>
                <w:p>
                  <w:pPr>
                    <w:adjustRightInd w:val="0"/>
                    <w:snapToGrid w:val="0"/>
                    <w:jc w:val="center"/>
                    <w:rPr>
                      <w:szCs w:val="21"/>
                    </w:rPr>
                  </w:pPr>
                  <w:r>
                    <w:rPr>
                      <w:szCs w:val="21"/>
                    </w:rPr>
                    <w:t>颗粒物</w:t>
                  </w:r>
                </w:p>
              </w:tc>
              <w:tc>
                <w:tcPr>
                  <w:tcW w:w="772" w:type="pct"/>
                  <w:vAlign w:val="center"/>
                </w:tcPr>
                <w:p>
                  <w:pPr>
                    <w:adjustRightInd w:val="0"/>
                    <w:snapToGrid w:val="0"/>
                    <w:jc w:val="center"/>
                    <w:rPr>
                      <w:szCs w:val="21"/>
                    </w:rPr>
                  </w:pPr>
                  <w:r>
                    <w:rPr>
                      <w:rFonts w:hint="eastAsia"/>
                      <w:szCs w:val="21"/>
                    </w:rPr>
                    <w:t>10.653</w:t>
                  </w:r>
                </w:p>
              </w:tc>
              <w:tc>
                <w:tcPr>
                  <w:tcW w:w="573" w:type="pct"/>
                  <w:vAlign w:val="center"/>
                </w:tcPr>
                <w:p>
                  <w:pPr>
                    <w:adjustRightInd w:val="0"/>
                    <w:snapToGrid w:val="0"/>
                    <w:jc w:val="center"/>
                    <w:rPr>
                      <w:szCs w:val="21"/>
                    </w:rPr>
                  </w:pPr>
                  <w:r>
                    <w:rPr>
                      <w:rFonts w:hint="eastAsia"/>
                      <w:szCs w:val="21"/>
                    </w:rPr>
                    <w:t>0.0852</w:t>
                  </w:r>
                </w:p>
              </w:tc>
              <w:tc>
                <w:tcPr>
                  <w:tcW w:w="573" w:type="pct"/>
                  <w:vAlign w:val="center"/>
                </w:tcPr>
                <w:p>
                  <w:pPr>
                    <w:adjustRightInd w:val="0"/>
                    <w:snapToGrid w:val="0"/>
                    <w:jc w:val="center"/>
                    <w:rPr>
                      <w:szCs w:val="21"/>
                    </w:rPr>
                  </w:pPr>
                  <w:r>
                    <w:rPr>
                      <w:szCs w:val="21"/>
                    </w:rPr>
                    <w:t>1</w:t>
                  </w:r>
                </w:p>
              </w:tc>
              <w:tc>
                <w:tcPr>
                  <w:tcW w:w="643" w:type="pct"/>
                  <w:vAlign w:val="center"/>
                </w:tcPr>
                <w:p>
                  <w:pPr>
                    <w:adjustRightInd w:val="0"/>
                    <w:snapToGrid w:val="0"/>
                    <w:jc w:val="center"/>
                    <w:rPr>
                      <w:szCs w:val="21"/>
                    </w:rPr>
                  </w:pPr>
                  <w:r>
                    <w:rPr>
                      <w:szCs w:val="21"/>
                    </w:rPr>
                    <w:t>2</w:t>
                  </w:r>
                </w:p>
              </w:tc>
              <w:tc>
                <w:tcPr>
                  <w:tcW w:w="757" w:type="pct"/>
                  <w:vAlign w:val="center"/>
                </w:tcPr>
                <w:p>
                  <w:pPr>
                    <w:adjustRightInd w:val="0"/>
                    <w:snapToGrid w:val="0"/>
                    <w:jc w:val="center"/>
                    <w:rPr>
                      <w:szCs w:val="21"/>
                    </w:rPr>
                  </w:pPr>
                  <w:r>
                    <w:rPr>
                      <w:rFonts w:hint="eastAsia"/>
                      <w:szCs w:val="21"/>
                    </w:rPr>
                    <w:t>布袋除尘器故障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57" w:type="pct"/>
                  <w:vAlign w:val="center"/>
                </w:tcPr>
                <w:p>
                  <w:pPr>
                    <w:adjustRightInd w:val="0"/>
                    <w:snapToGrid w:val="0"/>
                    <w:jc w:val="center"/>
                    <w:rPr>
                      <w:szCs w:val="21"/>
                    </w:rPr>
                  </w:pPr>
                  <w:r>
                    <w:rPr>
                      <w:rFonts w:hint="eastAsia"/>
                      <w:szCs w:val="21"/>
                    </w:rPr>
                    <w:t>2</w:t>
                  </w:r>
                </w:p>
              </w:tc>
              <w:tc>
                <w:tcPr>
                  <w:tcW w:w="792" w:type="pct"/>
                  <w:gridSpan w:val="2"/>
                  <w:vAlign w:val="center"/>
                </w:tcPr>
                <w:p>
                  <w:pPr>
                    <w:adjustRightInd w:val="0"/>
                    <w:snapToGrid w:val="0"/>
                    <w:jc w:val="center"/>
                    <w:rPr>
                      <w:szCs w:val="21"/>
                    </w:rPr>
                  </w:pPr>
                  <w:r>
                    <w:rPr>
                      <w:rFonts w:hint="eastAsia"/>
                      <w:szCs w:val="21"/>
                    </w:rPr>
                    <w:t>DA002</w:t>
                  </w:r>
                </w:p>
              </w:tc>
              <w:tc>
                <w:tcPr>
                  <w:tcW w:w="629" w:type="pct"/>
                  <w:vAlign w:val="center"/>
                </w:tcPr>
                <w:p>
                  <w:pPr>
                    <w:adjustRightInd w:val="0"/>
                    <w:snapToGrid w:val="0"/>
                    <w:jc w:val="center"/>
                    <w:rPr>
                      <w:szCs w:val="21"/>
                    </w:rPr>
                  </w:pPr>
                  <w:r>
                    <w:rPr>
                      <w:szCs w:val="21"/>
                    </w:rPr>
                    <w:t>颗粒物</w:t>
                  </w:r>
                </w:p>
              </w:tc>
              <w:tc>
                <w:tcPr>
                  <w:tcW w:w="772" w:type="pct"/>
                  <w:vAlign w:val="center"/>
                </w:tcPr>
                <w:p>
                  <w:pPr>
                    <w:adjustRightInd w:val="0"/>
                    <w:snapToGrid w:val="0"/>
                    <w:jc w:val="center"/>
                    <w:rPr>
                      <w:szCs w:val="21"/>
                    </w:rPr>
                  </w:pPr>
                  <w:r>
                    <w:rPr>
                      <w:rFonts w:hint="eastAsia"/>
                      <w:szCs w:val="21"/>
                    </w:rPr>
                    <w:t>197.9</w:t>
                  </w:r>
                </w:p>
              </w:tc>
              <w:tc>
                <w:tcPr>
                  <w:tcW w:w="573" w:type="pct"/>
                  <w:vAlign w:val="center"/>
                </w:tcPr>
                <w:p>
                  <w:pPr>
                    <w:adjustRightInd w:val="0"/>
                    <w:snapToGrid w:val="0"/>
                    <w:jc w:val="center"/>
                    <w:rPr>
                      <w:szCs w:val="21"/>
                    </w:rPr>
                  </w:pPr>
                  <w:r>
                    <w:rPr>
                      <w:rFonts w:hint="eastAsia"/>
                      <w:szCs w:val="21"/>
                    </w:rPr>
                    <w:t>1.979</w:t>
                  </w:r>
                </w:p>
              </w:tc>
              <w:tc>
                <w:tcPr>
                  <w:tcW w:w="573" w:type="pct"/>
                  <w:vAlign w:val="center"/>
                </w:tcPr>
                <w:p>
                  <w:pPr>
                    <w:adjustRightInd w:val="0"/>
                    <w:snapToGrid w:val="0"/>
                    <w:jc w:val="center"/>
                    <w:rPr>
                      <w:szCs w:val="21"/>
                    </w:rPr>
                  </w:pPr>
                  <w:r>
                    <w:rPr>
                      <w:rFonts w:hint="eastAsia"/>
                      <w:szCs w:val="21"/>
                    </w:rPr>
                    <w:t>1</w:t>
                  </w:r>
                </w:p>
              </w:tc>
              <w:tc>
                <w:tcPr>
                  <w:tcW w:w="643" w:type="pct"/>
                  <w:vAlign w:val="center"/>
                </w:tcPr>
                <w:p>
                  <w:pPr>
                    <w:adjustRightInd w:val="0"/>
                    <w:snapToGrid w:val="0"/>
                    <w:jc w:val="center"/>
                    <w:rPr>
                      <w:szCs w:val="21"/>
                    </w:rPr>
                  </w:pPr>
                  <w:r>
                    <w:rPr>
                      <w:rFonts w:hint="eastAsia"/>
                      <w:szCs w:val="21"/>
                    </w:rPr>
                    <w:t>2</w:t>
                  </w:r>
                </w:p>
              </w:tc>
              <w:tc>
                <w:tcPr>
                  <w:tcW w:w="757" w:type="pct"/>
                  <w:vAlign w:val="center"/>
                </w:tcPr>
                <w:p>
                  <w:pPr>
                    <w:adjustRightInd w:val="0"/>
                    <w:snapToGrid w:val="0"/>
                    <w:jc w:val="center"/>
                    <w:rPr>
                      <w:szCs w:val="21"/>
                    </w:rPr>
                  </w:pPr>
                  <w:r>
                    <w:rPr>
                      <w:rFonts w:hint="eastAsia"/>
                      <w:szCs w:val="21"/>
                    </w:rPr>
                    <w:t>所有除尘措施故障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57" w:type="pct"/>
                  <w:vMerge w:val="restart"/>
                  <w:vAlign w:val="center"/>
                </w:tcPr>
                <w:p>
                  <w:pPr>
                    <w:adjustRightInd w:val="0"/>
                    <w:snapToGrid w:val="0"/>
                    <w:jc w:val="center"/>
                    <w:rPr>
                      <w:szCs w:val="21"/>
                    </w:rPr>
                  </w:pPr>
                  <w:r>
                    <w:rPr>
                      <w:rFonts w:hint="eastAsia"/>
                      <w:szCs w:val="21"/>
                    </w:rPr>
                    <w:t>3</w:t>
                  </w:r>
                </w:p>
              </w:tc>
              <w:tc>
                <w:tcPr>
                  <w:tcW w:w="477" w:type="pct"/>
                  <w:vMerge w:val="restart"/>
                  <w:vAlign w:val="center"/>
                </w:tcPr>
                <w:p>
                  <w:pPr>
                    <w:adjustRightInd w:val="0"/>
                    <w:snapToGrid w:val="0"/>
                    <w:jc w:val="center"/>
                    <w:rPr>
                      <w:szCs w:val="21"/>
                    </w:rPr>
                  </w:pPr>
                  <w:r>
                    <w:rPr>
                      <w:rFonts w:hint="eastAsia"/>
                      <w:szCs w:val="21"/>
                    </w:rPr>
                    <w:t>DA003（催化燃烧时同时吸附）</w:t>
                  </w:r>
                </w:p>
              </w:tc>
              <w:tc>
                <w:tcPr>
                  <w:tcW w:w="315" w:type="pct"/>
                  <w:vAlign w:val="center"/>
                </w:tcPr>
                <w:p>
                  <w:pPr>
                    <w:adjustRightInd w:val="0"/>
                    <w:snapToGrid w:val="0"/>
                    <w:jc w:val="center"/>
                    <w:rPr>
                      <w:szCs w:val="21"/>
                    </w:rPr>
                  </w:pPr>
                  <w:r>
                    <w:rPr>
                      <w:rFonts w:hint="eastAsia"/>
                      <w:szCs w:val="21"/>
                    </w:rPr>
                    <w:t>吸附</w:t>
                  </w:r>
                </w:p>
              </w:tc>
              <w:tc>
                <w:tcPr>
                  <w:tcW w:w="629" w:type="pct"/>
                  <w:vAlign w:val="center"/>
                </w:tcPr>
                <w:p>
                  <w:pPr>
                    <w:adjustRightInd w:val="0"/>
                    <w:snapToGrid w:val="0"/>
                    <w:jc w:val="center"/>
                    <w:rPr>
                      <w:szCs w:val="21"/>
                    </w:rPr>
                  </w:pPr>
                  <w:r>
                    <w:rPr>
                      <w:szCs w:val="21"/>
                    </w:rPr>
                    <w:t>非甲烷总烃</w:t>
                  </w:r>
                </w:p>
              </w:tc>
              <w:tc>
                <w:tcPr>
                  <w:tcW w:w="772" w:type="pct"/>
                  <w:vAlign w:val="center"/>
                </w:tcPr>
                <w:p>
                  <w:pPr>
                    <w:adjustRightInd w:val="0"/>
                    <w:snapToGrid w:val="0"/>
                    <w:jc w:val="center"/>
                    <w:rPr>
                      <w:szCs w:val="21"/>
                    </w:rPr>
                  </w:pPr>
                  <w:r>
                    <w:rPr>
                      <w:rFonts w:hint="eastAsia"/>
                      <w:szCs w:val="21"/>
                    </w:rPr>
                    <w:t>0.75</w:t>
                  </w:r>
                </w:p>
              </w:tc>
              <w:tc>
                <w:tcPr>
                  <w:tcW w:w="573" w:type="pct"/>
                  <w:vAlign w:val="center"/>
                </w:tcPr>
                <w:p>
                  <w:pPr>
                    <w:adjustRightInd w:val="0"/>
                    <w:snapToGrid w:val="0"/>
                    <w:jc w:val="center"/>
                    <w:rPr>
                      <w:szCs w:val="21"/>
                    </w:rPr>
                  </w:pPr>
                  <w:r>
                    <w:rPr>
                      <w:rFonts w:hint="eastAsia"/>
                      <w:szCs w:val="21"/>
                    </w:rPr>
                    <w:t>0.0075</w:t>
                  </w:r>
                </w:p>
              </w:tc>
              <w:tc>
                <w:tcPr>
                  <w:tcW w:w="573" w:type="pct"/>
                  <w:vAlign w:val="center"/>
                </w:tcPr>
                <w:p>
                  <w:pPr>
                    <w:adjustRightInd w:val="0"/>
                    <w:snapToGrid w:val="0"/>
                    <w:jc w:val="center"/>
                    <w:rPr>
                      <w:szCs w:val="21"/>
                    </w:rPr>
                  </w:pPr>
                  <w:r>
                    <w:rPr>
                      <w:szCs w:val="21"/>
                    </w:rPr>
                    <w:t>1</w:t>
                  </w:r>
                </w:p>
              </w:tc>
              <w:tc>
                <w:tcPr>
                  <w:tcW w:w="643" w:type="pct"/>
                  <w:vAlign w:val="center"/>
                </w:tcPr>
                <w:p>
                  <w:pPr>
                    <w:adjustRightInd w:val="0"/>
                    <w:snapToGrid w:val="0"/>
                    <w:jc w:val="center"/>
                    <w:rPr>
                      <w:szCs w:val="21"/>
                    </w:rPr>
                  </w:pPr>
                  <w:r>
                    <w:rPr>
                      <w:szCs w:val="21"/>
                    </w:rPr>
                    <w:t>2</w:t>
                  </w:r>
                </w:p>
              </w:tc>
              <w:tc>
                <w:tcPr>
                  <w:tcW w:w="757" w:type="pct"/>
                  <w:vAlign w:val="center"/>
                </w:tcPr>
                <w:p>
                  <w:pPr>
                    <w:adjustRightInd w:val="0"/>
                    <w:snapToGrid w:val="0"/>
                    <w:jc w:val="center"/>
                    <w:rPr>
                      <w:szCs w:val="21"/>
                    </w:rPr>
                  </w:pPr>
                  <w:r>
                    <w:rPr>
                      <w:rFonts w:hint="eastAsia"/>
                      <w:szCs w:val="21"/>
                    </w:rPr>
                    <w:t>活性炭吸附装置故障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57" w:type="pct"/>
                  <w:vMerge w:val="continue"/>
                  <w:vAlign w:val="center"/>
                </w:tcPr>
                <w:p>
                  <w:pPr>
                    <w:adjustRightInd w:val="0"/>
                    <w:snapToGrid w:val="0"/>
                    <w:jc w:val="center"/>
                    <w:rPr>
                      <w:szCs w:val="21"/>
                    </w:rPr>
                  </w:pPr>
                </w:p>
              </w:tc>
              <w:tc>
                <w:tcPr>
                  <w:tcW w:w="477" w:type="pct"/>
                  <w:vMerge w:val="continue"/>
                  <w:vAlign w:val="center"/>
                </w:tcPr>
                <w:p>
                  <w:pPr>
                    <w:adjustRightInd w:val="0"/>
                    <w:snapToGrid w:val="0"/>
                    <w:jc w:val="center"/>
                    <w:rPr>
                      <w:szCs w:val="21"/>
                    </w:rPr>
                  </w:pPr>
                </w:p>
              </w:tc>
              <w:tc>
                <w:tcPr>
                  <w:tcW w:w="315" w:type="pct"/>
                  <w:vAlign w:val="center"/>
                </w:tcPr>
                <w:p>
                  <w:pPr>
                    <w:adjustRightInd w:val="0"/>
                    <w:snapToGrid w:val="0"/>
                    <w:jc w:val="center"/>
                    <w:rPr>
                      <w:szCs w:val="21"/>
                    </w:rPr>
                  </w:pPr>
                  <w:r>
                    <w:rPr>
                      <w:rFonts w:hint="eastAsia"/>
                      <w:szCs w:val="21"/>
                    </w:rPr>
                    <w:t>脱附-催化燃烧</w:t>
                  </w:r>
                </w:p>
              </w:tc>
              <w:tc>
                <w:tcPr>
                  <w:tcW w:w="629" w:type="pct"/>
                  <w:vAlign w:val="center"/>
                </w:tcPr>
                <w:p>
                  <w:pPr>
                    <w:adjustRightInd w:val="0"/>
                    <w:snapToGrid w:val="0"/>
                    <w:jc w:val="center"/>
                    <w:rPr>
                      <w:szCs w:val="21"/>
                    </w:rPr>
                  </w:pPr>
                  <w:r>
                    <w:rPr>
                      <w:rFonts w:hint="eastAsia"/>
                      <w:szCs w:val="21"/>
                    </w:rPr>
                    <w:t>非甲烷总烃</w:t>
                  </w:r>
                </w:p>
              </w:tc>
              <w:tc>
                <w:tcPr>
                  <w:tcW w:w="772" w:type="pct"/>
                  <w:vAlign w:val="center"/>
                </w:tcPr>
                <w:p>
                  <w:pPr>
                    <w:adjustRightInd w:val="0"/>
                    <w:snapToGrid w:val="0"/>
                    <w:jc w:val="center"/>
                    <w:rPr>
                      <w:szCs w:val="21"/>
                    </w:rPr>
                  </w:pPr>
                  <w:r>
                    <w:rPr>
                      <w:rFonts w:hint="eastAsia"/>
                      <w:szCs w:val="21"/>
                    </w:rPr>
                    <w:t>135.625</w:t>
                  </w:r>
                </w:p>
              </w:tc>
              <w:tc>
                <w:tcPr>
                  <w:tcW w:w="573" w:type="pct"/>
                  <w:vAlign w:val="center"/>
                </w:tcPr>
                <w:p>
                  <w:pPr>
                    <w:adjustRightInd w:val="0"/>
                    <w:snapToGrid w:val="0"/>
                    <w:jc w:val="center"/>
                    <w:rPr>
                      <w:szCs w:val="21"/>
                    </w:rPr>
                  </w:pPr>
                  <w:r>
                    <w:rPr>
                      <w:rFonts w:hint="eastAsia"/>
                      <w:szCs w:val="21"/>
                    </w:rPr>
                    <w:t>1.6275</w:t>
                  </w:r>
                </w:p>
              </w:tc>
              <w:tc>
                <w:tcPr>
                  <w:tcW w:w="573" w:type="pct"/>
                  <w:vAlign w:val="center"/>
                </w:tcPr>
                <w:p>
                  <w:pPr>
                    <w:adjustRightInd w:val="0"/>
                    <w:snapToGrid w:val="0"/>
                    <w:jc w:val="center"/>
                    <w:rPr>
                      <w:szCs w:val="21"/>
                    </w:rPr>
                  </w:pPr>
                  <w:r>
                    <w:rPr>
                      <w:szCs w:val="21"/>
                    </w:rPr>
                    <w:t>1</w:t>
                  </w:r>
                </w:p>
              </w:tc>
              <w:tc>
                <w:tcPr>
                  <w:tcW w:w="643" w:type="pct"/>
                  <w:vAlign w:val="center"/>
                </w:tcPr>
                <w:p>
                  <w:pPr>
                    <w:adjustRightInd w:val="0"/>
                    <w:snapToGrid w:val="0"/>
                    <w:jc w:val="center"/>
                    <w:rPr>
                      <w:szCs w:val="21"/>
                    </w:rPr>
                  </w:pPr>
                  <w:r>
                    <w:rPr>
                      <w:szCs w:val="21"/>
                    </w:rPr>
                    <w:t>2</w:t>
                  </w:r>
                </w:p>
              </w:tc>
              <w:tc>
                <w:tcPr>
                  <w:tcW w:w="757" w:type="pct"/>
                  <w:vAlign w:val="center"/>
                </w:tcPr>
                <w:p>
                  <w:pPr>
                    <w:adjustRightInd w:val="0"/>
                    <w:snapToGrid w:val="0"/>
                    <w:jc w:val="center"/>
                    <w:rPr>
                      <w:szCs w:val="21"/>
                    </w:rPr>
                  </w:pPr>
                  <w:r>
                    <w:rPr>
                      <w:rFonts w:hint="eastAsia"/>
                      <w:szCs w:val="21"/>
                    </w:rPr>
                    <w:t>活性炭吸附装置及催化燃烧装置同时故障</w:t>
                  </w:r>
                </w:p>
              </w:tc>
            </w:tr>
          </w:tbl>
          <w:p>
            <w:pPr>
              <w:spacing w:line="360" w:lineRule="auto"/>
              <w:ind w:firstLine="480" w:firstLineChars="200"/>
              <w:rPr>
                <w:sz w:val="24"/>
              </w:rPr>
            </w:pPr>
            <w:r>
              <w:rPr>
                <w:sz w:val="24"/>
              </w:rPr>
              <w:t>本评价要求建设单位应加强环保设备的运行管理，指派专人负责设施的日常维护、维修工作，避免非正常工况的出现，一旦发现环保治理设施发生故障，应立即停止生产进行检修。</w:t>
            </w:r>
          </w:p>
          <w:p>
            <w:pPr>
              <w:spacing w:line="360" w:lineRule="auto"/>
              <w:ind w:firstLine="480" w:firstLineChars="200"/>
              <w:rPr>
                <w:sz w:val="24"/>
              </w:rPr>
            </w:pPr>
            <w:r>
              <w:rPr>
                <w:sz w:val="24"/>
              </w:rPr>
              <w:t>综上，本项目</w:t>
            </w:r>
            <w:r>
              <w:rPr>
                <w:rFonts w:hint="eastAsia"/>
                <w:sz w:val="24"/>
              </w:rPr>
              <w:t>焊接工序烟尘经集气罩收集后进入1套布袋除尘器进行处理后经1根20m高排气筒（DA001）外排；切割粉尘经集气装置收集后进入自带布袋除尘器进行处理后与焊接烟尘共用1根排气筒（DA001）外排；喷涂</w:t>
            </w:r>
            <w:r>
              <w:rPr>
                <w:sz w:val="24"/>
              </w:rPr>
              <w:t>置于密闭</w:t>
            </w:r>
            <w:r>
              <w:rPr>
                <w:rFonts w:hint="eastAsia"/>
                <w:sz w:val="24"/>
              </w:rPr>
              <w:t>喷室内</w:t>
            </w:r>
            <w:r>
              <w:rPr>
                <w:sz w:val="24"/>
              </w:rPr>
              <w:t>进行，工作过程中产生的废气经管道收集后进入</w:t>
            </w:r>
            <w:r>
              <w:rPr>
                <w:rFonts w:hint="eastAsia"/>
                <w:sz w:val="24"/>
              </w:rPr>
              <w:t>旋风+滤筒除尘器进行处理后</w:t>
            </w:r>
            <w:r>
              <w:rPr>
                <w:sz w:val="24"/>
              </w:rPr>
              <w:t>经1根</w:t>
            </w:r>
            <w:r>
              <w:rPr>
                <w:rFonts w:hint="eastAsia"/>
                <w:sz w:val="24"/>
              </w:rPr>
              <w:t>20</w:t>
            </w:r>
            <w:r>
              <w:rPr>
                <w:sz w:val="24"/>
              </w:rPr>
              <w:t>m排气筒（DA00</w:t>
            </w:r>
            <w:r>
              <w:rPr>
                <w:rFonts w:hint="eastAsia"/>
                <w:sz w:val="24"/>
              </w:rPr>
              <w:t>2</w:t>
            </w:r>
            <w:r>
              <w:rPr>
                <w:sz w:val="24"/>
              </w:rPr>
              <w:t>）排放</w:t>
            </w:r>
            <w:r>
              <w:rPr>
                <w:rFonts w:hint="eastAsia"/>
                <w:sz w:val="24"/>
              </w:rPr>
              <w:t>；天然气热风炉加装低氮燃烧器，燃烧气体进入固化工序与固化废气经集气装置收集进入1套“干式过滤棉+活性炭吸附-脱附催化燃烧装置”进行处理后经1根20m高排气筒（DA003）排放，均可</w:t>
            </w:r>
            <w:r>
              <w:rPr>
                <w:sz w:val="24"/>
              </w:rPr>
              <w:t>达标排放，大气污染物排放量较小，对周围环境影响较小。</w:t>
            </w:r>
          </w:p>
          <w:p>
            <w:pPr>
              <w:spacing w:line="360" w:lineRule="auto"/>
              <w:ind w:firstLine="482" w:firstLineChars="200"/>
              <w:rPr>
                <w:b/>
                <w:bCs/>
                <w:sz w:val="24"/>
              </w:rPr>
            </w:pPr>
            <w:r>
              <w:rPr>
                <w:b/>
                <w:bCs/>
                <w:sz w:val="24"/>
              </w:rPr>
              <w:t>2、废水</w:t>
            </w:r>
          </w:p>
          <w:p>
            <w:pPr>
              <w:spacing w:line="360" w:lineRule="auto"/>
              <w:ind w:firstLine="480" w:firstLineChars="200"/>
              <w:rPr>
                <w:sz w:val="24"/>
              </w:rPr>
            </w:pPr>
            <w:r>
              <w:rPr>
                <w:sz w:val="24"/>
              </w:rPr>
              <w:t>2.1污染治理设施</w:t>
            </w:r>
          </w:p>
          <w:p>
            <w:pPr>
              <w:spacing w:line="360" w:lineRule="auto"/>
              <w:ind w:firstLine="480" w:firstLineChars="200"/>
              <w:rPr>
                <w:sz w:val="24"/>
              </w:rPr>
            </w:pPr>
            <w:r>
              <w:rPr>
                <w:sz w:val="24"/>
              </w:rPr>
              <w:t>本项目废水污染治理措施见表</w:t>
            </w:r>
            <w:r>
              <w:rPr>
                <w:rFonts w:hint="eastAsia"/>
                <w:sz w:val="24"/>
              </w:rPr>
              <w:t>42</w:t>
            </w:r>
            <w:r>
              <w:rPr>
                <w:sz w:val="24"/>
              </w:rPr>
              <w:t>。</w:t>
            </w:r>
          </w:p>
          <w:p>
            <w:pPr>
              <w:jc w:val="center"/>
              <w:rPr>
                <w:b/>
                <w:sz w:val="24"/>
              </w:rPr>
            </w:pPr>
            <w:r>
              <w:rPr>
                <w:b/>
                <w:sz w:val="24"/>
              </w:rPr>
              <w:t>表</w:t>
            </w:r>
            <w:r>
              <w:rPr>
                <w:rFonts w:hint="eastAsia"/>
                <w:b/>
                <w:sz w:val="24"/>
              </w:rPr>
              <w:t xml:space="preserve">42 </w:t>
            </w:r>
            <w:r>
              <w:rPr>
                <w:b/>
                <w:sz w:val="24"/>
              </w:rPr>
              <w:t xml:space="preserve"> 废水污染治理措施一览表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938"/>
              <w:gridCol w:w="820"/>
              <w:gridCol w:w="952"/>
              <w:gridCol w:w="695"/>
              <w:gridCol w:w="619"/>
              <w:gridCol w:w="624"/>
              <w:gridCol w:w="892"/>
              <w:gridCol w:w="777"/>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vAlign w:val="center"/>
                </w:tcPr>
                <w:p>
                  <w:pPr>
                    <w:adjustRightInd w:val="0"/>
                    <w:snapToGrid w:val="0"/>
                    <w:jc w:val="center"/>
                    <w:textAlignment w:val="baseline"/>
                    <w:rPr>
                      <w:b/>
                      <w:bCs/>
                      <w:szCs w:val="21"/>
                    </w:rPr>
                  </w:pPr>
                  <w:r>
                    <w:rPr>
                      <w:b/>
                      <w:bCs/>
                      <w:szCs w:val="21"/>
                    </w:rPr>
                    <w:t>序号</w:t>
                  </w:r>
                </w:p>
              </w:tc>
              <w:tc>
                <w:tcPr>
                  <w:tcW w:w="252" w:type="pct"/>
                  <w:vMerge w:val="restart"/>
                  <w:vAlign w:val="center"/>
                </w:tcPr>
                <w:p>
                  <w:pPr>
                    <w:adjustRightInd w:val="0"/>
                    <w:snapToGrid w:val="0"/>
                    <w:jc w:val="center"/>
                    <w:textAlignment w:val="baseline"/>
                    <w:rPr>
                      <w:b/>
                      <w:bCs/>
                      <w:szCs w:val="21"/>
                    </w:rPr>
                  </w:pPr>
                  <w:r>
                    <w:rPr>
                      <w:b/>
                      <w:bCs/>
                      <w:szCs w:val="21"/>
                    </w:rPr>
                    <w:t>废水类别</w:t>
                  </w:r>
                </w:p>
              </w:tc>
              <w:tc>
                <w:tcPr>
                  <w:tcW w:w="473" w:type="pct"/>
                  <w:vMerge w:val="restart"/>
                  <w:vAlign w:val="center"/>
                </w:tcPr>
                <w:p>
                  <w:pPr>
                    <w:adjustRightInd w:val="0"/>
                    <w:snapToGrid w:val="0"/>
                    <w:jc w:val="center"/>
                    <w:textAlignment w:val="baseline"/>
                    <w:rPr>
                      <w:b/>
                      <w:bCs/>
                      <w:szCs w:val="21"/>
                    </w:rPr>
                  </w:pPr>
                  <w:r>
                    <w:rPr>
                      <w:b/>
                      <w:bCs/>
                      <w:szCs w:val="21"/>
                    </w:rPr>
                    <w:t>污染物种类</w:t>
                  </w:r>
                </w:p>
              </w:tc>
              <w:tc>
                <w:tcPr>
                  <w:tcW w:w="495" w:type="pct"/>
                  <w:vMerge w:val="restart"/>
                  <w:vAlign w:val="center"/>
                </w:tcPr>
                <w:p>
                  <w:pPr>
                    <w:adjustRightInd w:val="0"/>
                    <w:snapToGrid w:val="0"/>
                    <w:jc w:val="center"/>
                    <w:textAlignment w:val="baseline"/>
                    <w:rPr>
                      <w:b/>
                      <w:bCs/>
                      <w:szCs w:val="21"/>
                    </w:rPr>
                  </w:pPr>
                  <w:r>
                    <w:rPr>
                      <w:b/>
                      <w:bCs/>
                      <w:szCs w:val="21"/>
                    </w:rPr>
                    <w:t>排放</w:t>
                  </w:r>
                </w:p>
                <w:p>
                  <w:pPr>
                    <w:adjustRightInd w:val="0"/>
                    <w:snapToGrid w:val="0"/>
                    <w:jc w:val="center"/>
                    <w:textAlignment w:val="baseline"/>
                    <w:rPr>
                      <w:b/>
                      <w:bCs/>
                      <w:szCs w:val="21"/>
                    </w:rPr>
                  </w:pPr>
                  <w:r>
                    <w:rPr>
                      <w:b/>
                      <w:bCs/>
                      <w:szCs w:val="21"/>
                    </w:rPr>
                    <w:t>去向</w:t>
                  </w:r>
                </w:p>
              </w:tc>
              <w:tc>
                <w:tcPr>
                  <w:tcW w:w="573" w:type="pct"/>
                  <w:vMerge w:val="restart"/>
                  <w:vAlign w:val="center"/>
                </w:tcPr>
                <w:p>
                  <w:pPr>
                    <w:adjustRightInd w:val="0"/>
                    <w:snapToGrid w:val="0"/>
                    <w:jc w:val="center"/>
                    <w:textAlignment w:val="baseline"/>
                    <w:rPr>
                      <w:b/>
                      <w:bCs/>
                      <w:szCs w:val="21"/>
                    </w:rPr>
                  </w:pPr>
                  <w:r>
                    <w:rPr>
                      <w:b/>
                      <w:bCs/>
                      <w:szCs w:val="21"/>
                    </w:rPr>
                    <w:t>排放</w:t>
                  </w:r>
                </w:p>
                <w:p>
                  <w:pPr>
                    <w:adjustRightInd w:val="0"/>
                    <w:snapToGrid w:val="0"/>
                    <w:jc w:val="center"/>
                    <w:textAlignment w:val="baseline"/>
                    <w:rPr>
                      <w:b/>
                      <w:bCs/>
                      <w:szCs w:val="21"/>
                    </w:rPr>
                  </w:pPr>
                  <w:r>
                    <w:rPr>
                      <w:b/>
                      <w:bCs/>
                      <w:szCs w:val="21"/>
                    </w:rPr>
                    <w:t>规律</w:t>
                  </w:r>
                </w:p>
              </w:tc>
              <w:tc>
                <w:tcPr>
                  <w:tcW w:w="1176" w:type="pct"/>
                  <w:gridSpan w:val="3"/>
                  <w:vAlign w:val="center"/>
                </w:tcPr>
                <w:p>
                  <w:pPr>
                    <w:adjustRightInd w:val="0"/>
                    <w:snapToGrid w:val="0"/>
                    <w:jc w:val="center"/>
                    <w:textAlignment w:val="baseline"/>
                    <w:rPr>
                      <w:b/>
                      <w:bCs/>
                      <w:szCs w:val="21"/>
                    </w:rPr>
                  </w:pPr>
                  <w:r>
                    <w:rPr>
                      <w:b/>
                      <w:bCs/>
                      <w:szCs w:val="21"/>
                    </w:rPr>
                    <w:t>污染治理设施</w:t>
                  </w:r>
                </w:p>
              </w:tc>
              <w:tc>
                <w:tcPr>
                  <w:tcW w:w="537" w:type="pct"/>
                  <w:vMerge w:val="restart"/>
                  <w:vAlign w:val="center"/>
                </w:tcPr>
                <w:p>
                  <w:pPr>
                    <w:adjustRightInd w:val="0"/>
                    <w:snapToGrid w:val="0"/>
                    <w:jc w:val="center"/>
                    <w:textAlignment w:val="baseline"/>
                    <w:rPr>
                      <w:b/>
                      <w:bCs/>
                      <w:szCs w:val="21"/>
                    </w:rPr>
                  </w:pPr>
                  <w:r>
                    <w:rPr>
                      <w:b/>
                      <w:bCs/>
                      <w:szCs w:val="21"/>
                    </w:rPr>
                    <w:t>排放口</w:t>
                  </w:r>
                </w:p>
                <w:p>
                  <w:pPr>
                    <w:adjustRightInd w:val="0"/>
                    <w:snapToGrid w:val="0"/>
                    <w:jc w:val="center"/>
                    <w:textAlignment w:val="baseline"/>
                    <w:rPr>
                      <w:b/>
                      <w:bCs/>
                      <w:szCs w:val="21"/>
                    </w:rPr>
                  </w:pPr>
                  <w:r>
                    <w:rPr>
                      <w:b/>
                      <w:bCs/>
                      <w:szCs w:val="21"/>
                    </w:rPr>
                    <w:t>编号</w:t>
                  </w:r>
                </w:p>
              </w:tc>
              <w:tc>
                <w:tcPr>
                  <w:tcW w:w="469" w:type="pct"/>
                  <w:vMerge w:val="restart"/>
                  <w:vAlign w:val="center"/>
                </w:tcPr>
                <w:p>
                  <w:pPr>
                    <w:adjustRightInd w:val="0"/>
                    <w:snapToGrid w:val="0"/>
                    <w:jc w:val="center"/>
                    <w:textAlignment w:val="baseline"/>
                    <w:rPr>
                      <w:b/>
                      <w:bCs/>
                      <w:szCs w:val="21"/>
                    </w:rPr>
                  </w:pPr>
                  <w:r>
                    <w:rPr>
                      <w:b/>
                      <w:bCs/>
                      <w:szCs w:val="21"/>
                    </w:rPr>
                    <w:t>排放口设置是否符合要求</w:t>
                  </w:r>
                </w:p>
              </w:tc>
              <w:tc>
                <w:tcPr>
                  <w:tcW w:w="768" w:type="pct"/>
                  <w:vMerge w:val="restart"/>
                  <w:vAlign w:val="center"/>
                </w:tcPr>
                <w:p>
                  <w:pPr>
                    <w:adjustRightInd w:val="0"/>
                    <w:snapToGrid w:val="0"/>
                    <w:jc w:val="center"/>
                    <w:textAlignment w:val="baseline"/>
                    <w:rPr>
                      <w:b/>
                      <w:bCs/>
                      <w:szCs w:val="21"/>
                    </w:rPr>
                  </w:pPr>
                  <w:r>
                    <w:rPr>
                      <w:b/>
                      <w:bCs/>
                      <w:szCs w:val="21"/>
                    </w:rPr>
                    <w:t>排放口</w:t>
                  </w:r>
                </w:p>
                <w:p>
                  <w:pPr>
                    <w:adjustRightInd w:val="0"/>
                    <w:snapToGrid w:val="0"/>
                    <w:jc w:val="center"/>
                    <w:textAlignment w:val="baseline"/>
                    <w:rPr>
                      <w:b/>
                      <w:bCs/>
                      <w:szCs w:val="21"/>
                    </w:rPr>
                  </w:pPr>
                  <w:r>
                    <w:rPr>
                      <w:b/>
                      <w:bCs/>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vAlign w:val="center"/>
                </w:tcPr>
                <w:p>
                  <w:pPr>
                    <w:adjustRightInd w:val="0"/>
                    <w:snapToGrid w:val="0"/>
                    <w:jc w:val="center"/>
                    <w:textAlignment w:val="baseline"/>
                    <w:rPr>
                      <w:szCs w:val="21"/>
                    </w:rPr>
                  </w:pPr>
                </w:p>
              </w:tc>
              <w:tc>
                <w:tcPr>
                  <w:tcW w:w="252" w:type="pct"/>
                  <w:vMerge w:val="continue"/>
                  <w:vAlign w:val="center"/>
                </w:tcPr>
                <w:p>
                  <w:pPr>
                    <w:adjustRightInd w:val="0"/>
                    <w:snapToGrid w:val="0"/>
                    <w:jc w:val="center"/>
                    <w:textAlignment w:val="baseline"/>
                    <w:rPr>
                      <w:szCs w:val="21"/>
                    </w:rPr>
                  </w:pPr>
                </w:p>
              </w:tc>
              <w:tc>
                <w:tcPr>
                  <w:tcW w:w="473" w:type="pct"/>
                  <w:vMerge w:val="continue"/>
                  <w:vAlign w:val="center"/>
                </w:tcPr>
                <w:p>
                  <w:pPr>
                    <w:adjustRightInd w:val="0"/>
                    <w:snapToGrid w:val="0"/>
                    <w:jc w:val="center"/>
                    <w:textAlignment w:val="baseline"/>
                    <w:rPr>
                      <w:szCs w:val="21"/>
                    </w:rPr>
                  </w:pPr>
                </w:p>
              </w:tc>
              <w:tc>
                <w:tcPr>
                  <w:tcW w:w="495" w:type="pct"/>
                  <w:vMerge w:val="continue"/>
                  <w:vAlign w:val="center"/>
                </w:tcPr>
                <w:p>
                  <w:pPr>
                    <w:adjustRightInd w:val="0"/>
                    <w:snapToGrid w:val="0"/>
                    <w:jc w:val="center"/>
                    <w:textAlignment w:val="baseline"/>
                    <w:rPr>
                      <w:szCs w:val="21"/>
                    </w:rPr>
                  </w:pPr>
                </w:p>
              </w:tc>
              <w:tc>
                <w:tcPr>
                  <w:tcW w:w="573" w:type="pct"/>
                  <w:vMerge w:val="continue"/>
                  <w:vAlign w:val="center"/>
                </w:tcPr>
                <w:p>
                  <w:pPr>
                    <w:adjustRightInd w:val="0"/>
                    <w:snapToGrid w:val="0"/>
                    <w:jc w:val="center"/>
                    <w:textAlignment w:val="baseline"/>
                    <w:rPr>
                      <w:szCs w:val="21"/>
                    </w:rPr>
                  </w:pPr>
                </w:p>
              </w:tc>
              <w:tc>
                <w:tcPr>
                  <w:tcW w:w="421" w:type="pct"/>
                  <w:vAlign w:val="center"/>
                </w:tcPr>
                <w:p>
                  <w:pPr>
                    <w:adjustRightInd w:val="0"/>
                    <w:snapToGrid w:val="0"/>
                    <w:jc w:val="center"/>
                    <w:textAlignment w:val="baseline"/>
                    <w:rPr>
                      <w:b/>
                      <w:bCs/>
                      <w:szCs w:val="21"/>
                    </w:rPr>
                  </w:pPr>
                  <w:r>
                    <w:rPr>
                      <w:b/>
                      <w:bCs/>
                      <w:szCs w:val="21"/>
                    </w:rPr>
                    <w:t>污染治理设施编号</w:t>
                  </w:r>
                </w:p>
              </w:tc>
              <w:tc>
                <w:tcPr>
                  <w:tcW w:w="376" w:type="pct"/>
                  <w:vAlign w:val="center"/>
                </w:tcPr>
                <w:p>
                  <w:pPr>
                    <w:adjustRightInd w:val="0"/>
                    <w:snapToGrid w:val="0"/>
                    <w:jc w:val="center"/>
                    <w:textAlignment w:val="baseline"/>
                    <w:rPr>
                      <w:b/>
                      <w:bCs/>
                      <w:szCs w:val="21"/>
                    </w:rPr>
                  </w:pPr>
                  <w:r>
                    <w:rPr>
                      <w:b/>
                      <w:bCs/>
                      <w:szCs w:val="21"/>
                    </w:rPr>
                    <w:t>污染治理设施名称</w:t>
                  </w:r>
                </w:p>
              </w:tc>
              <w:tc>
                <w:tcPr>
                  <w:tcW w:w="379" w:type="pct"/>
                  <w:vAlign w:val="center"/>
                </w:tcPr>
                <w:p>
                  <w:pPr>
                    <w:adjustRightInd w:val="0"/>
                    <w:snapToGrid w:val="0"/>
                    <w:jc w:val="center"/>
                    <w:textAlignment w:val="baseline"/>
                    <w:rPr>
                      <w:b/>
                      <w:bCs/>
                      <w:szCs w:val="21"/>
                    </w:rPr>
                  </w:pPr>
                  <w:r>
                    <w:rPr>
                      <w:b/>
                      <w:bCs/>
                      <w:szCs w:val="21"/>
                    </w:rPr>
                    <w:t>污染治理设施工艺</w:t>
                  </w:r>
                </w:p>
              </w:tc>
              <w:tc>
                <w:tcPr>
                  <w:tcW w:w="537" w:type="pct"/>
                  <w:vMerge w:val="continue"/>
                  <w:vAlign w:val="center"/>
                </w:tcPr>
                <w:p>
                  <w:pPr>
                    <w:adjustRightInd w:val="0"/>
                    <w:snapToGrid w:val="0"/>
                    <w:jc w:val="center"/>
                    <w:textAlignment w:val="baseline"/>
                    <w:rPr>
                      <w:szCs w:val="21"/>
                    </w:rPr>
                  </w:pPr>
                </w:p>
              </w:tc>
              <w:tc>
                <w:tcPr>
                  <w:tcW w:w="469" w:type="pct"/>
                  <w:vMerge w:val="continue"/>
                  <w:vAlign w:val="center"/>
                </w:tcPr>
                <w:p>
                  <w:pPr>
                    <w:adjustRightInd w:val="0"/>
                    <w:snapToGrid w:val="0"/>
                    <w:jc w:val="center"/>
                    <w:textAlignment w:val="baseline"/>
                    <w:rPr>
                      <w:szCs w:val="21"/>
                    </w:rPr>
                  </w:pPr>
                </w:p>
              </w:tc>
              <w:tc>
                <w:tcPr>
                  <w:tcW w:w="768" w:type="pct"/>
                  <w:vMerge w:val="continue"/>
                  <w:vAlign w:val="center"/>
                </w:tcPr>
                <w:p>
                  <w:pPr>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Align w:val="center"/>
                </w:tcPr>
                <w:p>
                  <w:pPr>
                    <w:adjustRightInd w:val="0"/>
                    <w:snapToGrid w:val="0"/>
                    <w:jc w:val="center"/>
                    <w:textAlignment w:val="baseline"/>
                    <w:rPr>
                      <w:szCs w:val="21"/>
                    </w:rPr>
                  </w:pPr>
                  <w:r>
                    <w:rPr>
                      <w:szCs w:val="21"/>
                    </w:rPr>
                    <w:t>1</w:t>
                  </w:r>
                </w:p>
              </w:tc>
              <w:tc>
                <w:tcPr>
                  <w:tcW w:w="252" w:type="pct"/>
                  <w:vAlign w:val="center"/>
                </w:tcPr>
                <w:p>
                  <w:pPr>
                    <w:adjustRightInd w:val="0"/>
                    <w:snapToGrid w:val="0"/>
                    <w:jc w:val="center"/>
                    <w:textAlignment w:val="baseline"/>
                    <w:rPr>
                      <w:szCs w:val="21"/>
                    </w:rPr>
                  </w:pPr>
                  <w:r>
                    <w:rPr>
                      <w:szCs w:val="21"/>
                    </w:rPr>
                    <w:t>生活污水</w:t>
                  </w:r>
                </w:p>
              </w:tc>
              <w:tc>
                <w:tcPr>
                  <w:tcW w:w="473" w:type="pct"/>
                  <w:vAlign w:val="center"/>
                </w:tcPr>
                <w:p>
                  <w:pPr>
                    <w:adjustRightInd w:val="0"/>
                    <w:snapToGrid w:val="0"/>
                    <w:jc w:val="center"/>
                    <w:textAlignment w:val="baseline"/>
                    <w:rPr>
                      <w:szCs w:val="21"/>
                    </w:rPr>
                  </w:pPr>
                  <w:r>
                    <w:rPr>
                      <w:szCs w:val="21"/>
                    </w:rPr>
                    <w:t>pH、COD、BOD</w:t>
                  </w:r>
                  <w:r>
                    <w:rPr>
                      <w:szCs w:val="21"/>
                      <w:vertAlign w:val="subscript"/>
                    </w:rPr>
                    <w:t>5</w:t>
                  </w:r>
                  <w:r>
                    <w:rPr>
                      <w:szCs w:val="21"/>
                    </w:rPr>
                    <w:t>、SS、氨氮、</w:t>
                  </w:r>
                  <w:r>
                    <w:rPr>
                      <w:rFonts w:hint="eastAsia"/>
                      <w:szCs w:val="21"/>
                    </w:rPr>
                    <w:t>总磷、总氮</w:t>
                  </w:r>
                </w:p>
              </w:tc>
              <w:tc>
                <w:tcPr>
                  <w:tcW w:w="495" w:type="pct"/>
                  <w:vAlign w:val="center"/>
                </w:tcPr>
                <w:p>
                  <w:pPr>
                    <w:adjustRightInd w:val="0"/>
                    <w:snapToGrid w:val="0"/>
                    <w:jc w:val="center"/>
                    <w:textAlignment w:val="baseline"/>
                    <w:rPr>
                      <w:szCs w:val="21"/>
                    </w:rPr>
                  </w:pPr>
                  <w:r>
                    <w:rPr>
                      <w:szCs w:val="21"/>
                    </w:rPr>
                    <w:t>进入</w:t>
                  </w:r>
                  <w:r>
                    <w:rPr>
                      <w:rFonts w:hint="eastAsia"/>
                      <w:szCs w:val="21"/>
                    </w:rPr>
                    <w:t>新河县城东污水处理厂</w:t>
                  </w:r>
                  <w:r>
                    <w:rPr>
                      <w:szCs w:val="21"/>
                    </w:rPr>
                    <w:t>进一步处理</w:t>
                  </w:r>
                </w:p>
              </w:tc>
              <w:tc>
                <w:tcPr>
                  <w:tcW w:w="573" w:type="pct"/>
                  <w:vAlign w:val="center"/>
                </w:tcPr>
                <w:p>
                  <w:pPr>
                    <w:adjustRightInd w:val="0"/>
                    <w:snapToGrid w:val="0"/>
                    <w:jc w:val="center"/>
                    <w:textAlignment w:val="baseline"/>
                    <w:rPr>
                      <w:szCs w:val="21"/>
                    </w:rPr>
                  </w:pPr>
                  <w:r>
                    <w:rPr>
                      <w:szCs w:val="21"/>
                    </w:rPr>
                    <w:t>间断排放，排放期间流量不稳定且无规律，但不属于冲击型排放</w:t>
                  </w:r>
                </w:p>
              </w:tc>
              <w:tc>
                <w:tcPr>
                  <w:tcW w:w="421" w:type="pct"/>
                  <w:vAlign w:val="center"/>
                </w:tcPr>
                <w:p>
                  <w:pPr>
                    <w:adjustRightInd w:val="0"/>
                    <w:snapToGrid w:val="0"/>
                    <w:jc w:val="center"/>
                    <w:textAlignment w:val="baseline"/>
                    <w:rPr>
                      <w:szCs w:val="21"/>
                    </w:rPr>
                  </w:pPr>
                  <w:r>
                    <w:rPr>
                      <w:szCs w:val="21"/>
                    </w:rPr>
                    <w:t>--</w:t>
                  </w:r>
                </w:p>
              </w:tc>
              <w:tc>
                <w:tcPr>
                  <w:tcW w:w="376" w:type="pct"/>
                  <w:vAlign w:val="center"/>
                </w:tcPr>
                <w:p>
                  <w:pPr>
                    <w:adjustRightInd w:val="0"/>
                    <w:snapToGrid w:val="0"/>
                    <w:jc w:val="center"/>
                    <w:textAlignment w:val="baseline"/>
                    <w:rPr>
                      <w:szCs w:val="21"/>
                    </w:rPr>
                  </w:pPr>
                  <w:r>
                    <w:rPr>
                      <w:rFonts w:hint="eastAsia"/>
                      <w:szCs w:val="21"/>
                    </w:rPr>
                    <w:t>化粪池</w:t>
                  </w:r>
                </w:p>
              </w:tc>
              <w:tc>
                <w:tcPr>
                  <w:tcW w:w="379" w:type="pct"/>
                  <w:vAlign w:val="center"/>
                </w:tcPr>
                <w:p>
                  <w:pPr>
                    <w:adjustRightInd w:val="0"/>
                    <w:snapToGrid w:val="0"/>
                    <w:jc w:val="center"/>
                    <w:textAlignment w:val="baseline"/>
                    <w:rPr>
                      <w:szCs w:val="21"/>
                    </w:rPr>
                  </w:pPr>
                  <w:r>
                    <w:rPr>
                      <w:rFonts w:hint="eastAsia"/>
                      <w:szCs w:val="21"/>
                    </w:rPr>
                    <w:t>化粪池</w:t>
                  </w:r>
                </w:p>
              </w:tc>
              <w:tc>
                <w:tcPr>
                  <w:tcW w:w="537" w:type="pct"/>
                  <w:vAlign w:val="center"/>
                </w:tcPr>
                <w:p>
                  <w:pPr>
                    <w:adjustRightInd w:val="0"/>
                    <w:snapToGrid w:val="0"/>
                    <w:jc w:val="center"/>
                    <w:textAlignment w:val="baseline"/>
                    <w:rPr>
                      <w:szCs w:val="21"/>
                    </w:rPr>
                  </w:pPr>
                  <w:r>
                    <w:rPr>
                      <w:szCs w:val="21"/>
                    </w:rPr>
                    <w:t>DW001</w:t>
                  </w:r>
                </w:p>
              </w:tc>
              <w:tc>
                <w:tcPr>
                  <w:tcW w:w="469" w:type="pct"/>
                  <w:vAlign w:val="center"/>
                </w:tcPr>
                <w:p>
                  <w:pPr>
                    <w:adjustRightInd w:val="0"/>
                    <w:snapToGrid w:val="0"/>
                    <w:jc w:val="center"/>
                    <w:textAlignment w:val="baseline"/>
                    <w:rPr>
                      <w:szCs w:val="21"/>
                    </w:rPr>
                  </w:pPr>
                  <w:r>
                    <w:rPr>
                      <w:spacing w:val="-3"/>
                      <w:szCs w:val="21"/>
                    </w:rPr>
                    <w:t>√</w:t>
                  </w:r>
                  <w:r>
                    <w:rPr>
                      <w:szCs w:val="21"/>
                    </w:rPr>
                    <w:t>是</w:t>
                  </w:r>
                </w:p>
                <w:p>
                  <w:pPr>
                    <w:adjustRightInd w:val="0"/>
                    <w:snapToGrid w:val="0"/>
                    <w:jc w:val="center"/>
                    <w:textAlignment w:val="baseline"/>
                    <w:rPr>
                      <w:szCs w:val="21"/>
                    </w:rPr>
                  </w:pPr>
                </w:p>
                <w:p>
                  <w:pPr>
                    <w:adjustRightInd w:val="0"/>
                    <w:snapToGrid w:val="0"/>
                    <w:jc w:val="center"/>
                    <w:textAlignment w:val="baseline"/>
                    <w:rPr>
                      <w:szCs w:val="21"/>
                    </w:rPr>
                  </w:pPr>
                  <w:r>
                    <w:rPr>
                      <w:szCs w:val="21"/>
                    </w:rPr>
                    <w:t>□否</w:t>
                  </w:r>
                </w:p>
                <w:p>
                  <w:pPr>
                    <w:adjustRightInd w:val="0"/>
                    <w:snapToGrid w:val="0"/>
                    <w:jc w:val="center"/>
                    <w:textAlignment w:val="baseline"/>
                    <w:rPr>
                      <w:szCs w:val="21"/>
                    </w:rPr>
                  </w:pPr>
                </w:p>
              </w:tc>
              <w:tc>
                <w:tcPr>
                  <w:tcW w:w="768" w:type="pct"/>
                  <w:vAlign w:val="center"/>
                </w:tcPr>
                <w:p>
                  <w:pPr>
                    <w:adjustRightInd w:val="0"/>
                    <w:snapToGrid w:val="0"/>
                    <w:jc w:val="center"/>
                    <w:textAlignment w:val="baseline"/>
                    <w:rPr>
                      <w:szCs w:val="21"/>
                    </w:rPr>
                  </w:pPr>
                  <w:r>
                    <w:rPr>
                      <w:szCs w:val="21"/>
                    </w:rPr>
                    <w:t>√企业总排</w:t>
                  </w:r>
                </w:p>
                <w:p>
                  <w:pPr>
                    <w:adjustRightInd w:val="0"/>
                    <w:snapToGrid w:val="0"/>
                    <w:jc w:val="center"/>
                    <w:textAlignment w:val="baseline"/>
                    <w:rPr>
                      <w:szCs w:val="21"/>
                    </w:rPr>
                  </w:pPr>
                  <w:r>
                    <w:rPr>
                      <w:szCs w:val="21"/>
                    </w:rPr>
                    <w:t>□雨水排放</w:t>
                  </w:r>
                </w:p>
                <w:p>
                  <w:pPr>
                    <w:adjustRightInd w:val="0"/>
                    <w:snapToGrid w:val="0"/>
                    <w:jc w:val="center"/>
                    <w:textAlignment w:val="baseline"/>
                    <w:rPr>
                      <w:szCs w:val="21"/>
                    </w:rPr>
                  </w:pPr>
                  <w:r>
                    <w:rPr>
                      <w:szCs w:val="21"/>
                    </w:rPr>
                    <w:t>□清净下水排放</w:t>
                  </w:r>
                </w:p>
                <w:p>
                  <w:pPr>
                    <w:adjustRightInd w:val="0"/>
                    <w:snapToGrid w:val="0"/>
                    <w:jc w:val="center"/>
                    <w:textAlignment w:val="baseline"/>
                    <w:rPr>
                      <w:szCs w:val="21"/>
                    </w:rPr>
                  </w:pPr>
                  <w:r>
                    <w:rPr>
                      <w:szCs w:val="21"/>
                    </w:rPr>
                    <w:t>□温排水排放</w:t>
                  </w:r>
                </w:p>
                <w:p>
                  <w:pPr>
                    <w:adjustRightInd w:val="0"/>
                    <w:snapToGrid w:val="0"/>
                    <w:jc w:val="center"/>
                    <w:textAlignment w:val="baseline"/>
                    <w:rPr>
                      <w:szCs w:val="21"/>
                    </w:rPr>
                  </w:pPr>
                  <w:r>
                    <w:rPr>
                      <w:szCs w:val="21"/>
                    </w:rPr>
                    <w:t>□车间或车间处理设施排放口</w:t>
                  </w:r>
                </w:p>
              </w:tc>
            </w:tr>
          </w:tbl>
          <w:p>
            <w:pPr>
              <w:pStyle w:val="16"/>
              <w:spacing w:line="360" w:lineRule="auto"/>
              <w:ind w:left="0" w:leftChars="0"/>
              <w:jc w:val="both"/>
              <w:rPr>
                <w:rFonts w:ascii="Times New Roman" w:hAnsi="Times New Roman"/>
              </w:rPr>
            </w:pPr>
            <w:r>
              <w:rPr>
                <w:rFonts w:ascii="Times New Roman" w:hAnsi="Times New Roman"/>
              </w:rPr>
              <w:t>2.2污染源源强分析</w:t>
            </w:r>
          </w:p>
          <w:p>
            <w:pPr>
              <w:spacing w:line="360" w:lineRule="auto"/>
              <w:ind w:firstLine="480" w:firstLineChars="200"/>
              <w:rPr>
                <w:sz w:val="24"/>
              </w:rPr>
            </w:pPr>
            <w:r>
              <w:rPr>
                <w:sz w:val="24"/>
              </w:rPr>
              <w:t>（1）废水产排情况</w:t>
            </w:r>
          </w:p>
          <w:p>
            <w:pPr>
              <w:spacing w:line="360" w:lineRule="auto"/>
              <w:ind w:firstLine="480" w:firstLineChars="200"/>
              <w:rPr>
                <w:sz w:val="24"/>
              </w:rPr>
            </w:pPr>
            <w:r>
              <w:rPr>
                <w:sz w:val="24"/>
              </w:rPr>
              <w:t>根据环境部公告2021年第24号《排放源统计调查产排污核算方法和系数手册》</w:t>
            </w:r>
            <w:r>
              <w:rPr>
                <w:rFonts w:hint="eastAsia"/>
                <w:sz w:val="24"/>
              </w:rPr>
              <w:t>中</w:t>
            </w:r>
            <w:r>
              <w:rPr>
                <w:sz w:val="24"/>
              </w:rPr>
              <w:t>附3生活源产排污系数手册，参考表2-1 农村生活污水排放系数及污染物产污强度</w:t>
            </w:r>
            <w:r>
              <w:rPr>
                <w:rFonts w:hint="eastAsia"/>
                <w:sz w:val="24"/>
              </w:rPr>
              <w:t>确定本项目废水污染物源强。根据《村镇生活污染防治最佳可行技术指南(试行)》（HJ-BAT9）及其他同类型项目，化粪池各污染物去除效率COD14.3%、</w:t>
            </w:r>
            <w:r>
              <w:rPr>
                <w:sz w:val="24"/>
              </w:rPr>
              <w:t>BOD</w:t>
            </w:r>
            <w:r>
              <w:rPr>
                <w:sz w:val="24"/>
                <w:vertAlign w:val="subscript"/>
              </w:rPr>
              <w:t>5</w:t>
            </w:r>
            <w:r>
              <w:rPr>
                <w:rFonts w:hint="eastAsia"/>
                <w:sz w:val="24"/>
              </w:rPr>
              <w:t>25%、氨氮5%、SS25%、总磷5%、总氮5%。</w:t>
            </w:r>
          </w:p>
          <w:p>
            <w:pPr>
              <w:spacing w:line="360" w:lineRule="auto"/>
              <w:ind w:firstLine="480" w:firstLineChars="200"/>
              <w:rPr>
                <w:sz w:val="24"/>
              </w:rPr>
            </w:pPr>
            <w:r>
              <w:rPr>
                <w:rFonts w:hint="eastAsia"/>
                <w:sz w:val="24"/>
              </w:rPr>
              <w:t>具体</w:t>
            </w:r>
            <w:r>
              <w:rPr>
                <w:sz w:val="24"/>
              </w:rPr>
              <w:t>核算结果及相关参数一览见下表</w:t>
            </w:r>
            <w:r>
              <w:rPr>
                <w:rFonts w:hint="eastAsia"/>
                <w:sz w:val="24"/>
              </w:rPr>
              <w:t>43</w:t>
            </w:r>
            <w:r>
              <w:rPr>
                <w:sz w:val="24"/>
              </w:rPr>
              <w:t>。</w:t>
            </w:r>
          </w:p>
          <w:p>
            <w:pPr>
              <w:jc w:val="center"/>
              <w:rPr>
                <w:b/>
                <w:sz w:val="24"/>
              </w:rPr>
            </w:pPr>
            <w:r>
              <w:rPr>
                <w:b/>
                <w:sz w:val="24"/>
              </w:rPr>
              <w:t>表</w:t>
            </w:r>
            <w:r>
              <w:rPr>
                <w:rFonts w:hint="eastAsia"/>
                <w:b/>
                <w:sz w:val="24"/>
              </w:rPr>
              <w:t>43</w:t>
            </w:r>
            <w:r>
              <w:rPr>
                <w:b/>
                <w:sz w:val="24"/>
              </w:rPr>
              <w:t xml:space="preserve"> 项目废水污染源源强核算结果及相关参数一览表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562"/>
              <w:gridCol w:w="531"/>
              <w:gridCol w:w="748"/>
              <w:gridCol w:w="719"/>
              <w:gridCol w:w="892"/>
              <w:gridCol w:w="719"/>
              <w:gridCol w:w="384"/>
              <w:gridCol w:w="492"/>
              <w:gridCol w:w="531"/>
              <w:gridCol w:w="690"/>
              <w:gridCol w:w="893"/>
              <w:gridCol w:w="634"/>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303" w:hRule="atLeast"/>
                <w:jc w:val="center"/>
              </w:trPr>
              <w:tc>
                <w:tcPr>
                  <w:tcW w:w="332" w:type="pct"/>
                  <w:vMerge w:val="restart"/>
                  <w:vAlign w:val="center"/>
                </w:tcPr>
                <w:p>
                  <w:pPr>
                    <w:adjustRightInd w:val="0"/>
                    <w:snapToGrid w:val="0"/>
                    <w:jc w:val="center"/>
                    <w:rPr>
                      <w:b/>
                      <w:bCs/>
                      <w:szCs w:val="21"/>
                    </w:rPr>
                  </w:pPr>
                  <w:bookmarkStart w:id="2" w:name="_Toc19978_WPSOffice_Level3"/>
                  <w:r>
                    <w:rPr>
                      <w:b/>
                      <w:bCs/>
                      <w:szCs w:val="21"/>
                    </w:rPr>
                    <w:t>产排污环节</w:t>
                  </w:r>
                </w:p>
              </w:tc>
              <w:tc>
                <w:tcPr>
                  <w:tcW w:w="314" w:type="pct"/>
                  <w:vMerge w:val="restart"/>
                  <w:vAlign w:val="center"/>
                </w:tcPr>
                <w:p>
                  <w:pPr>
                    <w:adjustRightInd w:val="0"/>
                    <w:snapToGrid w:val="0"/>
                    <w:jc w:val="center"/>
                    <w:rPr>
                      <w:b/>
                      <w:bCs/>
                      <w:szCs w:val="21"/>
                    </w:rPr>
                  </w:pPr>
                  <w:r>
                    <w:rPr>
                      <w:b/>
                      <w:bCs/>
                      <w:szCs w:val="21"/>
                    </w:rPr>
                    <w:t>类别</w:t>
                  </w:r>
                </w:p>
              </w:tc>
              <w:tc>
                <w:tcPr>
                  <w:tcW w:w="442" w:type="pct"/>
                  <w:vMerge w:val="restart"/>
                  <w:vAlign w:val="center"/>
                </w:tcPr>
                <w:p>
                  <w:pPr>
                    <w:adjustRightInd w:val="0"/>
                    <w:snapToGrid w:val="0"/>
                    <w:jc w:val="center"/>
                    <w:rPr>
                      <w:b/>
                      <w:bCs/>
                      <w:szCs w:val="21"/>
                    </w:rPr>
                  </w:pPr>
                  <w:r>
                    <w:rPr>
                      <w:b/>
                      <w:bCs/>
                      <w:szCs w:val="21"/>
                    </w:rPr>
                    <w:t>污染物</w:t>
                  </w:r>
                </w:p>
              </w:tc>
              <w:tc>
                <w:tcPr>
                  <w:tcW w:w="1377" w:type="pct"/>
                  <w:gridSpan w:val="3"/>
                  <w:vAlign w:val="center"/>
                </w:tcPr>
                <w:p>
                  <w:pPr>
                    <w:adjustRightInd w:val="0"/>
                    <w:snapToGrid w:val="0"/>
                    <w:jc w:val="center"/>
                    <w:rPr>
                      <w:b/>
                      <w:bCs/>
                      <w:szCs w:val="21"/>
                    </w:rPr>
                  </w:pPr>
                  <w:r>
                    <w:rPr>
                      <w:b/>
                      <w:bCs/>
                      <w:szCs w:val="21"/>
                    </w:rPr>
                    <w:t>污染物产生</w:t>
                  </w:r>
                </w:p>
              </w:tc>
              <w:tc>
                <w:tcPr>
                  <w:tcW w:w="518" w:type="pct"/>
                  <w:gridSpan w:val="2"/>
                  <w:vAlign w:val="center"/>
                </w:tcPr>
                <w:p>
                  <w:pPr>
                    <w:adjustRightInd w:val="0"/>
                    <w:snapToGrid w:val="0"/>
                    <w:jc w:val="center"/>
                    <w:rPr>
                      <w:b/>
                      <w:bCs/>
                      <w:szCs w:val="21"/>
                    </w:rPr>
                  </w:pPr>
                  <w:r>
                    <w:rPr>
                      <w:b/>
                      <w:bCs/>
                      <w:szCs w:val="21"/>
                    </w:rPr>
                    <w:t>治理措施</w:t>
                  </w:r>
                </w:p>
              </w:tc>
              <w:tc>
                <w:tcPr>
                  <w:tcW w:w="314" w:type="pct"/>
                  <w:vMerge w:val="restart"/>
                  <w:vAlign w:val="center"/>
                </w:tcPr>
                <w:p>
                  <w:pPr>
                    <w:adjustRightInd w:val="0"/>
                    <w:snapToGrid w:val="0"/>
                    <w:jc w:val="center"/>
                    <w:rPr>
                      <w:b/>
                      <w:bCs/>
                      <w:szCs w:val="21"/>
                    </w:rPr>
                  </w:pPr>
                  <w:r>
                    <w:rPr>
                      <w:b/>
                      <w:bCs/>
                      <w:szCs w:val="21"/>
                    </w:rPr>
                    <w:t>技术是否可行</w:t>
                  </w:r>
                </w:p>
              </w:tc>
              <w:tc>
                <w:tcPr>
                  <w:tcW w:w="1309" w:type="pct"/>
                  <w:gridSpan w:val="3"/>
                  <w:vAlign w:val="center"/>
                </w:tcPr>
                <w:p>
                  <w:pPr>
                    <w:adjustRightInd w:val="0"/>
                    <w:snapToGrid w:val="0"/>
                    <w:jc w:val="center"/>
                    <w:rPr>
                      <w:b/>
                      <w:bCs/>
                      <w:szCs w:val="21"/>
                    </w:rPr>
                  </w:pPr>
                  <w:r>
                    <w:rPr>
                      <w:b/>
                      <w:bCs/>
                      <w:szCs w:val="21"/>
                    </w:rPr>
                    <w:t>污染物排放</w:t>
                  </w:r>
                </w:p>
              </w:tc>
              <w:tc>
                <w:tcPr>
                  <w:tcW w:w="389" w:type="pct"/>
                  <w:vMerge w:val="restart"/>
                  <w:vAlign w:val="center"/>
                </w:tcPr>
                <w:p>
                  <w:pPr>
                    <w:adjustRightInd w:val="0"/>
                    <w:snapToGrid w:val="0"/>
                    <w:jc w:val="center"/>
                    <w:rPr>
                      <w:b/>
                      <w:bCs/>
                      <w:szCs w:val="21"/>
                    </w:rPr>
                  </w:pPr>
                  <w:r>
                    <w:rPr>
                      <w:b/>
                      <w:bCs/>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84"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425" w:type="pct"/>
                  <w:vAlign w:val="center"/>
                </w:tcPr>
                <w:p>
                  <w:pPr>
                    <w:adjustRightInd w:val="0"/>
                    <w:snapToGrid w:val="0"/>
                    <w:jc w:val="center"/>
                    <w:rPr>
                      <w:b/>
                      <w:bCs/>
                      <w:szCs w:val="21"/>
                    </w:rPr>
                  </w:pPr>
                  <w:r>
                    <w:rPr>
                      <w:b/>
                      <w:bCs/>
                      <w:szCs w:val="21"/>
                    </w:rPr>
                    <w:t>产生</w:t>
                  </w:r>
                </w:p>
                <w:p>
                  <w:pPr>
                    <w:adjustRightInd w:val="0"/>
                    <w:snapToGrid w:val="0"/>
                    <w:jc w:val="center"/>
                    <w:rPr>
                      <w:b/>
                      <w:bCs/>
                      <w:szCs w:val="21"/>
                    </w:rPr>
                  </w:pPr>
                  <w:r>
                    <w:rPr>
                      <w:b/>
                      <w:bCs/>
                      <w:szCs w:val="21"/>
                    </w:rPr>
                    <w:t>废水量m</w:t>
                  </w:r>
                  <w:r>
                    <w:rPr>
                      <w:b/>
                      <w:bCs/>
                      <w:szCs w:val="21"/>
                      <w:vertAlign w:val="superscript"/>
                    </w:rPr>
                    <w:t>3</w:t>
                  </w:r>
                  <w:r>
                    <w:rPr>
                      <w:b/>
                      <w:bCs/>
                      <w:szCs w:val="21"/>
                    </w:rPr>
                    <w:t>/d</w:t>
                  </w:r>
                </w:p>
              </w:tc>
              <w:tc>
                <w:tcPr>
                  <w:tcW w:w="527" w:type="pct"/>
                  <w:vAlign w:val="center"/>
                </w:tcPr>
                <w:p>
                  <w:pPr>
                    <w:adjustRightInd w:val="0"/>
                    <w:snapToGrid w:val="0"/>
                    <w:jc w:val="center"/>
                    <w:rPr>
                      <w:b/>
                      <w:bCs/>
                      <w:szCs w:val="21"/>
                    </w:rPr>
                  </w:pPr>
                  <w:r>
                    <w:rPr>
                      <w:b/>
                      <w:bCs/>
                      <w:szCs w:val="21"/>
                    </w:rPr>
                    <w:t>产生浓度mg/L</w:t>
                  </w:r>
                  <w:r>
                    <w:rPr>
                      <w:rFonts w:hint="eastAsia"/>
                      <w:b/>
                      <w:bCs/>
                      <w:szCs w:val="21"/>
                    </w:rPr>
                    <w:t>（pH除外）</w:t>
                  </w:r>
                </w:p>
              </w:tc>
              <w:tc>
                <w:tcPr>
                  <w:tcW w:w="425" w:type="pct"/>
                  <w:vAlign w:val="center"/>
                </w:tcPr>
                <w:p>
                  <w:pPr>
                    <w:adjustRightInd w:val="0"/>
                    <w:snapToGrid w:val="0"/>
                    <w:jc w:val="center"/>
                    <w:rPr>
                      <w:b/>
                      <w:bCs/>
                      <w:szCs w:val="21"/>
                    </w:rPr>
                  </w:pPr>
                  <w:r>
                    <w:rPr>
                      <w:b/>
                      <w:bCs/>
                      <w:szCs w:val="21"/>
                    </w:rPr>
                    <w:t>产生量t/a</w:t>
                  </w:r>
                </w:p>
              </w:tc>
              <w:tc>
                <w:tcPr>
                  <w:tcW w:w="227" w:type="pct"/>
                  <w:vAlign w:val="center"/>
                </w:tcPr>
                <w:p>
                  <w:pPr>
                    <w:adjustRightInd w:val="0"/>
                    <w:snapToGrid w:val="0"/>
                    <w:jc w:val="center"/>
                    <w:rPr>
                      <w:b/>
                      <w:bCs/>
                      <w:szCs w:val="21"/>
                    </w:rPr>
                  </w:pPr>
                  <w:r>
                    <w:rPr>
                      <w:b/>
                      <w:bCs/>
                      <w:szCs w:val="21"/>
                    </w:rPr>
                    <w:t>工艺</w:t>
                  </w:r>
                </w:p>
              </w:tc>
              <w:tc>
                <w:tcPr>
                  <w:tcW w:w="291" w:type="pct"/>
                  <w:vAlign w:val="center"/>
                </w:tcPr>
                <w:p>
                  <w:pPr>
                    <w:adjustRightInd w:val="0"/>
                    <w:snapToGrid w:val="0"/>
                    <w:jc w:val="center"/>
                    <w:rPr>
                      <w:b/>
                      <w:bCs/>
                      <w:szCs w:val="21"/>
                    </w:rPr>
                  </w:pPr>
                  <w:r>
                    <w:rPr>
                      <w:b/>
                      <w:bCs/>
                      <w:szCs w:val="21"/>
                    </w:rPr>
                    <w:t>效率</w:t>
                  </w:r>
                </w:p>
                <w:p>
                  <w:pPr>
                    <w:adjustRightInd w:val="0"/>
                    <w:snapToGrid w:val="0"/>
                    <w:jc w:val="center"/>
                    <w:rPr>
                      <w:b/>
                      <w:bCs/>
                      <w:szCs w:val="21"/>
                    </w:rPr>
                  </w:pPr>
                  <w:r>
                    <w:rPr>
                      <w:b/>
                      <w:bCs/>
                      <w:szCs w:val="21"/>
                    </w:rPr>
                    <w:t>%</w:t>
                  </w:r>
                </w:p>
              </w:tc>
              <w:tc>
                <w:tcPr>
                  <w:tcW w:w="314" w:type="pct"/>
                  <w:vMerge w:val="continue"/>
                  <w:vAlign w:val="center"/>
                </w:tcPr>
                <w:p>
                  <w:pPr>
                    <w:adjustRightInd w:val="0"/>
                    <w:snapToGrid w:val="0"/>
                    <w:jc w:val="center"/>
                    <w:rPr>
                      <w:b/>
                      <w:bCs/>
                      <w:szCs w:val="21"/>
                    </w:rPr>
                  </w:pPr>
                </w:p>
              </w:tc>
              <w:tc>
                <w:tcPr>
                  <w:tcW w:w="408" w:type="pct"/>
                  <w:vAlign w:val="center"/>
                </w:tcPr>
                <w:p>
                  <w:pPr>
                    <w:adjustRightInd w:val="0"/>
                    <w:snapToGrid w:val="0"/>
                    <w:jc w:val="center"/>
                    <w:rPr>
                      <w:b/>
                      <w:bCs/>
                      <w:szCs w:val="21"/>
                    </w:rPr>
                  </w:pPr>
                  <w:r>
                    <w:rPr>
                      <w:b/>
                      <w:bCs/>
                      <w:szCs w:val="21"/>
                    </w:rPr>
                    <w:t>排放</w:t>
                  </w:r>
                </w:p>
                <w:p>
                  <w:pPr>
                    <w:adjustRightInd w:val="0"/>
                    <w:snapToGrid w:val="0"/>
                    <w:jc w:val="center"/>
                    <w:rPr>
                      <w:b/>
                      <w:bCs/>
                      <w:szCs w:val="21"/>
                    </w:rPr>
                  </w:pPr>
                  <w:r>
                    <w:rPr>
                      <w:b/>
                      <w:bCs/>
                      <w:szCs w:val="21"/>
                    </w:rPr>
                    <w:t>废水量m</w:t>
                  </w:r>
                  <w:r>
                    <w:rPr>
                      <w:b/>
                      <w:bCs/>
                      <w:szCs w:val="21"/>
                      <w:vertAlign w:val="superscript"/>
                    </w:rPr>
                    <w:t>3</w:t>
                  </w:r>
                  <w:r>
                    <w:rPr>
                      <w:b/>
                      <w:bCs/>
                      <w:szCs w:val="21"/>
                    </w:rPr>
                    <w:t>/d</w:t>
                  </w:r>
                </w:p>
              </w:tc>
              <w:tc>
                <w:tcPr>
                  <w:tcW w:w="527" w:type="pct"/>
                  <w:vAlign w:val="center"/>
                </w:tcPr>
                <w:p>
                  <w:pPr>
                    <w:adjustRightInd w:val="0"/>
                    <w:snapToGrid w:val="0"/>
                    <w:jc w:val="center"/>
                    <w:rPr>
                      <w:b/>
                      <w:bCs/>
                      <w:szCs w:val="21"/>
                    </w:rPr>
                  </w:pPr>
                  <w:r>
                    <w:rPr>
                      <w:b/>
                      <w:bCs/>
                      <w:szCs w:val="21"/>
                    </w:rPr>
                    <w:t>排放浓度mg/L</w:t>
                  </w:r>
                  <w:r>
                    <w:rPr>
                      <w:rFonts w:hint="eastAsia"/>
                      <w:b/>
                      <w:bCs/>
                      <w:szCs w:val="21"/>
                    </w:rPr>
                    <w:t>（pH除外）</w:t>
                  </w:r>
                </w:p>
              </w:tc>
              <w:tc>
                <w:tcPr>
                  <w:tcW w:w="374" w:type="pct"/>
                  <w:vAlign w:val="center"/>
                </w:tcPr>
                <w:p>
                  <w:pPr>
                    <w:adjustRightInd w:val="0"/>
                    <w:snapToGrid w:val="0"/>
                    <w:jc w:val="center"/>
                    <w:rPr>
                      <w:b/>
                      <w:bCs/>
                      <w:szCs w:val="21"/>
                    </w:rPr>
                  </w:pPr>
                  <w:r>
                    <w:rPr>
                      <w:b/>
                      <w:bCs/>
                      <w:szCs w:val="21"/>
                    </w:rPr>
                    <w:t>排放量t/a</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435" w:hRule="atLeast"/>
                <w:jc w:val="center"/>
              </w:trPr>
              <w:tc>
                <w:tcPr>
                  <w:tcW w:w="332" w:type="pct"/>
                  <w:vMerge w:val="restart"/>
                  <w:vAlign w:val="center"/>
                </w:tcPr>
                <w:p>
                  <w:pPr>
                    <w:adjustRightInd w:val="0"/>
                    <w:snapToGrid w:val="0"/>
                    <w:jc w:val="center"/>
                    <w:rPr>
                      <w:szCs w:val="21"/>
                    </w:rPr>
                  </w:pPr>
                  <w:r>
                    <w:rPr>
                      <w:szCs w:val="21"/>
                    </w:rPr>
                    <w:t>职工</w:t>
                  </w:r>
                </w:p>
                <w:p>
                  <w:pPr>
                    <w:adjustRightInd w:val="0"/>
                    <w:snapToGrid w:val="0"/>
                    <w:jc w:val="center"/>
                    <w:rPr>
                      <w:szCs w:val="21"/>
                    </w:rPr>
                  </w:pPr>
                  <w:r>
                    <w:rPr>
                      <w:szCs w:val="21"/>
                    </w:rPr>
                    <w:t>生活</w:t>
                  </w:r>
                </w:p>
              </w:tc>
              <w:tc>
                <w:tcPr>
                  <w:tcW w:w="314" w:type="pct"/>
                  <w:vMerge w:val="restart"/>
                  <w:vAlign w:val="center"/>
                </w:tcPr>
                <w:p>
                  <w:pPr>
                    <w:adjustRightInd w:val="0"/>
                    <w:snapToGrid w:val="0"/>
                    <w:jc w:val="center"/>
                    <w:rPr>
                      <w:szCs w:val="21"/>
                    </w:rPr>
                  </w:pPr>
                  <w:r>
                    <w:rPr>
                      <w:szCs w:val="21"/>
                    </w:rPr>
                    <w:t>生活污水</w:t>
                  </w:r>
                </w:p>
              </w:tc>
              <w:tc>
                <w:tcPr>
                  <w:tcW w:w="442" w:type="pct"/>
                  <w:vAlign w:val="center"/>
                </w:tcPr>
                <w:p>
                  <w:pPr>
                    <w:adjustRightInd w:val="0"/>
                    <w:snapToGrid w:val="0"/>
                    <w:jc w:val="center"/>
                    <w:rPr>
                      <w:szCs w:val="21"/>
                    </w:rPr>
                  </w:pPr>
                  <w:r>
                    <w:rPr>
                      <w:szCs w:val="21"/>
                    </w:rPr>
                    <w:t>COD</w:t>
                  </w:r>
                </w:p>
              </w:tc>
              <w:tc>
                <w:tcPr>
                  <w:tcW w:w="425" w:type="pct"/>
                  <w:vMerge w:val="restart"/>
                  <w:vAlign w:val="center"/>
                </w:tcPr>
                <w:p>
                  <w:pPr>
                    <w:adjustRightInd w:val="0"/>
                    <w:snapToGrid w:val="0"/>
                    <w:jc w:val="center"/>
                    <w:rPr>
                      <w:szCs w:val="21"/>
                    </w:rPr>
                  </w:pPr>
                  <w:r>
                    <w:rPr>
                      <w:rFonts w:hint="eastAsia"/>
                      <w:szCs w:val="21"/>
                    </w:rPr>
                    <w:t>2.4</w:t>
                  </w:r>
                </w:p>
              </w:tc>
              <w:tc>
                <w:tcPr>
                  <w:tcW w:w="527" w:type="pct"/>
                  <w:vAlign w:val="center"/>
                </w:tcPr>
                <w:p>
                  <w:pPr>
                    <w:adjustRightInd w:val="0"/>
                    <w:snapToGrid w:val="0"/>
                    <w:jc w:val="center"/>
                    <w:rPr>
                      <w:szCs w:val="21"/>
                    </w:rPr>
                  </w:pPr>
                  <w:r>
                    <w:rPr>
                      <w:szCs w:val="21"/>
                    </w:rPr>
                    <w:t>350</w:t>
                  </w:r>
                </w:p>
              </w:tc>
              <w:tc>
                <w:tcPr>
                  <w:tcW w:w="425" w:type="pct"/>
                  <w:vAlign w:val="center"/>
                </w:tcPr>
                <w:p>
                  <w:pPr>
                    <w:adjustRightInd w:val="0"/>
                    <w:snapToGrid w:val="0"/>
                    <w:jc w:val="center"/>
                    <w:rPr>
                      <w:szCs w:val="21"/>
                    </w:rPr>
                  </w:pPr>
                  <w:r>
                    <w:rPr>
                      <w:rFonts w:hint="eastAsia"/>
                      <w:szCs w:val="21"/>
                    </w:rPr>
                    <w:t>0.252</w:t>
                  </w:r>
                </w:p>
              </w:tc>
              <w:tc>
                <w:tcPr>
                  <w:tcW w:w="227" w:type="pct"/>
                  <w:vMerge w:val="restart"/>
                  <w:vAlign w:val="center"/>
                </w:tcPr>
                <w:p>
                  <w:pPr>
                    <w:adjustRightInd w:val="0"/>
                    <w:snapToGrid w:val="0"/>
                    <w:jc w:val="center"/>
                    <w:rPr>
                      <w:szCs w:val="21"/>
                    </w:rPr>
                  </w:pPr>
                  <w:r>
                    <w:rPr>
                      <w:szCs w:val="21"/>
                    </w:rPr>
                    <w:t>化粪池</w:t>
                  </w:r>
                </w:p>
              </w:tc>
              <w:tc>
                <w:tcPr>
                  <w:tcW w:w="291" w:type="pct"/>
                  <w:vAlign w:val="center"/>
                </w:tcPr>
                <w:p>
                  <w:pPr>
                    <w:adjustRightInd w:val="0"/>
                    <w:snapToGrid w:val="0"/>
                    <w:jc w:val="center"/>
                    <w:rPr>
                      <w:szCs w:val="21"/>
                    </w:rPr>
                  </w:pPr>
                  <w:r>
                    <w:rPr>
                      <w:rFonts w:hint="eastAsia"/>
                      <w:szCs w:val="21"/>
                    </w:rPr>
                    <w:t>14.3</w:t>
                  </w:r>
                </w:p>
              </w:tc>
              <w:tc>
                <w:tcPr>
                  <w:tcW w:w="314" w:type="pct"/>
                  <w:vMerge w:val="restart"/>
                  <w:vAlign w:val="center"/>
                </w:tcPr>
                <w:p>
                  <w:pPr>
                    <w:adjustRightInd w:val="0"/>
                    <w:snapToGrid w:val="0"/>
                    <w:jc w:val="center"/>
                    <w:rPr>
                      <w:szCs w:val="21"/>
                    </w:rPr>
                  </w:pPr>
                  <w:r>
                    <w:rPr>
                      <w:szCs w:val="21"/>
                    </w:rPr>
                    <w:t>是</w:t>
                  </w:r>
                </w:p>
              </w:tc>
              <w:tc>
                <w:tcPr>
                  <w:tcW w:w="408" w:type="pct"/>
                  <w:vMerge w:val="restart"/>
                  <w:vAlign w:val="center"/>
                </w:tcPr>
                <w:p>
                  <w:pPr>
                    <w:adjustRightInd w:val="0"/>
                    <w:snapToGrid w:val="0"/>
                    <w:jc w:val="center"/>
                    <w:rPr>
                      <w:szCs w:val="21"/>
                    </w:rPr>
                  </w:pPr>
                  <w:r>
                    <w:rPr>
                      <w:rFonts w:hint="eastAsia"/>
                      <w:szCs w:val="21"/>
                    </w:rPr>
                    <w:t>2.4</w:t>
                  </w:r>
                </w:p>
              </w:tc>
              <w:tc>
                <w:tcPr>
                  <w:tcW w:w="527" w:type="pct"/>
                  <w:vAlign w:val="center"/>
                </w:tcPr>
                <w:p>
                  <w:pPr>
                    <w:adjustRightInd w:val="0"/>
                    <w:snapToGrid w:val="0"/>
                    <w:jc w:val="center"/>
                    <w:rPr>
                      <w:szCs w:val="21"/>
                    </w:rPr>
                  </w:pPr>
                  <w:r>
                    <w:rPr>
                      <w:szCs w:val="21"/>
                    </w:rPr>
                    <w:t>300</w:t>
                  </w:r>
                </w:p>
              </w:tc>
              <w:tc>
                <w:tcPr>
                  <w:tcW w:w="374" w:type="pct"/>
                  <w:vAlign w:val="center"/>
                </w:tcPr>
                <w:p>
                  <w:pPr>
                    <w:adjustRightInd w:val="0"/>
                    <w:snapToGrid w:val="0"/>
                    <w:jc w:val="center"/>
                    <w:rPr>
                      <w:szCs w:val="21"/>
                    </w:rPr>
                  </w:pPr>
                  <w:r>
                    <w:rPr>
                      <w:rFonts w:hint="eastAsia"/>
                      <w:szCs w:val="21"/>
                    </w:rPr>
                    <w:t>0.216</w:t>
                  </w:r>
                </w:p>
              </w:tc>
              <w:tc>
                <w:tcPr>
                  <w:tcW w:w="389" w:type="pct"/>
                  <w:vMerge w:val="restart"/>
                  <w:vAlign w:val="center"/>
                </w:tcPr>
                <w:p>
                  <w:pPr>
                    <w:adjustRightInd w:val="0"/>
                    <w:snapToGrid w:val="0"/>
                    <w:jc w:val="center"/>
                    <w:rPr>
                      <w:szCs w:val="21"/>
                    </w:rPr>
                  </w:pPr>
                  <w:r>
                    <w:rPr>
                      <w:rFonts w:hint="eastAsia"/>
                      <w:szCs w:val="21"/>
                    </w:rPr>
                    <w:t>新河县城东污水处理厂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386"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szCs w:val="21"/>
                    </w:rPr>
                    <w:t>BOD</w:t>
                  </w:r>
                  <w:r>
                    <w:rPr>
                      <w:szCs w:val="21"/>
                      <w:vertAlign w:val="subscript"/>
                    </w:rPr>
                    <w:t>5</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szCs w:val="21"/>
                    </w:rPr>
                    <w:t>200</w:t>
                  </w:r>
                </w:p>
              </w:tc>
              <w:tc>
                <w:tcPr>
                  <w:tcW w:w="425" w:type="pct"/>
                  <w:vAlign w:val="center"/>
                </w:tcPr>
                <w:p>
                  <w:pPr>
                    <w:adjustRightInd w:val="0"/>
                    <w:snapToGrid w:val="0"/>
                    <w:jc w:val="center"/>
                    <w:rPr>
                      <w:szCs w:val="21"/>
                    </w:rPr>
                  </w:pPr>
                  <w:r>
                    <w:rPr>
                      <w:rFonts w:hint="eastAsia"/>
                      <w:szCs w:val="21"/>
                    </w:rPr>
                    <w:t>0.144</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25</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szCs w:val="21"/>
                    </w:rPr>
                    <w:t>150</w:t>
                  </w:r>
                </w:p>
              </w:tc>
              <w:tc>
                <w:tcPr>
                  <w:tcW w:w="374" w:type="pct"/>
                  <w:vAlign w:val="center"/>
                </w:tcPr>
                <w:p>
                  <w:pPr>
                    <w:adjustRightInd w:val="0"/>
                    <w:snapToGrid w:val="0"/>
                    <w:jc w:val="center"/>
                    <w:rPr>
                      <w:szCs w:val="21"/>
                    </w:rPr>
                  </w:pPr>
                  <w:r>
                    <w:rPr>
                      <w:rFonts w:hint="eastAsia"/>
                      <w:szCs w:val="21"/>
                    </w:rPr>
                    <w:t>0.108</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378"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szCs w:val="21"/>
                    </w:rPr>
                    <w:t>NH</w:t>
                  </w:r>
                  <w:r>
                    <w:rPr>
                      <w:szCs w:val="21"/>
                      <w:vertAlign w:val="subscript"/>
                    </w:rPr>
                    <w:t>3</w:t>
                  </w:r>
                  <w:r>
                    <w:rPr>
                      <w:szCs w:val="21"/>
                    </w:rPr>
                    <w:t>-N</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szCs w:val="21"/>
                    </w:rPr>
                    <w:t>25</w:t>
                  </w:r>
                </w:p>
              </w:tc>
              <w:tc>
                <w:tcPr>
                  <w:tcW w:w="425" w:type="pct"/>
                  <w:vAlign w:val="center"/>
                </w:tcPr>
                <w:p>
                  <w:pPr>
                    <w:adjustRightInd w:val="0"/>
                    <w:snapToGrid w:val="0"/>
                    <w:jc w:val="center"/>
                    <w:rPr>
                      <w:szCs w:val="21"/>
                    </w:rPr>
                  </w:pPr>
                  <w:r>
                    <w:rPr>
                      <w:rFonts w:hint="eastAsia"/>
                      <w:szCs w:val="21"/>
                    </w:rPr>
                    <w:t>0.018</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5</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23.8</w:t>
                  </w:r>
                </w:p>
              </w:tc>
              <w:tc>
                <w:tcPr>
                  <w:tcW w:w="374" w:type="pct"/>
                  <w:vAlign w:val="center"/>
                </w:tcPr>
                <w:p>
                  <w:pPr>
                    <w:adjustRightInd w:val="0"/>
                    <w:snapToGrid w:val="0"/>
                    <w:jc w:val="center"/>
                    <w:rPr>
                      <w:szCs w:val="21"/>
                    </w:rPr>
                  </w:pPr>
                  <w:r>
                    <w:rPr>
                      <w:rFonts w:hint="eastAsia"/>
                      <w:szCs w:val="21"/>
                    </w:rPr>
                    <w:t>0.017</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szCs w:val="21"/>
                    </w:rPr>
                    <w:t>SS</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szCs w:val="21"/>
                    </w:rPr>
                    <w:t>200</w:t>
                  </w:r>
                </w:p>
              </w:tc>
              <w:tc>
                <w:tcPr>
                  <w:tcW w:w="425" w:type="pct"/>
                  <w:vAlign w:val="center"/>
                </w:tcPr>
                <w:p>
                  <w:pPr>
                    <w:adjustRightInd w:val="0"/>
                    <w:snapToGrid w:val="0"/>
                    <w:jc w:val="center"/>
                    <w:rPr>
                      <w:szCs w:val="21"/>
                    </w:rPr>
                  </w:pPr>
                  <w:r>
                    <w:rPr>
                      <w:rFonts w:hint="eastAsia"/>
                      <w:szCs w:val="21"/>
                    </w:rPr>
                    <w:t>0.144</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25</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szCs w:val="21"/>
                    </w:rPr>
                    <w:t>150</w:t>
                  </w:r>
                </w:p>
              </w:tc>
              <w:tc>
                <w:tcPr>
                  <w:tcW w:w="374" w:type="pct"/>
                  <w:vAlign w:val="center"/>
                </w:tcPr>
                <w:p>
                  <w:pPr>
                    <w:adjustRightInd w:val="0"/>
                    <w:snapToGrid w:val="0"/>
                    <w:jc w:val="center"/>
                    <w:rPr>
                      <w:szCs w:val="21"/>
                    </w:rPr>
                  </w:pPr>
                  <w:r>
                    <w:rPr>
                      <w:rFonts w:hint="eastAsia"/>
                      <w:szCs w:val="21"/>
                    </w:rPr>
                    <w:t>0.108</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rFonts w:hint="eastAsia"/>
                      <w:szCs w:val="21"/>
                    </w:rPr>
                    <w:t>总磷</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10</w:t>
                  </w:r>
                </w:p>
              </w:tc>
              <w:tc>
                <w:tcPr>
                  <w:tcW w:w="425" w:type="pct"/>
                  <w:vAlign w:val="center"/>
                </w:tcPr>
                <w:p>
                  <w:pPr>
                    <w:adjustRightInd w:val="0"/>
                    <w:snapToGrid w:val="0"/>
                    <w:jc w:val="center"/>
                    <w:rPr>
                      <w:szCs w:val="21"/>
                    </w:rPr>
                  </w:pPr>
                  <w:r>
                    <w:rPr>
                      <w:rFonts w:hint="eastAsia"/>
                      <w:szCs w:val="21"/>
                    </w:rPr>
                    <w:t>0.0072</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5</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9.5</w:t>
                  </w:r>
                </w:p>
              </w:tc>
              <w:tc>
                <w:tcPr>
                  <w:tcW w:w="374" w:type="pct"/>
                  <w:vAlign w:val="center"/>
                </w:tcPr>
                <w:p>
                  <w:pPr>
                    <w:adjustRightInd w:val="0"/>
                    <w:snapToGrid w:val="0"/>
                    <w:jc w:val="center"/>
                    <w:rPr>
                      <w:szCs w:val="21"/>
                    </w:rPr>
                  </w:pPr>
                  <w:r>
                    <w:rPr>
                      <w:rFonts w:hint="eastAsia"/>
                      <w:szCs w:val="21"/>
                    </w:rPr>
                    <w:t>0.0068</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rFonts w:hint="eastAsia"/>
                      <w:szCs w:val="21"/>
                    </w:rPr>
                    <w:t>总氮</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29</w:t>
                  </w:r>
                </w:p>
              </w:tc>
              <w:tc>
                <w:tcPr>
                  <w:tcW w:w="425" w:type="pct"/>
                  <w:vAlign w:val="center"/>
                </w:tcPr>
                <w:p>
                  <w:pPr>
                    <w:adjustRightInd w:val="0"/>
                    <w:snapToGrid w:val="0"/>
                    <w:jc w:val="center"/>
                    <w:rPr>
                      <w:szCs w:val="21"/>
                    </w:rPr>
                  </w:pPr>
                  <w:r>
                    <w:rPr>
                      <w:rFonts w:hint="eastAsia"/>
                      <w:szCs w:val="21"/>
                    </w:rPr>
                    <w:t>0.0209</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5</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27.55</w:t>
                  </w:r>
                </w:p>
              </w:tc>
              <w:tc>
                <w:tcPr>
                  <w:tcW w:w="374" w:type="pct"/>
                  <w:vAlign w:val="center"/>
                </w:tcPr>
                <w:p>
                  <w:pPr>
                    <w:adjustRightInd w:val="0"/>
                    <w:snapToGrid w:val="0"/>
                    <w:jc w:val="center"/>
                    <w:rPr>
                      <w:szCs w:val="21"/>
                    </w:rPr>
                  </w:pPr>
                  <w:r>
                    <w:rPr>
                      <w:rFonts w:hint="eastAsia"/>
                      <w:szCs w:val="21"/>
                    </w:rPr>
                    <w:t>0.0198</w:t>
                  </w:r>
                </w:p>
              </w:tc>
              <w:tc>
                <w:tcPr>
                  <w:tcW w:w="389"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332" w:type="pct"/>
                  <w:vMerge w:val="continue"/>
                  <w:vAlign w:val="center"/>
                </w:tcPr>
                <w:p>
                  <w:pPr>
                    <w:adjustRightInd w:val="0"/>
                    <w:snapToGrid w:val="0"/>
                    <w:jc w:val="center"/>
                    <w:rPr>
                      <w:szCs w:val="21"/>
                    </w:rPr>
                  </w:pPr>
                </w:p>
              </w:tc>
              <w:tc>
                <w:tcPr>
                  <w:tcW w:w="314"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rFonts w:hint="eastAsia"/>
                      <w:szCs w:val="21"/>
                    </w:rPr>
                    <w:t>pH</w:t>
                  </w:r>
                </w:p>
              </w:tc>
              <w:tc>
                <w:tcPr>
                  <w:tcW w:w="425"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6-9</w:t>
                  </w:r>
                </w:p>
              </w:tc>
              <w:tc>
                <w:tcPr>
                  <w:tcW w:w="425" w:type="pct"/>
                  <w:vAlign w:val="center"/>
                </w:tcPr>
                <w:p>
                  <w:pPr>
                    <w:adjustRightInd w:val="0"/>
                    <w:snapToGrid w:val="0"/>
                    <w:jc w:val="center"/>
                    <w:rPr>
                      <w:szCs w:val="21"/>
                    </w:rPr>
                  </w:pPr>
                  <w:r>
                    <w:rPr>
                      <w:rFonts w:hint="eastAsia"/>
                      <w:szCs w:val="21"/>
                    </w:rPr>
                    <w:t>--</w:t>
                  </w:r>
                </w:p>
              </w:tc>
              <w:tc>
                <w:tcPr>
                  <w:tcW w:w="227" w:type="pct"/>
                  <w:vMerge w:val="continue"/>
                  <w:vAlign w:val="center"/>
                </w:tcPr>
                <w:p>
                  <w:pPr>
                    <w:adjustRightInd w:val="0"/>
                    <w:snapToGrid w:val="0"/>
                    <w:jc w:val="center"/>
                    <w:rPr>
                      <w:szCs w:val="21"/>
                    </w:rPr>
                  </w:pPr>
                </w:p>
              </w:tc>
              <w:tc>
                <w:tcPr>
                  <w:tcW w:w="291" w:type="pct"/>
                  <w:vAlign w:val="center"/>
                </w:tcPr>
                <w:p>
                  <w:pPr>
                    <w:adjustRightInd w:val="0"/>
                    <w:snapToGrid w:val="0"/>
                    <w:jc w:val="center"/>
                    <w:rPr>
                      <w:szCs w:val="21"/>
                    </w:rPr>
                  </w:pPr>
                  <w:r>
                    <w:rPr>
                      <w:rFonts w:hint="eastAsia"/>
                      <w:szCs w:val="21"/>
                    </w:rPr>
                    <w:t>--</w:t>
                  </w:r>
                </w:p>
              </w:tc>
              <w:tc>
                <w:tcPr>
                  <w:tcW w:w="314" w:type="pct"/>
                  <w:vMerge w:val="continue"/>
                  <w:vAlign w:val="center"/>
                </w:tcPr>
                <w:p>
                  <w:pPr>
                    <w:adjustRightInd w:val="0"/>
                    <w:snapToGrid w:val="0"/>
                    <w:jc w:val="center"/>
                    <w:rPr>
                      <w:szCs w:val="21"/>
                    </w:rPr>
                  </w:pPr>
                </w:p>
              </w:tc>
              <w:tc>
                <w:tcPr>
                  <w:tcW w:w="408" w:type="pct"/>
                  <w:vMerge w:val="continue"/>
                  <w:vAlign w:val="center"/>
                </w:tcPr>
                <w:p>
                  <w:pPr>
                    <w:adjustRightInd w:val="0"/>
                    <w:snapToGrid w:val="0"/>
                    <w:jc w:val="center"/>
                    <w:rPr>
                      <w:szCs w:val="21"/>
                    </w:rPr>
                  </w:pPr>
                </w:p>
              </w:tc>
              <w:tc>
                <w:tcPr>
                  <w:tcW w:w="527" w:type="pct"/>
                  <w:vAlign w:val="center"/>
                </w:tcPr>
                <w:p>
                  <w:pPr>
                    <w:adjustRightInd w:val="0"/>
                    <w:snapToGrid w:val="0"/>
                    <w:jc w:val="center"/>
                    <w:rPr>
                      <w:szCs w:val="21"/>
                    </w:rPr>
                  </w:pPr>
                  <w:r>
                    <w:rPr>
                      <w:rFonts w:hint="eastAsia"/>
                      <w:szCs w:val="21"/>
                    </w:rPr>
                    <w:t>6-9</w:t>
                  </w:r>
                </w:p>
              </w:tc>
              <w:tc>
                <w:tcPr>
                  <w:tcW w:w="374" w:type="pct"/>
                  <w:vAlign w:val="center"/>
                </w:tcPr>
                <w:p>
                  <w:pPr>
                    <w:adjustRightInd w:val="0"/>
                    <w:snapToGrid w:val="0"/>
                    <w:jc w:val="center"/>
                    <w:rPr>
                      <w:szCs w:val="21"/>
                    </w:rPr>
                  </w:pPr>
                  <w:r>
                    <w:rPr>
                      <w:rFonts w:hint="eastAsia"/>
                      <w:szCs w:val="21"/>
                    </w:rPr>
                    <w:t>--</w:t>
                  </w:r>
                </w:p>
              </w:tc>
              <w:tc>
                <w:tcPr>
                  <w:tcW w:w="389" w:type="pct"/>
                  <w:vMerge w:val="continue"/>
                  <w:vAlign w:val="center"/>
                </w:tcPr>
                <w:p>
                  <w:pPr>
                    <w:adjustRightInd w:val="0"/>
                    <w:snapToGrid w:val="0"/>
                    <w:jc w:val="center"/>
                    <w:rPr>
                      <w:szCs w:val="21"/>
                    </w:rPr>
                  </w:pPr>
                </w:p>
              </w:tc>
            </w:tr>
          </w:tbl>
          <w:p>
            <w:pPr>
              <w:spacing w:line="360" w:lineRule="auto"/>
              <w:ind w:firstLine="480" w:firstLineChars="200"/>
              <w:rPr>
                <w:sz w:val="24"/>
              </w:rPr>
            </w:pPr>
            <w:r>
              <w:rPr>
                <w:sz w:val="24"/>
              </w:rPr>
              <w:t>本项目无生产废水产生及外排，生活废水主要为职工盥洗废水，产生量为</w:t>
            </w:r>
            <w:r>
              <w:rPr>
                <w:rFonts w:hint="eastAsia"/>
                <w:sz w:val="24"/>
              </w:rPr>
              <w:t>2.4</w:t>
            </w:r>
            <w:r>
              <w:rPr>
                <w:sz w:val="24"/>
              </w:rPr>
              <w:t>m</w:t>
            </w:r>
            <w:r>
              <w:rPr>
                <w:sz w:val="24"/>
                <w:vertAlign w:val="superscript"/>
              </w:rPr>
              <w:t>3</w:t>
            </w:r>
            <w:r>
              <w:rPr>
                <w:sz w:val="24"/>
              </w:rPr>
              <w:t>/d，厂区设化粪池一座，职工生活污水经化粪池处理后由市政污水管网排入</w:t>
            </w:r>
            <w:r>
              <w:rPr>
                <w:rFonts w:hint="eastAsia"/>
                <w:sz w:val="24"/>
              </w:rPr>
              <w:t>新河县城东污水处理厂</w:t>
            </w:r>
            <w:r>
              <w:rPr>
                <w:sz w:val="24"/>
              </w:rPr>
              <w:t>进一步处理，不会对周围地表水环境产生明显影响。</w:t>
            </w:r>
          </w:p>
          <w:p>
            <w:pPr>
              <w:numPr>
                <w:ilvl w:val="0"/>
                <w:numId w:val="6"/>
              </w:numPr>
              <w:spacing w:line="360" w:lineRule="auto"/>
              <w:ind w:firstLine="480" w:firstLineChars="200"/>
              <w:rPr>
                <w:sz w:val="24"/>
              </w:rPr>
            </w:pPr>
            <w:r>
              <w:rPr>
                <w:sz w:val="24"/>
              </w:rPr>
              <w:t>废水排放口基本情况</w:t>
            </w:r>
          </w:p>
          <w:p>
            <w:pPr>
              <w:spacing w:line="360" w:lineRule="auto"/>
              <w:ind w:left="420" w:leftChars="200"/>
              <w:rPr>
                <w:sz w:val="24"/>
              </w:rPr>
            </w:pPr>
            <w:r>
              <w:rPr>
                <w:rFonts w:hint="eastAsia"/>
                <w:sz w:val="24"/>
              </w:rPr>
              <w:t>本项目废水排污口基本情况见表44。</w:t>
            </w:r>
          </w:p>
          <w:p>
            <w:pPr>
              <w:ind w:firstLine="482" w:firstLineChars="200"/>
              <w:jc w:val="center"/>
              <w:rPr>
                <w:sz w:val="24"/>
              </w:rPr>
            </w:pPr>
            <w:r>
              <w:rPr>
                <w:b/>
                <w:sz w:val="24"/>
              </w:rPr>
              <w:t>表</w:t>
            </w:r>
            <w:r>
              <w:rPr>
                <w:rFonts w:hint="eastAsia"/>
                <w:b/>
                <w:sz w:val="24"/>
              </w:rPr>
              <w:t>44</w:t>
            </w:r>
            <w:r>
              <w:rPr>
                <w:b/>
                <w:sz w:val="24"/>
              </w:rPr>
              <w:t xml:space="preserve">  废水排放口基本情况表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947"/>
              <w:gridCol w:w="912"/>
              <w:gridCol w:w="809"/>
              <w:gridCol w:w="1521"/>
              <w:gridCol w:w="153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91" w:type="pct"/>
                  <w:vMerge w:val="restart"/>
                  <w:vAlign w:val="center"/>
                </w:tcPr>
                <w:p>
                  <w:pPr>
                    <w:jc w:val="center"/>
                    <w:rPr>
                      <w:b/>
                      <w:bCs/>
                      <w:szCs w:val="21"/>
                    </w:rPr>
                  </w:pPr>
                  <w:r>
                    <w:rPr>
                      <w:b/>
                      <w:bCs/>
                      <w:szCs w:val="21"/>
                    </w:rPr>
                    <w:t>序号</w:t>
                  </w:r>
                </w:p>
              </w:tc>
              <w:tc>
                <w:tcPr>
                  <w:tcW w:w="560" w:type="pct"/>
                  <w:vMerge w:val="restart"/>
                  <w:vAlign w:val="center"/>
                </w:tcPr>
                <w:p>
                  <w:pPr>
                    <w:jc w:val="center"/>
                    <w:rPr>
                      <w:b/>
                      <w:bCs/>
                      <w:szCs w:val="21"/>
                    </w:rPr>
                  </w:pPr>
                  <w:r>
                    <w:rPr>
                      <w:b/>
                      <w:bCs/>
                      <w:szCs w:val="21"/>
                    </w:rPr>
                    <w:t>排放口名称</w:t>
                  </w:r>
                </w:p>
              </w:tc>
              <w:tc>
                <w:tcPr>
                  <w:tcW w:w="539" w:type="pct"/>
                  <w:vMerge w:val="restart"/>
                  <w:vAlign w:val="center"/>
                </w:tcPr>
                <w:p>
                  <w:pPr>
                    <w:jc w:val="center"/>
                    <w:rPr>
                      <w:b/>
                      <w:bCs/>
                      <w:szCs w:val="21"/>
                    </w:rPr>
                  </w:pPr>
                  <w:r>
                    <w:rPr>
                      <w:b/>
                      <w:bCs/>
                      <w:szCs w:val="21"/>
                    </w:rPr>
                    <w:t>排放口编号</w:t>
                  </w:r>
                </w:p>
              </w:tc>
              <w:tc>
                <w:tcPr>
                  <w:tcW w:w="478" w:type="pct"/>
                  <w:vMerge w:val="restart"/>
                  <w:vAlign w:val="center"/>
                </w:tcPr>
                <w:p>
                  <w:pPr>
                    <w:jc w:val="center"/>
                    <w:rPr>
                      <w:b/>
                      <w:bCs/>
                      <w:szCs w:val="21"/>
                    </w:rPr>
                  </w:pPr>
                  <w:r>
                    <w:rPr>
                      <w:b/>
                      <w:bCs/>
                      <w:szCs w:val="21"/>
                    </w:rPr>
                    <w:t>排放口类型</w:t>
                  </w:r>
                </w:p>
              </w:tc>
              <w:tc>
                <w:tcPr>
                  <w:tcW w:w="1808" w:type="pct"/>
                  <w:gridSpan w:val="2"/>
                  <w:vAlign w:val="center"/>
                </w:tcPr>
                <w:p>
                  <w:pPr>
                    <w:jc w:val="center"/>
                    <w:rPr>
                      <w:b/>
                      <w:bCs/>
                      <w:szCs w:val="21"/>
                    </w:rPr>
                  </w:pPr>
                  <w:r>
                    <w:rPr>
                      <w:b/>
                      <w:bCs/>
                      <w:szCs w:val="21"/>
                    </w:rPr>
                    <w:t>排放口地理坐标(°)</w:t>
                  </w:r>
                </w:p>
              </w:tc>
              <w:tc>
                <w:tcPr>
                  <w:tcW w:w="1322" w:type="pct"/>
                  <w:vMerge w:val="restart"/>
                  <w:vAlign w:val="center"/>
                </w:tcPr>
                <w:p>
                  <w:pPr>
                    <w:jc w:val="center"/>
                    <w:rPr>
                      <w:b/>
                      <w:bCs/>
                      <w:szCs w:val="21"/>
                    </w:rPr>
                  </w:pPr>
                  <w:r>
                    <w:rPr>
                      <w:b/>
                      <w:bCs/>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91" w:type="pct"/>
                  <w:vMerge w:val="continue"/>
                  <w:vAlign w:val="center"/>
                </w:tcPr>
                <w:p>
                  <w:pPr>
                    <w:jc w:val="center"/>
                  </w:pPr>
                </w:p>
              </w:tc>
              <w:tc>
                <w:tcPr>
                  <w:tcW w:w="560" w:type="pct"/>
                  <w:vMerge w:val="continue"/>
                  <w:vAlign w:val="center"/>
                </w:tcPr>
                <w:p>
                  <w:pPr>
                    <w:jc w:val="center"/>
                  </w:pPr>
                </w:p>
              </w:tc>
              <w:tc>
                <w:tcPr>
                  <w:tcW w:w="539" w:type="pct"/>
                  <w:vMerge w:val="continue"/>
                  <w:vAlign w:val="center"/>
                </w:tcPr>
                <w:p>
                  <w:pPr>
                    <w:jc w:val="center"/>
                  </w:pPr>
                </w:p>
              </w:tc>
              <w:tc>
                <w:tcPr>
                  <w:tcW w:w="478" w:type="pct"/>
                  <w:vMerge w:val="continue"/>
                  <w:vAlign w:val="center"/>
                </w:tcPr>
                <w:p>
                  <w:pPr>
                    <w:jc w:val="center"/>
                  </w:pPr>
                </w:p>
              </w:tc>
              <w:tc>
                <w:tcPr>
                  <w:tcW w:w="899" w:type="pct"/>
                  <w:vAlign w:val="center"/>
                </w:tcPr>
                <w:p>
                  <w:pPr>
                    <w:jc w:val="center"/>
                    <w:rPr>
                      <w:b/>
                      <w:bCs/>
                    </w:rPr>
                  </w:pPr>
                  <w:r>
                    <w:rPr>
                      <w:b/>
                      <w:bCs/>
                    </w:rPr>
                    <w:t>经度</w:t>
                  </w:r>
                </w:p>
              </w:tc>
              <w:tc>
                <w:tcPr>
                  <w:tcW w:w="908" w:type="pct"/>
                  <w:vAlign w:val="center"/>
                </w:tcPr>
                <w:p>
                  <w:pPr>
                    <w:jc w:val="center"/>
                    <w:rPr>
                      <w:b/>
                      <w:bCs/>
                    </w:rPr>
                  </w:pPr>
                  <w:r>
                    <w:rPr>
                      <w:b/>
                      <w:bCs/>
                    </w:rPr>
                    <w:t>纬度</w:t>
                  </w:r>
                </w:p>
              </w:tc>
              <w:tc>
                <w:tcPr>
                  <w:tcW w:w="1322"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jc w:val="center"/>
              </w:trPr>
              <w:tc>
                <w:tcPr>
                  <w:tcW w:w="291" w:type="pct"/>
                  <w:vAlign w:val="center"/>
                </w:tcPr>
                <w:p>
                  <w:pPr>
                    <w:jc w:val="center"/>
                    <w:rPr>
                      <w:szCs w:val="21"/>
                    </w:rPr>
                  </w:pPr>
                  <w:r>
                    <w:rPr>
                      <w:szCs w:val="21"/>
                    </w:rPr>
                    <w:t>1</w:t>
                  </w:r>
                </w:p>
              </w:tc>
              <w:tc>
                <w:tcPr>
                  <w:tcW w:w="560" w:type="pct"/>
                  <w:vAlign w:val="center"/>
                </w:tcPr>
                <w:p>
                  <w:pPr>
                    <w:jc w:val="center"/>
                    <w:rPr>
                      <w:szCs w:val="21"/>
                    </w:rPr>
                  </w:pPr>
                  <w:r>
                    <w:rPr>
                      <w:szCs w:val="21"/>
                    </w:rPr>
                    <w:t>废水总排口</w:t>
                  </w:r>
                </w:p>
              </w:tc>
              <w:tc>
                <w:tcPr>
                  <w:tcW w:w="539" w:type="pct"/>
                  <w:vAlign w:val="center"/>
                </w:tcPr>
                <w:p>
                  <w:pPr>
                    <w:jc w:val="center"/>
                    <w:rPr>
                      <w:szCs w:val="21"/>
                    </w:rPr>
                  </w:pPr>
                  <w:r>
                    <w:rPr>
                      <w:szCs w:val="21"/>
                    </w:rPr>
                    <w:t>DW001</w:t>
                  </w:r>
                </w:p>
              </w:tc>
              <w:tc>
                <w:tcPr>
                  <w:tcW w:w="478" w:type="pct"/>
                  <w:vAlign w:val="center"/>
                </w:tcPr>
                <w:p>
                  <w:pPr>
                    <w:jc w:val="center"/>
                    <w:rPr>
                      <w:szCs w:val="21"/>
                    </w:rPr>
                  </w:pPr>
                  <w:r>
                    <w:rPr>
                      <w:szCs w:val="21"/>
                    </w:rPr>
                    <w:t>一般排放口</w:t>
                  </w:r>
                </w:p>
              </w:tc>
              <w:tc>
                <w:tcPr>
                  <w:tcW w:w="899" w:type="pct"/>
                  <w:vAlign w:val="center"/>
                </w:tcPr>
                <w:p>
                  <w:pPr>
                    <w:jc w:val="center"/>
                    <w:rPr>
                      <w:szCs w:val="21"/>
                    </w:rPr>
                  </w:pPr>
                  <w:r>
                    <w:rPr>
                      <w:szCs w:val="21"/>
                    </w:rPr>
                    <w:t>115.291841086</w:t>
                  </w:r>
                </w:p>
              </w:tc>
              <w:tc>
                <w:tcPr>
                  <w:tcW w:w="908" w:type="pct"/>
                  <w:vAlign w:val="center"/>
                </w:tcPr>
                <w:p>
                  <w:pPr>
                    <w:jc w:val="center"/>
                    <w:rPr>
                      <w:szCs w:val="21"/>
                    </w:rPr>
                  </w:pPr>
                  <w:r>
                    <w:rPr>
                      <w:szCs w:val="21"/>
                    </w:rPr>
                    <w:t>37.508792729</w:t>
                  </w:r>
                </w:p>
              </w:tc>
              <w:tc>
                <w:tcPr>
                  <w:tcW w:w="1322" w:type="pct"/>
                  <w:vAlign w:val="center"/>
                </w:tcPr>
                <w:p>
                  <w:pPr>
                    <w:jc w:val="center"/>
                    <w:rPr>
                      <w:szCs w:val="21"/>
                    </w:rPr>
                  </w:pPr>
                  <w:r>
                    <w:rPr>
                      <w:szCs w:val="21"/>
                    </w:rPr>
                    <w:t>《污水综合排放标准》</w:t>
                  </w:r>
                </w:p>
                <w:p>
                  <w:pPr>
                    <w:jc w:val="center"/>
                    <w:rPr>
                      <w:szCs w:val="21"/>
                    </w:rPr>
                  </w:pPr>
                  <w:r>
                    <w:rPr>
                      <w:szCs w:val="21"/>
                    </w:rPr>
                    <w:t>（GB8978-1996）表4三级标准及</w:t>
                  </w:r>
                  <w:r>
                    <w:rPr>
                      <w:rFonts w:hint="eastAsia"/>
                      <w:szCs w:val="21"/>
                    </w:rPr>
                    <w:t>新河县城东污水处理厂</w:t>
                  </w:r>
                  <w:r>
                    <w:rPr>
                      <w:szCs w:val="21"/>
                    </w:rPr>
                    <w:t>进水水质要求</w:t>
                  </w:r>
                </w:p>
              </w:tc>
            </w:tr>
          </w:tbl>
          <w:p>
            <w:pPr>
              <w:spacing w:line="360" w:lineRule="auto"/>
              <w:ind w:firstLine="480" w:firstLineChars="200"/>
              <w:rPr>
                <w:sz w:val="24"/>
              </w:rPr>
            </w:pPr>
            <w:r>
              <w:rPr>
                <w:sz w:val="24"/>
              </w:rPr>
              <w:t>（3）依托污水处理设施的环境可行性评价</w:t>
            </w:r>
          </w:p>
          <w:p>
            <w:pPr>
              <w:spacing w:line="360" w:lineRule="auto"/>
              <w:ind w:firstLine="480" w:firstLineChars="200"/>
              <w:rPr>
                <w:sz w:val="24"/>
              </w:rPr>
            </w:pPr>
            <w:r>
              <w:rPr>
                <w:rFonts w:hint="eastAsia"/>
                <w:sz w:val="24"/>
              </w:rPr>
              <w:t>新河县城东污水处理厂位于东区 308 国道东侧 300m，跃进渠南侧，占地面积 43.8亩，近期设计处理规模为 1.0 万 m</w:t>
            </w:r>
            <w:r>
              <w:rPr>
                <w:rFonts w:hint="eastAsia"/>
                <w:sz w:val="24"/>
                <w:vertAlign w:val="superscript"/>
              </w:rPr>
              <w:t>3</w:t>
            </w:r>
            <w:r>
              <w:rPr>
                <w:rFonts w:hint="eastAsia"/>
                <w:sz w:val="24"/>
              </w:rPr>
              <w:t>/d，远期增加至 1.5 万 m</w:t>
            </w:r>
            <w:r>
              <w:rPr>
                <w:rFonts w:hint="eastAsia"/>
                <w:sz w:val="24"/>
                <w:vertAlign w:val="superscript"/>
              </w:rPr>
              <w:t>3</w:t>
            </w:r>
            <w:r>
              <w:rPr>
                <w:rFonts w:hint="eastAsia"/>
                <w:sz w:val="24"/>
              </w:rPr>
              <w:t>/d，且在厂区内预留了再生水厂位置，收水范围为开发区东区规划范围内生产及生活废水，污水处理采用“格栅+旋流沉砂池+调节池+水解酸化池+沉淀池+A2/O+二沉池+中间水池+高密度沉淀池+深床滤池+接触消毒池”组合工艺，设计出水水质达到《城镇污水处理厂污染物排放标准》(GB18918-2002)一级 A 标准。</w:t>
            </w:r>
          </w:p>
          <w:p>
            <w:pPr>
              <w:spacing w:line="360" w:lineRule="auto"/>
              <w:ind w:firstLine="480" w:firstLineChars="200"/>
              <w:rPr>
                <w:sz w:val="24"/>
              </w:rPr>
            </w:pPr>
            <w:r>
              <w:rPr>
                <w:sz w:val="24"/>
                <w:szCs w:val="32"/>
              </w:rPr>
              <w:t>本项目</w:t>
            </w:r>
            <w:r>
              <w:rPr>
                <w:rFonts w:hint="eastAsia"/>
                <w:sz w:val="24"/>
                <w:szCs w:val="32"/>
              </w:rPr>
              <w:t>属于</w:t>
            </w:r>
            <w:r>
              <w:rPr>
                <w:rFonts w:hint="eastAsia"/>
                <w:sz w:val="24"/>
              </w:rPr>
              <w:t>新河县城东污水处理厂收水范围内，且项目所在区域污水管网已建成；</w:t>
            </w:r>
            <w:r>
              <w:rPr>
                <w:rFonts w:hint="eastAsia"/>
                <w:sz w:val="24"/>
                <w:szCs w:val="32"/>
              </w:rPr>
              <w:t>本项目废水</w:t>
            </w:r>
            <w:r>
              <w:rPr>
                <w:sz w:val="24"/>
                <w:szCs w:val="32"/>
              </w:rPr>
              <w:t>排放量</w:t>
            </w:r>
            <w:r>
              <w:rPr>
                <w:rFonts w:hint="eastAsia"/>
                <w:sz w:val="24"/>
                <w:szCs w:val="32"/>
              </w:rPr>
              <w:t>2.4</w:t>
            </w:r>
            <w:r>
              <w:rPr>
                <w:sz w:val="24"/>
                <w:szCs w:val="32"/>
              </w:rPr>
              <w:t>m</w:t>
            </w:r>
            <w:r>
              <w:rPr>
                <w:sz w:val="24"/>
                <w:szCs w:val="32"/>
                <w:vertAlign w:val="superscript"/>
              </w:rPr>
              <w:t>3</w:t>
            </w:r>
            <w:r>
              <w:rPr>
                <w:sz w:val="24"/>
                <w:szCs w:val="32"/>
              </w:rPr>
              <w:t>/d，</w:t>
            </w:r>
            <w:r>
              <w:rPr>
                <w:rFonts w:hint="eastAsia"/>
                <w:sz w:val="24"/>
                <w:szCs w:val="32"/>
              </w:rPr>
              <w:t>排水量较小；目前</w:t>
            </w:r>
            <w:r>
              <w:rPr>
                <w:rFonts w:hint="eastAsia"/>
                <w:sz w:val="24"/>
              </w:rPr>
              <w:t>新河县城东污水处理厂</w:t>
            </w:r>
            <w:r>
              <w:rPr>
                <w:rFonts w:hint="eastAsia"/>
                <w:sz w:val="24"/>
                <w:szCs w:val="32"/>
              </w:rPr>
              <w:t>尚有</w:t>
            </w:r>
            <w:r>
              <w:rPr>
                <w:sz w:val="24"/>
                <w:szCs w:val="32"/>
              </w:rPr>
              <w:t>大量余量来处理外来废水</w:t>
            </w:r>
            <w:r>
              <w:rPr>
                <w:rFonts w:hint="eastAsia"/>
                <w:sz w:val="24"/>
                <w:szCs w:val="32"/>
              </w:rPr>
              <w:t>，可接纳本项目排水。因此本项目排水</w:t>
            </w:r>
            <w:r>
              <w:rPr>
                <w:sz w:val="24"/>
                <w:szCs w:val="32"/>
              </w:rPr>
              <w:t>不会对该污水处理厂日常运行负荷造成冲击，</w:t>
            </w:r>
            <w:r>
              <w:rPr>
                <w:rFonts w:hint="eastAsia"/>
                <w:sz w:val="24"/>
                <w:szCs w:val="32"/>
              </w:rPr>
              <w:t>且</w:t>
            </w:r>
            <w:r>
              <w:rPr>
                <w:sz w:val="24"/>
                <w:szCs w:val="32"/>
              </w:rPr>
              <w:t>污染物排放浓度可满足《污水综合排放标准》（GB8978-1996）中的三级标准及</w:t>
            </w:r>
            <w:r>
              <w:rPr>
                <w:rFonts w:hint="eastAsia"/>
                <w:sz w:val="24"/>
              </w:rPr>
              <w:t>新河县城东污水处理厂</w:t>
            </w:r>
            <w:r>
              <w:rPr>
                <w:sz w:val="24"/>
                <w:szCs w:val="32"/>
              </w:rPr>
              <w:t>进水水质要求，排水去向合理。</w:t>
            </w:r>
          </w:p>
          <w:p>
            <w:pPr>
              <w:spacing w:line="360" w:lineRule="auto"/>
              <w:ind w:firstLine="480" w:firstLineChars="200"/>
              <w:rPr>
                <w:sz w:val="24"/>
              </w:rPr>
            </w:pPr>
            <w:r>
              <w:rPr>
                <w:rFonts w:hint="eastAsia"/>
                <w:sz w:val="24"/>
              </w:rPr>
              <w:t>综上所述，项目无生产废水外排；废水主要为生活污水，经化粪池处理后，外排废水满足</w:t>
            </w:r>
            <w:r>
              <w:rPr>
                <w:sz w:val="24"/>
              </w:rPr>
              <w:t>《污水综合排放标准》（GB8978-1996）表4三级标准要求并同时满足</w:t>
            </w:r>
            <w:r>
              <w:rPr>
                <w:rFonts w:hint="eastAsia"/>
                <w:sz w:val="24"/>
              </w:rPr>
              <w:t>新河县城东污水处理厂</w:t>
            </w:r>
            <w:r>
              <w:rPr>
                <w:sz w:val="24"/>
              </w:rPr>
              <w:t>进水水质要求，</w:t>
            </w:r>
            <w:r>
              <w:rPr>
                <w:rFonts w:hint="eastAsia"/>
                <w:sz w:val="24"/>
              </w:rPr>
              <w:t>新河县城东污水处理厂</w:t>
            </w:r>
            <w:r>
              <w:rPr>
                <w:sz w:val="24"/>
              </w:rPr>
              <w:t>完全可接纳并处理本项目污水</w:t>
            </w:r>
            <w:r>
              <w:rPr>
                <w:rFonts w:hint="eastAsia"/>
                <w:sz w:val="24"/>
              </w:rPr>
              <w:t>，因此生活污水排入新河县城东污水处理厂是可行的，满足依托的环境可行性要求。</w:t>
            </w:r>
          </w:p>
          <w:p>
            <w:pPr>
              <w:pStyle w:val="20"/>
              <w:adjustRightInd w:val="0"/>
              <w:snapToGrid w:val="0"/>
              <w:spacing w:after="0" w:line="360" w:lineRule="auto"/>
              <w:ind w:left="0" w:leftChars="0" w:firstLine="480"/>
            </w:pPr>
            <w:r>
              <w:rPr>
                <w:rFonts w:hint="eastAsia"/>
              </w:rPr>
              <w:t>2.3监测计划</w:t>
            </w:r>
          </w:p>
          <w:p>
            <w:pPr>
              <w:adjustRightInd w:val="0"/>
              <w:snapToGrid w:val="0"/>
              <w:spacing w:line="360" w:lineRule="auto"/>
              <w:ind w:firstLine="480" w:firstLineChars="200"/>
              <w:rPr>
                <w:sz w:val="24"/>
              </w:rPr>
            </w:pPr>
            <w:r>
              <w:rPr>
                <w:sz w:val="24"/>
              </w:rPr>
              <w:t>本项目自行监测计划见下表。</w:t>
            </w:r>
          </w:p>
          <w:p>
            <w:pPr>
              <w:pStyle w:val="67"/>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lang w:val="en-US" w:eastAsia="zh-CN"/>
              </w:rPr>
              <w:t>45</w:t>
            </w:r>
            <w:r>
              <w:rPr>
                <w:rFonts w:ascii="Times New Roman" w:hAnsi="Times New Roman" w:cs="Times New Roman"/>
                <w:b/>
                <w:sz w:val="24"/>
                <w:szCs w:val="24"/>
                <w:lang w:val="en-US" w:eastAsia="zh-CN"/>
              </w:rPr>
              <w:t xml:space="preserve">  </w:t>
            </w:r>
            <w:r>
              <w:rPr>
                <w:rFonts w:ascii="Times New Roman" w:hAnsi="Times New Roman" w:cs="Times New Roman"/>
                <w:b/>
                <w:sz w:val="24"/>
                <w:szCs w:val="24"/>
              </w:rPr>
              <w:t>监测计划一览表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92"/>
              <w:gridCol w:w="1220"/>
              <w:gridCol w:w="1105"/>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407" w:type="pct"/>
                  <w:vAlign w:val="center"/>
                </w:tcPr>
                <w:p>
                  <w:pPr>
                    <w:snapToGrid w:val="0"/>
                    <w:jc w:val="center"/>
                    <w:rPr>
                      <w:szCs w:val="21"/>
                    </w:rPr>
                  </w:pPr>
                  <w:r>
                    <w:rPr>
                      <w:szCs w:val="21"/>
                    </w:rPr>
                    <w:t>污染类型</w:t>
                  </w:r>
                </w:p>
              </w:tc>
              <w:tc>
                <w:tcPr>
                  <w:tcW w:w="409" w:type="pct"/>
                  <w:vAlign w:val="center"/>
                </w:tcPr>
                <w:p>
                  <w:pPr>
                    <w:snapToGrid w:val="0"/>
                    <w:jc w:val="center"/>
                    <w:rPr>
                      <w:szCs w:val="21"/>
                    </w:rPr>
                  </w:pPr>
                  <w:r>
                    <w:rPr>
                      <w:szCs w:val="21"/>
                    </w:rPr>
                    <w:t>监测点位</w:t>
                  </w:r>
                </w:p>
              </w:tc>
              <w:tc>
                <w:tcPr>
                  <w:tcW w:w="721" w:type="pct"/>
                  <w:vAlign w:val="center"/>
                </w:tcPr>
                <w:p>
                  <w:pPr>
                    <w:snapToGrid w:val="0"/>
                    <w:jc w:val="center"/>
                    <w:rPr>
                      <w:szCs w:val="21"/>
                    </w:rPr>
                  </w:pPr>
                  <w:r>
                    <w:rPr>
                      <w:szCs w:val="21"/>
                    </w:rPr>
                    <w:t>监测因子</w:t>
                  </w:r>
                </w:p>
              </w:tc>
              <w:tc>
                <w:tcPr>
                  <w:tcW w:w="653" w:type="pct"/>
                  <w:vAlign w:val="center"/>
                </w:tcPr>
                <w:p>
                  <w:pPr>
                    <w:snapToGrid w:val="0"/>
                    <w:jc w:val="center"/>
                    <w:rPr>
                      <w:szCs w:val="21"/>
                    </w:rPr>
                  </w:pPr>
                  <w:r>
                    <w:rPr>
                      <w:szCs w:val="21"/>
                    </w:rPr>
                    <w:t>监测频次</w:t>
                  </w:r>
                </w:p>
              </w:tc>
              <w:tc>
                <w:tcPr>
                  <w:tcW w:w="2807" w:type="pct"/>
                  <w:vAlign w:val="center"/>
                </w:tcPr>
                <w:p>
                  <w:pPr>
                    <w:snapToGrid w:val="0"/>
                    <w:jc w:val="center"/>
                    <w:rPr>
                      <w:szCs w:val="21"/>
                    </w:rPr>
                  </w:pPr>
                  <w:r>
                    <w:rPr>
                      <w:rFonts w:hint="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407" w:type="pct"/>
                  <w:vAlign w:val="center"/>
                </w:tcPr>
                <w:p>
                  <w:pPr>
                    <w:snapToGrid w:val="0"/>
                    <w:jc w:val="center"/>
                    <w:rPr>
                      <w:szCs w:val="21"/>
                    </w:rPr>
                  </w:pPr>
                  <w:r>
                    <w:rPr>
                      <w:szCs w:val="21"/>
                    </w:rPr>
                    <w:t>废</w:t>
                  </w:r>
                  <w:r>
                    <w:rPr>
                      <w:rFonts w:hint="eastAsia"/>
                      <w:szCs w:val="21"/>
                    </w:rPr>
                    <w:t>水</w:t>
                  </w:r>
                </w:p>
              </w:tc>
              <w:tc>
                <w:tcPr>
                  <w:tcW w:w="409" w:type="pct"/>
                  <w:vAlign w:val="center"/>
                </w:tcPr>
                <w:p>
                  <w:pPr>
                    <w:jc w:val="center"/>
                    <w:rPr>
                      <w:szCs w:val="21"/>
                    </w:rPr>
                  </w:pPr>
                  <w:r>
                    <w:rPr>
                      <w:rFonts w:hint="eastAsia"/>
                      <w:szCs w:val="21"/>
                    </w:rPr>
                    <w:t>总排口</w:t>
                  </w:r>
                </w:p>
              </w:tc>
              <w:tc>
                <w:tcPr>
                  <w:tcW w:w="721" w:type="pct"/>
                  <w:vAlign w:val="center"/>
                </w:tcPr>
                <w:p>
                  <w:pPr>
                    <w:widowControl/>
                    <w:adjustRightInd w:val="0"/>
                    <w:snapToGrid w:val="0"/>
                    <w:jc w:val="center"/>
                    <w:rPr>
                      <w:szCs w:val="21"/>
                    </w:rPr>
                  </w:pPr>
                  <w:r>
                    <w:rPr>
                      <w:rFonts w:hint="eastAsia"/>
                      <w:szCs w:val="21"/>
                    </w:rPr>
                    <w:t>pH、</w:t>
                  </w:r>
                  <w:r>
                    <w:rPr>
                      <w:szCs w:val="21"/>
                    </w:rPr>
                    <w:t>COD</w:t>
                  </w:r>
                </w:p>
                <w:p>
                  <w:pPr>
                    <w:widowControl/>
                    <w:adjustRightInd w:val="0"/>
                    <w:snapToGrid w:val="0"/>
                    <w:jc w:val="center"/>
                    <w:rPr>
                      <w:szCs w:val="21"/>
                    </w:rPr>
                  </w:pPr>
                  <w:r>
                    <w:rPr>
                      <w:rFonts w:hint="eastAsia"/>
                      <w:szCs w:val="21"/>
                    </w:rPr>
                    <w:t>BOD</w:t>
                  </w:r>
                  <w:r>
                    <w:rPr>
                      <w:rFonts w:hint="eastAsia"/>
                      <w:szCs w:val="21"/>
                      <w:vertAlign w:val="subscript"/>
                    </w:rPr>
                    <w:t>5</w:t>
                  </w:r>
                  <w:r>
                    <w:rPr>
                      <w:rFonts w:hint="eastAsia"/>
                      <w:szCs w:val="21"/>
                    </w:rPr>
                    <w:t>、</w:t>
                  </w:r>
                  <w:r>
                    <w:rPr>
                      <w:szCs w:val="21"/>
                    </w:rPr>
                    <w:t>氨氮</w:t>
                  </w:r>
                  <w:r>
                    <w:rPr>
                      <w:rFonts w:hint="eastAsia"/>
                      <w:szCs w:val="21"/>
                    </w:rPr>
                    <w:t>、</w:t>
                  </w:r>
                  <w:r>
                    <w:rPr>
                      <w:szCs w:val="21"/>
                    </w:rPr>
                    <w:t>SS</w:t>
                  </w:r>
                  <w:r>
                    <w:rPr>
                      <w:rFonts w:hint="eastAsia"/>
                      <w:szCs w:val="21"/>
                    </w:rPr>
                    <w:t>、总磷、总氮</w:t>
                  </w:r>
                </w:p>
              </w:tc>
              <w:tc>
                <w:tcPr>
                  <w:tcW w:w="653" w:type="pct"/>
                  <w:vAlign w:val="center"/>
                </w:tcPr>
                <w:p>
                  <w:pPr>
                    <w:snapToGrid w:val="0"/>
                    <w:jc w:val="center"/>
                    <w:rPr>
                      <w:szCs w:val="21"/>
                    </w:rPr>
                  </w:pPr>
                  <w:r>
                    <w:rPr>
                      <w:szCs w:val="21"/>
                    </w:rPr>
                    <w:t>1次/年</w:t>
                  </w:r>
                </w:p>
              </w:tc>
              <w:tc>
                <w:tcPr>
                  <w:tcW w:w="2807" w:type="pct"/>
                  <w:vAlign w:val="center"/>
                </w:tcPr>
                <w:p>
                  <w:pPr>
                    <w:snapToGrid w:val="0"/>
                    <w:jc w:val="center"/>
                    <w:rPr>
                      <w:szCs w:val="21"/>
                    </w:rPr>
                  </w:pPr>
                  <w:r>
                    <w:rPr>
                      <w:szCs w:val="21"/>
                    </w:rPr>
                    <w:t>《污水综合排放标准》（GB8978-1996）表4</w:t>
                  </w:r>
                  <w:r>
                    <w:rPr>
                      <w:rFonts w:hint="eastAsia"/>
                      <w:szCs w:val="21"/>
                    </w:rPr>
                    <w:t>三</w:t>
                  </w:r>
                  <w:r>
                    <w:rPr>
                      <w:szCs w:val="21"/>
                    </w:rPr>
                    <w:t>级标准要求并同时满足</w:t>
                  </w:r>
                  <w:r>
                    <w:rPr>
                      <w:rFonts w:hint="eastAsia"/>
                      <w:szCs w:val="21"/>
                    </w:rPr>
                    <w:t>新河县城东污水处理厂</w:t>
                  </w:r>
                  <w:r>
                    <w:rPr>
                      <w:szCs w:val="21"/>
                    </w:rPr>
                    <w:t>进水水质要求</w:t>
                  </w:r>
                </w:p>
              </w:tc>
            </w:tr>
          </w:tbl>
          <w:p>
            <w:pPr>
              <w:spacing w:line="360" w:lineRule="auto"/>
              <w:ind w:firstLine="480" w:firstLineChars="200"/>
              <w:rPr>
                <w:sz w:val="24"/>
              </w:rPr>
            </w:pPr>
            <w:r>
              <w:rPr>
                <w:sz w:val="24"/>
              </w:rPr>
              <w:t>2.</w:t>
            </w:r>
            <w:r>
              <w:rPr>
                <w:rFonts w:hint="eastAsia"/>
                <w:sz w:val="24"/>
              </w:rPr>
              <w:t>4</w:t>
            </w:r>
            <w:r>
              <w:rPr>
                <w:sz w:val="24"/>
              </w:rPr>
              <w:t>废水影响分析</w:t>
            </w:r>
          </w:p>
          <w:p>
            <w:pPr>
              <w:spacing w:line="360" w:lineRule="auto"/>
              <w:ind w:firstLine="480" w:firstLineChars="200"/>
              <w:rPr>
                <w:sz w:val="24"/>
              </w:rPr>
            </w:pPr>
            <w:r>
              <w:rPr>
                <w:sz w:val="24"/>
              </w:rPr>
              <w:t>项目外排废水均</w:t>
            </w:r>
            <w:r>
              <w:rPr>
                <w:bCs/>
                <w:sz w:val="24"/>
              </w:rPr>
              <w:t>满足</w:t>
            </w:r>
            <w:r>
              <w:rPr>
                <w:sz w:val="24"/>
              </w:rPr>
              <w:t>《污水综合排放标准》（GB8978-1996）表4三级标准要求并同时满足</w:t>
            </w:r>
            <w:r>
              <w:rPr>
                <w:rFonts w:hint="eastAsia"/>
                <w:sz w:val="24"/>
              </w:rPr>
              <w:t>新河县城东污水处理厂</w:t>
            </w:r>
            <w:r>
              <w:rPr>
                <w:sz w:val="24"/>
              </w:rPr>
              <w:t>进水水质要求，通过污水管网最终排入</w:t>
            </w:r>
            <w:r>
              <w:rPr>
                <w:rFonts w:hint="eastAsia"/>
                <w:sz w:val="24"/>
              </w:rPr>
              <w:t>新河县城东污水处理厂</w:t>
            </w:r>
            <w:r>
              <w:rPr>
                <w:sz w:val="24"/>
              </w:rPr>
              <w:t>处理，可实现达标排放。</w:t>
            </w:r>
          </w:p>
          <w:p>
            <w:pPr>
              <w:spacing w:line="360" w:lineRule="auto"/>
              <w:ind w:firstLine="480" w:firstLineChars="200"/>
              <w:rPr>
                <w:sz w:val="24"/>
              </w:rPr>
            </w:pPr>
            <w:r>
              <w:rPr>
                <w:sz w:val="24"/>
              </w:rPr>
              <w:t>综上，本项目不会对周围水环境造成影响。</w:t>
            </w:r>
          </w:p>
          <w:bookmarkEnd w:id="2"/>
          <w:p>
            <w:pPr>
              <w:tabs>
                <w:tab w:val="left" w:pos="2580"/>
              </w:tabs>
              <w:spacing w:line="360" w:lineRule="auto"/>
              <w:ind w:firstLine="482" w:firstLineChars="200"/>
              <w:rPr>
                <w:b/>
                <w:bCs/>
                <w:sz w:val="24"/>
              </w:rPr>
            </w:pPr>
            <w:r>
              <w:rPr>
                <w:b/>
                <w:bCs/>
                <w:sz w:val="24"/>
              </w:rPr>
              <w:t>3、噪声</w:t>
            </w:r>
          </w:p>
          <w:p>
            <w:pPr>
              <w:spacing w:line="360" w:lineRule="auto"/>
              <w:ind w:firstLine="480" w:firstLineChars="200"/>
              <w:rPr>
                <w:sz w:val="24"/>
              </w:rPr>
            </w:pPr>
            <w:r>
              <w:rPr>
                <w:sz w:val="24"/>
              </w:rPr>
              <w:t>3.1污染物源强核算</w:t>
            </w:r>
          </w:p>
          <w:p>
            <w:pPr>
              <w:spacing w:line="360" w:lineRule="auto"/>
              <w:ind w:firstLine="480" w:firstLineChars="200"/>
              <w:rPr>
                <w:sz w:val="24"/>
              </w:rPr>
            </w:pPr>
            <w:r>
              <w:rPr>
                <w:sz w:val="24"/>
              </w:rPr>
              <w:t>项目噪声来源主要为生产设备运行产生噪声，噪声值为75~</w:t>
            </w:r>
            <w:r>
              <w:rPr>
                <w:rFonts w:hint="eastAsia"/>
                <w:sz w:val="24"/>
              </w:rPr>
              <w:t>85</w:t>
            </w:r>
            <w:r>
              <w:rPr>
                <w:sz w:val="24"/>
              </w:rPr>
              <w:t>dB(A)之间，为点声源。项目主要产噪设备均在厂房内合理布置，并采取隔声减震等降噪措施，控制噪声对周围环境的影响。</w:t>
            </w:r>
          </w:p>
          <w:p>
            <w:pPr>
              <w:spacing w:line="360" w:lineRule="auto"/>
              <w:ind w:firstLine="480" w:firstLineChars="200"/>
              <w:rPr>
                <w:sz w:val="24"/>
              </w:rPr>
            </w:pPr>
            <w:r>
              <w:rPr>
                <w:sz w:val="24"/>
              </w:rPr>
              <w:t>项目声源及措施和降噪情况见下表</w:t>
            </w:r>
            <w:r>
              <w:rPr>
                <w:rFonts w:hint="eastAsia"/>
                <w:sz w:val="24"/>
              </w:rPr>
              <w:t>46</w:t>
            </w:r>
            <w:r>
              <w:rPr>
                <w:sz w:val="24"/>
              </w:rPr>
              <w:t>。</w:t>
            </w:r>
          </w:p>
          <w:p>
            <w:pPr>
              <w:jc w:val="center"/>
              <w:rPr>
                <w:b/>
                <w:sz w:val="24"/>
              </w:rPr>
            </w:pPr>
            <w:r>
              <w:rPr>
                <w:b/>
                <w:sz w:val="24"/>
              </w:rPr>
              <w:t>表</w:t>
            </w:r>
            <w:r>
              <w:rPr>
                <w:rFonts w:hint="eastAsia"/>
                <w:b/>
                <w:sz w:val="24"/>
              </w:rPr>
              <w:t>46</w:t>
            </w:r>
            <w:r>
              <w:rPr>
                <w:b/>
                <w:sz w:val="24"/>
              </w:rPr>
              <w:t xml:space="preserve">  项目噪声产排情况一览表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964"/>
              <w:gridCol w:w="1260"/>
              <w:gridCol w:w="1184"/>
              <w:gridCol w:w="1176"/>
              <w:gridCol w:w="1323"/>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adjustRightInd w:val="0"/>
                    <w:snapToGrid w:val="0"/>
                    <w:jc w:val="center"/>
                    <w:rPr>
                      <w:b/>
                      <w:bCs/>
                      <w:szCs w:val="21"/>
                    </w:rPr>
                  </w:pPr>
                  <w:r>
                    <w:rPr>
                      <w:b/>
                      <w:bCs/>
                      <w:szCs w:val="21"/>
                    </w:rPr>
                    <w:t>噪声源</w:t>
                  </w:r>
                </w:p>
              </w:tc>
              <w:tc>
                <w:tcPr>
                  <w:tcW w:w="570" w:type="pct"/>
                  <w:vAlign w:val="center"/>
                </w:tcPr>
                <w:p>
                  <w:pPr>
                    <w:adjustRightInd w:val="0"/>
                    <w:snapToGrid w:val="0"/>
                    <w:jc w:val="center"/>
                    <w:rPr>
                      <w:b/>
                      <w:bCs/>
                      <w:szCs w:val="21"/>
                    </w:rPr>
                  </w:pPr>
                  <w:r>
                    <w:rPr>
                      <w:b/>
                      <w:bCs/>
                      <w:szCs w:val="21"/>
                    </w:rPr>
                    <w:t>数量/台</w:t>
                  </w:r>
                </w:p>
              </w:tc>
              <w:tc>
                <w:tcPr>
                  <w:tcW w:w="745" w:type="pct"/>
                  <w:vAlign w:val="center"/>
                </w:tcPr>
                <w:p>
                  <w:pPr>
                    <w:adjustRightInd w:val="0"/>
                    <w:snapToGrid w:val="0"/>
                    <w:jc w:val="center"/>
                    <w:rPr>
                      <w:b/>
                      <w:bCs/>
                      <w:szCs w:val="21"/>
                    </w:rPr>
                  </w:pPr>
                  <w:r>
                    <w:rPr>
                      <w:b/>
                      <w:bCs/>
                      <w:szCs w:val="21"/>
                    </w:rPr>
                    <w:t>产生强度</w:t>
                  </w:r>
                </w:p>
                <w:p>
                  <w:pPr>
                    <w:adjustRightInd w:val="0"/>
                    <w:snapToGrid w:val="0"/>
                    <w:jc w:val="center"/>
                    <w:rPr>
                      <w:b/>
                      <w:bCs/>
                      <w:szCs w:val="21"/>
                    </w:rPr>
                  </w:pPr>
                  <w:r>
                    <w:rPr>
                      <w:b/>
                      <w:bCs/>
                      <w:szCs w:val="21"/>
                    </w:rPr>
                    <w:t>dB(A)</w:t>
                  </w:r>
                </w:p>
              </w:tc>
              <w:tc>
                <w:tcPr>
                  <w:tcW w:w="700" w:type="pct"/>
                  <w:vAlign w:val="center"/>
                </w:tcPr>
                <w:p>
                  <w:pPr>
                    <w:adjustRightInd w:val="0"/>
                    <w:snapToGrid w:val="0"/>
                    <w:jc w:val="center"/>
                    <w:rPr>
                      <w:b/>
                      <w:bCs/>
                      <w:szCs w:val="21"/>
                    </w:rPr>
                  </w:pPr>
                  <w:r>
                    <w:rPr>
                      <w:b/>
                      <w:bCs/>
                      <w:szCs w:val="21"/>
                    </w:rPr>
                    <w:t>降噪措施</w:t>
                  </w:r>
                </w:p>
              </w:tc>
              <w:tc>
                <w:tcPr>
                  <w:tcW w:w="695" w:type="pct"/>
                  <w:vAlign w:val="center"/>
                </w:tcPr>
                <w:p>
                  <w:pPr>
                    <w:adjustRightInd w:val="0"/>
                    <w:snapToGrid w:val="0"/>
                    <w:jc w:val="center"/>
                    <w:rPr>
                      <w:b/>
                      <w:bCs/>
                      <w:szCs w:val="21"/>
                    </w:rPr>
                  </w:pPr>
                  <w:r>
                    <w:rPr>
                      <w:rFonts w:hint="eastAsia"/>
                      <w:b/>
                      <w:bCs/>
                      <w:szCs w:val="21"/>
                    </w:rPr>
                    <w:t>降噪效果</w:t>
                  </w:r>
                  <w:r>
                    <w:rPr>
                      <w:b/>
                      <w:bCs/>
                      <w:szCs w:val="21"/>
                    </w:rPr>
                    <w:t>dB(A)</w:t>
                  </w:r>
                </w:p>
              </w:tc>
              <w:tc>
                <w:tcPr>
                  <w:tcW w:w="782" w:type="pct"/>
                  <w:vAlign w:val="center"/>
                </w:tcPr>
                <w:p>
                  <w:pPr>
                    <w:adjustRightInd w:val="0"/>
                    <w:snapToGrid w:val="0"/>
                    <w:jc w:val="center"/>
                    <w:rPr>
                      <w:b/>
                      <w:bCs/>
                      <w:szCs w:val="21"/>
                    </w:rPr>
                  </w:pPr>
                  <w:r>
                    <w:rPr>
                      <w:b/>
                      <w:bCs/>
                      <w:szCs w:val="21"/>
                    </w:rPr>
                    <w:t>持续时间（h/d）</w:t>
                  </w:r>
                </w:p>
              </w:tc>
              <w:tc>
                <w:tcPr>
                  <w:tcW w:w="531" w:type="pct"/>
                  <w:vAlign w:val="center"/>
                </w:tcPr>
                <w:p>
                  <w:pPr>
                    <w:adjustRightInd w:val="0"/>
                    <w:snapToGrid w:val="0"/>
                    <w:jc w:val="center"/>
                    <w:rPr>
                      <w:b/>
                      <w:bCs/>
                      <w:szCs w:val="21"/>
                    </w:rPr>
                  </w:pPr>
                  <w:r>
                    <w:rPr>
                      <w:b/>
                      <w:bCs/>
                      <w:szCs w:val="21"/>
                    </w:rPr>
                    <w:t>厂界达标情况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74" w:type="pct"/>
                  <w:vAlign w:val="center"/>
                </w:tcPr>
                <w:p>
                  <w:pPr>
                    <w:widowControl/>
                    <w:jc w:val="center"/>
                    <w:rPr>
                      <w:szCs w:val="21"/>
                      <w:u w:color="000000"/>
                    </w:rPr>
                  </w:pPr>
                  <w:r>
                    <w:rPr>
                      <w:rFonts w:hint="eastAsia"/>
                      <w:szCs w:val="21"/>
                    </w:rPr>
                    <w:t>新型生产配电箱（柜）流水线</w:t>
                  </w:r>
                </w:p>
              </w:tc>
              <w:tc>
                <w:tcPr>
                  <w:tcW w:w="570" w:type="pct"/>
                  <w:vAlign w:val="center"/>
                </w:tcPr>
                <w:p>
                  <w:pPr>
                    <w:adjustRightInd w:val="0"/>
                    <w:snapToGrid w:val="0"/>
                    <w:jc w:val="center"/>
                    <w:rPr>
                      <w:szCs w:val="21"/>
                    </w:rPr>
                  </w:pPr>
                  <w:r>
                    <w:rPr>
                      <w:rFonts w:hint="eastAsia"/>
                      <w:szCs w:val="21"/>
                    </w:rPr>
                    <w:t>10</w:t>
                  </w:r>
                </w:p>
              </w:tc>
              <w:tc>
                <w:tcPr>
                  <w:tcW w:w="745" w:type="pct"/>
                  <w:vAlign w:val="center"/>
                </w:tcPr>
                <w:p>
                  <w:pPr>
                    <w:pStyle w:val="56"/>
                    <w:rPr>
                      <w:szCs w:val="21"/>
                    </w:rPr>
                  </w:pPr>
                  <w:r>
                    <w:rPr>
                      <w:szCs w:val="21"/>
                    </w:rPr>
                    <w:t>80</w:t>
                  </w:r>
                </w:p>
              </w:tc>
              <w:tc>
                <w:tcPr>
                  <w:tcW w:w="700" w:type="pct"/>
                  <w:vMerge w:val="restart"/>
                  <w:vAlign w:val="center"/>
                </w:tcPr>
                <w:p>
                  <w:pPr>
                    <w:adjustRightInd w:val="0"/>
                    <w:snapToGrid w:val="0"/>
                    <w:jc w:val="center"/>
                    <w:rPr>
                      <w:szCs w:val="21"/>
                    </w:rPr>
                  </w:pPr>
                  <w:r>
                    <w:rPr>
                      <w:szCs w:val="21"/>
                    </w:rPr>
                    <w:t>选用低噪声设备，基础减振，车间内合理布置，厂房隔声</w:t>
                  </w:r>
                </w:p>
              </w:tc>
              <w:tc>
                <w:tcPr>
                  <w:tcW w:w="695" w:type="pct"/>
                  <w:vMerge w:val="restart"/>
                  <w:vAlign w:val="center"/>
                </w:tcPr>
                <w:p>
                  <w:pPr>
                    <w:adjustRightInd w:val="0"/>
                    <w:snapToGrid w:val="0"/>
                    <w:jc w:val="center"/>
                    <w:rPr>
                      <w:szCs w:val="21"/>
                    </w:rPr>
                  </w:pPr>
                  <w:r>
                    <w:rPr>
                      <w:rFonts w:hint="eastAsia"/>
                      <w:szCs w:val="21"/>
                    </w:rPr>
                    <w:t>&gt;20</w:t>
                  </w: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全自动环保喷塑流水线</w:t>
                  </w:r>
                </w:p>
              </w:tc>
              <w:tc>
                <w:tcPr>
                  <w:tcW w:w="570" w:type="pct"/>
                  <w:vAlign w:val="center"/>
                </w:tcPr>
                <w:p>
                  <w:pPr>
                    <w:adjustRightInd w:val="0"/>
                    <w:snapToGrid w:val="0"/>
                    <w:jc w:val="center"/>
                    <w:rPr>
                      <w:szCs w:val="21"/>
                    </w:rPr>
                  </w:pPr>
                  <w:r>
                    <w:rPr>
                      <w:rFonts w:hint="eastAsia"/>
                      <w:szCs w:val="21"/>
                    </w:rPr>
                    <w:t>1</w:t>
                  </w:r>
                </w:p>
              </w:tc>
              <w:tc>
                <w:tcPr>
                  <w:tcW w:w="745" w:type="pct"/>
                  <w:vAlign w:val="center"/>
                </w:tcPr>
                <w:p>
                  <w:pPr>
                    <w:pStyle w:val="56"/>
                    <w:rPr>
                      <w:szCs w:val="21"/>
                    </w:rPr>
                  </w:pPr>
                  <w:r>
                    <w:rPr>
                      <w:rFonts w:hint="eastAsia"/>
                      <w:szCs w:val="21"/>
                    </w:rPr>
                    <w:t>80</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激光切割机</w:t>
                  </w:r>
                </w:p>
              </w:tc>
              <w:tc>
                <w:tcPr>
                  <w:tcW w:w="570" w:type="pct"/>
                  <w:vAlign w:val="center"/>
                </w:tcPr>
                <w:p>
                  <w:pPr>
                    <w:widowControl/>
                    <w:spacing w:line="360" w:lineRule="exact"/>
                    <w:jc w:val="center"/>
                    <w:rPr>
                      <w:szCs w:val="21"/>
                    </w:rPr>
                  </w:pPr>
                  <w:r>
                    <w:rPr>
                      <w:rFonts w:hint="eastAsia"/>
                      <w:szCs w:val="21"/>
                    </w:rPr>
                    <w:t>3</w:t>
                  </w:r>
                </w:p>
              </w:tc>
              <w:tc>
                <w:tcPr>
                  <w:tcW w:w="745" w:type="pct"/>
                  <w:vAlign w:val="center"/>
                </w:tcPr>
                <w:p>
                  <w:pPr>
                    <w:pStyle w:val="56"/>
                    <w:rPr>
                      <w:szCs w:val="21"/>
                    </w:rPr>
                  </w:pPr>
                  <w:r>
                    <w:rPr>
                      <w:rFonts w:hint="eastAsia"/>
                      <w:szCs w:val="21"/>
                    </w:rPr>
                    <w:t>80</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数控砖塔冲机床</w:t>
                  </w:r>
                </w:p>
              </w:tc>
              <w:tc>
                <w:tcPr>
                  <w:tcW w:w="570" w:type="pct"/>
                  <w:vAlign w:val="center"/>
                </w:tcPr>
                <w:p>
                  <w:pPr>
                    <w:widowControl/>
                    <w:spacing w:line="360" w:lineRule="exact"/>
                    <w:jc w:val="center"/>
                    <w:rPr>
                      <w:szCs w:val="21"/>
                    </w:rPr>
                  </w:pPr>
                  <w:r>
                    <w:rPr>
                      <w:rFonts w:hint="eastAsia"/>
                      <w:szCs w:val="21"/>
                    </w:rPr>
                    <w:t>3</w:t>
                  </w:r>
                </w:p>
              </w:tc>
              <w:tc>
                <w:tcPr>
                  <w:tcW w:w="745" w:type="pct"/>
                  <w:vAlign w:val="center"/>
                </w:tcPr>
                <w:p>
                  <w:pPr>
                    <w:pStyle w:val="56"/>
                    <w:rPr>
                      <w:szCs w:val="21"/>
                    </w:rPr>
                  </w:pPr>
                  <w:r>
                    <w:rPr>
                      <w:rFonts w:hint="eastAsia"/>
                      <w:szCs w:val="21"/>
                    </w:rPr>
                    <w:t>85</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全自动数控母线折弯机</w:t>
                  </w:r>
                </w:p>
              </w:tc>
              <w:tc>
                <w:tcPr>
                  <w:tcW w:w="570" w:type="pct"/>
                  <w:vAlign w:val="center"/>
                </w:tcPr>
                <w:p>
                  <w:pPr>
                    <w:widowControl/>
                    <w:spacing w:line="360" w:lineRule="exact"/>
                    <w:jc w:val="center"/>
                    <w:rPr>
                      <w:szCs w:val="21"/>
                    </w:rPr>
                  </w:pPr>
                  <w:r>
                    <w:rPr>
                      <w:rFonts w:hint="eastAsia"/>
                      <w:szCs w:val="21"/>
                    </w:rPr>
                    <w:t>2</w:t>
                  </w:r>
                </w:p>
              </w:tc>
              <w:tc>
                <w:tcPr>
                  <w:tcW w:w="745" w:type="pct"/>
                  <w:vAlign w:val="center"/>
                </w:tcPr>
                <w:p>
                  <w:pPr>
                    <w:pStyle w:val="56"/>
                    <w:rPr>
                      <w:szCs w:val="21"/>
                    </w:rPr>
                  </w:pPr>
                  <w:r>
                    <w:rPr>
                      <w:rFonts w:hint="eastAsia"/>
                      <w:szCs w:val="21"/>
                    </w:rPr>
                    <w:t>80</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新型环保全自动激光剪焊机</w:t>
                  </w:r>
                </w:p>
              </w:tc>
              <w:tc>
                <w:tcPr>
                  <w:tcW w:w="570" w:type="pct"/>
                  <w:vAlign w:val="center"/>
                </w:tcPr>
                <w:p>
                  <w:pPr>
                    <w:widowControl/>
                    <w:spacing w:line="360" w:lineRule="exact"/>
                    <w:jc w:val="center"/>
                    <w:rPr>
                      <w:szCs w:val="21"/>
                    </w:rPr>
                  </w:pPr>
                  <w:r>
                    <w:rPr>
                      <w:rFonts w:hint="eastAsia"/>
                      <w:szCs w:val="21"/>
                    </w:rPr>
                    <w:t>5</w:t>
                  </w:r>
                </w:p>
              </w:tc>
              <w:tc>
                <w:tcPr>
                  <w:tcW w:w="745" w:type="pct"/>
                  <w:vAlign w:val="center"/>
                </w:tcPr>
                <w:p>
                  <w:pPr>
                    <w:pStyle w:val="56"/>
                    <w:rPr>
                      <w:szCs w:val="21"/>
                    </w:rPr>
                  </w:pPr>
                  <w:r>
                    <w:rPr>
                      <w:rFonts w:hint="eastAsia"/>
                      <w:szCs w:val="21"/>
                    </w:rPr>
                    <w:t>80</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全自动包装打包机</w:t>
                  </w:r>
                </w:p>
              </w:tc>
              <w:tc>
                <w:tcPr>
                  <w:tcW w:w="570" w:type="pct"/>
                  <w:vAlign w:val="center"/>
                </w:tcPr>
                <w:p>
                  <w:pPr>
                    <w:widowControl/>
                    <w:spacing w:line="360" w:lineRule="exact"/>
                    <w:jc w:val="center"/>
                    <w:rPr>
                      <w:szCs w:val="21"/>
                    </w:rPr>
                  </w:pPr>
                  <w:r>
                    <w:rPr>
                      <w:rFonts w:hint="eastAsia"/>
                      <w:szCs w:val="21"/>
                    </w:rPr>
                    <w:t>3</w:t>
                  </w:r>
                </w:p>
              </w:tc>
              <w:tc>
                <w:tcPr>
                  <w:tcW w:w="745" w:type="pct"/>
                  <w:vAlign w:val="center"/>
                </w:tcPr>
                <w:p>
                  <w:pPr>
                    <w:pStyle w:val="56"/>
                    <w:rPr>
                      <w:szCs w:val="21"/>
                    </w:rPr>
                  </w:pPr>
                  <w:r>
                    <w:rPr>
                      <w:rFonts w:hint="eastAsia"/>
                      <w:szCs w:val="21"/>
                    </w:rPr>
                    <w:t>75</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全自动激光雕刻机</w:t>
                  </w:r>
                </w:p>
              </w:tc>
              <w:tc>
                <w:tcPr>
                  <w:tcW w:w="570" w:type="pct"/>
                  <w:vAlign w:val="center"/>
                </w:tcPr>
                <w:p>
                  <w:pPr>
                    <w:widowControl/>
                    <w:spacing w:line="360" w:lineRule="exact"/>
                    <w:jc w:val="center"/>
                    <w:rPr>
                      <w:szCs w:val="21"/>
                    </w:rPr>
                  </w:pPr>
                  <w:r>
                    <w:rPr>
                      <w:rFonts w:hint="eastAsia"/>
                      <w:szCs w:val="21"/>
                    </w:rPr>
                    <w:t>1</w:t>
                  </w:r>
                </w:p>
              </w:tc>
              <w:tc>
                <w:tcPr>
                  <w:tcW w:w="745" w:type="pct"/>
                  <w:vAlign w:val="center"/>
                </w:tcPr>
                <w:p>
                  <w:pPr>
                    <w:pStyle w:val="56"/>
                    <w:rPr>
                      <w:szCs w:val="21"/>
                    </w:rPr>
                  </w:pPr>
                  <w:r>
                    <w:rPr>
                      <w:rFonts w:hint="eastAsia"/>
                      <w:szCs w:val="21"/>
                    </w:rPr>
                    <w:t>80</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vAlign w:val="center"/>
                </w:tcPr>
                <w:p>
                  <w:pPr>
                    <w:widowControl/>
                    <w:jc w:val="center"/>
                    <w:rPr>
                      <w:szCs w:val="21"/>
                    </w:rPr>
                  </w:pPr>
                  <w:r>
                    <w:rPr>
                      <w:rFonts w:hint="eastAsia"/>
                      <w:szCs w:val="21"/>
                    </w:rPr>
                    <w:t>环保设施配套风机</w:t>
                  </w:r>
                </w:p>
              </w:tc>
              <w:tc>
                <w:tcPr>
                  <w:tcW w:w="570" w:type="pct"/>
                  <w:vAlign w:val="center"/>
                </w:tcPr>
                <w:p>
                  <w:pPr>
                    <w:widowControl/>
                    <w:spacing w:line="360" w:lineRule="exact"/>
                    <w:jc w:val="center"/>
                    <w:rPr>
                      <w:szCs w:val="21"/>
                    </w:rPr>
                  </w:pPr>
                  <w:r>
                    <w:rPr>
                      <w:rFonts w:hint="eastAsia"/>
                      <w:szCs w:val="21"/>
                    </w:rPr>
                    <w:t>7</w:t>
                  </w:r>
                </w:p>
              </w:tc>
              <w:tc>
                <w:tcPr>
                  <w:tcW w:w="745" w:type="pct"/>
                  <w:vAlign w:val="center"/>
                </w:tcPr>
                <w:p>
                  <w:pPr>
                    <w:pStyle w:val="56"/>
                    <w:rPr>
                      <w:szCs w:val="21"/>
                    </w:rPr>
                  </w:pPr>
                  <w:r>
                    <w:rPr>
                      <w:rFonts w:hint="eastAsia"/>
                      <w:szCs w:val="21"/>
                    </w:rPr>
                    <w:t>85</w:t>
                  </w:r>
                </w:p>
              </w:tc>
              <w:tc>
                <w:tcPr>
                  <w:tcW w:w="700" w:type="pct"/>
                  <w:vMerge w:val="continue"/>
                  <w:vAlign w:val="center"/>
                </w:tcPr>
                <w:p>
                  <w:pPr>
                    <w:adjustRightInd w:val="0"/>
                    <w:snapToGrid w:val="0"/>
                    <w:jc w:val="center"/>
                    <w:rPr>
                      <w:szCs w:val="21"/>
                    </w:rPr>
                  </w:pPr>
                </w:p>
              </w:tc>
              <w:tc>
                <w:tcPr>
                  <w:tcW w:w="695" w:type="pct"/>
                  <w:vMerge w:val="continue"/>
                  <w:vAlign w:val="center"/>
                </w:tcPr>
                <w:p>
                  <w:pPr>
                    <w:adjustRightInd w:val="0"/>
                    <w:snapToGrid w:val="0"/>
                    <w:jc w:val="center"/>
                    <w:rPr>
                      <w:szCs w:val="21"/>
                    </w:rPr>
                  </w:pPr>
                </w:p>
              </w:tc>
              <w:tc>
                <w:tcPr>
                  <w:tcW w:w="782" w:type="pct"/>
                  <w:vAlign w:val="center"/>
                </w:tcPr>
                <w:p>
                  <w:pPr>
                    <w:adjustRightInd w:val="0"/>
                    <w:snapToGrid w:val="0"/>
                    <w:jc w:val="center"/>
                    <w:rPr>
                      <w:szCs w:val="21"/>
                    </w:rPr>
                  </w:pPr>
                  <w:r>
                    <w:rPr>
                      <w:rFonts w:hint="eastAsia"/>
                      <w:szCs w:val="21"/>
                    </w:rPr>
                    <w:t>12</w:t>
                  </w:r>
                </w:p>
              </w:tc>
              <w:tc>
                <w:tcPr>
                  <w:tcW w:w="531" w:type="pct"/>
                  <w:vAlign w:val="center"/>
                </w:tcPr>
                <w:p>
                  <w:pPr>
                    <w:adjustRightInd w:val="0"/>
                    <w:snapToGrid w:val="0"/>
                    <w:jc w:val="center"/>
                    <w:rPr>
                      <w:szCs w:val="21"/>
                    </w:rPr>
                  </w:pPr>
                  <w:r>
                    <w:rPr>
                      <w:rFonts w:hint="eastAsia"/>
                      <w:szCs w:val="21"/>
                    </w:rPr>
                    <w:t>达标</w:t>
                  </w:r>
                </w:p>
              </w:tc>
            </w:tr>
          </w:tbl>
          <w:p>
            <w:pPr>
              <w:adjustRightInd w:val="0"/>
              <w:snapToGrid w:val="0"/>
              <w:spacing w:line="360" w:lineRule="auto"/>
              <w:ind w:firstLine="480" w:firstLineChars="200"/>
              <w:rPr>
                <w:b/>
                <w:bCs/>
                <w:sz w:val="24"/>
              </w:rPr>
            </w:pPr>
            <w:r>
              <w:rPr>
                <w:sz w:val="24"/>
              </w:rPr>
              <w:t>3.2噪声影响及达标分析</w:t>
            </w:r>
          </w:p>
          <w:p>
            <w:pPr>
              <w:pStyle w:val="57"/>
              <w:ind w:firstLine="480" w:firstLineChars="200"/>
            </w:pPr>
            <w:r>
              <w:t>本评价对项目运行后的噪声影响进行噪声预测。</w:t>
            </w:r>
            <w:r>
              <w:rPr>
                <w:rFonts w:hint="eastAsia" w:ascii="宋体" w:hAnsi="宋体"/>
                <w:sz w:val="23"/>
              </w:rPr>
              <w:t>根据项目建设内容及《环境影响评价技术导则 声环境》（</w:t>
            </w:r>
            <w:r>
              <w:rPr>
                <w:rFonts w:hint="eastAsia" w:eastAsia="Times New Roman"/>
                <w:sz w:val="23"/>
              </w:rPr>
              <w:t>HJ2.4-2021</w:t>
            </w:r>
            <w:r>
              <w:rPr>
                <w:rFonts w:hint="eastAsia" w:ascii="宋体" w:hAnsi="宋体"/>
                <w:sz w:val="23"/>
              </w:rPr>
              <w:t>）的要求，采用的预测模型为《环境影响评价技术导则 声环境》</w:t>
            </w:r>
            <w:r>
              <w:rPr>
                <w:rFonts w:hint="eastAsia" w:eastAsia="Times New Roman"/>
                <w:sz w:val="23"/>
              </w:rPr>
              <w:t>(HJ2.4.2021)</w:t>
            </w:r>
            <w:r>
              <w:rPr>
                <w:rFonts w:hint="eastAsia" w:ascii="宋体" w:hAnsi="宋体"/>
                <w:sz w:val="23"/>
              </w:rPr>
              <w:t>附录</w:t>
            </w:r>
            <w:r>
              <w:rPr>
                <w:rFonts w:hint="eastAsia" w:eastAsia="Times New Roman"/>
                <w:sz w:val="23"/>
              </w:rPr>
              <w:t>A</w:t>
            </w:r>
            <w:r>
              <w:rPr>
                <w:rFonts w:hint="eastAsia" w:ascii="宋体" w:hAnsi="宋体"/>
                <w:sz w:val="23"/>
              </w:rPr>
              <w:t>（规范性附录）户外声传播的衰减和附录</w:t>
            </w:r>
            <w:r>
              <w:rPr>
                <w:rFonts w:hint="eastAsia" w:eastAsia="Times New Roman"/>
                <w:sz w:val="23"/>
              </w:rPr>
              <w:t>B</w:t>
            </w:r>
            <w:r>
              <w:rPr>
                <w:rFonts w:hint="eastAsia" w:ascii="宋体" w:hAnsi="宋体"/>
                <w:sz w:val="23"/>
              </w:rPr>
              <w:t>（规范性附录）中</w:t>
            </w:r>
            <w:r>
              <w:rPr>
                <w:rFonts w:eastAsia="Times New Roman"/>
                <w:sz w:val="23"/>
              </w:rPr>
              <w:t>“</w:t>
            </w:r>
            <w:r>
              <w:rPr>
                <w:rFonts w:hint="eastAsia" w:eastAsia="Times New Roman"/>
                <w:sz w:val="23"/>
              </w:rPr>
              <w:t>B.1</w:t>
            </w:r>
            <w:r>
              <w:rPr>
                <w:rFonts w:hint="eastAsia" w:ascii="宋体" w:hAnsi="宋体"/>
                <w:sz w:val="23"/>
              </w:rPr>
              <w:t>工业噪声预测计算模型</w:t>
            </w:r>
            <w:r>
              <w:rPr>
                <w:rFonts w:eastAsia="Times New Roman"/>
                <w:sz w:val="23"/>
              </w:rPr>
              <w:t>”</w:t>
            </w:r>
            <w:r>
              <w:rPr>
                <w:rFonts w:hint="eastAsia" w:ascii="宋体" w:hAnsi="宋体"/>
                <w:sz w:val="23"/>
              </w:rPr>
              <w:t>。</w:t>
            </w:r>
          </w:p>
          <w:p>
            <w:pPr>
              <w:adjustRightInd w:val="0"/>
              <w:snapToGrid w:val="0"/>
              <w:spacing w:line="360" w:lineRule="auto"/>
              <w:ind w:firstLine="480" w:firstLineChars="200"/>
              <w:rPr>
                <w:b/>
                <w:bCs/>
                <w:sz w:val="24"/>
              </w:rPr>
            </w:pPr>
            <w:r>
              <w:rPr>
                <w:sz w:val="24"/>
              </w:rPr>
              <w:t>3.3预测结果</w:t>
            </w:r>
          </w:p>
          <w:p>
            <w:pPr>
              <w:snapToGrid w:val="0"/>
              <w:spacing w:line="360" w:lineRule="auto"/>
              <w:ind w:right="147" w:firstLine="480" w:firstLineChars="200"/>
              <w:rPr>
                <w:sz w:val="24"/>
              </w:rPr>
            </w:pPr>
            <w:r>
              <w:rPr>
                <w:sz w:val="24"/>
              </w:rPr>
              <w:t>根据工程主要噪声源参数，按上述模式进行噪声影响值预测计算，结果见下表</w:t>
            </w:r>
            <w:r>
              <w:rPr>
                <w:rFonts w:hint="eastAsia"/>
                <w:sz w:val="24"/>
              </w:rPr>
              <w:t>47</w:t>
            </w:r>
            <w:r>
              <w:rPr>
                <w:sz w:val="24"/>
              </w:rPr>
              <w:t>。</w:t>
            </w:r>
          </w:p>
          <w:p>
            <w:pPr>
              <w:adjustRightInd w:val="0"/>
              <w:jc w:val="center"/>
              <w:rPr>
                <w:sz w:val="24"/>
              </w:rPr>
            </w:pPr>
            <w:r>
              <w:rPr>
                <w:b/>
                <w:bCs/>
                <w:sz w:val="24"/>
              </w:rPr>
              <w:t>表</w:t>
            </w:r>
            <w:r>
              <w:rPr>
                <w:rFonts w:hint="eastAsia"/>
                <w:b/>
                <w:bCs/>
                <w:sz w:val="24"/>
              </w:rPr>
              <w:t>47</w:t>
            </w:r>
            <w:r>
              <w:rPr>
                <w:b/>
                <w:bCs/>
                <w:sz w:val="24"/>
              </w:rPr>
              <w:t xml:space="preserve">  噪声预测结果一览表</w:t>
            </w:r>
            <w:r>
              <w:rPr>
                <w:sz w:val="24"/>
              </w:rPr>
              <w:t xml:space="preserve">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42"/>
              <w:gridCol w:w="1821"/>
              <w:gridCol w:w="1826"/>
              <w:gridCol w:w="1829"/>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675" w:type="pct"/>
                  <w:vMerge w:val="restart"/>
                  <w:vAlign w:val="center"/>
                </w:tcPr>
                <w:p>
                  <w:pPr>
                    <w:adjustRightInd w:val="0"/>
                    <w:snapToGrid w:val="0"/>
                    <w:jc w:val="center"/>
                  </w:pPr>
                  <w:r>
                    <w:t>预测点</w:t>
                  </w:r>
                </w:p>
              </w:tc>
              <w:tc>
                <w:tcPr>
                  <w:tcW w:w="1076" w:type="pct"/>
                  <w:vMerge w:val="restart"/>
                  <w:vAlign w:val="center"/>
                </w:tcPr>
                <w:p>
                  <w:pPr>
                    <w:adjustRightInd w:val="0"/>
                    <w:snapToGrid w:val="0"/>
                    <w:jc w:val="center"/>
                  </w:pPr>
                  <w:r>
                    <w:t>贡献值</w:t>
                  </w:r>
                </w:p>
              </w:tc>
              <w:tc>
                <w:tcPr>
                  <w:tcW w:w="1079" w:type="pct"/>
                  <w:vAlign w:val="center"/>
                </w:tcPr>
                <w:p>
                  <w:pPr>
                    <w:adjustRightInd w:val="0"/>
                    <w:snapToGrid w:val="0"/>
                    <w:jc w:val="center"/>
                  </w:pPr>
                  <w:r>
                    <w:t>标准值</w:t>
                  </w:r>
                </w:p>
              </w:tc>
              <w:tc>
                <w:tcPr>
                  <w:tcW w:w="1081" w:type="pct"/>
                  <w:vAlign w:val="center"/>
                </w:tcPr>
                <w:p>
                  <w:pPr>
                    <w:adjustRightInd w:val="0"/>
                    <w:snapToGrid w:val="0"/>
                    <w:jc w:val="center"/>
                  </w:pPr>
                  <w:r>
                    <w:rPr>
                      <w:rFonts w:hint="eastAsia"/>
                    </w:rPr>
                    <w:t>标准值</w:t>
                  </w:r>
                </w:p>
              </w:tc>
              <w:tc>
                <w:tcPr>
                  <w:tcW w:w="1086" w:type="pct"/>
                  <w:vAlign w:val="center"/>
                </w:tcPr>
                <w:p>
                  <w:pPr>
                    <w:adjustRightInd w:val="0"/>
                    <w:snapToGrid w:val="0"/>
                    <w:jc w:val="center"/>
                  </w:pPr>
                  <w: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675" w:type="pct"/>
                  <w:vMerge w:val="continue"/>
                  <w:vAlign w:val="center"/>
                </w:tcPr>
                <w:p>
                  <w:pPr>
                    <w:widowControl/>
                    <w:jc w:val="center"/>
                  </w:pPr>
                </w:p>
              </w:tc>
              <w:tc>
                <w:tcPr>
                  <w:tcW w:w="1076" w:type="pct"/>
                  <w:vMerge w:val="continue"/>
                  <w:vAlign w:val="center"/>
                </w:tcPr>
                <w:p>
                  <w:pPr>
                    <w:adjustRightInd w:val="0"/>
                    <w:snapToGrid w:val="0"/>
                    <w:jc w:val="center"/>
                  </w:pPr>
                </w:p>
              </w:tc>
              <w:tc>
                <w:tcPr>
                  <w:tcW w:w="1079" w:type="pct"/>
                  <w:vAlign w:val="center"/>
                </w:tcPr>
                <w:p>
                  <w:pPr>
                    <w:adjustRightInd w:val="0"/>
                    <w:snapToGrid w:val="0"/>
                    <w:jc w:val="center"/>
                  </w:pPr>
                  <w:r>
                    <w:t>昼间</w:t>
                  </w:r>
                </w:p>
              </w:tc>
              <w:tc>
                <w:tcPr>
                  <w:tcW w:w="1081" w:type="pct"/>
                  <w:vAlign w:val="center"/>
                </w:tcPr>
                <w:p>
                  <w:pPr>
                    <w:adjustRightInd w:val="0"/>
                    <w:snapToGrid w:val="0"/>
                    <w:jc w:val="center"/>
                  </w:pPr>
                  <w:r>
                    <w:rPr>
                      <w:rFonts w:hint="eastAsia"/>
                    </w:rPr>
                    <w:t>夜间</w:t>
                  </w:r>
                </w:p>
              </w:tc>
              <w:tc>
                <w:tcPr>
                  <w:tcW w:w="1086" w:type="pct"/>
                  <w:vAlign w:val="center"/>
                </w:tcPr>
                <w:p>
                  <w:pPr>
                    <w:adjustRightInd w:val="0"/>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675" w:type="pct"/>
                  <w:vAlign w:val="center"/>
                </w:tcPr>
                <w:p>
                  <w:pPr>
                    <w:adjustRightInd w:val="0"/>
                    <w:snapToGrid w:val="0"/>
                    <w:jc w:val="center"/>
                  </w:pPr>
                  <w:r>
                    <w:t>东厂界</w:t>
                  </w:r>
                </w:p>
              </w:tc>
              <w:tc>
                <w:tcPr>
                  <w:tcW w:w="1076" w:type="pct"/>
                  <w:vAlign w:val="center"/>
                </w:tcPr>
                <w:p>
                  <w:pPr>
                    <w:adjustRightInd w:val="0"/>
                    <w:snapToGrid w:val="0"/>
                    <w:jc w:val="center"/>
                  </w:pPr>
                  <w:r>
                    <w:rPr>
                      <w:rFonts w:hint="eastAsia"/>
                    </w:rPr>
                    <w:t>49.7</w:t>
                  </w:r>
                </w:p>
              </w:tc>
              <w:tc>
                <w:tcPr>
                  <w:tcW w:w="1079" w:type="pct"/>
                  <w:vAlign w:val="center"/>
                </w:tcPr>
                <w:p>
                  <w:pPr>
                    <w:adjustRightInd w:val="0"/>
                    <w:snapToGrid w:val="0"/>
                    <w:jc w:val="center"/>
                  </w:pPr>
                  <w:r>
                    <w:t>65</w:t>
                  </w:r>
                </w:p>
              </w:tc>
              <w:tc>
                <w:tcPr>
                  <w:tcW w:w="1081" w:type="pct"/>
                  <w:vAlign w:val="center"/>
                </w:tcPr>
                <w:p>
                  <w:pPr>
                    <w:adjustRightInd w:val="0"/>
                    <w:snapToGrid w:val="0"/>
                    <w:jc w:val="center"/>
                  </w:pPr>
                  <w:r>
                    <w:rPr>
                      <w:rFonts w:hint="eastAsia"/>
                    </w:rPr>
                    <w:t>55</w:t>
                  </w:r>
                </w:p>
              </w:tc>
              <w:tc>
                <w:tcPr>
                  <w:tcW w:w="1086" w:type="pct"/>
                  <w:vAlign w:val="center"/>
                </w:tcPr>
                <w:p>
                  <w:pPr>
                    <w:adjustRightInd w:val="0"/>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675" w:type="pct"/>
                  <w:vAlign w:val="center"/>
                </w:tcPr>
                <w:p>
                  <w:pPr>
                    <w:adjustRightInd w:val="0"/>
                    <w:snapToGrid w:val="0"/>
                    <w:jc w:val="center"/>
                  </w:pPr>
                  <w:r>
                    <w:t>南厂界</w:t>
                  </w:r>
                </w:p>
              </w:tc>
              <w:tc>
                <w:tcPr>
                  <w:tcW w:w="1076" w:type="pct"/>
                  <w:vAlign w:val="center"/>
                </w:tcPr>
                <w:p>
                  <w:pPr>
                    <w:adjustRightInd w:val="0"/>
                    <w:snapToGrid w:val="0"/>
                    <w:jc w:val="center"/>
                  </w:pPr>
                  <w:r>
                    <w:rPr>
                      <w:rFonts w:hint="eastAsia"/>
                    </w:rPr>
                    <w:t>26.9</w:t>
                  </w:r>
                </w:p>
              </w:tc>
              <w:tc>
                <w:tcPr>
                  <w:tcW w:w="1079" w:type="pct"/>
                  <w:vAlign w:val="center"/>
                </w:tcPr>
                <w:p>
                  <w:pPr>
                    <w:adjustRightInd w:val="0"/>
                    <w:snapToGrid w:val="0"/>
                    <w:jc w:val="center"/>
                  </w:pPr>
                  <w:r>
                    <w:t>65</w:t>
                  </w:r>
                </w:p>
              </w:tc>
              <w:tc>
                <w:tcPr>
                  <w:tcW w:w="1081" w:type="pct"/>
                  <w:vAlign w:val="center"/>
                </w:tcPr>
                <w:p>
                  <w:pPr>
                    <w:adjustRightInd w:val="0"/>
                    <w:snapToGrid w:val="0"/>
                    <w:jc w:val="center"/>
                  </w:pPr>
                  <w:r>
                    <w:rPr>
                      <w:rFonts w:hint="eastAsia"/>
                    </w:rPr>
                    <w:t>55</w:t>
                  </w:r>
                </w:p>
              </w:tc>
              <w:tc>
                <w:tcPr>
                  <w:tcW w:w="1086" w:type="pct"/>
                  <w:vAlign w:val="center"/>
                </w:tcPr>
                <w:p>
                  <w:pPr>
                    <w:adjustRightInd w:val="0"/>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675" w:type="pct"/>
                  <w:vAlign w:val="center"/>
                </w:tcPr>
                <w:p>
                  <w:pPr>
                    <w:adjustRightInd w:val="0"/>
                    <w:snapToGrid w:val="0"/>
                    <w:jc w:val="center"/>
                  </w:pPr>
                  <w:r>
                    <w:t>西厂界</w:t>
                  </w:r>
                </w:p>
              </w:tc>
              <w:tc>
                <w:tcPr>
                  <w:tcW w:w="1076" w:type="pct"/>
                  <w:vAlign w:val="center"/>
                </w:tcPr>
                <w:p>
                  <w:pPr>
                    <w:adjustRightInd w:val="0"/>
                    <w:snapToGrid w:val="0"/>
                    <w:jc w:val="center"/>
                  </w:pPr>
                  <w:r>
                    <w:rPr>
                      <w:rFonts w:hint="eastAsia"/>
                    </w:rPr>
                    <w:t>25.1</w:t>
                  </w:r>
                </w:p>
              </w:tc>
              <w:tc>
                <w:tcPr>
                  <w:tcW w:w="1079" w:type="pct"/>
                  <w:vAlign w:val="center"/>
                </w:tcPr>
                <w:p>
                  <w:pPr>
                    <w:adjustRightInd w:val="0"/>
                    <w:snapToGrid w:val="0"/>
                    <w:jc w:val="center"/>
                  </w:pPr>
                  <w:r>
                    <w:t>65</w:t>
                  </w:r>
                </w:p>
              </w:tc>
              <w:tc>
                <w:tcPr>
                  <w:tcW w:w="1081" w:type="pct"/>
                  <w:vAlign w:val="center"/>
                </w:tcPr>
                <w:p>
                  <w:pPr>
                    <w:adjustRightInd w:val="0"/>
                    <w:snapToGrid w:val="0"/>
                    <w:jc w:val="center"/>
                  </w:pPr>
                  <w:r>
                    <w:rPr>
                      <w:rFonts w:hint="eastAsia"/>
                    </w:rPr>
                    <w:t>55</w:t>
                  </w:r>
                </w:p>
              </w:tc>
              <w:tc>
                <w:tcPr>
                  <w:tcW w:w="1086" w:type="pct"/>
                  <w:vAlign w:val="center"/>
                </w:tcPr>
                <w:p>
                  <w:pPr>
                    <w:adjustRightInd w:val="0"/>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9" w:hRule="atLeast"/>
                <w:jc w:val="center"/>
              </w:trPr>
              <w:tc>
                <w:tcPr>
                  <w:tcW w:w="675" w:type="pct"/>
                  <w:vAlign w:val="center"/>
                </w:tcPr>
                <w:p>
                  <w:pPr>
                    <w:adjustRightInd w:val="0"/>
                    <w:snapToGrid w:val="0"/>
                    <w:jc w:val="center"/>
                  </w:pPr>
                  <w:r>
                    <w:t>北厂界</w:t>
                  </w:r>
                </w:p>
              </w:tc>
              <w:tc>
                <w:tcPr>
                  <w:tcW w:w="1076" w:type="pct"/>
                  <w:vAlign w:val="center"/>
                </w:tcPr>
                <w:p>
                  <w:pPr>
                    <w:adjustRightInd w:val="0"/>
                    <w:snapToGrid w:val="0"/>
                    <w:jc w:val="center"/>
                  </w:pPr>
                  <w:r>
                    <w:rPr>
                      <w:rFonts w:hint="eastAsia"/>
                    </w:rPr>
                    <w:t>46.0</w:t>
                  </w:r>
                </w:p>
              </w:tc>
              <w:tc>
                <w:tcPr>
                  <w:tcW w:w="1079" w:type="pct"/>
                  <w:vAlign w:val="center"/>
                </w:tcPr>
                <w:p>
                  <w:pPr>
                    <w:adjustRightInd w:val="0"/>
                    <w:snapToGrid w:val="0"/>
                    <w:jc w:val="center"/>
                  </w:pPr>
                  <w:r>
                    <w:t>65</w:t>
                  </w:r>
                </w:p>
              </w:tc>
              <w:tc>
                <w:tcPr>
                  <w:tcW w:w="1081" w:type="pct"/>
                  <w:vAlign w:val="center"/>
                </w:tcPr>
                <w:p>
                  <w:pPr>
                    <w:adjustRightInd w:val="0"/>
                    <w:snapToGrid w:val="0"/>
                    <w:jc w:val="center"/>
                  </w:pPr>
                  <w:r>
                    <w:rPr>
                      <w:rFonts w:hint="eastAsia"/>
                    </w:rPr>
                    <w:t>55</w:t>
                  </w:r>
                </w:p>
              </w:tc>
              <w:tc>
                <w:tcPr>
                  <w:tcW w:w="1086" w:type="pct"/>
                  <w:vAlign w:val="center"/>
                </w:tcPr>
                <w:p>
                  <w:pPr>
                    <w:adjustRightInd w:val="0"/>
                    <w:snapToGrid w:val="0"/>
                    <w:jc w:val="center"/>
                  </w:pPr>
                  <w:r>
                    <w:t>达标</w:t>
                  </w:r>
                </w:p>
              </w:tc>
            </w:tr>
          </w:tbl>
          <w:p>
            <w:pPr>
              <w:wordWrap w:val="0"/>
              <w:topLinePunct/>
              <w:spacing w:line="360" w:lineRule="auto"/>
              <w:ind w:firstLine="480" w:firstLineChars="200"/>
              <w:rPr>
                <w:sz w:val="24"/>
              </w:rPr>
            </w:pPr>
            <w:r>
              <w:rPr>
                <w:sz w:val="24"/>
              </w:rPr>
              <w:t>由上表可以看出，项目建成投产后，噪声源对四个厂界的噪声贡献值在</w:t>
            </w:r>
            <w:r>
              <w:rPr>
                <w:rFonts w:hint="eastAsia"/>
                <w:sz w:val="24"/>
              </w:rPr>
              <w:t>25.1~49.7</w:t>
            </w:r>
            <w:r>
              <w:rPr>
                <w:sz w:val="24"/>
              </w:rPr>
              <w:t>dB（A）之间，满足《工业企业厂界环境噪声排放标准》（GB12348-2008）3类标准要求，贡献值较小，不会改变其声环境质量。</w:t>
            </w:r>
          </w:p>
          <w:p>
            <w:pPr>
              <w:spacing w:line="360" w:lineRule="auto"/>
              <w:ind w:firstLine="480" w:firstLineChars="200"/>
              <w:rPr>
                <w:sz w:val="24"/>
              </w:rPr>
            </w:pPr>
            <w:r>
              <w:rPr>
                <w:sz w:val="24"/>
              </w:rPr>
              <w:t>因此，本项目建成投产后对周围声环境影响较小。</w:t>
            </w:r>
          </w:p>
          <w:p>
            <w:pPr>
              <w:spacing w:line="360" w:lineRule="auto"/>
              <w:ind w:firstLine="480" w:firstLineChars="200"/>
              <w:rPr>
                <w:sz w:val="24"/>
              </w:rPr>
            </w:pPr>
            <w:r>
              <w:rPr>
                <w:sz w:val="24"/>
              </w:rPr>
              <w:t>3.4 监测计划</w:t>
            </w:r>
          </w:p>
          <w:p>
            <w:pPr>
              <w:spacing w:line="360" w:lineRule="auto"/>
              <w:ind w:firstLine="480" w:firstLineChars="200"/>
              <w:rPr>
                <w:sz w:val="24"/>
              </w:rPr>
            </w:pPr>
            <w:r>
              <w:rPr>
                <w:rFonts w:hint="eastAsia"/>
                <w:sz w:val="24"/>
              </w:rPr>
              <w:t>本项目</w:t>
            </w:r>
            <w:r>
              <w:rPr>
                <w:sz w:val="24"/>
              </w:rPr>
              <w:t>噪声监测方案</w:t>
            </w:r>
            <w:r>
              <w:rPr>
                <w:rFonts w:hint="eastAsia"/>
                <w:sz w:val="24"/>
              </w:rPr>
              <w:t>见表48。</w:t>
            </w:r>
          </w:p>
          <w:p>
            <w:pPr>
              <w:jc w:val="center"/>
              <w:rPr>
                <w:b/>
                <w:sz w:val="24"/>
              </w:rPr>
            </w:pPr>
            <w:r>
              <w:rPr>
                <w:b/>
                <w:sz w:val="24"/>
              </w:rPr>
              <w:t>表</w:t>
            </w:r>
            <w:r>
              <w:rPr>
                <w:rFonts w:hint="eastAsia"/>
                <w:b/>
                <w:sz w:val="24"/>
              </w:rPr>
              <w:t>48</w:t>
            </w:r>
            <w:r>
              <w:rPr>
                <w:b/>
                <w:sz w:val="24"/>
              </w:rPr>
              <w:t xml:space="preserve">  项目噪声监测方案一览表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320"/>
              <w:gridCol w:w="1509"/>
              <w:gridCol w:w="1279"/>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59" w:type="pct"/>
                  <w:vAlign w:val="center"/>
                </w:tcPr>
                <w:p>
                  <w:pPr>
                    <w:spacing w:line="360" w:lineRule="exact"/>
                    <w:jc w:val="center"/>
                    <w:rPr>
                      <w:b/>
                      <w:bCs/>
                      <w:szCs w:val="21"/>
                    </w:rPr>
                  </w:pPr>
                  <w:r>
                    <w:rPr>
                      <w:b/>
                      <w:bCs/>
                      <w:szCs w:val="21"/>
                    </w:rPr>
                    <w:t>类别</w:t>
                  </w:r>
                </w:p>
              </w:tc>
              <w:tc>
                <w:tcPr>
                  <w:tcW w:w="780" w:type="pct"/>
                  <w:vAlign w:val="center"/>
                </w:tcPr>
                <w:p>
                  <w:pPr>
                    <w:spacing w:line="360" w:lineRule="exact"/>
                    <w:jc w:val="center"/>
                    <w:rPr>
                      <w:b/>
                      <w:bCs/>
                      <w:szCs w:val="21"/>
                    </w:rPr>
                  </w:pPr>
                  <w:r>
                    <w:rPr>
                      <w:b/>
                      <w:bCs/>
                      <w:szCs w:val="21"/>
                    </w:rPr>
                    <w:t>监测点位</w:t>
                  </w:r>
                </w:p>
              </w:tc>
              <w:tc>
                <w:tcPr>
                  <w:tcW w:w="892" w:type="pct"/>
                  <w:vAlign w:val="center"/>
                </w:tcPr>
                <w:p>
                  <w:pPr>
                    <w:spacing w:line="360" w:lineRule="exact"/>
                    <w:jc w:val="center"/>
                    <w:rPr>
                      <w:b/>
                      <w:bCs/>
                      <w:szCs w:val="21"/>
                    </w:rPr>
                  </w:pPr>
                  <w:r>
                    <w:rPr>
                      <w:b/>
                      <w:bCs/>
                      <w:szCs w:val="21"/>
                    </w:rPr>
                    <w:t>监测指标</w:t>
                  </w:r>
                </w:p>
              </w:tc>
              <w:tc>
                <w:tcPr>
                  <w:tcW w:w="756" w:type="pct"/>
                  <w:vAlign w:val="center"/>
                </w:tcPr>
                <w:p>
                  <w:pPr>
                    <w:spacing w:line="360" w:lineRule="exact"/>
                    <w:jc w:val="center"/>
                    <w:rPr>
                      <w:b/>
                      <w:bCs/>
                      <w:szCs w:val="21"/>
                    </w:rPr>
                  </w:pPr>
                  <w:r>
                    <w:rPr>
                      <w:b/>
                      <w:bCs/>
                      <w:szCs w:val="21"/>
                    </w:rPr>
                    <w:t>监测频次</w:t>
                  </w:r>
                </w:p>
              </w:tc>
              <w:tc>
                <w:tcPr>
                  <w:tcW w:w="2112" w:type="pct"/>
                  <w:vAlign w:val="center"/>
                </w:tcPr>
                <w:p>
                  <w:pPr>
                    <w:spacing w:line="360" w:lineRule="exact"/>
                    <w:jc w:val="center"/>
                    <w:rPr>
                      <w:b/>
                      <w:bCs/>
                      <w:szCs w:val="21"/>
                    </w:rPr>
                  </w:pPr>
                  <w:r>
                    <w:rPr>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pct"/>
                  <w:vAlign w:val="center"/>
                </w:tcPr>
                <w:p>
                  <w:pPr>
                    <w:spacing w:line="360" w:lineRule="exact"/>
                    <w:jc w:val="center"/>
                    <w:rPr>
                      <w:szCs w:val="21"/>
                    </w:rPr>
                  </w:pPr>
                  <w:r>
                    <w:rPr>
                      <w:szCs w:val="21"/>
                    </w:rPr>
                    <w:t>噪声</w:t>
                  </w:r>
                </w:p>
              </w:tc>
              <w:tc>
                <w:tcPr>
                  <w:tcW w:w="780" w:type="pct"/>
                  <w:vAlign w:val="center"/>
                </w:tcPr>
                <w:p>
                  <w:pPr>
                    <w:spacing w:line="360" w:lineRule="exact"/>
                    <w:jc w:val="center"/>
                    <w:rPr>
                      <w:szCs w:val="21"/>
                    </w:rPr>
                  </w:pPr>
                  <w:r>
                    <w:rPr>
                      <w:szCs w:val="21"/>
                    </w:rPr>
                    <w:t>厂界外1米</w:t>
                  </w:r>
                </w:p>
              </w:tc>
              <w:tc>
                <w:tcPr>
                  <w:tcW w:w="892" w:type="pct"/>
                  <w:vAlign w:val="center"/>
                </w:tcPr>
                <w:p>
                  <w:pPr>
                    <w:spacing w:line="360" w:lineRule="exact"/>
                    <w:jc w:val="center"/>
                    <w:rPr>
                      <w:szCs w:val="21"/>
                    </w:rPr>
                  </w:pPr>
                  <w:r>
                    <w:rPr>
                      <w:szCs w:val="21"/>
                    </w:rPr>
                    <w:t>等效连续A声级</w:t>
                  </w:r>
                </w:p>
              </w:tc>
              <w:tc>
                <w:tcPr>
                  <w:tcW w:w="756" w:type="pct"/>
                  <w:vAlign w:val="center"/>
                </w:tcPr>
                <w:p>
                  <w:pPr>
                    <w:spacing w:line="360" w:lineRule="exact"/>
                    <w:jc w:val="center"/>
                    <w:rPr>
                      <w:szCs w:val="21"/>
                    </w:rPr>
                  </w:pPr>
                  <w:r>
                    <w:rPr>
                      <w:szCs w:val="21"/>
                    </w:rPr>
                    <w:t>一季度一次</w:t>
                  </w:r>
                </w:p>
              </w:tc>
              <w:tc>
                <w:tcPr>
                  <w:tcW w:w="2112" w:type="pct"/>
                  <w:vAlign w:val="center"/>
                </w:tcPr>
                <w:p>
                  <w:pPr>
                    <w:spacing w:line="360" w:lineRule="exact"/>
                    <w:jc w:val="center"/>
                    <w:rPr>
                      <w:szCs w:val="21"/>
                    </w:rPr>
                  </w:pPr>
                  <w:r>
                    <w:rPr>
                      <w:szCs w:val="21"/>
                    </w:rPr>
                    <w:t>《工业企业厂界环境噪声排放标准》（GB12348-2008）中3类标准</w:t>
                  </w:r>
                </w:p>
              </w:tc>
            </w:tr>
          </w:tbl>
          <w:p>
            <w:pPr>
              <w:spacing w:line="360" w:lineRule="auto"/>
              <w:ind w:firstLine="482" w:firstLineChars="200"/>
              <w:rPr>
                <w:b/>
                <w:bCs/>
                <w:sz w:val="24"/>
              </w:rPr>
            </w:pPr>
            <w:r>
              <w:rPr>
                <w:b/>
                <w:bCs/>
                <w:sz w:val="24"/>
              </w:rPr>
              <w:t>4、固体废物</w:t>
            </w:r>
          </w:p>
          <w:p>
            <w:pPr>
              <w:spacing w:line="360" w:lineRule="auto"/>
              <w:ind w:firstLine="480" w:firstLineChars="200"/>
              <w:rPr>
                <w:sz w:val="24"/>
              </w:rPr>
            </w:pPr>
            <w:r>
              <w:rPr>
                <w:sz w:val="24"/>
              </w:rPr>
              <w:t>4.1固体废物产生及处置情况</w:t>
            </w:r>
          </w:p>
          <w:p>
            <w:pPr>
              <w:spacing w:line="360" w:lineRule="auto"/>
              <w:ind w:firstLine="480" w:firstLineChars="200"/>
              <w:rPr>
                <w:sz w:val="24"/>
              </w:rPr>
            </w:pPr>
            <w:r>
              <w:rPr>
                <w:sz w:val="24"/>
              </w:rPr>
              <w:t>本项目运营期产生废固废物主要包括边角料、机械加工</w:t>
            </w:r>
            <w:r>
              <w:rPr>
                <w:rFonts w:hint="eastAsia"/>
                <w:sz w:val="24"/>
              </w:rPr>
              <w:t>下角料</w:t>
            </w:r>
            <w:r>
              <w:rPr>
                <w:sz w:val="24"/>
              </w:rPr>
              <w:t>、</w:t>
            </w:r>
            <w:r>
              <w:rPr>
                <w:rFonts w:hint="eastAsia"/>
                <w:sz w:val="24"/>
              </w:rPr>
              <w:t>废焊渣</w:t>
            </w:r>
            <w:r>
              <w:rPr>
                <w:sz w:val="24"/>
              </w:rPr>
              <w:t>、</w:t>
            </w:r>
            <w:r>
              <w:rPr>
                <w:rFonts w:hint="eastAsia"/>
                <w:sz w:val="24"/>
              </w:rPr>
              <w:t>焊接工序布袋除尘器收集粉尘，切割工序自带布袋除尘器收集粉尘、喷涂工序各除尘器收集塑粉、废滤筒、塑粉废包装袋、废活性炭、废过滤棉、废催化剂</w:t>
            </w:r>
            <w:r>
              <w:rPr>
                <w:sz w:val="24"/>
              </w:rPr>
              <w:t>、废机油、废机油桶、废切削液、废切削液桶和生活垃圾</w:t>
            </w:r>
            <w:r>
              <w:rPr>
                <w:rFonts w:hint="eastAsia"/>
                <w:sz w:val="24"/>
              </w:rPr>
              <w:t>。</w:t>
            </w:r>
            <w:r>
              <w:rPr>
                <w:sz w:val="24"/>
              </w:rPr>
              <w:t>固体废物产生及处置见表</w:t>
            </w:r>
            <w:r>
              <w:rPr>
                <w:rFonts w:hint="eastAsia"/>
                <w:sz w:val="24"/>
              </w:rPr>
              <w:t>49</w:t>
            </w:r>
            <w:r>
              <w:rPr>
                <w:sz w:val="24"/>
              </w:rPr>
              <w:t>；危险废物贮存场所基本情况见表</w:t>
            </w:r>
            <w:r>
              <w:rPr>
                <w:rFonts w:hint="eastAsia"/>
                <w:sz w:val="24"/>
              </w:rPr>
              <w:t>50</w:t>
            </w:r>
            <w:r>
              <w:rPr>
                <w:sz w:val="24"/>
              </w:rPr>
              <w:t>。</w:t>
            </w:r>
          </w:p>
          <w:p>
            <w:pPr>
              <w:jc w:val="center"/>
              <w:rPr>
                <w:b/>
                <w:sz w:val="24"/>
              </w:rPr>
            </w:pPr>
            <w:r>
              <w:rPr>
                <w:b/>
                <w:sz w:val="24"/>
              </w:rPr>
              <w:t>表</w:t>
            </w:r>
            <w:r>
              <w:rPr>
                <w:rFonts w:hint="eastAsia"/>
                <w:b/>
                <w:sz w:val="24"/>
              </w:rPr>
              <w:t xml:space="preserve">49 </w:t>
            </w:r>
            <w:r>
              <w:rPr>
                <w:b/>
                <w:sz w:val="24"/>
              </w:rPr>
              <w:t xml:space="preserve"> 项目固体废物分析结果汇总表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4"/>
              <w:gridCol w:w="438"/>
              <w:gridCol w:w="663"/>
              <w:gridCol w:w="614"/>
              <w:gridCol w:w="1012"/>
              <w:gridCol w:w="910"/>
              <w:gridCol w:w="438"/>
              <w:gridCol w:w="675"/>
              <w:gridCol w:w="616"/>
              <w:gridCol w:w="1085"/>
              <w:gridCol w:w="1004"/>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 w:type="pct"/>
                  <w:vAlign w:val="center"/>
                </w:tcPr>
                <w:p>
                  <w:pPr>
                    <w:adjustRightInd w:val="0"/>
                    <w:snapToGrid w:val="0"/>
                    <w:jc w:val="center"/>
                    <w:rPr>
                      <w:b/>
                      <w:bCs/>
                      <w:sz w:val="18"/>
                      <w:szCs w:val="18"/>
                    </w:rPr>
                  </w:pPr>
                  <w:r>
                    <w:rPr>
                      <w:b/>
                      <w:bCs/>
                      <w:sz w:val="18"/>
                      <w:szCs w:val="18"/>
                    </w:rPr>
                    <w:t>序号</w:t>
                  </w:r>
                </w:p>
              </w:tc>
              <w:tc>
                <w:tcPr>
                  <w:tcW w:w="259" w:type="pct"/>
                  <w:vAlign w:val="center"/>
                </w:tcPr>
                <w:p>
                  <w:pPr>
                    <w:adjustRightInd w:val="0"/>
                    <w:snapToGrid w:val="0"/>
                    <w:jc w:val="center"/>
                    <w:rPr>
                      <w:b/>
                      <w:bCs/>
                      <w:sz w:val="18"/>
                      <w:szCs w:val="18"/>
                    </w:rPr>
                  </w:pPr>
                  <w:r>
                    <w:rPr>
                      <w:b/>
                      <w:bCs/>
                      <w:sz w:val="18"/>
                      <w:szCs w:val="18"/>
                    </w:rPr>
                    <w:t>产生环节</w:t>
                  </w:r>
                </w:p>
              </w:tc>
              <w:tc>
                <w:tcPr>
                  <w:tcW w:w="392" w:type="pct"/>
                  <w:vAlign w:val="center"/>
                </w:tcPr>
                <w:p>
                  <w:pPr>
                    <w:adjustRightInd w:val="0"/>
                    <w:snapToGrid w:val="0"/>
                    <w:jc w:val="center"/>
                    <w:rPr>
                      <w:b/>
                      <w:bCs/>
                      <w:sz w:val="18"/>
                      <w:szCs w:val="18"/>
                    </w:rPr>
                  </w:pPr>
                  <w:r>
                    <w:rPr>
                      <w:b/>
                      <w:bCs/>
                      <w:sz w:val="18"/>
                      <w:szCs w:val="18"/>
                    </w:rPr>
                    <w:t>名称</w:t>
                  </w:r>
                </w:p>
              </w:tc>
              <w:tc>
                <w:tcPr>
                  <w:tcW w:w="363" w:type="pct"/>
                  <w:vAlign w:val="center"/>
                </w:tcPr>
                <w:p>
                  <w:pPr>
                    <w:adjustRightInd w:val="0"/>
                    <w:snapToGrid w:val="0"/>
                    <w:jc w:val="center"/>
                    <w:rPr>
                      <w:b/>
                      <w:bCs/>
                      <w:sz w:val="18"/>
                      <w:szCs w:val="18"/>
                    </w:rPr>
                  </w:pPr>
                  <w:r>
                    <w:rPr>
                      <w:b/>
                      <w:bCs/>
                      <w:sz w:val="18"/>
                      <w:szCs w:val="18"/>
                    </w:rPr>
                    <w:t>属性</w:t>
                  </w:r>
                </w:p>
              </w:tc>
              <w:tc>
                <w:tcPr>
                  <w:tcW w:w="598" w:type="pct"/>
                  <w:vAlign w:val="center"/>
                </w:tcPr>
                <w:p>
                  <w:pPr>
                    <w:adjustRightInd w:val="0"/>
                    <w:snapToGrid w:val="0"/>
                    <w:jc w:val="center"/>
                    <w:rPr>
                      <w:b/>
                      <w:bCs/>
                      <w:sz w:val="18"/>
                      <w:szCs w:val="18"/>
                    </w:rPr>
                  </w:pPr>
                  <w:r>
                    <w:rPr>
                      <w:b/>
                      <w:bCs/>
                      <w:sz w:val="18"/>
                      <w:szCs w:val="18"/>
                    </w:rPr>
                    <w:t>代码</w:t>
                  </w:r>
                </w:p>
              </w:tc>
              <w:tc>
                <w:tcPr>
                  <w:tcW w:w="538" w:type="pct"/>
                  <w:vAlign w:val="center"/>
                </w:tcPr>
                <w:p>
                  <w:pPr>
                    <w:adjustRightInd w:val="0"/>
                    <w:snapToGrid w:val="0"/>
                    <w:jc w:val="center"/>
                    <w:rPr>
                      <w:b/>
                      <w:bCs/>
                      <w:sz w:val="18"/>
                      <w:szCs w:val="18"/>
                    </w:rPr>
                  </w:pPr>
                  <w:r>
                    <w:rPr>
                      <w:b/>
                      <w:bCs/>
                      <w:sz w:val="18"/>
                      <w:szCs w:val="18"/>
                    </w:rPr>
                    <w:t>主要有毒有害物质名称</w:t>
                  </w:r>
                </w:p>
              </w:tc>
              <w:tc>
                <w:tcPr>
                  <w:tcW w:w="259" w:type="pct"/>
                  <w:vAlign w:val="center"/>
                </w:tcPr>
                <w:p>
                  <w:pPr>
                    <w:adjustRightInd w:val="0"/>
                    <w:snapToGrid w:val="0"/>
                    <w:jc w:val="center"/>
                    <w:rPr>
                      <w:b/>
                      <w:bCs/>
                      <w:sz w:val="18"/>
                      <w:szCs w:val="18"/>
                    </w:rPr>
                  </w:pPr>
                  <w:r>
                    <w:rPr>
                      <w:b/>
                      <w:bCs/>
                      <w:sz w:val="18"/>
                      <w:szCs w:val="18"/>
                    </w:rPr>
                    <w:t>物理性状</w:t>
                  </w:r>
                </w:p>
              </w:tc>
              <w:tc>
                <w:tcPr>
                  <w:tcW w:w="399" w:type="pct"/>
                  <w:vAlign w:val="center"/>
                </w:tcPr>
                <w:p>
                  <w:pPr>
                    <w:adjustRightInd w:val="0"/>
                    <w:snapToGrid w:val="0"/>
                    <w:jc w:val="center"/>
                    <w:rPr>
                      <w:b/>
                      <w:bCs/>
                      <w:sz w:val="18"/>
                      <w:szCs w:val="18"/>
                    </w:rPr>
                  </w:pPr>
                  <w:r>
                    <w:rPr>
                      <w:b/>
                      <w:bCs/>
                      <w:sz w:val="18"/>
                      <w:szCs w:val="18"/>
                    </w:rPr>
                    <w:t>环境危险特性</w:t>
                  </w:r>
                </w:p>
              </w:tc>
              <w:tc>
                <w:tcPr>
                  <w:tcW w:w="364" w:type="pct"/>
                  <w:vAlign w:val="center"/>
                </w:tcPr>
                <w:p>
                  <w:pPr>
                    <w:adjustRightInd w:val="0"/>
                    <w:snapToGrid w:val="0"/>
                    <w:jc w:val="center"/>
                    <w:rPr>
                      <w:b/>
                      <w:bCs/>
                      <w:sz w:val="18"/>
                      <w:szCs w:val="18"/>
                    </w:rPr>
                  </w:pPr>
                  <w:r>
                    <w:rPr>
                      <w:b/>
                      <w:bCs/>
                      <w:sz w:val="18"/>
                      <w:szCs w:val="18"/>
                    </w:rPr>
                    <w:t>年产生量/t</w:t>
                  </w:r>
                </w:p>
              </w:tc>
              <w:tc>
                <w:tcPr>
                  <w:tcW w:w="641" w:type="pct"/>
                  <w:vAlign w:val="center"/>
                </w:tcPr>
                <w:p>
                  <w:pPr>
                    <w:adjustRightInd w:val="0"/>
                    <w:snapToGrid w:val="0"/>
                    <w:jc w:val="center"/>
                    <w:rPr>
                      <w:b/>
                      <w:bCs/>
                      <w:sz w:val="18"/>
                      <w:szCs w:val="18"/>
                    </w:rPr>
                  </w:pPr>
                  <w:r>
                    <w:rPr>
                      <w:b/>
                      <w:bCs/>
                      <w:sz w:val="18"/>
                      <w:szCs w:val="18"/>
                    </w:rPr>
                    <w:t>贮存</w:t>
                  </w:r>
                </w:p>
                <w:p>
                  <w:pPr>
                    <w:adjustRightInd w:val="0"/>
                    <w:snapToGrid w:val="0"/>
                    <w:jc w:val="center"/>
                    <w:rPr>
                      <w:b/>
                      <w:bCs/>
                      <w:sz w:val="18"/>
                      <w:szCs w:val="18"/>
                    </w:rPr>
                  </w:pPr>
                  <w:r>
                    <w:rPr>
                      <w:b/>
                      <w:bCs/>
                      <w:sz w:val="18"/>
                      <w:szCs w:val="18"/>
                    </w:rPr>
                    <w:t>方式</w:t>
                  </w:r>
                </w:p>
              </w:tc>
              <w:tc>
                <w:tcPr>
                  <w:tcW w:w="593" w:type="pct"/>
                  <w:vAlign w:val="center"/>
                </w:tcPr>
                <w:p>
                  <w:pPr>
                    <w:adjustRightInd w:val="0"/>
                    <w:snapToGrid w:val="0"/>
                    <w:jc w:val="center"/>
                    <w:rPr>
                      <w:b/>
                      <w:bCs/>
                      <w:sz w:val="18"/>
                      <w:szCs w:val="18"/>
                    </w:rPr>
                  </w:pPr>
                  <w:r>
                    <w:rPr>
                      <w:b/>
                      <w:bCs/>
                      <w:sz w:val="18"/>
                      <w:szCs w:val="18"/>
                    </w:rPr>
                    <w:t>利用处置方式和去向</w:t>
                  </w:r>
                </w:p>
              </w:tc>
              <w:tc>
                <w:tcPr>
                  <w:tcW w:w="427" w:type="pct"/>
                  <w:vAlign w:val="center"/>
                </w:tcPr>
                <w:p>
                  <w:pPr>
                    <w:adjustRightInd w:val="0"/>
                    <w:snapToGrid w:val="0"/>
                    <w:jc w:val="center"/>
                    <w:rPr>
                      <w:b/>
                      <w:bCs/>
                      <w:sz w:val="18"/>
                      <w:szCs w:val="18"/>
                    </w:rPr>
                  </w:pPr>
                  <w:r>
                    <w:rPr>
                      <w:b/>
                      <w:bCs/>
                      <w:sz w:val="18"/>
                      <w:szCs w:val="18"/>
                    </w:rPr>
                    <w:t>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sz w:val="18"/>
                      <w:szCs w:val="18"/>
                    </w:rPr>
                    <w:t>1</w:t>
                  </w:r>
                </w:p>
              </w:tc>
              <w:tc>
                <w:tcPr>
                  <w:tcW w:w="259" w:type="pct"/>
                  <w:vAlign w:val="center"/>
                </w:tcPr>
                <w:p>
                  <w:pPr>
                    <w:adjustRightInd w:val="0"/>
                    <w:snapToGrid w:val="0"/>
                    <w:jc w:val="center"/>
                    <w:rPr>
                      <w:sz w:val="18"/>
                      <w:szCs w:val="18"/>
                    </w:rPr>
                  </w:pPr>
                  <w:r>
                    <w:rPr>
                      <w:sz w:val="18"/>
                      <w:szCs w:val="18"/>
                    </w:rPr>
                    <w:t>切割工序</w:t>
                  </w:r>
                </w:p>
              </w:tc>
              <w:tc>
                <w:tcPr>
                  <w:tcW w:w="392" w:type="pct"/>
                  <w:vAlign w:val="center"/>
                </w:tcPr>
                <w:p>
                  <w:pPr>
                    <w:adjustRightInd w:val="0"/>
                    <w:snapToGrid w:val="0"/>
                    <w:jc w:val="center"/>
                    <w:rPr>
                      <w:sz w:val="18"/>
                      <w:szCs w:val="18"/>
                    </w:rPr>
                  </w:pPr>
                  <w:r>
                    <w:rPr>
                      <w:sz w:val="18"/>
                      <w:szCs w:val="18"/>
                    </w:rPr>
                    <w:t>边角料</w:t>
                  </w:r>
                </w:p>
              </w:tc>
              <w:tc>
                <w:tcPr>
                  <w:tcW w:w="363" w:type="pct"/>
                  <w:vMerge w:val="restart"/>
                  <w:vAlign w:val="center"/>
                </w:tcPr>
                <w:p>
                  <w:pPr>
                    <w:adjustRightInd w:val="0"/>
                    <w:snapToGrid w:val="0"/>
                    <w:jc w:val="center"/>
                    <w:rPr>
                      <w:sz w:val="18"/>
                      <w:szCs w:val="18"/>
                    </w:rPr>
                  </w:pPr>
                  <w:r>
                    <w:rPr>
                      <w:sz w:val="18"/>
                      <w:szCs w:val="18"/>
                    </w:rPr>
                    <w:t>一般工业固体废物</w:t>
                  </w:r>
                </w:p>
              </w:tc>
              <w:tc>
                <w:tcPr>
                  <w:tcW w:w="598" w:type="pct"/>
                  <w:vAlign w:val="center"/>
                </w:tcPr>
                <w:p>
                  <w:pPr>
                    <w:adjustRightInd w:val="0"/>
                    <w:snapToGrid w:val="0"/>
                    <w:jc w:val="center"/>
                    <w:rPr>
                      <w:sz w:val="18"/>
                      <w:szCs w:val="18"/>
                    </w:rPr>
                  </w:pPr>
                  <w:r>
                    <w:rPr>
                      <w:rFonts w:hint="eastAsia"/>
                      <w:sz w:val="18"/>
                      <w:szCs w:val="18"/>
                    </w:rPr>
                    <w:t>382</w:t>
                  </w:r>
                  <w:r>
                    <w:rPr>
                      <w:sz w:val="18"/>
                      <w:szCs w:val="18"/>
                    </w:rPr>
                    <w:t>-001-09</w:t>
                  </w:r>
                </w:p>
              </w:tc>
              <w:tc>
                <w:tcPr>
                  <w:tcW w:w="538" w:type="pct"/>
                  <w:vAlign w:val="center"/>
                </w:tcPr>
                <w:p>
                  <w:pPr>
                    <w:adjustRightInd w:val="0"/>
                    <w:snapToGrid w:val="0"/>
                    <w:jc w:val="center"/>
                    <w:rPr>
                      <w:sz w:val="18"/>
                      <w:szCs w:val="18"/>
                    </w:rPr>
                  </w:pPr>
                  <w:r>
                    <w:rPr>
                      <w:sz w:val="18"/>
                      <w:szCs w:val="18"/>
                    </w:rPr>
                    <w:t>--</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w:t>
                  </w:r>
                </w:p>
              </w:tc>
              <w:tc>
                <w:tcPr>
                  <w:tcW w:w="364" w:type="pct"/>
                  <w:vAlign w:val="center"/>
                </w:tcPr>
                <w:p>
                  <w:pPr>
                    <w:adjustRightInd w:val="0"/>
                    <w:snapToGrid w:val="0"/>
                    <w:jc w:val="center"/>
                    <w:rPr>
                      <w:sz w:val="18"/>
                      <w:szCs w:val="18"/>
                    </w:rPr>
                  </w:pPr>
                  <w:r>
                    <w:rPr>
                      <w:rFonts w:hint="eastAsia"/>
                      <w:sz w:val="18"/>
                      <w:szCs w:val="18"/>
                    </w:rPr>
                    <w:t>20</w:t>
                  </w:r>
                </w:p>
              </w:tc>
              <w:tc>
                <w:tcPr>
                  <w:tcW w:w="641" w:type="pct"/>
                  <w:vMerge w:val="restart"/>
                  <w:vAlign w:val="center"/>
                </w:tcPr>
                <w:p>
                  <w:pPr>
                    <w:adjustRightInd w:val="0"/>
                    <w:snapToGrid w:val="0"/>
                    <w:jc w:val="center"/>
                    <w:rPr>
                      <w:sz w:val="18"/>
                      <w:szCs w:val="18"/>
                    </w:rPr>
                  </w:pPr>
                  <w:r>
                    <w:rPr>
                      <w:sz w:val="18"/>
                      <w:szCs w:val="18"/>
                    </w:rPr>
                    <w:t>一般固废储存区</w:t>
                  </w: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sz w:val="18"/>
                      <w:szCs w:val="18"/>
                    </w:rPr>
                    <w:t>2</w:t>
                  </w:r>
                </w:p>
              </w:tc>
              <w:tc>
                <w:tcPr>
                  <w:tcW w:w="259" w:type="pct"/>
                  <w:vAlign w:val="center"/>
                </w:tcPr>
                <w:p>
                  <w:pPr>
                    <w:adjustRightInd w:val="0"/>
                    <w:snapToGrid w:val="0"/>
                    <w:jc w:val="center"/>
                    <w:rPr>
                      <w:sz w:val="18"/>
                      <w:szCs w:val="18"/>
                    </w:rPr>
                  </w:pPr>
                  <w:r>
                    <w:rPr>
                      <w:sz w:val="18"/>
                      <w:szCs w:val="18"/>
                    </w:rPr>
                    <w:t>机械加工</w:t>
                  </w:r>
                </w:p>
              </w:tc>
              <w:tc>
                <w:tcPr>
                  <w:tcW w:w="392" w:type="pct"/>
                  <w:vAlign w:val="center"/>
                </w:tcPr>
                <w:p>
                  <w:pPr>
                    <w:adjustRightInd w:val="0"/>
                    <w:snapToGrid w:val="0"/>
                    <w:jc w:val="center"/>
                    <w:rPr>
                      <w:sz w:val="18"/>
                      <w:szCs w:val="18"/>
                    </w:rPr>
                  </w:pPr>
                  <w:r>
                    <w:rPr>
                      <w:rFonts w:hint="eastAsia"/>
                      <w:sz w:val="18"/>
                      <w:szCs w:val="18"/>
                    </w:rPr>
                    <w:t>下角料</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rFonts w:hint="eastAsia"/>
                      <w:sz w:val="18"/>
                      <w:szCs w:val="18"/>
                    </w:rPr>
                    <w:t>382</w:t>
                  </w:r>
                  <w:r>
                    <w:rPr>
                      <w:sz w:val="18"/>
                      <w:szCs w:val="18"/>
                    </w:rPr>
                    <w:t>-001-09</w:t>
                  </w:r>
                </w:p>
              </w:tc>
              <w:tc>
                <w:tcPr>
                  <w:tcW w:w="538" w:type="pct"/>
                  <w:vAlign w:val="center"/>
                </w:tcPr>
                <w:p>
                  <w:pPr>
                    <w:adjustRightInd w:val="0"/>
                    <w:snapToGrid w:val="0"/>
                    <w:jc w:val="center"/>
                    <w:rPr>
                      <w:sz w:val="18"/>
                      <w:szCs w:val="18"/>
                    </w:rPr>
                  </w:pPr>
                  <w:r>
                    <w:rPr>
                      <w:sz w:val="18"/>
                      <w:szCs w:val="18"/>
                    </w:rPr>
                    <w:t>--</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w:t>
                  </w:r>
                </w:p>
              </w:tc>
              <w:tc>
                <w:tcPr>
                  <w:tcW w:w="364" w:type="pct"/>
                  <w:vAlign w:val="center"/>
                </w:tcPr>
                <w:p>
                  <w:pPr>
                    <w:adjustRightInd w:val="0"/>
                    <w:snapToGrid w:val="0"/>
                    <w:jc w:val="center"/>
                    <w:rPr>
                      <w:sz w:val="18"/>
                      <w:szCs w:val="18"/>
                    </w:rPr>
                  </w:pPr>
                  <w:r>
                    <w:rPr>
                      <w:rFonts w:hint="eastAsia"/>
                      <w:sz w:val="18"/>
                      <w:szCs w:val="18"/>
                    </w:rPr>
                    <w:t>10.6</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sz w:val="18"/>
                      <w:szCs w:val="18"/>
                    </w:rPr>
                    <w:t>3</w:t>
                  </w:r>
                </w:p>
              </w:tc>
              <w:tc>
                <w:tcPr>
                  <w:tcW w:w="259" w:type="pct"/>
                  <w:vAlign w:val="center"/>
                </w:tcPr>
                <w:p>
                  <w:pPr>
                    <w:adjustRightInd w:val="0"/>
                    <w:snapToGrid w:val="0"/>
                    <w:jc w:val="center"/>
                    <w:rPr>
                      <w:sz w:val="18"/>
                      <w:szCs w:val="18"/>
                    </w:rPr>
                  </w:pPr>
                </w:p>
                <w:p>
                  <w:pPr>
                    <w:adjustRightInd w:val="0"/>
                    <w:snapToGrid w:val="0"/>
                    <w:jc w:val="center"/>
                    <w:rPr>
                      <w:sz w:val="18"/>
                      <w:szCs w:val="18"/>
                    </w:rPr>
                  </w:pPr>
                  <w:r>
                    <w:rPr>
                      <w:sz w:val="18"/>
                      <w:szCs w:val="18"/>
                    </w:rPr>
                    <w:t>焊接工序</w:t>
                  </w:r>
                </w:p>
              </w:tc>
              <w:tc>
                <w:tcPr>
                  <w:tcW w:w="392" w:type="pct"/>
                  <w:vAlign w:val="center"/>
                </w:tcPr>
                <w:p>
                  <w:pPr>
                    <w:adjustRightInd w:val="0"/>
                    <w:snapToGrid w:val="0"/>
                    <w:jc w:val="center"/>
                    <w:rPr>
                      <w:sz w:val="18"/>
                      <w:szCs w:val="18"/>
                    </w:rPr>
                  </w:pPr>
                  <w:r>
                    <w:rPr>
                      <w:rFonts w:hint="eastAsia"/>
                      <w:sz w:val="18"/>
                      <w:szCs w:val="18"/>
                    </w:rPr>
                    <w:t>废焊渣</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900-999-</w:t>
                  </w:r>
                  <w:r>
                    <w:rPr>
                      <w:rFonts w:hint="eastAsia"/>
                      <w:sz w:val="18"/>
                      <w:szCs w:val="18"/>
                    </w:rPr>
                    <w:t>99</w:t>
                  </w:r>
                </w:p>
              </w:tc>
              <w:tc>
                <w:tcPr>
                  <w:tcW w:w="538" w:type="pct"/>
                  <w:vAlign w:val="center"/>
                </w:tcPr>
                <w:p>
                  <w:pPr>
                    <w:adjustRightInd w:val="0"/>
                    <w:snapToGrid w:val="0"/>
                    <w:jc w:val="center"/>
                    <w:rPr>
                      <w:sz w:val="18"/>
                      <w:szCs w:val="18"/>
                    </w:rPr>
                  </w:pPr>
                  <w:r>
                    <w:rPr>
                      <w:sz w:val="18"/>
                      <w:szCs w:val="18"/>
                    </w:rPr>
                    <w:t>--</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w:t>
                  </w:r>
                </w:p>
                <w:p>
                  <w:pPr>
                    <w:adjustRightInd w:val="0"/>
                    <w:snapToGrid w:val="0"/>
                    <w:jc w:val="center"/>
                    <w:rPr>
                      <w:sz w:val="18"/>
                      <w:szCs w:val="18"/>
                    </w:rPr>
                  </w:pPr>
                </w:p>
              </w:tc>
              <w:tc>
                <w:tcPr>
                  <w:tcW w:w="364" w:type="pct"/>
                  <w:vAlign w:val="center"/>
                </w:tcPr>
                <w:p>
                  <w:pPr>
                    <w:adjustRightInd w:val="0"/>
                    <w:snapToGrid w:val="0"/>
                    <w:jc w:val="center"/>
                    <w:rPr>
                      <w:sz w:val="18"/>
                      <w:szCs w:val="18"/>
                    </w:rPr>
                  </w:pPr>
                  <w:r>
                    <w:rPr>
                      <w:rFonts w:hint="eastAsia"/>
                      <w:sz w:val="18"/>
                      <w:szCs w:val="18"/>
                    </w:rPr>
                    <w:t>1.2</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4</w:t>
                  </w:r>
                </w:p>
              </w:tc>
              <w:tc>
                <w:tcPr>
                  <w:tcW w:w="259" w:type="pct"/>
                  <w:vAlign w:val="center"/>
                </w:tcPr>
                <w:p>
                  <w:pPr>
                    <w:adjustRightInd w:val="0"/>
                    <w:snapToGrid w:val="0"/>
                    <w:jc w:val="center"/>
                    <w:rPr>
                      <w:sz w:val="18"/>
                      <w:szCs w:val="18"/>
                    </w:rPr>
                  </w:pPr>
                  <w:r>
                    <w:rPr>
                      <w:rFonts w:hint="eastAsia"/>
                      <w:sz w:val="18"/>
                      <w:szCs w:val="18"/>
                    </w:rPr>
                    <w:t>喷涂工序</w:t>
                  </w:r>
                </w:p>
              </w:tc>
              <w:tc>
                <w:tcPr>
                  <w:tcW w:w="392" w:type="pct"/>
                  <w:vAlign w:val="center"/>
                </w:tcPr>
                <w:p>
                  <w:pPr>
                    <w:adjustRightInd w:val="0"/>
                    <w:snapToGrid w:val="0"/>
                    <w:jc w:val="center"/>
                    <w:rPr>
                      <w:sz w:val="18"/>
                      <w:szCs w:val="18"/>
                    </w:rPr>
                  </w:pPr>
                  <w:r>
                    <w:rPr>
                      <w:rFonts w:hint="eastAsia"/>
                      <w:sz w:val="18"/>
                      <w:szCs w:val="18"/>
                    </w:rPr>
                    <w:t>塑粉废包装袋</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900-999-</w:t>
                  </w:r>
                  <w:r>
                    <w:rPr>
                      <w:rFonts w:hint="eastAsia"/>
                      <w:sz w:val="18"/>
                      <w:szCs w:val="18"/>
                    </w:rPr>
                    <w:t>99</w:t>
                  </w:r>
                </w:p>
              </w:tc>
              <w:tc>
                <w:tcPr>
                  <w:tcW w:w="538" w:type="pct"/>
                  <w:vAlign w:val="center"/>
                </w:tcPr>
                <w:p>
                  <w:pPr>
                    <w:adjustRightInd w:val="0"/>
                    <w:snapToGrid w:val="0"/>
                    <w:jc w:val="center"/>
                    <w:rPr>
                      <w:sz w:val="18"/>
                      <w:szCs w:val="18"/>
                    </w:rPr>
                  </w:pPr>
                  <w:r>
                    <w:rPr>
                      <w:rFonts w:hint="eastAsia"/>
                      <w:sz w:val="18"/>
                      <w:szCs w:val="18"/>
                    </w:rPr>
                    <w:t>--</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rFonts w:hint="eastAsia"/>
                      <w:sz w:val="18"/>
                      <w:szCs w:val="18"/>
                    </w:rPr>
                    <w:t>--</w:t>
                  </w:r>
                </w:p>
              </w:tc>
              <w:tc>
                <w:tcPr>
                  <w:tcW w:w="364" w:type="pct"/>
                  <w:vAlign w:val="center"/>
                </w:tcPr>
                <w:p>
                  <w:pPr>
                    <w:adjustRightInd w:val="0"/>
                    <w:snapToGrid w:val="0"/>
                    <w:jc w:val="center"/>
                    <w:rPr>
                      <w:sz w:val="18"/>
                      <w:szCs w:val="18"/>
                    </w:rPr>
                  </w:pPr>
                  <w:r>
                    <w:rPr>
                      <w:rFonts w:hint="eastAsia"/>
                      <w:sz w:val="18"/>
                      <w:szCs w:val="18"/>
                    </w:rPr>
                    <w:t>0.1</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5</w:t>
                  </w:r>
                </w:p>
              </w:tc>
              <w:tc>
                <w:tcPr>
                  <w:tcW w:w="259" w:type="pct"/>
                  <w:vMerge w:val="restart"/>
                  <w:vAlign w:val="center"/>
                </w:tcPr>
                <w:p>
                  <w:pPr>
                    <w:adjustRightInd w:val="0"/>
                    <w:snapToGrid w:val="0"/>
                    <w:jc w:val="center"/>
                    <w:rPr>
                      <w:sz w:val="18"/>
                      <w:szCs w:val="18"/>
                    </w:rPr>
                  </w:pPr>
                  <w:r>
                    <w:rPr>
                      <w:rFonts w:hint="eastAsia"/>
                      <w:sz w:val="18"/>
                      <w:szCs w:val="18"/>
                    </w:rPr>
                    <w:t>废气治理</w:t>
                  </w:r>
                </w:p>
              </w:tc>
              <w:tc>
                <w:tcPr>
                  <w:tcW w:w="392" w:type="pct"/>
                  <w:vAlign w:val="center"/>
                </w:tcPr>
                <w:p>
                  <w:pPr>
                    <w:tabs>
                      <w:tab w:val="left" w:pos="6593"/>
                    </w:tabs>
                    <w:adjustRightInd w:val="0"/>
                    <w:snapToGrid w:val="0"/>
                    <w:jc w:val="center"/>
                    <w:rPr>
                      <w:sz w:val="18"/>
                      <w:szCs w:val="18"/>
                    </w:rPr>
                  </w:pPr>
                  <w:r>
                    <w:rPr>
                      <w:rFonts w:hint="eastAsia"/>
                      <w:sz w:val="18"/>
                      <w:szCs w:val="18"/>
                    </w:rPr>
                    <w:t>焊接工序布袋收集除尘灰</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5"/>
                      <w:szCs w:val="15"/>
                    </w:rPr>
                  </w:pPr>
                  <w:r>
                    <w:rPr>
                      <w:rFonts w:hint="eastAsia"/>
                      <w:sz w:val="18"/>
                      <w:szCs w:val="18"/>
                    </w:rPr>
                    <w:t>900-999-66</w:t>
                  </w:r>
                </w:p>
              </w:tc>
              <w:tc>
                <w:tcPr>
                  <w:tcW w:w="538" w:type="pct"/>
                  <w:vAlign w:val="center"/>
                </w:tcPr>
                <w:p>
                  <w:pPr>
                    <w:adjustRightInd w:val="0"/>
                    <w:snapToGrid w:val="0"/>
                    <w:jc w:val="center"/>
                    <w:rPr>
                      <w:sz w:val="18"/>
                      <w:szCs w:val="18"/>
                    </w:rPr>
                  </w:pPr>
                  <w:r>
                    <w:rPr>
                      <w:rFonts w:hint="eastAsia"/>
                      <w:sz w:val="18"/>
                      <w:szCs w:val="18"/>
                    </w:rPr>
                    <w:t>--</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rFonts w:hint="eastAsia"/>
                      <w:sz w:val="18"/>
                      <w:szCs w:val="18"/>
                    </w:rPr>
                    <w:t>--</w:t>
                  </w:r>
                </w:p>
              </w:tc>
              <w:tc>
                <w:tcPr>
                  <w:tcW w:w="364" w:type="pct"/>
                  <w:vAlign w:val="center"/>
                </w:tcPr>
                <w:p>
                  <w:pPr>
                    <w:adjustRightInd w:val="0"/>
                    <w:snapToGrid w:val="0"/>
                    <w:jc w:val="center"/>
                    <w:rPr>
                      <w:sz w:val="18"/>
                      <w:szCs w:val="18"/>
                    </w:rPr>
                  </w:pPr>
                  <w:r>
                    <w:rPr>
                      <w:rFonts w:hint="eastAsia"/>
                      <w:sz w:val="18"/>
                      <w:szCs w:val="18"/>
                    </w:rPr>
                    <w:t>0.03496</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0.03496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6</w:t>
                  </w:r>
                </w:p>
              </w:tc>
              <w:tc>
                <w:tcPr>
                  <w:tcW w:w="259" w:type="pct"/>
                  <w:vMerge w:val="continue"/>
                  <w:vAlign w:val="center"/>
                </w:tcPr>
                <w:p>
                  <w:pPr>
                    <w:adjustRightInd w:val="0"/>
                    <w:snapToGrid w:val="0"/>
                    <w:jc w:val="center"/>
                    <w:rPr>
                      <w:sz w:val="18"/>
                      <w:szCs w:val="18"/>
                    </w:rPr>
                  </w:pPr>
                </w:p>
              </w:tc>
              <w:tc>
                <w:tcPr>
                  <w:tcW w:w="392" w:type="pct"/>
                  <w:vAlign w:val="center"/>
                </w:tcPr>
                <w:p>
                  <w:pPr>
                    <w:tabs>
                      <w:tab w:val="left" w:pos="6593"/>
                    </w:tabs>
                    <w:adjustRightInd w:val="0"/>
                    <w:snapToGrid w:val="0"/>
                    <w:jc w:val="center"/>
                    <w:rPr>
                      <w:sz w:val="18"/>
                      <w:szCs w:val="18"/>
                    </w:rPr>
                  </w:pPr>
                  <w:r>
                    <w:rPr>
                      <w:sz w:val="18"/>
                      <w:szCs w:val="18"/>
                      <w:u w:color="000000"/>
                    </w:rPr>
                    <w:t>切割</w:t>
                  </w:r>
                  <w:r>
                    <w:rPr>
                      <w:rFonts w:hint="eastAsia"/>
                      <w:sz w:val="18"/>
                      <w:szCs w:val="18"/>
                      <w:u w:color="000000"/>
                    </w:rPr>
                    <w:t>工序布袋收集</w:t>
                  </w:r>
                  <w:r>
                    <w:rPr>
                      <w:sz w:val="18"/>
                      <w:szCs w:val="18"/>
                      <w:u w:color="000000"/>
                    </w:rPr>
                    <w:t>除尘灰</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5"/>
                      <w:szCs w:val="15"/>
                    </w:rPr>
                  </w:pPr>
                  <w:r>
                    <w:rPr>
                      <w:rFonts w:hint="eastAsia"/>
                      <w:sz w:val="18"/>
                      <w:szCs w:val="18"/>
                    </w:rPr>
                    <w:t>900-999-66</w:t>
                  </w:r>
                </w:p>
              </w:tc>
              <w:tc>
                <w:tcPr>
                  <w:tcW w:w="538" w:type="pct"/>
                  <w:vAlign w:val="center"/>
                </w:tcPr>
                <w:p>
                  <w:pPr>
                    <w:adjustRightInd w:val="0"/>
                    <w:snapToGrid w:val="0"/>
                    <w:jc w:val="center"/>
                    <w:rPr>
                      <w:sz w:val="18"/>
                      <w:szCs w:val="18"/>
                    </w:rPr>
                  </w:pPr>
                  <w:r>
                    <w:rPr>
                      <w:rFonts w:hint="eastAsia"/>
                      <w:sz w:val="18"/>
                      <w:szCs w:val="18"/>
                    </w:rPr>
                    <w:t>--</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rFonts w:hint="eastAsia"/>
                      <w:sz w:val="18"/>
                      <w:szCs w:val="18"/>
                    </w:rPr>
                    <w:t>--</w:t>
                  </w:r>
                </w:p>
              </w:tc>
              <w:tc>
                <w:tcPr>
                  <w:tcW w:w="364" w:type="pct"/>
                  <w:vAlign w:val="center"/>
                </w:tcPr>
                <w:p>
                  <w:pPr>
                    <w:adjustRightInd w:val="0"/>
                    <w:snapToGrid w:val="0"/>
                    <w:jc w:val="center"/>
                    <w:rPr>
                      <w:sz w:val="18"/>
                      <w:szCs w:val="18"/>
                    </w:rPr>
                  </w:pPr>
                  <w:r>
                    <w:rPr>
                      <w:rFonts w:hint="eastAsia"/>
                      <w:sz w:val="18"/>
                      <w:szCs w:val="18"/>
                    </w:rPr>
                    <w:t>0.243</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sz w:val="18"/>
                      <w:szCs w:val="18"/>
                    </w:rPr>
                    <w:t>厂内收集后外售</w:t>
                  </w:r>
                </w:p>
              </w:tc>
              <w:tc>
                <w:tcPr>
                  <w:tcW w:w="427" w:type="pct"/>
                  <w:vAlign w:val="center"/>
                </w:tcPr>
                <w:p>
                  <w:pPr>
                    <w:adjustRightInd w:val="0"/>
                    <w:snapToGrid w:val="0"/>
                    <w:jc w:val="center"/>
                    <w:rPr>
                      <w:sz w:val="18"/>
                      <w:szCs w:val="18"/>
                    </w:rPr>
                  </w:pPr>
                  <w:r>
                    <w:rPr>
                      <w:rFonts w:hint="eastAsia"/>
                      <w:sz w:val="18"/>
                      <w:szCs w:val="18"/>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7</w:t>
                  </w:r>
                </w:p>
              </w:tc>
              <w:tc>
                <w:tcPr>
                  <w:tcW w:w="259" w:type="pct"/>
                  <w:vMerge w:val="continue"/>
                  <w:vAlign w:val="center"/>
                </w:tcPr>
                <w:p>
                  <w:pPr>
                    <w:adjustRightInd w:val="0"/>
                    <w:snapToGrid w:val="0"/>
                    <w:jc w:val="center"/>
                    <w:rPr>
                      <w:sz w:val="18"/>
                      <w:szCs w:val="18"/>
                    </w:rPr>
                  </w:pPr>
                </w:p>
              </w:tc>
              <w:tc>
                <w:tcPr>
                  <w:tcW w:w="392" w:type="pct"/>
                  <w:vAlign w:val="center"/>
                </w:tcPr>
                <w:p>
                  <w:pPr>
                    <w:tabs>
                      <w:tab w:val="left" w:pos="6593"/>
                    </w:tabs>
                    <w:adjustRightInd w:val="0"/>
                    <w:snapToGrid w:val="0"/>
                    <w:jc w:val="center"/>
                    <w:rPr>
                      <w:sz w:val="18"/>
                      <w:szCs w:val="18"/>
                      <w:u w:color="000000"/>
                    </w:rPr>
                  </w:pPr>
                  <w:r>
                    <w:rPr>
                      <w:rFonts w:hint="eastAsia"/>
                      <w:sz w:val="18"/>
                      <w:szCs w:val="18"/>
                      <w:u w:color="000000"/>
                    </w:rPr>
                    <w:t>喷涂工序各除尘器收集塑粉</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rFonts w:hint="eastAsia"/>
                      <w:sz w:val="18"/>
                      <w:szCs w:val="18"/>
                    </w:rPr>
                    <w:t>900-999-66</w:t>
                  </w:r>
                </w:p>
              </w:tc>
              <w:tc>
                <w:tcPr>
                  <w:tcW w:w="538" w:type="pct"/>
                  <w:vAlign w:val="center"/>
                </w:tcPr>
                <w:p>
                  <w:pPr>
                    <w:adjustRightInd w:val="0"/>
                    <w:snapToGrid w:val="0"/>
                    <w:jc w:val="center"/>
                    <w:rPr>
                      <w:sz w:val="18"/>
                      <w:szCs w:val="18"/>
                    </w:rPr>
                  </w:pPr>
                  <w:r>
                    <w:rPr>
                      <w:rFonts w:hint="eastAsia"/>
                      <w:sz w:val="18"/>
                      <w:szCs w:val="18"/>
                    </w:rPr>
                    <w:t>--</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rFonts w:hint="eastAsia"/>
                      <w:sz w:val="18"/>
                      <w:szCs w:val="18"/>
                    </w:rPr>
                    <w:t>--</w:t>
                  </w:r>
                </w:p>
              </w:tc>
              <w:tc>
                <w:tcPr>
                  <w:tcW w:w="364" w:type="pct"/>
                  <w:vAlign w:val="center"/>
                </w:tcPr>
                <w:p>
                  <w:pPr>
                    <w:adjustRightInd w:val="0"/>
                    <w:snapToGrid w:val="0"/>
                    <w:jc w:val="center"/>
                    <w:rPr>
                      <w:sz w:val="18"/>
                      <w:szCs w:val="18"/>
                    </w:rPr>
                  </w:pPr>
                  <w:r>
                    <w:rPr>
                      <w:rFonts w:hint="eastAsia"/>
                      <w:sz w:val="18"/>
                      <w:szCs w:val="18"/>
                    </w:rPr>
                    <w:t>7.054</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rFonts w:hint="eastAsia"/>
                      <w:sz w:val="18"/>
                      <w:szCs w:val="18"/>
                    </w:rPr>
                    <w:t>集中收集后回用于生产</w:t>
                  </w:r>
                </w:p>
              </w:tc>
              <w:tc>
                <w:tcPr>
                  <w:tcW w:w="427" w:type="pct"/>
                  <w:vAlign w:val="center"/>
                </w:tcPr>
                <w:p>
                  <w:pPr>
                    <w:adjustRightInd w:val="0"/>
                    <w:snapToGrid w:val="0"/>
                    <w:jc w:val="center"/>
                    <w:rPr>
                      <w:sz w:val="18"/>
                      <w:szCs w:val="18"/>
                    </w:rPr>
                  </w:pPr>
                  <w:r>
                    <w:rPr>
                      <w:rFonts w:hint="eastAsia"/>
                      <w:sz w:val="18"/>
                      <w:szCs w:val="18"/>
                    </w:rPr>
                    <w:t>7.054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8</w:t>
                  </w:r>
                </w:p>
              </w:tc>
              <w:tc>
                <w:tcPr>
                  <w:tcW w:w="259" w:type="pct"/>
                  <w:vMerge w:val="continue"/>
                  <w:vAlign w:val="center"/>
                </w:tcPr>
                <w:p>
                  <w:pPr>
                    <w:adjustRightInd w:val="0"/>
                    <w:snapToGrid w:val="0"/>
                    <w:jc w:val="center"/>
                    <w:rPr>
                      <w:sz w:val="18"/>
                      <w:szCs w:val="18"/>
                    </w:rPr>
                  </w:pPr>
                </w:p>
              </w:tc>
              <w:tc>
                <w:tcPr>
                  <w:tcW w:w="392" w:type="pct"/>
                  <w:vAlign w:val="center"/>
                </w:tcPr>
                <w:p>
                  <w:pPr>
                    <w:tabs>
                      <w:tab w:val="left" w:pos="6593"/>
                    </w:tabs>
                    <w:adjustRightInd w:val="0"/>
                    <w:snapToGrid w:val="0"/>
                    <w:jc w:val="center"/>
                    <w:rPr>
                      <w:sz w:val="18"/>
                      <w:szCs w:val="18"/>
                      <w:u w:color="000000"/>
                    </w:rPr>
                  </w:pPr>
                  <w:r>
                    <w:rPr>
                      <w:rFonts w:hint="eastAsia"/>
                      <w:sz w:val="18"/>
                      <w:szCs w:val="18"/>
                      <w:u w:color="000000"/>
                    </w:rPr>
                    <w:t>废滤筒</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rFonts w:hint="eastAsia"/>
                      <w:sz w:val="18"/>
                      <w:szCs w:val="18"/>
                    </w:rPr>
                    <w:t>900-999-99</w:t>
                  </w:r>
                </w:p>
              </w:tc>
              <w:tc>
                <w:tcPr>
                  <w:tcW w:w="538" w:type="pct"/>
                  <w:vAlign w:val="center"/>
                </w:tcPr>
                <w:p>
                  <w:pPr>
                    <w:adjustRightInd w:val="0"/>
                    <w:snapToGrid w:val="0"/>
                    <w:jc w:val="center"/>
                    <w:rPr>
                      <w:sz w:val="18"/>
                      <w:szCs w:val="18"/>
                    </w:rPr>
                  </w:pPr>
                  <w:r>
                    <w:rPr>
                      <w:rFonts w:hint="eastAsia"/>
                      <w:sz w:val="18"/>
                      <w:szCs w:val="18"/>
                    </w:rPr>
                    <w:t>--</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rFonts w:hint="eastAsia"/>
                      <w:sz w:val="18"/>
                      <w:szCs w:val="18"/>
                    </w:rPr>
                    <w:t>--</w:t>
                  </w:r>
                </w:p>
              </w:tc>
              <w:tc>
                <w:tcPr>
                  <w:tcW w:w="364" w:type="pct"/>
                  <w:vAlign w:val="center"/>
                </w:tcPr>
                <w:p>
                  <w:pPr>
                    <w:adjustRightInd w:val="0"/>
                    <w:snapToGrid w:val="0"/>
                    <w:jc w:val="center"/>
                    <w:rPr>
                      <w:sz w:val="18"/>
                      <w:szCs w:val="18"/>
                    </w:rPr>
                  </w:pPr>
                  <w:r>
                    <w:rPr>
                      <w:rFonts w:hint="eastAsia"/>
                      <w:sz w:val="18"/>
                      <w:szCs w:val="18"/>
                    </w:rPr>
                    <w:t>0.04</w:t>
                  </w:r>
                </w:p>
              </w:tc>
              <w:tc>
                <w:tcPr>
                  <w:tcW w:w="641" w:type="pct"/>
                  <w:vMerge w:val="continue"/>
                  <w:vAlign w:val="center"/>
                </w:tcPr>
                <w:p>
                  <w:pPr>
                    <w:adjustRightInd w:val="0"/>
                    <w:snapToGrid w:val="0"/>
                    <w:jc w:val="center"/>
                    <w:rPr>
                      <w:sz w:val="18"/>
                      <w:szCs w:val="18"/>
                    </w:rPr>
                  </w:pPr>
                </w:p>
              </w:tc>
              <w:tc>
                <w:tcPr>
                  <w:tcW w:w="593" w:type="pct"/>
                  <w:vAlign w:val="center"/>
                </w:tcPr>
                <w:p>
                  <w:pPr>
                    <w:adjustRightInd w:val="0"/>
                    <w:snapToGrid w:val="0"/>
                    <w:jc w:val="center"/>
                    <w:rPr>
                      <w:sz w:val="18"/>
                      <w:szCs w:val="18"/>
                    </w:rPr>
                  </w:pPr>
                  <w:r>
                    <w:rPr>
                      <w:rFonts w:hint="eastAsia"/>
                      <w:sz w:val="18"/>
                      <w:szCs w:val="18"/>
                    </w:rPr>
                    <w:t>厂家回收</w:t>
                  </w:r>
                </w:p>
              </w:tc>
              <w:tc>
                <w:tcPr>
                  <w:tcW w:w="427" w:type="pct"/>
                  <w:vAlign w:val="center"/>
                </w:tcPr>
                <w:p>
                  <w:pPr>
                    <w:adjustRightInd w:val="0"/>
                    <w:snapToGrid w:val="0"/>
                    <w:jc w:val="center"/>
                    <w:rPr>
                      <w:sz w:val="18"/>
                      <w:szCs w:val="18"/>
                    </w:rPr>
                  </w:pPr>
                  <w:r>
                    <w:rPr>
                      <w:rFonts w:hint="eastAsia"/>
                      <w:sz w:val="18"/>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62" w:type="pct"/>
                  <w:vAlign w:val="center"/>
                </w:tcPr>
                <w:p>
                  <w:pPr>
                    <w:adjustRightInd w:val="0"/>
                    <w:snapToGrid w:val="0"/>
                    <w:jc w:val="center"/>
                    <w:rPr>
                      <w:sz w:val="18"/>
                      <w:szCs w:val="18"/>
                    </w:rPr>
                  </w:pPr>
                  <w:r>
                    <w:rPr>
                      <w:rFonts w:hint="eastAsia"/>
                      <w:sz w:val="18"/>
                      <w:szCs w:val="18"/>
                    </w:rPr>
                    <w:t>9</w:t>
                  </w:r>
                </w:p>
              </w:tc>
              <w:tc>
                <w:tcPr>
                  <w:tcW w:w="259" w:type="pct"/>
                  <w:vMerge w:val="continue"/>
                  <w:vAlign w:val="center"/>
                </w:tcPr>
                <w:p>
                  <w:pPr>
                    <w:adjustRightInd w:val="0"/>
                    <w:snapToGrid w:val="0"/>
                    <w:jc w:val="center"/>
                    <w:rPr>
                      <w:sz w:val="18"/>
                      <w:szCs w:val="18"/>
                    </w:rPr>
                  </w:pPr>
                </w:p>
              </w:tc>
              <w:tc>
                <w:tcPr>
                  <w:tcW w:w="392" w:type="pct"/>
                  <w:vAlign w:val="center"/>
                </w:tcPr>
                <w:p>
                  <w:pPr>
                    <w:tabs>
                      <w:tab w:val="left" w:pos="6593"/>
                    </w:tabs>
                    <w:adjustRightInd w:val="0"/>
                    <w:snapToGrid w:val="0"/>
                    <w:jc w:val="center"/>
                    <w:rPr>
                      <w:sz w:val="18"/>
                      <w:szCs w:val="18"/>
                      <w:u w:color="000000"/>
                    </w:rPr>
                  </w:pPr>
                  <w:r>
                    <w:rPr>
                      <w:rFonts w:hint="eastAsia"/>
                      <w:sz w:val="18"/>
                      <w:szCs w:val="18"/>
                      <w:u w:color="000000"/>
                    </w:rPr>
                    <w:t>废催化剂</w:t>
                  </w:r>
                </w:p>
              </w:tc>
              <w:tc>
                <w:tcPr>
                  <w:tcW w:w="363" w:type="pct"/>
                  <w:vMerge w:val="restart"/>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HW49</w:t>
                  </w:r>
                </w:p>
                <w:p>
                  <w:pPr>
                    <w:adjustRightInd w:val="0"/>
                    <w:snapToGrid w:val="0"/>
                    <w:jc w:val="center"/>
                    <w:rPr>
                      <w:szCs w:val="21"/>
                    </w:rPr>
                  </w:pPr>
                  <w:r>
                    <w:rPr>
                      <w:sz w:val="18"/>
                      <w:szCs w:val="18"/>
                    </w:rPr>
                    <w:t>900-041-49</w:t>
                  </w:r>
                </w:p>
              </w:tc>
              <w:tc>
                <w:tcPr>
                  <w:tcW w:w="538" w:type="pct"/>
                  <w:vAlign w:val="center"/>
                </w:tcPr>
                <w:p>
                  <w:pPr>
                    <w:adjustRightInd w:val="0"/>
                    <w:snapToGrid w:val="0"/>
                    <w:jc w:val="center"/>
                    <w:rPr>
                      <w:sz w:val="18"/>
                      <w:szCs w:val="18"/>
                    </w:rPr>
                  </w:pPr>
                  <w:r>
                    <w:rPr>
                      <w:rFonts w:hint="eastAsia"/>
                      <w:sz w:val="18"/>
                      <w:szCs w:val="18"/>
                    </w:rPr>
                    <w:t>沾染少量非甲烷总烃</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sz w:val="18"/>
                      <w:szCs w:val="18"/>
                    </w:rPr>
                    <w:t>T/In</w:t>
                  </w:r>
                </w:p>
              </w:tc>
              <w:tc>
                <w:tcPr>
                  <w:tcW w:w="364" w:type="pct"/>
                  <w:vAlign w:val="center"/>
                </w:tcPr>
                <w:p>
                  <w:pPr>
                    <w:adjustRightInd w:val="0"/>
                    <w:snapToGrid w:val="0"/>
                    <w:jc w:val="center"/>
                    <w:rPr>
                      <w:sz w:val="18"/>
                      <w:szCs w:val="18"/>
                    </w:rPr>
                  </w:pPr>
                  <w:r>
                    <w:rPr>
                      <w:rFonts w:hint="eastAsia"/>
                      <w:sz w:val="18"/>
                      <w:szCs w:val="18"/>
                    </w:rPr>
                    <w:t>0.1</w:t>
                  </w:r>
                </w:p>
              </w:tc>
              <w:tc>
                <w:tcPr>
                  <w:tcW w:w="641" w:type="pct"/>
                  <w:vAlign w:val="center"/>
                </w:tcPr>
                <w:p>
                  <w:pPr>
                    <w:adjustRightInd w:val="0"/>
                    <w:snapToGrid w:val="0"/>
                    <w:spacing w:line="240" w:lineRule="exact"/>
                    <w:jc w:val="center"/>
                    <w:rPr>
                      <w:sz w:val="18"/>
                      <w:szCs w:val="18"/>
                    </w:rPr>
                  </w:pPr>
                  <w:r>
                    <w:rPr>
                      <w:sz w:val="18"/>
                      <w:szCs w:val="18"/>
                    </w:rPr>
                    <w:t>专用容器储存于危废暂存间</w:t>
                  </w:r>
                </w:p>
              </w:tc>
              <w:tc>
                <w:tcPr>
                  <w:tcW w:w="593" w:type="pct"/>
                  <w:vAlign w:val="center"/>
                </w:tcPr>
                <w:p>
                  <w:pPr>
                    <w:adjustRightInd w:val="0"/>
                    <w:snapToGrid w:val="0"/>
                    <w:spacing w:line="240" w:lineRule="exact"/>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10</w:t>
                  </w:r>
                </w:p>
              </w:tc>
              <w:tc>
                <w:tcPr>
                  <w:tcW w:w="259" w:type="pct"/>
                  <w:vMerge w:val="restart"/>
                  <w:vAlign w:val="center"/>
                </w:tcPr>
                <w:p>
                  <w:pPr>
                    <w:adjustRightInd w:val="0"/>
                    <w:snapToGrid w:val="0"/>
                    <w:jc w:val="center"/>
                    <w:rPr>
                      <w:sz w:val="18"/>
                      <w:szCs w:val="18"/>
                    </w:rPr>
                  </w:pPr>
                  <w:r>
                    <w:rPr>
                      <w:sz w:val="18"/>
                      <w:szCs w:val="18"/>
                    </w:rPr>
                    <w:t>废气治理</w:t>
                  </w:r>
                </w:p>
              </w:tc>
              <w:tc>
                <w:tcPr>
                  <w:tcW w:w="392" w:type="pct"/>
                  <w:vAlign w:val="center"/>
                </w:tcPr>
                <w:p>
                  <w:pPr>
                    <w:adjustRightInd w:val="0"/>
                    <w:snapToGrid w:val="0"/>
                    <w:jc w:val="center"/>
                    <w:rPr>
                      <w:sz w:val="18"/>
                      <w:szCs w:val="18"/>
                    </w:rPr>
                  </w:pPr>
                  <w:r>
                    <w:rPr>
                      <w:rFonts w:hint="eastAsia"/>
                      <w:sz w:val="18"/>
                      <w:szCs w:val="18"/>
                    </w:rPr>
                    <w:t>废过滤棉</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HW49</w:t>
                  </w:r>
                </w:p>
                <w:p>
                  <w:pPr>
                    <w:adjustRightInd w:val="0"/>
                    <w:snapToGrid w:val="0"/>
                    <w:jc w:val="center"/>
                    <w:rPr>
                      <w:sz w:val="18"/>
                      <w:szCs w:val="18"/>
                    </w:rPr>
                  </w:pPr>
                  <w:r>
                    <w:rPr>
                      <w:sz w:val="18"/>
                      <w:szCs w:val="18"/>
                    </w:rPr>
                    <w:t>900-041-49</w:t>
                  </w:r>
                </w:p>
              </w:tc>
              <w:tc>
                <w:tcPr>
                  <w:tcW w:w="538" w:type="pct"/>
                  <w:vAlign w:val="center"/>
                </w:tcPr>
                <w:p>
                  <w:pPr>
                    <w:adjustRightInd w:val="0"/>
                    <w:snapToGrid w:val="0"/>
                    <w:jc w:val="center"/>
                    <w:rPr>
                      <w:sz w:val="18"/>
                      <w:szCs w:val="18"/>
                    </w:rPr>
                  </w:pPr>
                  <w:r>
                    <w:rPr>
                      <w:rFonts w:hint="eastAsia"/>
                      <w:sz w:val="18"/>
                      <w:szCs w:val="18"/>
                    </w:rPr>
                    <w:t>沾染少量非甲烷总烃</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T/In</w:t>
                  </w:r>
                </w:p>
              </w:tc>
              <w:tc>
                <w:tcPr>
                  <w:tcW w:w="364" w:type="pct"/>
                  <w:vAlign w:val="center"/>
                </w:tcPr>
                <w:p>
                  <w:pPr>
                    <w:adjustRightInd w:val="0"/>
                    <w:snapToGrid w:val="0"/>
                    <w:jc w:val="center"/>
                    <w:rPr>
                      <w:sz w:val="18"/>
                      <w:szCs w:val="18"/>
                    </w:rPr>
                  </w:pPr>
                  <w:r>
                    <w:rPr>
                      <w:rFonts w:hint="eastAsia"/>
                      <w:sz w:val="18"/>
                      <w:szCs w:val="18"/>
                    </w:rPr>
                    <w:t>0.01</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11</w:t>
                  </w:r>
                </w:p>
              </w:tc>
              <w:tc>
                <w:tcPr>
                  <w:tcW w:w="259" w:type="pct"/>
                  <w:vMerge w:val="continue"/>
                  <w:vAlign w:val="center"/>
                </w:tcPr>
                <w:p>
                  <w:pPr>
                    <w:adjustRightInd w:val="0"/>
                    <w:snapToGrid w:val="0"/>
                    <w:jc w:val="center"/>
                    <w:rPr>
                      <w:sz w:val="18"/>
                      <w:szCs w:val="18"/>
                    </w:rPr>
                  </w:pPr>
                </w:p>
              </w:tc>
              <w:tc>
                <w:tcPr>
                  <w:tcW w:w="392" w:type="pct"/>
                  <w:vAlign w:val="center"/>
                </w:tcPr>
                <w:p>
                  <w:pPr>
                    <w:adjustRightInd w:val="0"/>
                    <w:snapToGrid w:val="0"/>
                    <w:jc w:val="center"/>
                    <w:rPr>
                      <w:sz w:val="18"/>
                      <w:szCs w:val="18"/>
                    </w:rPr>
                  </w:pPr>
                  <w:r>
                    <w:rPr>
                      <w:rFonts w:hint="eastAsia"/>
                      <w:sz w:val="18"/>
                      <w:szCs w:val="18"/>
                    </w:rPr>
                    <w:t>废活性炭</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HW49</w:t>
                  </w:r>
                </w:p>
                <w:p>
                  <w:pPr>
                    <w:adjustRightInd w:val="0"/>
                    <w:snapToGrid w:val="0"/>
                    <w:jc w:val="center"/>
                    <w:rPr>
                      <w:sz w:val="18"/>
                      <w:szCs w:val="18"/>
                    </w:rPr>
                  </w:pPr>
                  <w:r>
                    <w:rPr>
                      <w:sz w:val="18"/>
                      <w:szCs w:val="18"/>
                    </w:rPr>
                    <w:t>900-0</w:t>
                  </w:r>
                  <w:r>
                    <w:rPr>
                      <w:rFonts w:hint="eastAsia"/>
                      <w:sz w:val="18"/>
                      <w:szCs w:val="18"/>
                    </w:rPr>
                    <w:t>39</w:t>
                  </w:r>
                  <w:r>
                    <w:rPr>
                      <w:sz w:val="18"/>
                      <w:szCs w:val="18"/>
                    </w:rPr>
                    <w:t>-49</w:t>
                  </w:r>
                </w:p>
              </w:tc>
              <w:tc>
                <w:tcPr>
                  <w:tcW w:w="538" w:type="pct"/>
                  <w:vAlign w:val="center"/>
                </w:tcPr>
                <w:p>
                  <w:pPr>
                    <w:adjustRightInd w:val="0"/>
                    <w:snapToGrid w:val="0"/>
                    <w:jc w:val="center"/>
                    <w:rPr>
                      <w:sz w:val="18"/>
                      <w:szCs w:val="18"/>
                    </w:rPr>
                  </w:pPr>
                  <w:r>
                    <w:rPr>
                      <w:rFonts w:hint="eastAsia"/>
                      <w:sz w:val="18"/>
                      <w:szCs w:val="18"/>
                    </w:rPr>
                    <w:t>非甲烷总烃</w:t>
                  </w:r>
                </w:p>
              </w:tc>
              <w:tc>
                <w:tcPr>
                  <w:tcW w:w="259" w:type="pct"/>
                  <w:vAlign w:val="center"/>
                </w:tcPr>
                <w:p>
                  <w:pPr>
                    <w:adjustRightInd w:val="0"/>
                    <w:snapToGrid w:val="0"/>
                    <w:jc w:val="center"/>
                    <w:rPr>
                      <w:sz w:val="18"/>
                      <w:szCs w:val="18"/>
                    </w:rPr>
                  </w:pPr>
                  <w:r>
                    <w:rPr>
                      <w:rFonts w:hint="eastAsia"/>
                      <w:sz w:val="18"/>
                      <w:szCs w:val="18"/>
                    </w:rPr>
                    <w:t>固态</w:t>
                  </w:r>
                </w:p>
              </w:tc>
              <w:tc>
                <w:tcPr>
                  <w:tcW w:w="399" w:type="pct"/>
                  <w:vAlign w:val="center"/>
                </w:tcPr>
                <w:p>
                  <w:pPr>
                    <w:adjustRightInd w:val="0"/>
                    <w:snapToGrid w:val="0"/>
                    <w:jc w:val="center"/>
                    <w:rPr>
                      <w:sz w:val="18"/>
                      <w:szCs w:val="18"/>
                    </w:rPr>
                  </w:pPr>
                  <w:r>
                    <w:rPr>
                      <w:sz w:val="18"/>
                      <w:szCs w:val="18"/>
                    </w:rPr>
                    <w:t>T</w:t>
                  </w:r>
                </w:p>
              </w:tc>
              <w:tc>
                <w:tcPr>
                  <w:tcW w:w="364" w:type="pct"/>
                  <w:vAlign w:val="center"/>
                </w:tcPr>
                <w:p>
                  <w:pPr>
                    <w:adjustRightInd w:val="0"/>
                    <w:snapToGrid w:val="0"/>
                    <w:jc w:val="center"/>
                    <w:rPr>
                      <w:sz w:val="18"/>
                      <w:szCs w:val="18"/>
                    </w:rPr>
                  </w:pPr>
                  <w:r>
                    <w:rPr>
                      <w:rFonts w:hint="eastAsia"/>
                      <w:sz w:val="18"/>
                      <w:szCs w:val="18"/>
                    </w:rPr>
                    <w:t>0.2</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12</w:t>
                  </w:r>
                </w:p>
              </w:tc>
              <w:tc>
                <w:tcPr>
                  <w:tcW w:w="259" w:type="pct"/>
                  <w:vAlign w:val="center"/>
                </w:tcPr>
                <w:p>
                  <w:pPr>
                    <w:adjustRightInd w:val="0"/>
                    <w:snapToGrid w:val="0"/>
                    <w:jc w:val="center"/>
                    <w:rPr>
                      <w:sz w:val="18"/>
                      <w:szCs w:val="18"/>
                    </w:rPr>
                  </w:pPr>
                  <w:r>
                    <w:rPr>
                      <w:sz w:val="18"/>
                      <w:szCs w:val="18"/>
                    </w:rPr>
                    <w:t>设备检修</w:t>
                  </w:r>
                </w:p>
              </w:tc>
              <w:tc>
                <w:tcPr>
                  <w:tcW w:w="392" w:type="pct"/>
                  <w:vAlign w:val="center"/>
                </w:tcPr>
                <w:p>
                  <w:pPr>
                    <w:adjustRightInd w:val="0"/>
                    <w:snapToGrid w:val="0"/>
                    <w:jc w:val="center"/>
                    <w:rPr>
                      <w:sz w:val="18"/>
                      <w:szCs w:val="18"/>
                    </w:rPr>
                  </w:pPr>
                  <w:r>
                    <w:rPr>
                      <w:sz w:val="18"/>
                      <w:szCs w:val="18"/>
                    </w:rPr>
                    <w:t>废机油</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HW08</w:t>
                  </w:r>
                </w:p>
                <w:p>
                  <w:pPr>
                    <w:adjustRightInd w:val="0"/>
                    <w:snapToGrid w:val="0"/>
                    <w:jc w:val="center"/>
                    <w:rPr>
                      <w:sz w:val="18"/>
                      <w:szCs w:val="18"/>
                    </w:rPr>
                  </w:pPr>
                  <w:r>
                    <w:rPr>
                      <w:sz w:val="18"/>
                      <w:szCs w:val="18"/>
                    </w:rPr>
                    <w:t>900-2</w:t>
                  </w:r>
                  <w:r>
                    <w:rPr>
                      <w:rFonts w:hint="eastAsia"/>
                      <w:sz w:val="18"/>
                      <w:szCs w:val="18"/>
                    </w:rPr>
                    <w:t>49</w:t>
                  </w:r>
                  <w:r>
                    <w:rPr>
                      <w:sz w:val="18"/>
                      <w:szCs w:val="18"/>
                    </w:rPr>
                    <w:t>-08</w:t>
                  </w:r>
                </w:p>
              </w:tc>
              <w:tc>
                <w:tcPr>
                  <w:tcW w:w="538" w:type="pct"/>
                  <w:vAlign w:val="center"/>
                </w:tcPr>
                <w:p>
                  <w:pPr>
                    <w:adjustRightInd w:val="0"/>
                    <w:snapToGrid w:val="0"/>
                    <w:jc w:val="center"/>
                    <w:rPr>
                      <w:sz w:val="18"/>
                      <w:szCs w:val="18"/>
                    </w:rPr>
                  </w:pPr>
                  <w:r>
                    <w:rPr>
                      <w:sz w:val="18"/>
                      <w:szCs w:val="18"/>
                    </w:rPr>
                    <w:t>机油</w:t>
                  </w:r>
                </w:p>
              </w:tc>
              <w:tc>
                <w:tcPr>
                  <w:tcW w:w="259" w:type="pct"/>
                  <w:vAlign w:val="center"/>
                </w:tcPr>
                <w:p>
                  <w:pPr>
                    <w:adjustRightInd w:val="0"/>
                    <w:snapToGrid w:val="0"/>
                    <w:jc w:val="center"/>
                    <w:rPr>
                      <w:sz w:val="18"/>
                      <w:szCs w:val="18"/>
                    </w:rPr>
                  </w:pPr>
                  <w:r>
                    <w:rPr>
                      <w:sz w:val="18"/>
                      <w:szCs w:val="18"/>
                    </w:rPr>
                    <w:t>液态</w:t>
                  </w:r>
                </w:p>
              </w:tc>
              <w:tc>
                <w:tcPr>
                  <w:tcW w:w="399" w:type="pct"/>
                  <w:vAlign w:val="center"/>
                </w:tcPr>
                <w:p>
                  <w:pPr>
                    <w:adjustRightInd w:val="0"/>
                    <w:snapToGrid w:val="0"/>
                    <w:jc w:val="center"/>
                    <w:rPr>
                      <w:sz w:val="18"/>
                      <w:szCs w:val="18"/>
                    </w:rPr>
                  </w:pPr>
                  <w:r>
                    <w:rPr>
                      <w:sz w:val="18"/>
                      <w:szCs w:val="18"/>
                    </w:rPr>
                    <w:t>T</w:t>
                  </w:r>
                  <w:r>
                    <w:rPr>
                      <w:rFonts w:hint="eastAsia"/>
                    </w:rPr>
                    <w:t>，I</w:t>
                  </w:r>
                </w:p>
              </w:tc>
              <w:tc>
                <w:tcPr>
                  <w:tcW w:w="364" w:type="pct"/>
                  <w:vAlign w:val="center"/>
                </w:tcPr>
                <w:p>
                  <w:pPr>
                    <w:adjustRightInd w:val="0"/>
                    <w:snapToGrid w:val="0"/>
                    <w:jc w:val="center"/>
                    <w:rPr>
                      <w:sz w:val="18"/>
                      <w:szCs w:val="18"/>
                    </w:rPr>
                  </w:pPr>
                  <w:r>
                    <w:rPr>
                      <w:rFonts w:hint="eastAsia"/>
                      <w:sz w:val="18"/>
                      <w:szCs w:val="18"/>
                    </w:rPr>
                    <w:t>0.12</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13</w:t>
                  </w:r>
                </w:p>
              </w:tc>
              <w:tc>
                <w:tcPr>
                  <w:tcW w:w="259" w:type="pct"/>
                  <w:vAlign w:val="center"/>
                </w:tcPr>
                <w:p>
                  <w:pPr>
                    <w:adjustRightInd w:val="0"/>
                    <w:snapToGrid w:val="0"/>
                    <w:jc w:val="center"/>
                    <w:rPr>
                      <w:sz w:val="18"/>
                      <w:szCs w:val="18"/>
                    </w:rPr>
                  </w:pPr>
                  <w:r>
                    <w:rPr>
                      <w:sz w:val="18"/>
                      <w:szCs w:val="18"/>
                    </w:rPr>
                    <w:t>设备检修</w:t>
                  </w:r>
                </w:p>
              </w:tc>
              <w:tc>
                <w:tcPr>
                  <w:tcW w:w="392" w:type="pct"/>
                  <w:vAlign w:val="center"/>
                </w:tcPr>
                <w:p>
                  <w:pPr>
                    <w:adjustRightInd w:val="0"/>
                    <w:snapToGrid w:val="0"/>
                    <w:jc w:val="center"/>
                    <w:rPr>
                      <w:sz w:val="18"/>
                      <w:szCs w:val="18"/>
                    </w:rPr>
                  </w:pPr>
                  <w:r>
                    <w:rPr>
                      <w:sz w:val="18"/>
                      <w:szCs w:val="18"/>
                    </w:rPr>
                    <w:t>废机油桶</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HW49</w:t>
                  </w:r>
                </w:p>
                <w:p>
                  <w:pPr>
                    <w:adjustRightInd w:val="0"/>
                    <w:snapToGrid w:val="0"/>
                    <w:jc w:val="center"/>
                    <w:rPr>
                      <w:sz w:val="18"/>
                      <w:szCs w:val="18"/>
                    </w:rPr>
                  </w:pPr>
                  <w:r>
                    <w:rPr>
                      <w:sz w:val="18"/>
                      <w:szCs w:val="18"/>
                    </w:rPr>
                    <w:t>900-041-49</w:t>
                  </w:r>
                </w:p>
              </w:tc>
              <w:tc>
                <w:tcPr>
                  <w:tcW w:w="538" w:type="pct"/>
                  <w:vAlign w:val="center"/>
                </w:tcPr>
                <w:p>
                  <w:pPr>
                    <w:adjustRightInd w:val="0"/>
                    <w:snapToGrid w:val="0"/>
                    <w:jc w:val="center"/>
                    <w:rPr>
                      <w:sz w:val="18"/>
                      <w:szCs w:val="18"/>
                    </w:rPr>
                  </w:pPr>
                  <w:r>
                    <w:rPr>
                      <w:sz w:val="18"/>
                      <w:szCs w:val="18"/>
                    </w:rPr>
                    <w:t>机油</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T/In</w:t>
                  </w:r>
                </w:p>
              </w:tc>
              <w:tc>
                <w:tcPr>
                  <w:tcW w:w="364" w:type="pct"/>
                  <w:vAlign w:val="center"/>
                </w:tcPr>
                <w:p>
                  <w:pPr>
                    <w:adjustRightInd w:val="0"/>
                    <w:snapToGrid w:val="0"/>
                    <w:jc w:val="center"/>
                    <w:rPr>
                      <w:sz w:val="18"/>
                      <w:szCs w:val="18"/>
                    </w:rPr>
                  </w:pPr>
                  <w:r>
                    <w:rPr>
                      <w:rFonts w:hint="eastAsia"/>
                      <w:sz w:val="18"/>
                      <w:szCs w:val="18"/>
                    </w:rPr>
                    <w:t>0.03</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sz w:val="18"/>
                      <w:szCs w:val="18"/>
                    </w:rPr>
                    <w:t>0.0</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14</w:t>
                  </w:r>
                </w:p>
              </w:tc>
              <w:tc>
                <w:tcPr>
                  <w:tcW w:w="259" w:type="pct"/>
                  <w:vAlign w:val="center"/>
                </w:tcPr>
                <w:p>
                  <w:pPr>
                    <w:adjustRightInd w:val="0"/>
                    <w:snapToGrid w:val="0"/>
                    <w:jc w:val="center"/>
                    <w:rPr>
                      <w:sz w:val="18"/>
                      <w:szCs w:val="18"/>
                    </w:rPr>
                  </w:pPr>
                  <w:r>
                    <w:rPr>
                      <w:sz w:val="18"/>
                      <w:szCs w:val="18"/>
                    </w:rPr>
                    <w:t>机械加工</w:t>
                  </w:r>
                </w:p>
              </w:tc>
              <w:tc>
                <w:tcPr>
                  <w:tcW w:w="392" w:type="pct"/>
                  <w:vAlign w:val="center"/>
                </w:tcPr>
                <w:p>
                  <w:pPr>
                    <w:adjustRightInd w:val="0"/>
                    <w:snapToGrid w:val="0"/>
                    <w:jc w:val="center"/>
                    <w:rPr>
                      <w:sz w:val="18"/>
                      <w:szCs w:val="18"/>
                    </w:rPr>
                  </w:pPr>
                  <w:r>
                    <w:rPr>
                      <w:sz w:val="18"/>
                      <w:szCs w:val="18"/>
                    </w:rPr>
                    <w:t>废切削液</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HW09</w:t>
                  </w:r>
                </w:p>
                <w:p>
                  <w:pPr>
                    <w:adjustRightInd w:val="0"/>
                    <w:snapToGrid w:val="0"/>
                    <w:jc w:val="center"/>
                    <w:rPr>
                      <w:sz w:val="18"/>
                      <w:szCs w:val="18"/>
                    </w:rPr>
                  </w:pPr>
                  <w:r>
                    <w:rPr>
                      <w:sz w:val="18"/>
                      <w:szCs w:val="18"/>
                    </w:rPr>
                    <w:t>900-006-09</w:t>
                  </w:r>
                </w:p>
              </w:tc>
              <w:tc>
                <w:tcPr>
                  <w:tcW w:w="538" w:type="pct"/>
                  <w:vAlign w:val="center"/>
                </w:tcPr>
                <w:p>
                  <w:pPr>
                    <w:adjustRightInd w:val="0"/>
                    <w:snapToGrid w:val="0"/>
                    <w:jc w:val="center"/>
                    <w:rPr>
                      <w:sz w:val="18"/>
                      <w:szCs w:val="18"/>
                    </w:rPr>
                  </w:pPr>
                  <w:r>
                    <w:rPr>
                      <w:sz w:val="18"/>
                      <w:szCs w:val="18"/>
                    </w:rPr>
                    <w:t>切削液</w:t>
                  </w:r>
                </w:p>
              </w:tc>
              <w:tc>
                <w:tcPr>
                  <w:tcW w:w="259" w:type="pct"/>
                  <w:vAlign w:val="center"/>
                </w:tcPr>
                <w:p>
                  <w:pPr>
                    <w:adjustRightInd w:val="0"/>
                    <w:snapToGrid w:val="0"/>
                    <w:jc w:val="center"/>
                    <w:rPr>
                      <w:sz w:val="18"/>
                      <w:szCs w:val="18"/>
                    </w:rPr>
                  </w:pPr>
                  <w:r>
                    <w:rPr>
                      <w:sz w:val="18"/>
                      <w:szCs w:val="18"/>
                    </w:rPr>
                    <w:t>液态</w:t>
                  </w:r>
                </w:p>
              </w:tc>
              <w:tc>
                <w:tcPr>
                  <w:tcW w:w="399" w:type="pct"/>
                  <w:vAlign w:val="center"/>
                </w:tcPr>
                <w:p>
                  <w:pPr>
                    <w:adjustRightInd w:val="0"/>
                    <w:snapToGrid w:val="0"/>
                    <w:jc w:val="center"/>
                    <w:rPr>
                      <w:sz w:val="18"/>
                      <w:szCs w:val="18"/>
                    </w:rPr>
                  </w:pPr>
                  <w:r>
                    <w:rPr>
                      <w:sz w:val="18"/>
                      <w:szCs w:val="18"/>
                    </w:rPr>
                    <w:t>T</w:t>
                  </w:r>
                </w:p>
              </w:tc>
              <w:tc>
                <w:tcPr>
                  <w:tcW w:w="364" w:type="pct"/>
                  <w:vAlign w:val="center"/>
                </w:tcPr>
                <w:p>
                  <w:pPr>
                    <w:adjustRightInd w:val="0"/>
                    <w:snapToGrid w:val="0"/>
                    <w:jc w:val="center"/>
                    <w:rPr>
                      <w:sz w:val="18"/>
                      <w:szCs w:val="18"/>
                    </w:rPr>
                  </w:pPr>
                  <w:r>
                    <w:rPr>
                      <w:rFonts w:hint="eastAsia"/>
                      <w:sz w:val="18"/>
                      <w:szCs w:val="18"/>
                    </w:rPr>
                    <w:t>0.4</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15</w:t>
                  </w:r>
                </w:p>
              </w:tc>
              <w:tc>
                <w:tcPr>
                  <w:tcW w:w="259" w:type="pct"/>
                  <w:vAlign w:val="center"/>
                </w:tcPr>
                <w:p>
                  <w:pPr>
                    <w:adjustRightInd w:val="0"/>
                    <w:snapToGrid w:val="0"/>
                    <w:jc w:val="center"/>
                    <w:rPr>
                      <w:sz w:val="18"/>
                      <w:szCs w:val="18"/>
                    </w:rPr>
                  </w:pPr>
                  <w:r>
                    <w:rPr>
                      <w:rFonts w:hint="eastAsia"/>
                      <w:sz w:val="18"/>
                      <w:szCs w:val="18"/>
                    </w:rPr>
                    <w:t>机械</w:t>
                  </w:r>
                  <w:r>
                    <w:rPr>
                      <w:sz w:val="18"/>
                      <w:szCs w:val="18"/>
                    </w:rPr>
                    <w:t>加工</w:t>
                  </w:r>
                </w:p>
              </w:tc>
              <w:tc>
                <w:tcPr>
                  <w:tcW w:w="392" w:type="pct"/>
                  <w:vAlign w:val="center"/>
                </w:tcPr>
                <w:p>
                  <w:pPr>
                    <w:adjustRightInd w:val="0"/>
                    <w:snapToGrid w:val="0"/>
                    <w:jc w:val="center"/>
                    <w:rPr>
                      <w:sz w:val="18"/>
                      <w:szCs w:val="18"/>
                    </w:rPr>
                  </w:pPr>
                  <w:r>
                    <w:rPr>
                      <w:sz w:val="18"/>
                      <w:szCs w:val="18"/>
                    </w:rPr>
                    <w:t>废切削液桶</w:t>
                  </w:r>
                </w:p>
              </w:tc>
              <w:tc>
                <w:tcPr>
                  <w:tcW w:w="363" w:type="pct"/>
                  <w:vMerge w:val="continue"/>
                  <w:vAlign w:val="center"/>
                </w:tcPr>
                <w:p>
                  <w:pPr>
                    <w:adjustRightInd w:val="0"/>
                    <w:snapToGrid w:val="0"/>
                    <w:jc w:val="center"/>
                    <w:rPr>
                      <w:sz w:val="18"/>
                      <w:szCs w:val="18"/>
                    </w:rPr>
                  </w:pPr>
                </w:p>
              </w:tc>
              <w:tc>
                <w:tcPr>
                  <w:tcW w:w="598" w:type="pct"/>
                  <w:vAlign w:val="center"/>
                </w:tcPr>
                <w:p>
                  <w:pPr>
                    <w:adjustRightInd w:val="0"/>
                    <w:snapToGrid w:val="0"/>
                    <w:jc w:val="center"/>
                    <w:rPr>
                      <w:sz w:val="18"/>
                      <w:szCs w:val="18"/>
                    </w:rPr>
                  </w:pPr>
                  <w:r>
                    <w:rPr>
                      <w:sz w:val="18"/>
                      <w:szCs w:val="18"/>
                    </w:rPr>
                    <w:t>HW49</w:t>
                  </w:r>
                </w:p>
                <w:p>
                  <w:pPr>
                    <w:adjustRightInd w:val="0"/>
                    <w:snapToGrid w:val="0"/>
                    <w:jc w:val="center"/>
                    <w:rPr>
                      <w:sz w:val="18"/>
                      <w:szCs w:val="18"/>
                    </w:rPr>
                  </w:pPr>
                  <w:r>
                    <w:rPr>
                      <w:sz w:val="18"/>
                      <w:szCs w:val="18"/>
                    </w:rPr>
                    <w:t>900-041-49</w:t>
                  </w:r>
                </w:p>
              </w:tc>
              <w:tc>
                <w:tcPr>
                  <w:tcW w:w="538" w:type="pct"/>
                  <w:vAlign w:val="center"/>
                </w:tcPr>
                <w:p>
                  <w:pPr>
                    <w:adjustRightInd w:val="0"/>
                    <w:snapToGrid w:val="0"/>
                    <w:jc w:val="center"/>
                    <w:rPr>
                      <w:sz w:val="18"/>
                      <w:szCs w:val="18"/>
                    </w:rPr>
                  </w:pPr>
                  <w:r>
                    <w:rPr>
                      <w:sz w:val="18"/>
                      <w:szCs w:val="18"/>
                    </w:rPr>
                    <w:t>切削液</w:t>
                  </w:r>
                </w:p>
              </w:tc>
              <w:tc>
                <w:tcPr>
                  <w:tcW w:w="259" w:type="pct"/>
                  <w:vAlign w:val="center"/>
                </w:tcPr>
                <w:p>
                  <w:pPr>
                    <w:adjustRightInd w:val="0"/>
                    <w:snapToGrid w:val="0"/>
                    <w:jc w:val="center"/>
                    <w:rPr>
                      <w:sz w:val="18"/>
                      <w:szCs w:val="18"/>
                    </w:rPr>
                  </w:pPr>
                  <w:r>
                    <w:rPr>
                      <w:sz w:val="18"/>
                      <w:szCs w:val="18"/>
                    </w:rPr>
                    <w:t>固态</w:t>
                  </w:r>
                </w:p>
              </w:tc>
              <w:tc>
                <w:tcPr>
                  <w:tcW w:w="399" w:type="pct"/>
                  <w:vAlign w:val="center"/>
                </w:tcPr>
                <w:p>
                  <w:pPr>
                    <w:adjustRightInd w:val="0"/>
                    <w:snapToGrid w:val="0"/>
                    <w:jc w:val="center"/>
                    <w:rPr>
                      <w:sz w:val="18"/>
                      <w:szCs w:val="18"/>
                    </w:rPr>
                  </w:pPr>
                  <w:r>
                    <w:rPr>
                      <w:sz w:val="18"/>
                      <w:szCs w:val="18"/>
                    </w:rPr>
                    <w:t>T/In</w:t>
                  </w:r>
                </w:p>
              </w:tc>
              <w:tc>
                <w:tcPr>
                  <w:tcW w:w="364" w:type="pct"/>
                  <w:vAlign w:val="center"/>
                </w:tcPr>
                <w:p>
                  <w:pPr>
                    <w:adjustRightInd w:val="0"/>
                    <w:snapToGrid w:val="0"/>
                    <w:jc w:val="center"/>
                    <w:rPr>
                      <w:sz w:val="18"/>
                      <w:szCs w:val="18"/>
                    </w:rPr>
                  </w:pPr>
                  <w:r>
                    <w:rPr>
                      <w:rFonts w:hint="eastAsia"/>
                      <w:sz w:val="18"/>
                      <w:szCs w:val="18"/>
                    </w:rPr>
                    <w:t>0.05</w:t>
                  </w:r>
                </w:p>
              </w:tc>
              <w:tc>
                <w:tcPr>
                  <w:tcW w:w="641" w:type="pct"/>
                  <w:vAlign w:val="center"/>
                </w:tcPr>
                <w:p>
                  <w:pPr>
                    <w:adjustRightInd w:val="0"/>
                    <w:snapToGrid w:val="0"/>
                    <w:jc w:val="center"/>
                    <w:rPr>
                      <w:sz w:val="18"/>
                      <w:szCs w:val="18"/>
                    </w:rPr>
                  </w:pPr>
                  <w:r>
                    <w:rPr>
                      <w:sz w:val="18"/>
                      <w:szCs w:val="18"/>
                    </w:rPr>
                    <w:t>专用容器储存于危废暂存间</w:t>
                  </w:r>
                </w:p>
              </w:tc>
              <w:tc>
                <w:tcPr>
                  <w:tcW w:w="593" w:type="pct"/>
                  <w:vAlign w:val="center"/>
                </w:tcPr>
                <w:p>
                  <w:pPr>
                    <w:adjustRightInd w:val="0"/>
                    <w:snapToGrid w:val="0"/>
                    <w:jc w:val="center"/>
                    <w:rPr>
                      <w:sz w:val="18"/>
                      <w:szCs w:val="18"/>
                    </w:rPr>
                  </w:pPr>
                  <w:r>
                    <w:rPr>
                      <w:sz w:val="18"/>
                      <w:szCs w:val="18"/>
                    </w:rPr>
                    <w:t>委托有资质单位处理处置</w:t>
                  </w:r>
                </w:p>
              </w:tc>
              <w:tc>
                <w:tcPr>
                  <w:tcW w:w="427" w:type="pct"/>
                  <w:vAlign w:val="center"/>
                </w:tcPr>
                <w:p>
                  <w:pPr>
                    <w:adjustRightInd w:val="0"/>
                    <w:snapToGrid w:val="0"/>
                    <w:jc w:val="center"/>
                    <w:rPr>
                      <w:sz w:val="18"/>
                      <w:szCs w:val="18"/>
                    </w:rPr>
                  </w:pPr>
                  <w:r>
                    <w:rPr>
                      <w:rFonts w:hint="eastAsia"/>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 w:type="pct"/>
                  <w:vAlign w:val="center"/>
                </w:tcPr>
                <w:p>
                  <w:pPr>
                    <w:adjustRightInd w:val="0"/>
                    <w:snapToGrid w:val="0"/>
                    <w:jc w:val="center"/>
                    <w:rPr>
                      <w:sz w:val="18"/>
                      <w:szCs w:val="18"/>
                    </w:rPr>
                  </w:pPr>
                  <w:r>
                    <w:rPr>
                      <w:rFonts w:hint="eastAsia"/>
                      <w:sz w:val="18"/>
                      <w:szCs w:val="18"/>
                    </w:rPr>
                    <w:t>16</w:t>
                  </w:r>
                </w:p>
              </w:tc>
              <w:tc>
                <w:tcPr>
                  <w:tcW w:w="259" w:type="pct"/>
                  <w:vAlign w:val="center"/>
                </w:tcPr>
                <w:p>
                  <w:pPr>
                    <w:adjustRightInd w:val="0"/>
                    <w:snapToGrid w:val="0"/>
                    <w:jc w:val="center"/>
                    <w:rPr>
                      <w:sz w:val="18"/>
                      <w:szCs w:val="18"/>
                    </w:rPr>
                  </w:pPr>
                  <w:r>
                    <w:rPr>
                      <w:sz w:val="18"/>
                      <w:szCs w:val="18"/>
                    </w:rPr>
                    <w:t>职工生活</w:t>
                  </w:r>
                </w:p>
              </w:tc>
              <w:tc>
                <w:tcPr>
                  <w:tcW w:w="392" w:type="pct"/>
                  <w:vAlign w:val="center"/>
                </w:tcPr>
                <w:p>
                  <w:pPr>
                    <w:adjustRightInd w:val="0"/>
                    <w:snapToGrid w:val="0"/>
                    <w:jc w:val="center"/>
                    <w:rPr>
                      <w:sz w:val="18"/>
                      <w:szCs w:val="18"/>
                    </w:rPr>
                  </w:pPr>
                  <w:r>
                    <w:rPr>
                      <w:sz w:val="18"/>
                      <w:szCs w:val="18"/>
                    </w:rPr>
                    <w:t>生活垃圾</w:t>
                  </w:r>
                </w:p>
              </w:tc>
              <w:tc>
                <w:tcPr>
                  <w:tcW w:w="363" w:type="pct"/>
                  <w:vAlign w:val="center"/>
                </w:tcPr>
                <w:p>
                  <w:pPr>
                    <w:adjustRightInd w:val="0"/>
                    <w:snapToGrid w:val="0"/>
                    <w:jc w:val="center"/>
                    <w:rPr>
                      <w:sz w:val="18"/>
                      <w:szCs w:val="18"/>
                    </w:rPr>
                  </w:pPr>
                  <w:r>
                    <w:rPr>
                      <w:sz w:val="18"/>
                      <w:szCs w:val="18"/>
                    </w:rPr>
                    <w:t>--</w:t>
                  </w:r>
                </w:p>
              </w:tc>
              <w:tc>
                <w:tcPr>
                  <w:tcW w:w="598" w:type="pct"/>
                  <w:vAlign w:val="center"/>
                </w:tcPr>
                <w:p>
                  <w:pPr>
                    <w:adjustRightInd w:val="0"/>
                    <w:snapToGrid w:val="0"/>
                    <w:jc w:val="center"/>
                    <w:rPr>
                      <w:sz w:val="18"/>
                      <w:szCs w:val="18"/>
                    </w:rPr>
                  </w:pPr>
                  <w:r>
                    <w:rPr>
                      <w:sz w:val="18"/>
                      <w:szCs w:val="18"/>
                    </w:rPr>
                    <w:t>--</w:t>
                  </w:r>
                </w:p>
              </w:tc>
              <w:tc>
                <w:tcPr>
                  <w:tcW w:w="538" w:type="pct"/>
                  <w:vAlign w:val="center"/>
                </w:tcPr>
                <w:p>
                  <w:pPr>
                    <w:adjustRightInd w:val="0"/>
                    <w:snapToGrid w:val="0"/>
                    <w:jc w:val="center"/>
                    <w:rPr>
                      <w:sz w:val="18"/>
                      <w:szCs w:val="18"/>
                    </w:rPr>
                  </w:pPr>
                  <w:r>
                    <w:rPr>
                      <w:sz w:val="18"/>
                      <w:szCs w:val="18"/>
                    </w:rPr>
                    <w:t>--</w:t>
                  </w:r>
                </w:p>
              </w:tc>
              <w:tc>
                <w:tcPr>
                  <w:tcW w:w="259" w:type="pct"/>
                  <w:vAlign w:val="center"/>
                </w:tcPr>
                <w:p>
                  <w:pPr>
                    <w:adjustRightInd w:val="0"/>
                    <w:snapToGrid w:val="0"/>
                    <w:jc w:val="center"/>
                    <w:rPr>
                      <w:sz w:val="18"/>
                      <w:szCs w:val="18"/>
                    </w:rPr>
                  </w:pPr>
                  <w:r>
                    <w:rPr>
                      <w:sz w:val="18"/>
                      <w:szCs w:val="18"/>
                    </w:rPr>
                    <w:t>--</w:t>
                  </w:r>
                </w:p>
              </w:tc>
              <w:tc>
                <w:tcPr>
                  <w:tcW w:w="399" w:type="pct"/>
                  <w:vAlign w:val="center"/>
                </w:tcPr>
                <w:p>
                  <w:pPr>
                    <w:adjustRightInd w:val="0"/>
                    <w:snapToGrid w:val="0"/>
                    <w:jc w:val="center"/>
                    <w:rPr>
                      <w:sz w:val="18"/>
                      <w:szCs w:val="18"/>
                    </w:rPr>
                  </w:pPr>
                  <w:r>
                    <w:rPr>
                      <w:sz w:val="18"/>
                      <w:szCs w:val="18"/>
                    </w:rPr>
                    <w:t>--</w:t>
                  </w:r>
                </w:p>
              </w:tc>
              <w:tc>
                <w:tcPr>
                  <w:tcW w:w="364" w:type="pct"/>
                  <w:vAlign w:val="center"/>
                </w:tcPr>
                <w:p>
                  <w:pPr>
                    <w:adjustRightInd w:val="0"/>
                    <w:snapToGrid w:val="0"/>
                    <w:jc w:val="center"/>
                    <w:rPr>
                      <w:sz w:val="18"/>
                      <w:szCs w:val="18"/>
                    </w:rPr>
                  </w:pPr>
                  <w:r>
                    <w:rPr>
                      <w:rFonts w:hint="eastAsia"/>
                      <w:sz w:val="18"/>
                      <w:szCs w:val="18"/>
                    </w:rPr>
                    <w:t>9</w:t>
                  </w:r>
                </w:p>
              </w:tc>
              <w:tc>
                <w:tcPr>
                  <w:tcW w:w="641" w:type="pct"/>
                  <w:vAlign w:val="center"/>
                </w:tcPr>
                <w:p>
                  <w:pPr>
                    <w:adjustRightInd w:val="0"/>
                    <w:snapToGrid w:val="0"/>
                    <w:jc w:val="center"/>
                    <w:rPr>
                      <w:sz w:val="18"/>
                      <w:szCs w:val="18"/>
                    </w:rPr>
                  </w:pPr>
                  <w:r>
                    <w:rPr>
                      <w:sz w:val="18"/>
                      <w:szCs w:val="18"/>
                    </w:rPr>
                    <w:t>垃圾桶</w:t>
                  </w:r>
                </w:p>
              </w:tc>
              <w:tc>
                <w:tcPr>
                  <w:tcW w:w="593" w:type="pct"/>
                  <w:vAlign w:val="center"/>
                </w:tcPr>
                <w:p>
                  <w:pPr>
                    <w:adjustRightInd w:val="0"/>
                    <w:snapToGrid w:val="0"/>
                    <w:jc w:val="center"/>
                    <w:rPr>
                      <w:sz w:val="18"/>
                      <w:szCs w:val="18"/>
                    </w:rPr>
                  </w:pPr>
                  <w:r>
                    <w:rPr>
                      <w:sz w:val="18"/>
                      <w:szCs w:val="18"/>
                    </w:rPr>
                    <w:t>由环卫部门清运处理</w:t>
                  </w:r>
                </w:p>
              </w:tc>
              <w:tc>
                <w:tcPr>
                  <w:tcW w:w="427" w:type="pct"/>
                  <w:vAlign w:val="center"/>
                </w:tcPr>
                <w:p>
                  <w:pPr>
                    <w:adjustRightInd w:val="0"/>
                    <w:snapToGrid w:val="0"/>
                    <w:jc w:val="center"/>
                    <w:rPr>
                      <w:sz w:val="18"/>
                      <w:szCs w:val="18"/>
                    </w:rPr>
                  </w:pPr>
                  <w:r>
                    <w:rPr>
                      <w:rFonts w:hint="eastAsia"/>
                      <w:sz w:val="18"/>
                      <w:szCs w:val="18"/>
                    </w:rPr>
                    <w:t>9</w:t>
                  </w:r>
                </w:p>
              </w:tc>
            </w:tr>
          </w:tbl>
          <w:p>
            <w:pPr>
              <w:adjustRightInd w:val="0"/>
              <w:snapToGrid w:val="0"/>
              <w:jc w:val="center"/>
              <w:rPr>
                <w:b/>
                <w:bCs/>
                <w:sz w:val="24"/>
              </w:rPr>
            </w:pPr>
            <w:r>
              <w:rPr>
                <w:b/>
                <w:bCs/>
                <w:sz w:val="24"/>
              </w:rPr>
              <w:t>表</w:t>
            </w:r>
            <w:r>
              <w:rPr>
                <w:rFonts w:hint="eastAsia"/>
                <w:b/>
                <w:bCs/>
                <w:sz w:val="24"/>
              </w:rPr>
              <w:t>50</w:t>
            </w:r>
            <w:r>
              <w:rPr>
                <w:b/>
                <w:bCs/>
                <w:sz w:val="24"/>
              </w:rPr>
              <w:t xml:space="preserve">  危险废物贮存场所基本情况表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460"/>
              <w:gridCol w:w="979"/>
              <w:gridCol w:w="1295"/>
              <w:gridCol w:w="796"/>
              <w:gridCol w:w="743"/>
              <w:gridCol w:w="852"/>
              <w:gridCol w:w="745"/>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43" w:type="pct"/>
                  <w:vAlign w:val="center"/>
                </w:tcPr>
                <w:p>
                  <w:pPr>
                    <w:topLinePunct/>
                    <w:snapToGrid w:val="0"/>
                    <w:jc w:val="center"/>
                    <w:rPr>
                      <w:b/>
                      <w:bCs/>
                      <w:szCs w:val="21"/>
                    </w:rPr>
                  </w:pPr>
                  <w:r>
                    <w:rPr>
                      <w:b/>
                      <w:bCs/>
                      <w:szCs w:val="21"/>
                    </w:rPr>
                    <w:t>贮存</w:t>
                  </w:r>
                </w:p>
                <w:p>
                  <w:pPr>
                    <w:topLinePunct/>
                    <w:snapToGrid w:val="0"/>
                    <w:jc w:val="center"/>
                    <w:rPr>
                      <w:b/>
                      <w:bCs/>
                      <w:szCs w:val="21"/>
                    </w:rPr>
                  </w:pPr>
                  <w:r>
                    <w:rPr>
                      <w:b/>
                      <w:bCs/>
                      <w:szCs w:val="21"/>
                    </w:rPr>
                    <w:t>场所</w:t>
                  </w:r>
                </w:p>
              </w:tc>
              <w:tc>
                <w:tcPr>
                  <w:tcW w:w="862" w:type="pct"/>
                  <w:vAlign w:val="center"/>
                </w:tcPr>
                <w:p>
                  <w:pPr>
                    <w:topLinePunct/>
                    <w:snapToGrid w:val="0"/>
                    <w:jc w:val="center"/>
                    <w:rPr>
                      <w:b/>
                      <w:bCs/>
                      <w:szCs w:val="21"/>
                    </w:rPr>
                  </w:pPr>
                  <w:r>
                    <w:rPr>
                      <w:b/>
                      <w:bCs/>
                      <w:szCs w:val="21"/>
                    </w:rPr>
                    <w:t>危废名称</w:t>
                  </w:r>
                </w:p>
              </w:tc>
              <w:tc>
                <w:tcPr>
                  <w:tcW w:w="578" w:type="pct"/>
                  <w:vAlign w:val="center"/>
                </w:tcPr>
                <w:p>
                  <w:pPr>
                    <w:topLinePunct/>
                    <w:snapToGrid w:val="0"/>
                    <w:ind w:left="-105" w:leftChars="-50" w:right="-105" w:rightChars="-50"/>
                    <w:jc w:val="center"/>
                    <w:rPr>
                      <w:b/>
                      <w:bCs/>
                      <w:szCs w:val="21"/>
                    </w:rPr>
                  </w:pPr>
                  <w:r>
                    <w:rPr>
                      <w:b/>
                      <w:bCs/>
                      <w:szCs w:val="21"/>
                    </w:rPr>
                    <w:t>危废类别</w:t>
                  </w:r>
                </w:p>
              </w:tc>
              <w:tc>
                <w:tcPr>
                  <w:tcW w:w="765" w:type="pct"/>
                  <w:vAlign w:val="center"/>
                </w:tcPr>
                <w:p>
                  <w:pPr>
                    <w:topLinePunct/>
                    <w:snapToGrid w:val="0"/>
                    <w:jc w:val="center"/>
                    <w:rPr>
                      <w:b/>
                      <w:bCs/>
                      <w:szCs w:val="21"/>
                    </w:rPr>
                  </w:pPr>
                  <w:r>
                    <w:rPr>
                      <w:b/>
                      <w:bCs/>
                      <w:szCs w:val="21"/>
                    </w:rPr>
                    <w:t>危废代码</w:t>
                  </w:r>
                </w:p>
              </w:tc>
              <w:tc>
                <w:tcPr>
                  <w:tcW w:w="470" w:type="pct"/>
                  <w:vAlign w:val="center"/>
                </w:tcPr>
                <w:p>
                  <w:pPr>
                    <w:topLinePunct/>
                    <w:snapToGrid w:val="0"/>
                    <w:jc w:val="center"/>
                    <w:rPr>
                      <w:b/>
                      <w:bCs/>
                      <w:szCs w:val="21"/>
                    </w:rPr>
                  </w:pPr>
                  <w:r>
                    <w:rPr>
                      <w:b/>
                      <w:bCs/>
                      <w:szCs w:val="21"/>
                    </w:rPr>
                    <w:t>位置</w:t>
                  </w:r>
                </w:p>
              </w:tc>
              <w:tc>
                <w:tcPr>
                  <w:tcW w:w="439" w:type="pct"/>
                  <w:vAlign w:val="center"/>
                </w:tcPr>
                <w:p>
                  <w:pPr>
                    <w:topLinePunct/>
                    <w:snapToGrid w:val="0"/>
                    <w:jc w:val="center"/>
                    <w:rPr>
                      <w:b/>
                      <w:bCs/>
                      <w:szCs w:val="21"/>
                    </w:rPr>
                  </w:pPr>
                  <w:r>
                    <w:rPr>
                      <w:b/>
                      <w:bCs/>
                      <w:szCs w:val="21"/>
                    </w:rPr>
                    <w:t>占地面积</w:t>
                  </w:r>
                </w:p>
              </w:tc>
              <w:tc>
                <w:tcPr>
                  <w:tcW w:w="503" w:type="pct"/>
                  <w:vAlign w:val="center"/>
                </w:tcPr>
                <w:p>
                  <w:pPr>
                    <w:topLinePunct/>
                    <w:snapToGrid w:val="0"/>
                    <w:jc w:val="center"/>
                    <w:rPr>
                      <w:b/>
                      <w:bCs/>
                      <w:szCs w:val="21"/>
                    </w:rPr>
                  </w:pPr>
                  <w:r>
                    <w:rPr>
                      <w:b/>
                      <w:bCs/>
                      <w:szCs w:val="21"/>
                    </w:rPr>
                    <w:t>贮存</w:t>
                  </w:r>
                </w:p>
                <w:p>
                  <w:pPr>
                    <w:topLinePunct/>
                    <w:snapToGrid w:val="0"/>
                    <w:jc w:val="center"/>
                    <w:rPr>
                      <w:b/>
                      <w:bCs/>
                      <w:szCs w:val="21"/>
                    </w:rPr>
                  </w:pPr>
                  <w:r>
                    <w:rPr>
                      <w:b/>
                      <w:bCs/>
                      <w:szCs w:val="21"/>
                    </w:rPr>
                    <w:t>方式</w:t>
                  </w:r>
                </w:p>
              </w:tc>
              <w:tc>
                <w:tcPr>
                  <w:tcW w:w="440" w:type="pct"/>
                  <w:vAlign w:val="center"/>
                </w:tcPr>
                <w:p>
                  <w:pPr>
                    <w:topLinePunct/>
                    <w:snapToGrid w:val="0"/>
                    <w:jc w:val="center"/>
                    <w:rPr>
                      <w:b/>
                      <w:bCs/>
                      <w:szCs w:val="21"/>
                    </w:rPr>
                  </w:pPr>
                  <w:r>
                    <w:rPr>
                      <w:b/>
                      <w:bCs/>
                      <w:szCs w:val="21"/>
                    </w:rPr>
                    <w:t>贮存</w:t>
                  </w:r>
                </w:p>
                <w:p>
                  <w:pPr>
                    <w:topLinePunct/>
                    <w:snapToGrid w:val="0"/>
                    <w:jc w:val="center"/>
                    <w:rPr>
                      <w:b/>
                      <w:bCs/>
                      <w:szCs w:val="21"/>
                    </w:rPr>
                  </w:pPr>
                  <w:r>
                    <w:rPr>
                      <w:b/>
                      <w:bCs/>
                      <w:szCs w:val="21"/>
                    </w:rPr>
                    <w:t>能力</w:t>
                  </w:r>
                </w:p>
              </w:tc>
              <w:tc>
                <w:tcPr>
                  <w:tcW w:w="496" w:type="pct"/>
                  <w:vAlign w:val="center"/>
                </w:tcPr>
                <w:p>
                  <w:pPr>
                    <w:topLinePunct/>
                    <w:snapToGrid w:val="0"/>
                    <w:jc w:val="center"/>
                    <w:rPr>
                      <w:b/>
                      <w:bCs/>
                      <w:szCs w:val="21"/>
                    </w:rPr>
                  </w:pPr>
                  <w:r>
                    <w:rPr>
                      <w:b/>
                      <w:bCs/>
                      <w:szCs w:val="21"/>
                    </w:rPr>
                    <w:t>贮存</w:t>
                  </w:r>
                </w:p>
                <w:p>
                  <w:pPr>
                    <w:topLinePunct/>
                    <w:snapToGrid w:val="0"/>
                    <w:jc w:val="center"/>
                    <w:rPr>
                      <w:b/>
                      <w:bCs/>
                      <w:szCs w:val="21"/>
                    </w:rPr>
                  </w:pPr>
                  <w:r>
                    <w:rPr>
                      <w:b/>
                      <w:bCs/>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restart"/>
                  <w:vAlign w:val="center"/>
                </w:tcPr>
                <w:p>
                  <w:pPr>
                    <w:topLinePunct/>
                    <w:snapToGrid w:val="0"/>
                    <w:jc w:val="center"/>
                    <w:rPr>
                      <w:szCs w:val="21"/>
                    </w:rPr>
                  </w:pPr>
                  <w:r>
                    <w:rPr>
                      <w:szCs w:val="21"/>
                    </w:rPr>
                    <w:t>危废间</w:t>
                  </w:r>
                </w:p>
              </w:tc>
              <w:tc>
                <w:tcPr>
                  <w:tcW w:w="862" w:type="pct"/>
                  <w:vAlign w:val="center"/>
                </w:tcPr>
                <w:p>
                  <w:pPr>
                    <w:adjustRightInd w:val="0"/>
                    <w:snapToGrid w:val="0"/>
                    <w:jc w:val="center"/>
                    <w:rPr>
                      <w:szCs w:val="21"/>
                    </w:rPr>
                  </w:pPr>
                  <w:r>
                    <w:rPr>
                      <w:rFonts w:hint="eastAsia"/>
                      <w:szCs w:val="21"/>
                    </w:rPr>
                    <w:t>废催化剂</w:t>
                  </w:r>
                </w:p>
              </w:tc>
              <w:tc>
                <w:tcPr>
                  <w:tcW w:w="578" w:type="pct"/>
                  <w:vAlign w:val="center"/>
                </w:tcPr>
                <w:p>
                  <w:pPr>
                    <w:spacing w:line="300" w:lineRule="exact"/>
                    <w:jc w:val="center"/>
                    <w:rPr>
                      <w:szCs w:val="21"/>
                    </w:rPr>
                  </w:pPr>
                  <w:r>
                    <w:rPr>
                      <w:szCs w:val="21"/>
                    </w:rPr>
                    <w:t>HW49</w:t>
                  </w:r>
                </w:p>
              </w:tc>
              <w:tc>
                <w:tcPr>
                  <w:tcW w:w="765" w:type="pct"/>
                  <w:vAlign w:val="center"/>
                </w:tcPr>
                <w:p>
                  <w:pPr>
                    <w:jc w:val="center"/>
                    <w:rPr>
                      <w:szCs w:val="21"/>
                    </w:rPr>
                  </w:pPr>
                  <w:r>
                    <w:rPr>
                      <w:szCs w:val="21"/>
                    </w:rPr>
                    <w:t>900-041-49</w:t>
                  </w:r>
                </w:p>
              </w:tc>
              <w:tc>
                <w:tcPr>
                  <w:tcW w:w="470" w:type="pct"/>
                  <w:vMerge w:val="restart"/>
                  <w:vAlign w:val="center"/>
                </w:tcPr>
                <w:p>
                  <w:pPr>
                    <w:topLinePunct/>
                    <w:snapToGrid w:val="0"/>
                    <w:ind w:left="-105" w:leftChars="-50" w:right="-105" w:rightChars="-50"/>
                    <w:jc w:val="center"/>
                    <w:rPr>
                      <w:szCs w:val="21"/>
                    </w:rPr>
                  </w:pPr>
                  <w:r>
                    <w:rPr>
                      <w:rFonts w:hint="eastAsia"/>
                      <w:szCs w:val="21"/>
                    </w:rPr>
                    <w:t>厂区西北侧</w:t>
                  </w:r>
                </w:p>
              </w:tc>
              <w:tc>
                <w:tcPr>
                  <w:tcW w:w="439" w:type="pct"/>
                  <w:vMerge w:val="restart"/>
                  <w:vAlign w:val="center"/>
                </w:tcPr>
                <w:p>
                  <w:pPr>
                    <w:jc w:val="center"/>
                    <w:rPr>
                      <w:szCs w:val="21"/>
                    </w:rPr>
                  </w:pPr>
                  <w:r>
                    <w:rPr>
                      <w:rFonts w:hint="eastAsia"/>
                      <w:szCs w:val="21"/>
                    </w:rPr>
                    <w:t>15</w:t>
                  </w:r>
                  <w:r>
                    <w:rPr>
                      <w:sz w:val="24"/>
                    </w:rPr>
                    <w:t>m</w:t>
                  </w:r>
                  <w:r>
                    <w:rPr>
                      <w:sz w:val="24"/>
                      <w:vertAlign w:val="superscript"/>
                    </w:rPr>
                    <w:t>2</w:t>
                  </w:r>
                </w:p>
              </w:tc>
              <w:tc>
                <w:tcPr>
                  <w:tcW w:w="503" w:type="pct"/>
                  <w:vAlign w:val="center"/>
                </w:tcPr>
                <w:p>
                  <w:pPr>
                    <w:jc w:val="center"/>
                    <w:rPr>
                      <w:szCs w:val="21"/>
                    </w:rPr>
                  </w:pPr>
                  <w:r>
                    <w:rPr>
                      <w:rFonts w:hint="eastAsia"/>
                      <w:szCs w:val="21"/>
                    </w:rPr>
                    <w:t>袋装</w:t>
                  </w:r>
                </w:p>
              </w:tc>
              <w:tc>
                <w:tcPr>
                  <w:tcW w:w="440" w:type="pct"/>
                  <w:vMerge w:val="restart"/>
                  <w:vAlign w:val="center"/>
                </w:tcPr>
                <w:p>
                  <w:pPr>
                    <w:jc w:val="center"/>
                    <w:rPr>
                      <w:szCs w:val="21"/>
                    </w:rPr>
                  </w:pPr>
                  <w:r>
                    <w:rPr>
                      <w:rFonts w:hint="eastAsia"/>
                      <w:szCs w:val="21"/>
                    </w:rPr>
                    <w:t>15t</w:t>
                  </w:r>
                </w:p>
                <w:p>
                  <w:pPr>
                    <w:jc w:val="center"/>
                    <w:rPr>
                      <w:szCs w:val="21"/>
                    </w:rPr>
                  </w:pPr>
                </w:p>
              </w:tc>
              <w:tc>
                <w:tcPr>
                  <w:tcW w:w="496" w:type="pct"/>
                  <w:vAlign w:val="center"/>
                </w:tcPr>
                <w:p>
                  <w:pPr>
                    <w:jc w:val="center"/>
                    <w:rPr>
                      <w:szCs w:val="21"/>
                    </w:rPr>
                  </w:pPr>
                  <w:r>
                    <w:rPr>
                      <w:rFonts w:hint="eastAsia"/>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topLinePunct/>
                    <w:snapToGrid w:val="0"/>
                    <w:jc w:val="center"/>
                    <w:rPr>
                      <w:szCs w:val="21"/>
                    </w:rPr>
                  </w:pPr>
                </w:p>
              </w:tc>
              <w:tc>
                <w:tcPr>
                  <w:tcW w:w="862" w:type="pct"/>
                  <w:vAlign w:val="center"/>
                </w:tcPr>
                <w:p>
                  <w:pPr>
                    <w:adjustRightInd w:val="0"/>
                    <w:snapToGrid w:val="0"/>
                    <w:jc w:val="center"/>
                    <w:rPr>
                      <w:szCs w:val="21"/>
                    </w:rPr>
                  </w:pPr>
                  <w:r>
                    <w:rPr>
                      <w:rFonts w:hint="eastAsia"/>
                      <w:szCs w:val="21"/>
                    </w:rPr>
                    <w:t>废过滤棉</w:t>
                  </w:r>
                </w:p>
              </w:tc>
              <w:tc>
                <w:tcPr>
                  <w:tcW w:w="578" w:type="pct"/>
                  <w:vAlign w:val="center"/>
                </w:tcPr>
                <w:p>
                  <w:pPr>
                    <w:spacing w:line="300" w:lineRule="exact"/>
                    <w:jc w:val="center"/>
                    <w:rPr>
                      <w:szCs w:val="21"/>
                    </w:rPr>
                  </w:pPr>
                  <w:r>
                    <w:rPr>
                      <w:szCs w:val="21"/>
                    </w:rPr>
                    <w:t>HW49</w:t>
                  </w:r>
                </w:p>
              </w:tc>
              <w:tc>
                <w:tcPr>
                  <w:tcW w:w="765" w:type="pct"/>
                  <w:vAlign w:val="center"/>
                </w:tcPr>
                <w:p>
                  <w:pPr>
                    <w:jc w:val="center"/>
                    <w:rPr>
                      <w:szCs w:val="21"/>
                    </w:rPr>
                  </w:pPr>
                  <w:r>
                    <w:rPr>
                      <w:szCs w:val="21"/>
                    </w:rPr>
                    <w:t>900-041-49</w:t>
                  </w:r>
                </w:p>
              </w:tc>
              <w:tc>
                <w:tcPr>
                  <w:tcW w:w="470" w:type="pct"/>
                  <w:vMerge w:val="continue"/>
                  <w:vAlign w:val="center"/>
                </w:tcPr>
                <w:p>
                  <w:pPr>
                    <w:topLinePunct/>
                    <w:snapToGrid w:val="0"/>
                    <w:ind w:left="-105" w:leftChars="-50" w:right="-105" w:rightChars="-50"/>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szCs w:val="21"/>
                    </w:rPr>
                    <w:t>袋装</w:t>
                  </w:r>
                </w:p>
              </w:tc>
              <w:tc>
                <w:tcPr>
                  <w:tcW w:w="440" w:type="pct"/>
                  <w:vMerge w:val="continue"/>
                  <w:vAlign w:val="center"/>
                </w:tcPr>
                <w:p>
                  <w:pPr>
                    <w:jc w:val="center"/>
                    <w:rPr>
                      <w:szCs w:val="21"/>
                    </w:rPr>
                  </w:pPr>
                </w:p>
              </w:tc>
              <w:tc>
                <w:tcPr>
                  <w:tcW w:w="496" w:type="pct"/>
                  <w:vAlign w:val="center"/>
                </w:tcPr>
                <w:p>
                  <w:pPr>
                    <w:jc w:val="center"/>
                    <w:rPr>
                      <w:szCs w:val="21"/>
                    </w:rPr>
                  </w:pPr>
                  <w:r>
                    <w:rPr>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topLinePunct/>
                    <w:snapToGrid w:val="0"/>
                    <w:jc w:val="center"/>
                    <w:rPr>
                      <w:szCs w:val="21"/>
                    </w:rPr>
                  </w:pPr>
                </w:p>
              </w:tc>
              <w:tc>
                <w:tcPr>
                  <w:tcW w:w="862" w:type="pct"/>
                  <w:vAlign w:val="center"/>
                </w:tcPr>
                <w:p>
                  <w:pPr>
                    <w:adjustRightInd w:val="0"/>
                    <w:snapToGrid w:val="0"/>
                    <w:jc w:val="center"/>
                    <w:rPr>
                      <w:szCs w:val="21"/>
                    </w:rPr>
                  </w:pPr>
                  <w:r>
                    <w:rPr>
                      <w:rFonts w:hint="eastAsia"/>
                      <w:szCs w:val="21"/>
                    </w:rPr>
                    <w:t>废活性炭</w:t>
                  </w:r>
                </w:p>
              </w:tc>
              <w:tc>
                <w:tcPr>
                  <w:tcW w:w="578" w:type="pct"/>
                  <w:vAlign w:val="center"/>
                </w:tcPr>
                <w:p>
                  <w:pPr>
                    <w:spacing w:line="300" w:lineRule="exact"/>
                    <w:jc w:val="center"/>
                    <w:rPr>
                      <w:szCs w:val="21"/>
                    </w:rPr>
                  </w:pPr>
                  <w:r>
                    <w:rPr>
                      <w:szCs w:val="21"/>
                    </w:rPr>
                    <w:t>HW49</w:t>
                  </w:r>
                </w:p>
              </w:tc>
              <w:tc>
                <w:tcPr>
                  <w:tcW w:w="765" w:type="pct"/>
                  <w:vAlign w:val="center"/>
                </w:tcPr>
                <w:p>
                  <w:pPr>
                    <w:jc w:val="center"/>
                    <w:rPr>
                      <w:szCs w:val="21"/>
                    </w:rPr>
                  </w:pPr>
                  <w:r>
                    <w:rPr>
                      <w:szCs w:val="21"/>
                    </w:rPr>
                    <w:t>900-0</w:t>
                  </w:r>
                  <w:r>
                    <w:rPr>
                      <w:rFonts w:hint="eastAsia"/>
                      <w:szCs w:val="21"/>
                    </w:rPr>
                    <w:t>39</w:t>
                  </w:r>
                  <w:r>
                    <w:rPr>
                      <w:szCs w:val="21"/>
                    </w:rPr>
                    <w:t>-49</w:t>
                  </w:r>
                </w:p>
              </w:tc>
              <w:tc>
                <w:tcPr>
                  <w:tcW w:w="470" w:type="pct"/>
                  <w:vMerge w:val="continue"/>
                  <w:vAlign w:val="center"/>
                </w:tcPr>
                <w:p>
                  <w:pPr>
                    <w:topLinePunct/>
                    <w:snapToGrid w:val="0"/>
                    <w:ind w:left="-105" w:leftChars="-50" w:right="-105" w:rightChars="-50"/>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rFonts w:hint="eastAsia"/>
                      <w:szCs w:val="21"/>
                    </w:rPr>
                    <w:t>袋装</w:t>
                  </w:r>
                </w:p>
              </w:tc>
              <w:tc>
                <w:tcPr>
                  <w:tcW w:w="440" w:type="pct"/>
                  <w:vMerge w:val="continue"/>
                  <w:vAlign w:val="center"/>
                </w:tcPr>
                <w:p>
                  <w:pPr>
                    <w:jc w:val="center"/>
                    <w:rPr>
                      <w:szCs w:val="21"/>
                    </w:rPr>
                  </w:pPr>
                </w:p>
              </w:tc>
              <w:tc>
                <w:tcPr>
                  <w:tcW w:w="496" w:type="pct"/>
                  <w:vAlign w:val="center"/>
                </w:tcPr>
                <w:p>
                  <w:pPr>
                    <w:jc w:val="center"/>
                    <w:rPr>
                      <w:szCs w:val="21"/>
                    </w:rPr>
                  </w:pPr>
                  <w:r>
                    <w:rPr>
                      <w:rFonts w:hint="eastAsia"/>
                      <w:szCs w:val="21"/>
                    </w:rPr>
                    <w:t>1</w:t>
                  </w:r>
                  <w:r>
                    <w:rPr>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jc w:val="center"/>
                  </w:pPr>
                </w:p>
              </w:tc>
              <w:tc>
                <w:tcPr>
                  <w:tcW w:w="862" w:type="pct"/>
                  <w:vAlign w:val="center"/>
                </w:tcPr>
                <w:p>
                  <w:pPr>
                    <w:adjustRightInd w:val="0"/>
                    <w:snapToGrid w:val="0"/>
                    <w:jc w:val="center"/>
                    <w:rPr>
                      <w:szCs w:val="21"/>
                    </w:rPr>
                  </w:pPr>
                  <w:r>
                    <w:rPr>
                      <w:szCs w:val="21"/>
                    </w:rPr>
                    <w:t>废机油</w:t>
                  </w:r>
                </w:p>
              </w:tc>
              <w:tc>
                <w:tcPr>
                  <w:tcW w:w="578" w:type="pct"/>
                  <w:vAlign w:val="center"/>
                </w:tcPr>
                <w:p>
                  <w:pPr>
                    <w:spacing w:line="300" w:lineRule="exact"/>
                    <w:jc w:val="center"/>
                    <w:rPr>
                      <w:szCs w:val="21"/>
                    </w:rPr>
                  </w:pPr>
                  <w:r>
                    <w:rPr>
                      <w:szCs w:val="21"/>
                    </w:rPr>
                    <w:t>HW08</w:t>
                  </w:r>
                </w:p>
              </w:tc>
              <w:tc>
                <w:tcPr>
                  <w:tcW w:w="765" w:type="pct"/>
                  <w:vAlign w:val="center"/>
                </w:tcPr>
                <w:p>
                  <w:pPr>
                    <w:jc w:val="center"/>
                    <w:rPr>
                      <w:szCs w:val="21"/>
                    </w:rPr>
                  </w:pPr>
                  <w:r>
                    <w:rPr>
                      <w:szCs w:val="21"/>
                    </w:rPr>
                    <w:t>900-2</w:t>
                  </w:r>
                  <w:r>
                    <w:rPr>
                      <w:rFonts w:hint="eastAsia"/>
                      <w:szCs w:val="21"/>
                    </w:rPr>
                    <w:t>49</w:t>
                  </w:r>
                  <w:r>
                    <w:rPr>
                      <w:szCs w:val="21"/>
                    </w:rPr>
                    <w:t>-08</w:t>
                  </w:r>
                </w:p>
              </w:tc>
              <w:tc>
                <w:tcPr>
                  <w:tcW w:w="470" w:type="pct"/>
                  <w:vMerge w:val="continue"/>
                  <w:vAlign w:val="center"/>
                </w:tcPr>
                <w:p>
                  <w:pPr>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szCs w:val="21"/>
                    </w:rPr>
                    <w:t>桶装</w:t>
                  </w:r>
                </w:p>
              </w:tc>
              <w:tc>
                <w:tcPr>
                  <w:tcW w:w="440" w:type="pct"/>
                  <w:vMerge w:val="continue"/>
                  <w:vAlign w:val="center"/>
                </w:tcPr>
                <w:p>
                  <w:pPr>
                    <w:jc w:val="center"/>
                    <w:rPr>
                      <w:szCs w:val="21"/>
                    </w:rPr>
                  </w:pPr>
                </w:p>
              </w:tc>
              <w:tc>
                <w:tcPr>
                  <w:tcW w:w="496" w:type="pct"/>
                  <w:vAlign w:val="center"/>
                </w:tcPr>
                <w:p>
                  <w:pPr>
                    <w:jc w:val="center"/>
                    <w:rPr>
                      <w:szCs w:val="21"/>
                    </w:rPr>
                  </w:pPr>
                  <w:r>
                    <w:rPr>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jc w:val="center"/>
                  </w:pPr>
                </w:p>
              </w:tc>
              <w:tc>
                <w:tcPr>
                  <w:tcW w:w="862" w:type="pct"/>
                  <w:vAlign w:val="center"/>
                </w:tcPr>
                <w:p>
                  <w:pPr>
                    <w:adjustRightInd w:val="0"/>
                    <w:snapToGrid w:val="0"/>
                    <w:jc w:val="center"/>
                    <w:rPr>
                      <w:szCs w:val="21"/>
                    </w:rPr>
                  </w:pPr>
                  <w:r>
                    <w:rPr>
                      <w:szCs w:val="21"/>
                    </w:rPr>
                    <w:t>废机油桶</w:t>
                  </w:r>
                </w:p>
              </w:tc>
              <w:tc>
                <w:tcPr>
                  <w:tcW w:w="578" w:type="pct"/>
                  <w:vAlign w:val="center"/>
                </w:tcPr>
                <w:p>
                  <w:pPr>
                    <w:spacing w:line="300" w:lineRule="exact"/>
                    <w:jc w:val="center"/>
                    <w:rPr>
                      <w:szCs w:val="21"/>
                    </w:rPr>
                  </w:pPr>
                  <w:r>
                    <w:rPr>
                      <w:szCs w:val="21"/>
                    </w:rPr>
                    <w:t>HW49</w:t>
                  </w:r>
                </w:p>
              </w:tc>
              <w:tc>
                <w:tcPr>
                  <w:tcW w:w="765" w:type="pct"/>
                  <w:vAlign w:val="center"/>
                </w:tcPr>
                <w:p>
                  <w:pPr>
                    <w:jc w:val="center"/>
                    <w:rPr>
                      <w:szCs w:val="21"/>
                    </w:rPr>
                  </w:pPr>
                  <w:r>
                    <w:rPr>
                      <w:szCs w:val="21"/>
                    </w:rPr>
                    <w:t>900-041-49</w:t>
                  </w:r>
                </w:p>
              </w:tc>
              <w:tc>
                <w:tcPr>
                  <w:tcW w:w="470" w:type="pct"/>
                  <w:vMerge w:val="continue"/>
                  <w:vAlign w:val="center"/>
                </w:tcPr>
                <w:p>
                  <w:pPr>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szCs w:val="21"/>
                    </w:rPr>
                    <w:t>桶装</w:t>
                  </w:r>
                </w:p>
              </w:tc>
              <w:tc>
                <w:tcPr>
                  <w:tcW w:w="440" w:type="pct"/>
                  <w:vMerge w:val="continue"/>
                  <w:vAlign w:val="center"/>
                </w:tcPr>
                <w:p>
                  <w:pPr>
                    <w:jc w:val="center"/>
                    <w:rPr>
                      <w:szCs w:val="21"/>
                    </w:rPr>
                  </w:pPr>
                </w:p>
              </w:tc>
              <w:tc>
                <w:tcPr>
                  <w:tcW w:w="496" w:type="pct"/>
                  <w:vAlign w:val="center"/>
                </w:tcPr>
                <w:p>
                  <w:pPr>
                    <w:jc w:val="center"/>
                    <w:rPr>
                      <w:szCs w:val="21"/>
                    </w:rPr>
                  </w:pPr>
                  <w:r>
                    <w:rPr>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jc w:val="center"/>
                    <w:rPr>
                      <w:szCs w:val="21"/>
                    </w:rPr>
                  </w:pPr>
                </w:p>
              </w:tc>
              <w:tc>
                <w:tcPr>
                  <w:tcW w:w="862" w:type="pct"/>
                  <w:vAlign w:val="center"/>
                </w:tcPr>
                <w:p>
                  <w:pPr>
                    <w:adjustRightInd w:val="0"/>
                    <w:snapToGrid w:val="0"/>
                    <w:jc w:val="center"/>
                    <w:rPr>
                      <w:szCs w:val="21"/>
                    </w:rPr>
                  </w:pPr>
                  <w:r>
                    <w:rPr>
                      <w:szCs w:val="21"/>
                    </w:rPr>
                    <w:t>废切削液</w:t>
                  </w:r>
                </w:p>
              </w:tc>
              <w:tc>
                <w:tcPr>
                  <w:tcW w:w="578" w:type="pct"/>
                  <w:vAlign w:val="center"/>
                </w:tcPr>
                <w:p>
                  <w:pPr>
                    <w:spacing w:line="300" w:lineRule="exact"/>
                    <w:jc w:val="center"/>
                    <w:rPr>
                      <w:szCs w:val="21"/>
                    </w:rPr>
                  </w:pPr>
                  <w:r>
                    <w:rPr>
                      <w:szCs w:val="21"/>
                    </w:rPr>
                    <w:t>HW09</w:t>
                  </w:r>
                </w:p>
              </w:tc>
              <w:tc>
                <w:tcPr>
                  <w:tcW w:w="765" w:type="pct"/>
                  <w:vAlign w:val="center"/>
                </w:tcPr>
                <w:p>
                  <w:pPr>
                    <w:jc w:val="center"/>
                    <w:rPr>
                      <w:szCs w:val="21"/>
                    </w:rPr>
                  </w:pPr>
                  <w:r>
                    <w:rPr>
                      <w:szCs w:val="21"/>
                    </w:rPr>
                    <w:t>900-006-09</w:t>
                  </w:r>
                </w:p>
              </w:tc>
              <w:tc>
                <w:tcPr>
                  <w:tcW w:w="470" w:type="pct"/>
                  <w:vMerge w:val="continue"/>
                  <w:vAlign w:val="center"/>
                </w:tcPr>
                <w:p>
                  <w:pPr>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szCs w:val="21"/>
                    </w:rPr>
                    <w:t>桶装</w:t>
                  </w:r>
                </w:p>
              </w:tc>
              <w:tc>
                <w:tcPr>
                  <w:tcW w:w="440" w:type="pct"/>
                  <w:vMerge w:val="continue"/>
                  <w:vAlign w:val="center"/>
                </w:tcPr>
                <w:p>
                  <w:pPr>
                    <w:jc w:val="center"/>
                    <w:rPr>
                      <w:szCs w:val="21"/>
                    </w:rPr>
                  </w:pPr>
                </w:p>
              </w:tc>
              <w:tc>
                <w:tcPr>
                  <w:tcW w:w="496" w:type="pct"/>
                  <w:vAlign w:val="center"/>
                </w:tcPr>
                <w:p>
                  <w:pPr>
                    <w:jc w:val="center"/>
                    <w:rPr>
                      <w:szCs w:val="21"/>
                    </w:rPr>
                  </w:pPr>
                  <w:r>
                    <w:rPr>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43" w:type="pct"/>
                  <w:vMerge w:val="continue"/>
                  <w:vAlign w:val="center"/>
                </w:tcPr>
                <w:p>
                  <w:pPr>
                    <w:jc w:val="center"/>
                    <w:rPr>
                      <w:szCs w:val="21"/>
                    </w:rPr>
                  </w:pPr>
                </w:p>
              </w:tc>
              <w:tc>
                <w:tcPr>
                  <w:tcW w:w="862" w:type="pct"/>
                  <w:vAlign w:val="center"/>
                </w:tcPr>
                <w:p>
                  <w:pPr>
                    <w:adjustRightInd w:val="0"/>
                    <w:snapToGrid w:val="0"/>
                    <w:jc w:val="center"/>
                    <w:rPr>
                      <w:szCs w:val="21"/>
                    </w:rPr>
                  </w:pPr>
                  <w:r>
                    <w:rPr>
                      <w:szCs w:val="21"/>
                    </w:rPr>
                    <w:t>废切削液桶</w:t>
                  </w:r>
                </w:p>
              </w:tc>
              <w:tc>
                <w:tcPr>
                  <w:tcW w:w="578" w:type="pct"/>
                  <w:vAlign w:val="center"/>
                </w:tcPr>
                <w:p>
                  <w:pPr>
                    <w:spacing w:line="300" w:lineRule="exact"/>
                    <w:jc w:val="center"/>
                    <w:rPr>
                      <w:szCs w:val="21"/>
                    </w:rPr>
                  </w:pPr>
                  <w:r>
                    <w:rPr>
                      <w:szCs w:val="21"/>
                    </w:rPr>
                    <w:t>HW49</w:t>
                  </w:r>
                </w:p>
              </w:tc>
              <w:tc>
                <w:tcPr>
                  <w:tcW w:w="765" w:type="pct"/>
                  <w:vAlign w:val="center"/>
                </w:tcPr>
                <w:p>
                  <w:pPr>
                    <w:jc w:val="center"/>
                    <w:rPr>
                      <w:szCs w:val="21"/>
                    </w:rPr>
                  </w:pPr>
                  <w:r>
                    <w:rPr>
                      <w:szCs w:val="21"/>
                    </w:rPr>
                    <w:t>900-041-49</w:t>
                  </w:r>
                </w:p>
              </w:tc>
              <w:tc>
                <w:tcPr>
                  <w:tcW w:w="470" w:type="pct"/>
                  <w:vMerge w:val="continue"/>
                  <w:vAlign w:val="center"/>
                </w:tcPr>
                <w:p>
                  <w:pPr>
                    <w:jc w:val="center"/>
                    <w:rPr>
                      <w:szCs w:val="21"/>
                    </w:rPr>
                  </w:pPr>
                </w:p>
              </w:tc>
              <w:tc>
                <w:tcPr>
                  <w:tcW w:w="439" w:type="pct"/>
                  <w:vMerge w:val="continue"/>
                  <w:vAlign w:val="center"/>
                </w:tcPr>
                <w:p>
                  <w:pPr>
                    <w:jc w:val="center"/>
                    <w:rPr>
                      <w:szCs w:val="21"/>
                    </w:rPr>
                  </w:pPr>
                </w:p>
              </w:tc>
              <w:tc>
                <w:tcPr>
                  <w:tcW w:w="503" w:type="pct"/>
                  <w:vAlign w:val="center"/>
                </w:tcPr>
                <w:p>
                  <w:pPr>
                    <w:jc w:val="center"/>
                    <w:rPr>
                      <w:szCs w:val="21"/>
                    </w:rPr>
                  </w:pPr>
                  <w:r>
                    <w:rPr>
                      <w:szCs w:val="21"/>
                    </w:rPr>
                    <w:t>桶装</w:t>
                  </w:r>
                </w:p>
              </w:tc>
              <w:tc>
                <w:tcPr>
                  <w:tcW w:w="440" w:type="pct"/>
                  <w:vMerge w:val="continue"/>
                  <w:vAlign w:val="center"/>
                </w:tcPr>
                <w:p>
                  <w:pPr>
                    <w:jc w:val="center"/>
                    <w:rPr>
                      <w:szCs w:val="21"/>
                    </w:rPr>
                  </w:pPr>
                </w:p>
              </w:tc>
              <w:tc>
                <w:tcPr>
                  <w:tcW w:w="496" w:type="pct"/>
                  <w:vAlign w:val="center"/>
                </w:tcPr>
                <w:p>
                  <w:pPr>
                    <w:jc w:val="center"/>
                    <w:rPr>
                      <w:szCs w:val="21"/>
                    </w:rPr>
                  </w:pPr>
                  <w:r>
                    <w:rPr>
                      <w:szCs w:val="21"/>
                    </w:rPr>
                    <w:t>1年</w:t>
                  </w:r>
                </w:p>
              </w:tc>
            </w:tr>
          </w:tbl>
          <w:p>
            <w:pPr>
              <w:numPr>
                <w:ilvl w:val="0"/>
                <w:numId w:val="7"/>
              </w:numPr>
              <w:spacing w:line="360" w:lineRule="auto"/>
              <w:ind w:firstLine="480" w:firstLineChars="200"/>
              <w:rPr>
                <w:sz w:val="24"/>
              </w:rPr>
            </w:pPr>
            <w:r>
              <w:rPr>
                <w:sz w:val="24"/>
              </w:rPr>
              <w:t>切割工序产生的</w:t>
            </w:r>
            <w:r>
              <w:rPr>
                <w:rFonts w:hint="eastAsia"/>
                <w:sz w:val="24"/>
              </w:rPr>
              <w:t>边</w:t>
            </w:r>
            <w:r>
              <w:rPr>
                <w:sz w:val="24"/>
              </w:rPr>
              <w:t>角料：根据企业提供资料以及</w:t>
            </w:r>
            <w:r>
              <w:rPr>
                <w:rFonts w:hint="eastAsia"/>
                <w:sz w:val="24"/>
              </w:rPr>
              <w:t>查阅《排放源统计调查产排污核算方法和系数手册》中33 金属制品业、34 通用设备制造业、35 专用设备制造业、36 汽车制造业、37 铁路、船舶、航空航天和其他运输设备制造业、431金属制品修理、432 通用设备修理、433 专用设备修理、434 铁路、船舶、航空航天等运输设备修理（不包括电镀工艺）行业系数手册</w:t>
            </w:r>
            <w:r>
              <w:rPr>
                <w:sz w:val="24"/>
              </w:rPr>
              <w:t>类比同行业，项目边角料产生量约</w:t>
            </w:r>
            <w:r>
              <w:rPr>
                <w:rFonts w:hint="eastAsia"/>
                <w:sz w:val="24"/>
              </w:rPr>
              <w:t>为100kg/t产品，产品量按照200</w:t>
            </w:r>
            <w:r>
              <w:rPr>
                <w:sz w:val="24"/>
              </w:rPr>
              <w:t>t/a，</w:t>
            </w:r>
            <w:r>
              <w:rPr>
                <w:rFonts w:hint="eastAsia"/>
                <w:sz w:val="24"/>
              </w:rPr>
              <w:t>则边角料的产生量为20t/a，</w:t>
            </w:r>
            <w:r>
              <w:rPr>
                <w:sz w:val="24"/>
              </w:rPr>
              <w:t>统一收集后外售。</w:t>
            </w:r>
          </w:p>
          <w:p>
            <w:pPr>
              <w:spacing w:line="360" w:lineRule="auto"/>
              <w:ind w:firstLine="480" w:firstLineChars="200"/>
              <w:rPr>
                <w:sz w:val="24"/>
              </w:rPr>
            </w:pPr>
            <w:r>
              <w:rPr>
                <w:sz w:val="24"/>
              </w:rPr>
              <w:t>（2）机械加工产生的</w:t>
            </w:r>
            <w:r>
              <w:rPr>
                <w:rFonts w:hint="eastAsia"/>
                <w:sz w:val="24"/>
              </w:rPr>
              <w:t>下角料</w:t>
            </w:r>
            <w:r>
              <w:rPr>
                <w:sz w:val="24"/>
              </w:rPr>
              <w:t>：根据企业提供资料</w:t>
            </w:r>
            <w:r>
              <w:rPr>
                <w:rFonts w:hint="eastAsia"/>
                <w:sz w:val="24"/>
              </w:rPr>
              <w:t>及查阅相关资料</w:t>
            </w:r>
            <w:r>
              <w:rPr>
                <w:sz w:val="24"/>
              </w:rPr>
              <w:t>，项目机械加工产生的</w:t>
            </w:r>
            <w:r>
              <w:rPr>
                <w:rFonts w:hint="eastAsia"/>
                <w:sz w:val="24"/>
              </w:rPr>
              <w:t>下角料</w:t>
            </w:r>
            <w:r>
              <w:rPr>
                <w:sz w:val="24"/>
              </w:rPr>
              <w:t>约</w:t>
            </w:r>
            <w:r>
              <w:rPr>
                <w:rFonts w:hint="eastAsia"/>
                <w:sz w:val="24"/>
              </w:rPr>
              <w:t>为53kg/t产品，产品量按照200</w:t>
            </w:r>
            <w:r>
              <w:rPr>
                <w:sz w:val="24"/>
              </w:rPr>
              <w:t>t/a，</w:t>
            </w:r>
            <w:r>
              <w:rPr>
                <w:rFonts w:hint="eastAsia"/>
                <w:sz w:val="24"/>
              </w:rPr>
              <w:t>则下角料的产生量为10.6t/a，</w:t>
            </w:r>
            <w:r>
              <w:rPr>
                <w:sz w:val="24"/>
              </w:rPr>
              <w:t>统一收集后外售。</w:t>
            </w:r>
          </w:p>
          <w:p>
            <w:pPr>
              <w:tabs>
                <w:tab w:val="left" w:pos="546"/>
              </w:tabs>
              <w:spacing w:line="360" w:lineRule="auto"/>
              <w:ind w:firstLine="480" w:firstLineChars="200"/>
              <w:rPr>
                <w:sz w:val="24"/>
              </w:rPr>
            </w:pPr>
            <w:r>
              <w:rPr>
                <w:sz w:val="24"/>
              </w:rPr>
              <w:t>（3）</w:t>
            </w:r>
            <w:r>
              <w:rPr>
                <w:rFonts w:hint="eastAsia"/>
                <w:sz w:val="24"/>
              </w:rPr>
              <w:t>废焊渣</w:t>
            </w:r>
            <w:r>
              <w:rPr>
                <w:sz w:val="24"/>
              </w:rPr>
              <w:t>：根据企业提供资料以及类比同行业，项目</w:t>
            </w:r>
            <w:r>
              <w:rPr>
                <w:rFonts w:hint="eastAsia"/>
                <w:sz w:val="24"/>
              </w:rPr>
              <w:t>废焊渣</w:t>
            </w:r>
            <w:r>
              <w:rPr>
                <w:sz w:val="24"/>
              </w:rPr>
              <w:t>产生量约为</w:t>
            </w:r>
            <w:r>
              <w:rPr>
                <w:rFonts w:hint="eastAsia"/>
                <w:sz w:val="24"/>
              </w:rPr>
              <w:t>原料使用量的24%，经计算，废焊渣的产生量为1.2</w:t>
            </w:r>
            <w:r>
              <w:rPr>
                <w:sz w:val="24"/>
              </w:rPr>
              <w:t>t/a，</w:t>
            </w:r>
            <w:r>
              <w:rPr>
                <w:rFonts w:hint="eastAsia"/>
                <w:sz w:val="24"/>
              </w:rPr>
              <w:t>集中收集后外售；</w:t>
            </w:r>
          </w:p>
          <w:p>
            <w:pPr>
              <w:tabs>
                <w:tab w:val="left" w:pos="546"/>
              </w:tabs>
              <w:spacing w:line="360" w:lineRule="auto"/>
              <w:ind w:firstLine="480" w:firstLineChars="200"/>
              <w:rPr>
                <w:sz w:val="24"/>
              </w:rPr>
            </w:pPr>
            <w:r>
              <w:rPr>
                <w:rFonts w:hint="eastAsia"/>
                <w:sz w:val="24"/>
              </w:rPr>
              <w:t>（4）塑粉废包装袋</w:t>
            </w:r>
            <w:r>
              <w:rPr>
                <w:sz w:val="24"/>
              </w:rPr>
              <w:t>：项目</w:t>
            </w:r>
            <w:r>
              <w:rPr>
                <w:rFonts w:hint="eastAsia"/>
                <w:bCs/>
                <w:sz w:val="24"/>
              </w:rPr>
              <w:t>喷涂工序使用袋装塑粉，塑粉使用量为25t/a</w:t>
            </w:r>
            <w:r>
              <w:rPr>
                <w:bCs/>
                <w:sz w:val="24"/>
              </w:rPr>
              <w:t>，</w:t>
            </w:r>
            <w:r>
              <w:rPr>
                <w:rFonts w:hint="eastAsia"/>
                <w:bCs/>
                <w:sz w:val="24"/>
              </w:rPr>
              <w:t>塑粉</w:t>
            </w:r>
            <w:r>
              <w:rPr>
                <w:bCs/>
                <w:sz w:val="24"/>
              </w:rPr>
              <w:t>规格为</w:t>
            </w:r>
            <w:r>
              <w:rPr>
                <w:rFonts w:hint="eastAsia"/>
                <w:bCs/>
                <w:sz w:val="24"/>
              </w:rPr>
              <w:t>25</w:t>
            </w:r>
            <w:r>
              <w:rPr>
                <w:bCs/>
                <w:sz w:val="24"/>
              </w:rPr>
              <w:t>kg/</w:t>
            </w:r>
            <w:r>
              <w:rPr>
                <w:rFonts w:hint="eastAsia"/>
                <w:bCs/>
                <w:sz w:val="24"/>
              </w:rPr>
              <w:t>袋</w:t>
            </w:r>
            <w:r>
              <w:rPr>
                <w:bCs/>
                <w:sz w:val="24"/>
              </w:rPr>
              <w:t>，经计算，年产生</w:t>
            </w:r>
            <w:r>
              <w:rPr>
                <w:rFonts w:hint="eastAsia"/>
                <w:bCs/>
                <w:sz w:val="24"/>
              </w:rPr>
              <w:t>塑粉废包装袋1000个</w:t>
            </w:r>
            <w:r>
              <w:rPr>
                <w:bCs/>
                <w:sz w:val="24"/>
              </w:rPr>
              <w:t>，每个</w:t>
            </w:r>
            <w:r>
              <w:rPr>
                <w:rFonts w:hint="eastAsia"/>
                <w:bCs/>
                <w:sz w:val="24"/>
              </w:rPr>
              <w:t>塑粉袋</w:t>
            </w:r>
            <w:r>
              <w:rPr>
                <w:bCs/>
                <w:sz w:val="24"/>
              </w:rPr>
              <w:t>重量以</w:t>
            </w:r>
            <w:r>
              <w:rPr>
                <w:rFonts w:hint="eastAsia"/>
                <w:bCs/>
                <w:sz w:val="24"/>
              </w:rPr>
              <w:t>1</w:t>
            </w:r>
            <w:r>
              <w:rPr>
                <w:bCs/>
                <w:sz w:val="24"/>
              </w:rPr>
              <w:t>00g计算，则产生</w:t>
            </w:r>
            <w:r>
              <w:rPr>
                <w:rFonts w:hint="eastAsia"/>
                <w:bCs/>
                <w:sz w:val="24"/>
              </w:rPr>
              <w:t>塑粉废包装袋</w:t>
            </w:r>
            <w:r>
              <w:rPr>
                <w:bCs/>
                <w:sz w:val="24"/>
              </w:rPr>
              <w:t>约为</w:t>
            </w:r>
            <w:r>
              <w:rPr>
                <w:rFonts w:hint="eastAsia"/>
                <w:bCs/>
                <w:sz w:val="24"/>
              </w:rPr>
              <w:t>0.1</w:t>
            </w:r>
            <w:r>
              <w:rPr>
                <w:bCs/>
                <w:sz w:val="24"/>
              </w:rPr>
              <w:t>t/a，</w:t>
            </w:r>
            <w:r>
              <w:rPr>
                <w:rFonts w:hint="eastAsia"/>
                <w:bCs/>
                <w:sz w:val="24"/>
              </w:rPr>
              <w:t>集中收集后外售</w:t>
            </w:r>
            <w:r>
              <w:rPr>
                <w:bCs/>
                <w:sz w:val="24"/>
              </w:rPr>
              <w:t>。</w:t>
            </w:r>
          </w:p>
          <w:p>
            <w:pPr>
              <w:tabs>
                <w:tab w:val="left" w:pos="546"/>
              </w:tabs>
              <w:spacing w:line="360" w:lineRule="auto"/>
              <w:ind w:firstLine="480" w:firstLineChars="200"/>
              <w:rPr>
                <w:sz w:val="24"/>
              </w:rPr>
            </w:pPr>
            <w:r>
              <w:rPr>
                <w:rFonts w:hint="eastAsia"/>
                <w:sz w:val="24"/>
              </w:rPr>
              <w:t>（5）切割、焊接工序除尘灰：根据物料衡算，焊接工序布袋除尘器的收集粉尘量为0.03496t/a，切割工序自带布袋除尘器的收集粉尘量为0.243</w:t>
            </w:r>
            <w:r>
              <w:rPr>
                <w:sz w:val="24"/>
              </w:rPr>
              <w:t>t/a，统一收集后外售</w:t>
            </w:r>
            <w:r>
              <w:rPr>
                <w:rFonts w:hint="eastAsia"/>
                <w:sz w:val="24"/>
              </w:rPr>
              <w:t>；</w:t>
            </w:r>
          </w:p>
          <w:p>
            <w:pPr>
              <w:tabs>
                <w:tab w:val="left" w:pos="546"/>
              </w:tabs>
              <w:spacing w:line="360" w:lineRule="auto"/>
              <w:ind w:firstLine="480" w:firstLineChars="200"/>
              <w:rPr>
                <w:sz w:val="24"/>
              </w:rPr>
            </w:pPr>
            <w:r>
              <w:rPr>
                <w:rFonts w:hint="eastAsia"/>
                <w:sz w:val="24"/>
              </w:rPr>
              <w:t>（6）废滤筒：本项目滤筒除尘器为4个滤筒一组，单个滤筒的重量约为2.5kg，每年更换4次，则废滤筒的产生量为0.04t/a，厂家回收利用。</w:t>
            </w:r>
          </w:p>
          <w:p>
            <w:pPr>
              <w:tabs>
                <w:tab w:val="left" w:pos="546"/>
              </w:tabs>
              <w:spacing w:line="360" w:lineRule="auto"/>
              <w:ind w:firstLine="480" w:firstLineChars="200"/>
              <w:rPr>
                <w:sz w:val="24"/>
              </w:rPr>
            </w:pPr>
            <w:r>
              <w:rPr>
                <w:sz w:val="24"/>
              </w:rPr>
              <w:t>（</w:t>
            </w:r>
            <w:r>
              <w:rPr>
                <w:rFonts w:hint="eastAsia"/>
                <w:sz w:val="24"/>
              </w:rPr>
              <w:t>7</w:t>
            </w:r>
            <w:r>
              <w:rPr>
                <w:sz w:val="24"/>
              </w:rPr>
              <w:t>）</w:t>
            </w:r>
            <w:r>
              <w:rPr>
                <w:rFonts w:hint="eastAsia"/>
                <w:sz w:val="24"/>
              </w:rPr>
              <w:t>喷涂工序各除尘器收集塑粉：根据物料衡算，喷涂工序各除尘器收集塑粉量约7.054t/a，集中收集后回用于生产。</w:t>
            </w:r>
          </w:p>
          <w:p>
            <w:pPr>
              <w:tabs>
                <w:tab w:val="left" w:pos="546"/>
              </w:tabs>
              <w:spacing w:line="360" w:lineRule="auto"/>
              <w:ind w:firstLine="480" w:firstLineChars="200"/>
              <w:rPr>
                <w:bCs/>
                <w:sz w:val="24"/>
              </w:rPr>
            </w:pPr>
            <w:r>
              <w:rPr>
                <w:rFonts w:hint="eastAsia"/>
                <w:sz w:val="24"/>
              </w:rPr>
              <w:t>（8）</w:t>
            </w:r>
            <w:r>
              <w:rPr>
                <w:sz w:val="24"/>
              </w:rPr>
              <w:t>项目</w:t>
            </w:r>
            <w:r>
              <w:rPr>
                <w:bCs/>
                <w:sz w:val="24"/>
              </w:rPr>
              <w:t>产生的危险废物主要包括</w:t>
            </w:r>
            <w:r>
              <w:rPr>
                <w:rFonts w:hint="eastAsia"/>
                <w:bCs/>
                <w:sz w:val="24"/>
              </w:rPr>
              <w:t>废催化剂</w:t>
            </w:r>
            <w:r>
              <w:rPr>
                <w:bCs/>
                <w:sz w:val="24"/>
              </w:rPr>
              <w:t>、</w:t>
            </w:r>
            <w:r>
              <w:rPr>
                <w:rFonts w:hint="eastAsia"/>
                <w:bCs/>
                <w:sz w:val="24"/>
              </w:rPr>
              <w:t>废过滤棉</w:t>
            </w:r>
            <w:r>
              <w:rPr>
                <w:bCs/>
                <w:sz w:val="24"/>
              </w:rPr>
              <w:t>、</w:t>
            </w:r>
            <w:r>
              <w:rPr>
                <w:rFonts w:hint="eastAsia"/>
                <w:bCs/>
                <w:sz w:val="24"/>
              </w:rPr>
              <w:t>废活性炭、</w:t>
            </w:r>
            <w:r>
              <w:rPr>
                <w:bCs/>
                <w:sz w:val="24"/>
              </w:rPr>
              <w:t>废切削液、废切削液桶以及废机油、废机油桶。</w:t>
            </w:r>
          </w:p>
          <w:p>
            <w:pPr>
              <w:tabs>
                <w:tab w:val="left" w:pos="546"/>
              </w:tabs>
              <w:spacing w:line="360" w:lineRule="auto"/>
              <w:ind w:firstLine="480" w:firstLineChars="200"/>
              <w:rPr>
                <w:sz w:val="24"/>
              </w:rPr>
            </w:pPr>
            <w:r>
              <w:rPr>
                <w:rFonts w:hint="eastAsia" w:ascii="宋体" w:hAnsi="宋体" w:cs="宋体"/>
                <w:sz w:val="24"/>
              </w:rPr>
              <w:t>①</w:t>
            </w:r>
            <w:r>
              <w:rPr>
                <w:rFonts w:hint="eastAsia"/>
                <w:sz w:val="24"/>
              </w:rPr>
              <w:t>废催化剂：本项目有机废气催化燃烧装置中催化剂需要定期进行更换，每三年更换一次，年平均产生量为0.1t/a（0.3t/3年）。本项目废催化剂以蜂窝陶瓷作为载体，陶瓷表面起催化作用的主要为贵金属钯、铂等，另外有机废气在催化剂表面进行催化燃烧时，温度保持在200~300℃，绝大部分有机废气分解为CO</w:t>
            </w:r>
            <w:r>
              <w:rPr>
                <w:rFonts w:hint="eastAsia"/>
                <w:sz w:val="24"/>
                <w:vertAlign w:val="subscript"/>
              </w:rPr>
              <w:t>2</w:t>
            </w:r>
            <w:r>
              <w:rPr>
                <w:rFonts w:hint="eastAsia"/>
                <w:sz w:val="24"/>
              </w:rPr>
              <w:t>和H</w:t>
            </w:r>
            <w:r>
              <w:rPr>
                <w:rFonts w:hint="eastAsia"/>
                <w:sz w:val="24"/>
                <w:vertAlign w:val="subscript"/>
              </w:rPr>
              <w:t>2</w:t>
            </w:r>
            <w:r>
              <w:rPr>
                <w:rFonts w:hint="eastAsia"/>
                <w:sz w:val="24"/>
              </w:rPr>
              <w:t>O，也可能有少量有机废气沾染在催化剂表面。</w:t>
            </w:r>
            <w:r>
              <w:rPr>
                <w:bCs/>
                <w:sz w:val="24"/>
              </w:rPr>
              <w:t>采用带有标志的专用容器收集、封口密闭后贮存于危废暂存间，定期委托有资质单位处理处置</w:t>
            </w:r>
            <w:r>
              <w:rPr>
                <w:rFonts w:hint="eastAsia"/>
                <w:bCs/>
                <w:sz w:val="24"/>
              </w:rPr>
              <w:t>；</w:t>
            </w:r>
          </w:p>
          <w:p>
            <w:pPr>
              <w:tabs>
                <w:tab w:val="left" w:pos="546"/>
              </w:tabs>
              <w:spacing w:line="360" w:lineRule="auto"/>
              <w:ind w:firstLine="480" w:firstLineChars="200"/>
              <w:rPr>
                <w:bCs/>
                <w:sz w:val="24"/>
              </w:rPr>
            </w:pPr>
            <w:r>
              <w:rPr>
                <w:rFonts w:hint="eastAsia" w:ascii="宋体" w:hAnsi="宋体" w:cs="宋体"/>
                <w:bCs/>
                <w:sz w:val="24"/>
              </w:rPr>
              <w:t>②</w:t>
            </w:r>
            <w:r>
              <w:rPr>
                <w:rFonts w:hint="eastAsia"/>
                <w:bCs/>
                <w:sz w:val="24"/>
              </w:rPr>
              <w:t>废过滤棉：根据企业提供的资料</w:t>
            </w:r>
            <w:r>
              <w:rPr>
                <w:sz w:val="24"/>
              </w:rPr>
              <w:t>以及类比同行业，项目</w:t>
            </w:r>
            <w:r>
              <w:rPr>
                <w:rFonts w:hint="eastAsia"/>
                <w:sz w:val="24"/>
              </w:rPr>
              <w:t>废过滤棉的</w:t>
            </w:r>
            <w:r>
              <w:rPr>
                <w:sz w:val="24"/>
              </w:rPr>
              <w:t>产生量约为</w:t>
            </w:r>
            <w:r>
              <w:rPr>
                <w:rFonts w:hint="eastAsia"/>
                <w:sz w:val="24"/>
              </w:rPr>
              <w:t>0.01</w:t>
            </w:r>
            <w:r>
              <w:rPr>
                <w:sz w:val="24"/>
              </w:rPr>
              <w:t>t/a，</w:t>
            </w:r>
            <w:r>
              <w:rPr>
                <w:bCs/>
                <w:sz w:val="24"/>
              </w:rPr>
              <w:t>采用带有标志的专用容器收集、封口密闭后贮存于危废暂存间，定期委托有资质单位处理处置</w:t>
            </w:r>
            <w:r>
              <w:rPr>
                <w:rFonts w:hint="eastAsia"/>
                <w:bCs/>
                <w:sz w:val="24"/>
              </w:rPr>
              <w:t>；</w:t>
            </w:r>
          </w:p>
          <w:p>
            <w:pPr>
              <w:tabs>
                <w:tab w:val="left" w:pos="546"/>
              </w:tabs>
              <w:spacing w:line="360" w:lineRule="auto"/>
              <w:ind w:firstLine="480" w:firstLineChars="200"/>
              <w:rPr>
                <w:bCs/>
                <w:sz w:val="24"/>
              </w:rPr>
            </w:pPr>
            <w:r>
              <w:rPr>
                <w:rFonts w:hint="eastAsia" w:ascii="宋体" w:hAnsi="宋体" w:cs="宋体"/>
                <w:bCs/>
                <w:sz w:val="24"/>
              </w:rPr>
              <w:t>③</w:t>
            </w:r>
            <w:r>
              <w:rPr>
                <w:rFonts w:hint="eastAsia"/>
                <w:bCs/>
                <w:sz w:val="24"/>
              </w:rPr>
              <w:t>废活性炭：本项目采用活性炭吸附有机气体，干式过滤棉-活性炭吸附脱附催化燃烧装置设置两个活性炭吸附箱，每个箱体的活性炭填充量为0.2t，按照每两年进行一次更换计算，则废活性炭的平均产生量为0.2t/a（0.4t/2a），</w:t>
            </w:r>
            <w:r>
              <w:rPr>
                <w:bCs/>
                <w:sz w:val="24"/>
              </w:rPr>
              <w:t>采用带有标志的专用容器收集、封口密闭后贮存于危废暂存间，定期委托有资质单位处理处置</w:t>
            </w:r>
            <w:r>
              <w:rPr>
                <w:rFonts w:hint="eastAsia"/>
                <w:bCs/>
                <w:sz w:val="24"/>
              </w:rPr>
              <w:t>；</w:t>
            </w:r>
          </w:p>
          <w:p>
            <w:pPr>
              <w:tabs>
                <w:tab w:val="left" w:pos="546"/>
              </w:tabs>
              <w:spacing w:line="360" w:lineRule="auto"/>
              <w:ind w:firstLine="480" w:firstLineChars="200"/>
              <w:rPr>
                <w:bCs/>
                <w:sz w:val="24"/>
              </w:rPr>
            </w:pPr>
            <w:r>
              <w:rPr>
                <w:rFonts w:hint="eastAsia" w:ascii="宋体" w:hAnsi="宋体" w:cs="宋体"/>
                <w:bCs/>
                <w:sz w:val="24"/>
              </w:rPr>
              <w:t>④</w:t>
            </w:r>
            <w:r>
              <w:rPr>
                <w:bCs/>
                <w:sz w:val="24"/>
              </w:rPr>
              <w:t>废机油：根据建设单位提供资料，本项目机油使用量为</w:t>
            </w:r>
            <w:r>
              <w:rPr>
                <w:rFonts w:hint="eastAsia"/>
                <w:bCs/>
                <w:sz w:val="24"/>
              </w:rPr>
              <w:t>0.6</w:t>
            </w:r>
            <w:r>
              <w:rPr>
                <w:bCs/>
                <w:sz w:val="24"/>
              </w:rPr>
              <w:t>t/a，机油可循环使用，每年产废率按20%计，则废机油产生量为0.1</w:t>
            </w:r>
            <w:r>
              <w:rPr>
                <w:rFonts w:hint="eastAsia"/>
                <w:bCs/>
                <w:sz w:val="24"/>
              </w:rPr>
              <w:t>2</w:t>
            </w:r>
            <w:r>
              <w:rPr>
                <w:bCs/>
                <w:sz w:val="24"/>
              </w:rPr>
              <w:t>t/a，采用带有标志的专用容器收集、封口密闭后贮存于危废暂存间，定期委托有资质单位处理处置。</w:t>
            </w:r>
          </w:p>
          <w:p>
            <w:pPr>
              <w:tabs>
                <w:tab w:val="left" w:pos="546"/>
              </w:tabs>
              <w:spacing w:line="360" w:lineRule="auto"/>
              <w:ind w:firstLine="480" w:firstLineChars="200"/>
              <w:rPr>
                <w:bCs/>
                <w:sz w:val="24"/>
              </w:rPr>
            </w:pPr>
            <w:r>
              <w:rPr>
                <w:rFonts w:hint="eastAsia" w:ascii="宋体" w:hAnsi="宋体" w:cs="宋体"/>
                <w:bCs/>
                <w:sz w:val="24"/>
              </w:rPr>
              <w:t>⑤</w:t>
            </w:r>
            <w:r>
              <w:rPr>
                <w:bCs/>
                <w:sz w:val="24"/>
              </w:rPr>
              <w:t>废机油桶：本项目机油使用量为0.</w:t>
            </w:r>
            <w:r>
              <w:rPr>
                <w:rFonts w:hint="eastAsia"/>
                <w:bCs/>
                <w:sz w:val="24"/>
              </w:rPr>
              <w:t>6</w:t>
            </w:r>
            <w:r>
              <w:rPr>
                <w:bCs/>
                <w:sz w:val="24"/>
              </w:rPr>
              <w:t>t/a，机油桶规格为</w:t>
            </w:r>
            <w:r>
              <w:rPr>
                <w:rFonts w:hint="eastAsia"/>
                <w:bCs/>
                <w:sz w:val="24"/>
              </w:rPr>
              <w:t>20</w:t>
            </w:r>
            <w:r>
              <w:rPr>
                <w:bCs/>
                <w:sz w:val="24"/>
              </w:rPr>
              <w:t>kg/桶，经计算，年产生废机油桶</w:t>
            </w:r>
            <w:r>
              <w:rPr>
                <w:rFonts w:hint="eastAsia"/>
                <w:bCs/>
                <w:sz w:val="24"/>
              </w:rPr>
              <w:t>30</w:t>
            </w:r>
            <w:r>
              <w:rPr>
                <w:bCs/>
                <w:sz w:val="24"/>
              </w:rPr>
              <w:t>个，每个废机油桶重量以</w:t>
            </w:r>
            <w:r>
              <w:rPr>
                <w:rFonts w:hint="eastAsia"/>
                <w:bCs/>
                <w:sz w:val="24"/>
              </w:rPr>
              <w:t>10</w:t>
            </w:r>
            <w:r>
              <w:rPr>
                <w:bCs/>
                <w:sz w:val="24"/>
              </w:rPr>
              <w:t>00g计算，则废</w:t>
            </w:r>
            <w:r>
              <w:rPr>
                <w:rFonts w:hint="eastAsia"/>
                <w:bCs/>
                <w:sz w:val="24"/>
              </w:rPr>
              <w:t>机油</w:t>
            </w:r>
            <w:r>
              <w:rPr>
                <w:bCs/>
                <w:sz w:val="24"/>
              </w:rPr>
              <w:t>桶产生量约为0.0</w:t>
            </w:r>
            <w:r>
              <w:rPr>
                <w:rFonts w:hint="eastAsia"/>
                <w:bCs/>
                <w:sz w:val="24"/>
              </w:rPr>
              <w:t>3</w:t>
            </w:r>
            <w:r>
              <w:rPr>
                <w:bCs/>
                <w:sz w:val="24"/>
              </w:rPr>
              <w:t>t/a，采用带有标志的专用容器收集、封口密闭后贮存于危废暂存间，定期委托有资质单位处理处置。</w:t>
            </w:r>
          </w:p>
          <w:p>
            <w:pPr>
              <w:tabs>
                <w:tab w:val="left" w:pos="546"/>
              </w:tabs>
              <w:spacing w:line="360" w:lineRule="auto"/>
              <w:ind w:firstLine="480" w:firstLineChars="200"/>
              <w:rPr>
                <w:bCs/>
                <w:sz w:val="24"/>
              </w:rPr>
            </w:pPr>
            <w:r>
              <w:rPr>
                <w:rFonts w:hint="eastAsia" w:ascii="宋体" w:hAnsi="宋体" w:cs="宋体"/>
                <w:bCs/>
                <w:sz w:val="24"/>
              </w:rPr>
              <w:t>⑥</w:t>
            </w:r>
            <w:r>
              <w:rPr>
                <w:bCs/>
                <w:sz w:val="24"/>
              </w:rPr>
              <w:t>废切削液：本项目生产过程中会使用切削液降低工件温度，防止工件变形，本项目切削液经过自带的滤网过滤后由机械自带的泵抽回重复利用，定期加入新的切削液。考虑到使用时间过长，切削液会变质，需要定期更换，更换时废切削液。此外，加工完成后的工件沥干过程也会产生废切削液。根据建设单位提供的行业经验数据，废切削液产生量按切削液的40%计，本项目切削液用量为</w:t>
            </w:r>
            <w:r>
              <w:rPr>
                <w:rFonts w:hint="eastAsia"/>
                <w:bCs/>
                <w:sz w:val="24"/>
              </w:rPr>
              <w:t>1</w:t>
            </w:r>
            <w:r>
              <w:rPr>
                <w:bCs/>
                <w:sz w:val="24"/>
              </w:rPr>
              <w:t>t/a，则废切削液的产生量为</w:t>
            </w:r>
            <w:r>
              <w:rPr>
                <w:rFonts w:hint="eastAsia"/>
                <w:bCs/>
                <w:sz w:val="24"/>
              </w:rPr>
              <w:t>0.4</w:t>
            </w:r>
            <w:r>
              <w:rPr>
                <w:bCs/>
                <w:sz w:val="24"/>
              </w:rPr>
              <w:t>t/a，采用带有标志的专用容器收集、封口密闭后贮存于危废暂存间，定期委托有资质单位处理处置。</w:t>
            </w:r>
          </w:p>
          <w:p>
            <w:pPr>
              <w:tabs>
                <w:tab w:val="left" w:pos="546"/>
              </w:tabs>
              <w:spacing w:line="360" w:lineRule="auto"/>
              <w:ind w:firstLine="480" w:firstLineChars="200"/>
              <w:rPr>
                <w:bCs/>
                <w:sz w:val="24"/>
              </w:rPr>
            </w:pPr>
            <w:r>
              <w:rPr>
                <w:rFonts w:hint="eastAsia" w:ascii="宋体" w:hAnsi="宋体" w:cs="宋体"/>
                <w:bCs/>
                <w:sz w:val="24"/>
              </w:rPr>
              <w:t>⑦</w:t>
            </w:r>
            <w:r>
              <w:rPr>
                <w:bCs/>
                <w:sz w:val="24"/>
              </w:rPr>
              <w:t>废切削液桶：本项目切削液使用量为</w:t>
            </w:r>
            <w:r>
              <w:rPr>
                <w:rFonts w:hint="eastAsia"/>
                <w:bCs/>
                <w:sz w:val="24"/>
              </w:rPr>
              <w:t>1</w:t>
            </w:r>
            <w:r>
              <w:rPr>
                <w:bCs/>
                <w:sz w:val="24"/>
              </w:rPr>
              <w:t>t/a，切削液桶规格为20kg/桶，经计算，年产生废切削液桶</w:t>
            </w:r>
            <w:r>
              <w:rPr>
                <w:rFonts w:hint="eastAsia"/>
                <w:bCs/>
                <w:sz w:val="24"/>
              </w:rPr>
              <w:t>50</w:t>
            </w:r>
            <w:r>
              <w:rPr>
                <w:bCs/>
                <w:sz w:val="24"/>
              </w:rPr>
              <w:t>个，每个切削液桶重量以</w:t>
            </w:r>
            <w:r>
              <w:rPr>
                <w:rFonts w:hint="eastAsia"/>
                <w:bCs/>
                <w:sz w:val="24"/>
              </w:rPr>
              <w:t>10</w:t>
            </w:r>
            <w:r>
              <w:rPr>
                <w:bCs/>
                <w:sz w:val="24"/>
              </w:rPr>
              <w:t>00g计算，则产生废切削液桶产生量约为0.0</w:t>
            </w:r>
            <w:r>
              <w:rPr>
                <w:rFonts w:hint="eastAsia"/>
                <w:bCs/>
                <w:sz w:val="24"/>
              </w:rPr>
              <w:t>5</w:t>
            </w:r>
            <w:r>
              <w:rPr>
                <w:bCs/>
                <w:sz w:val="24"/>
              </w:rPr>
              <w:t>t/a，采用带有标志的专用容器收集、封口密闭后贮存于危废暂存间，定期委托有资质单位处理处置。</w:t>
            </w:r>
          </w:p>
          <w:p>
            <w:pPr>
              <w:spacing w:line="360" w:lineRule="auto"/>
              <w:ind w:firstLine="480" w:firstLineChars="200"/>
              <w:rPr>
                <w:sz w:val="24"/>
              </w:rPr>
            </w:pPr>
            <w:r>
              <w:rPr>
                <w:sz w:val="24"/>
              </w:rPr>
              <w:t>（</w:t>
            </w:r>
            <w:r>
              <w:rPr>
                <w:rFonts w:hint="eastAsia"/>
                <w:sz w:val="24"/>
              </w:rPr>
              <w:t>9</w:t>
            </w:r>
            <w:r>
              <w:rPr>
                <w:sz w:val="24"/>
              </w:rPr>
              <w:t>）职工生活产生的生活垃圾：生活垃圾按0.5kg/人·天计算，项目定员</w:t>
            </w:r>
            <w:r>
              <w:rPr>
                <w:rFonts w:hint="eastAsia"/>
                <w:sz w:val="24"/>
              </w:rPr>
              <w:t>60</w:t>
            </w:r>
            <w:r>
              <w:rPr>
                <w:sz w:val="24"/>
              </w:rPr>
              <w:t>人，年工作300天，则项目生活垃圾产生量为</w:t>
            </w:r>
            <w:r>
              <w:rPr>
                <w:rFonts w:hint="eastAsia"/>
                <w:sz w:val="24"/>
              </w:rPr>
              <w:t>9</w:t>
            </w:r>
            <w:r>
              <w:rPr>
                <w:sz w:val="24"/>
              </w:rPr>
              <w:t>t/a，由环卫部门清运处理。</w:t>
            </w:r>
          </w:p>
          <w:p>
            <w:pPr>
              <w:spacing w:line="360" w:lineRule="auto"/>
              <w:ind w:firstLine="480" w:firstLineChars="200"/>
              <w:rPr>
                <w:sz w:val="24"/>
              </w:rPr>
            </w:pPr>
            <w:r>
              <w:rPr>
                <w:sz w:val="24"/>
              </w:rPr>
              <w:t>本项目各类固废都得到妥善处理，不会产生二次污染，对项目周围环境影响较小。</w:t>
            </w:r>
          </w:p>
          <w:p>
            <w:pPr>
              <w:spacing w:line="360" w:lineRule="auto"/>
              <w:ind w:firstLine="480" w:firstLineChars="200"/>
              <w:rPr>
                <w:sz w:val="24"/>
              </w:rPr>
            </w:pPr>
            <w:r>
              <w:rPr>
                <w:sz w:val="24"/>
              </w:rPr>
              <w:t>4.2环境管理要求</w:t>
            </w:r>
          </w:p>
          <w:p>
            <w:pPr>
              <w:spacing w:line="360" w:lineRule="auto"/>
              <w:ind w:firstLine="480" w:firstLineChars="200"/>
              <w:rPr>
                <w:sz w:val="24"/>
              </w:rPr>
            </w:pPr>
            <w:r>
              <w:rPr>
                <w:sz w:val="24"/>
              </w:rPr>
              <w:t>4.2.1一般固废</w:t>
            </w:r>
          </w:p>
          <w:p>
            <w:pPr>
              <w:adjustRightInd w:val="0"/>
              <w:snapToGrid w:val="0"/>
              <w:spacing w:line="360" w:lineRule="auto"/>
              <w:ind w:firstLine="480" w:firstLineChars="200"/>
              <w:rPr>
                <w:sz w:val="24"/>
              </w:rPr>
            </w:pPr>
            <w:r>
              <w:rPr>
                <w:sz w:val="24"/>
              </w:rPr>
              <w:t>本项目产生的</w:t>
            </w:r>
            <w:r>
              <w:rPr>
                <w:rFonts w:hint="eastAsia"/>
                <w:sz w:val="24"/>
              </w:rPr>
              <w:t>切割下料工序产生的</w:t>
            </w:r>
            <w:r>
              <w:rPr>
                <w:sz w:val="24"/>
              </w:rPr>
              <w:t>边角料、机械加工</w:t>
            </w:r>
            <w:r>
              <w:rPr>
                <w:rFonts w:hint="eastAsia"/>
                <w:sz w:val="24"/>
              </w:rPr>
              <w:t>工序产生的下角料</w:t>
            </w:r>
            <w:r>
              <w:rPr>
                <w:sz w:val="24"/>
              </w:rPr>
              <w:t>、废焊渣、</w:t>
            </w:r>
            <w:r>
              <w:rPr>
                <w:rFonts w:hint="eastAsia"/>
                <w:sz w:val="24"/>
              </w:rPr>
              <w:t>焊接工序布袋除尘器收集粉尘、</w:t>
            </w:r>
            <w:r>
              <w:rPr>
                <w:sz w:val="24"/>
              </w:rPr>
              <w:t>切割工序自带布袋除尘器收集粉尘、</w:t>
            </w:r>
            <w:r>
              <w:rPr>
                <w:rFonts w:hint="eastAsia"/>
                <w:sz w:val="24"/>
              </w:rPr>
              <w:t>塑粉废包装袋、废滤筒集中收集后外售；喷涂工序各除尘器收集塑粉集中收集后回用；废滤筒集中收集，厂家回收；</w:t>
            </w:r>
            <w:r>
              <w:rPr>
                <w:sz w:val="24"/>
              </w:rPr>
              <w:t>生活垃圾由环卫部门清运处理。</w:t>
            </w:r>
          </w:p>
          <w:p>
            <w:pPr>
              <w:adjustRightInd w:val="0"/>
              <w:snapToGrid w:val="0"/>
              <w:spacing w:line="360" w:lineRule="auto"/>
              <w:ind w:firstLine="480" w:firstLineChars="200"/>
              <w:rPr>
                <w:sz w:val="24"/>
              </w:rPr>
            </w:pPr>
            <w:r>
              <w:rPr>
                <w:sz w:val="24"/>
              </w:rPr>
              <w:t>一般固废贮存场所：</w:t>
            </w:r>
            <w:r>
              <w:rPr>
                <w:rFonts w:hint="eastAsia"/>
                <w:bCs/>
                <w:kern w:val="0"/>
                <w:sz w:val="24"/>
              </w:rPr>
              <w:t>车间内设有一般固废暂存区，</w:t>
            </w:r>
            <w:r>
              <w:rPr>
                <w:sz w:val="24"/>
                <w:szCs w:val="32"/>
              </w:rPr>
              <w:t>项目一般工业固废不会产生渗滤液，应</w:t>
            </w:r>
            <w:r>
              <w:rPr>
                <w:rFonts w:hint="eastAsia"/>
                <w:sz w:val="24"/>
                <w:szCs w:val="32"/>
              </w:rPr>
              <w:t>密闭设置</w:t>
            </w:r>
            <w:r>
              <w:rPr>
                <w:sz w:val="24"/>
                <w:szCs w:val="32"/>
              </w:rPr>
              <w:t>，防止雨水径流进入贮存、处置场内，场内悬挂标识，</w:t>
            </w:r>
            <w:r>
              <w:rPr>
                <w:rFonts w:hint="eastAsia"/>
                <w:sz w:val="24"/>
                <w:szCs w:val="32"/>
              </w:rPr>
              <w:t>一般固废暂存区</w:t>
            </w:r>
            <w:r>
              <w:rPr>
                <w:sz w:val="24"/>
                <w:szCs w:val="32"/>
              </w:rPr>
              <w:t>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w:t>
            </w:r>
            <w:r>
              <w:rPr>
                <w:rFonts w:hint="eastAsia"/>
                <w:sz w:val="24"/>
                <w:szCs w:val="32"/>
              </w:rPr>
              <w:t>。</w:t>
            </w:r>
            <w:r>
              <w:rPr>
                <w:sz w:val="24"/>
                <w:szCs w:val="32"/>
              </w:rPr>
              <w:t>储存区设置满足</w:t>
            </w:r>
            <w:r>
              <w:rPr>
                <w:snapToGrid w:val="0"/>
                <w:sz w:val="24"/>
              </w:rPr>
              <w:t>《一般工业固体废物贮存和填埋污染控制</w:t>
            </w:r>
            <w:r>
              <w:rPr>
                <w:sz w:val="24"/>
                <w:szCs w:val="32"/>
              </w:rPr>
              <w:t>标准》(GB18599-2020)中标准要求。生活垃圾在场内设置密闭桶收集，及时清运</w:t>
            </w:r>
            <w:r>
              <w:rPr>
                <w:rFonts w:hint="eastAsia"/>
                <w:sz w:val="24"/>
                <w:szCs w:val="32"/>
              </w:rPr>
              <w:t>。</w:t>
            </w:r>
          </w:p>
          <w:p>
            <w:pPr>
              <w:adjustRightInd w:val="0"/>
              <w:snapToGrid w:val="0"/>
              <w:spacing w:line="360" w:lineRule="auto"/>
              <w:ind w:firstLine="480" w:firstLineChars="200"/>
              <w:rPr>
                <w:sz w:val="24"/>
              </w:rPr>
            </w:pPr>
            <w:r>
              <w:rPr>
                <w:sz w:val="24"/>
              </w:rPr>
              <w:t>综上所述，项目所有一般固废均得到妥善处置和综合利用，对当地环境影响较小。</w:t>
            </w:r>
          </w:p>
          <w:p>
            <w:pPr>
              <w:spacing w:line="360" w:lineRule="auto"/>
              <w:ind w:firstLine="480" w:firstLineChars="200"/>
              <w:rPr>
                <w:sz w:val="24"/>
              </w:rPr>
            </w:pPr>
            <w:r>
              <w:rPr>
                <w:sz w:val="24"/>
              </w:rPr>
              <w:t>4.2.2危险废物</w:t>
            </w:r>
          </w:p>
          <w:p>
            <w:pPr>
              <w:spacing w:line="360" w:lineRule="auto"/>
              <w:ind w:firstLine="480" w:firstLineChars="200"/>
              <w:rPr>
                <w:sz w:val="24"/>
              </w:rPr>
            </w:pPr>
            <w:r>
              <w:rPr>
                <w:sz w:val="24"/>
              </w:rPr>
              <w:t>危险废物暂存、转运、处置应严格按照《危险废物收集贮存运输技术规范》(HJ 2025-2012)执行。</w:t>
            </w:r>
          </w:p>
          <w:p>
            <w:pPr>
              <w:spacing w:line="360" w:lineRule="auto"/>
              <w:ind w:firstLine="480" w:firstLineChars="200"/>
              <w:rPr>
                <w:sz w:val="24"/>
              </w:rPr>
            </w:pPr>
            <w:r>
              <w:rPr>
                <w:sz w:val="24"/>
              </w:rPr>
              <w:t>（1）危险废物的收集</w:t>
            </w:r>
          </w:p>
          <w:p>
            <w:pPr>
              <w:spacing w:line="360" w:lineRule="auto"/>
              <w:ind w:firstLine="480" w:firstLineChars="200"/>
              <w:rPr>
                <w:sz w:val="24"/>
              </w:rPr>
            </w:pPr>
            <w:r>
              <w:rPr>
                <w:sz w:val="24"/>
              </w:rPr>
              <w:t>①应根据收集设备、转运车辆以及现场人员等实际情况确定相应作业区域，同时要设置作业界限标志和警示牌。</w:t>
            </w:r>
          </w:p>
          <w:p>
            <w:pPr>
              <w:spacing w:line="360" w:lineRule="auto"/>
              <w:ind w:firstLine="480" w:firstLineChars="200"/>
              <w:rPr>
                <w:sz w:val="24"/>
              </w:rPr>
            </w:pPr>
            <w:r>
              <w:rPr>
                <w:sz w:val="24"/>
              </w:rPr>
              <w:t>②作业区域内应设置危险废物收集专用通道和人员避险通道。</w:t>
            </w:r>
          </w:p>
          <w:p>
            <w:pPr>
              <w:spacing w:line="360" w:lineRule="auto"/>
              <w:ind w:firstLine="480" w:firstLineChars="200"/>
              <w:rPr>
                <w:sz w:val="24"/>
              </w:rPr>
            </w:pPr>
            <w:r>
              <w:rPr>
                <w:sz w:val="24"/>
              </w:rPr>
              <w:t>③收集时应配备必要的收集工具和包装物，以及必要的应急监测设备及应急装备。</w:t>
            </w:r>
          </w:p>
          <w:p>
            <w:pPr>
              <w:spacing w:line="360" w:lineRule="auto"/>
              <w:ind w:firstLine="480" w:firstLineChars="200"/>
              <w:rPr>
                <w:sz w:val="24"/>
              </w:rPr>
            </w:pPr>
            <w:r>
              <w:rPr>
                <w:sz w:val="24"/>
              </w:rPr>
              <w:t>④危险废物收集应填写《危险废物收集记录表》，并将记录表作为危险废物管理的重要档案妥善保存。</w:t>
            </w:r>
          </w:p>
          <w:p>
            <w:pPr>
              <w:spacing w:line="360" w:lineRule="auto"/>
              <w:ind w:firstLine="480" w:firstLineChars="200"/>
              <w:rPr>
                <w:sz w:val="24"/>
              </w:rPr>
            </w:pPr>
            <w:r>
              <w:rPr>
                <w:sz w:val="24"/>
              </w:rPr>
              <w:t>⑤收集结束后应清理和恢复收集作业区域，确保作业区域环境整洁安全。</w:t>
            </w:r>
          </w:p>
          <w:p>
            <w:pPr>
              <w:spacing w:line="360" w:lineRule="auto"/>
              <w:ind w:firstLine="480" w:firstLineChars="200"/>
              <w:rPr>
                <w:sz w:val="24"/>
              </w:rPr>
            </w:pPr>
            <w:r>
              <w:rPr>
                <w:sz w:val="24"/>
              </w:rPr>
              <w:t>⑥收集过危险废物的容器、设备、设施、场所及其它物品转作它用时，应消除污染，确保其使用安全。</w:t>
            </w:r>
          </w:p>
          <w:p>
            <w:pPr>
              <w:spacing w:line="360" w:lineRule="auto"/>
              <w:ind w:firstLine="480" w:firstLineChars="200"/>
              <w:rPr>
                <w:sz w:val="24"/>
              </w:rPr>
            </w:pPr>
            <w:r>
              <w:rPr>
                <w:sz w:val="24"/>
              </w:rPr>
              <w:t>（2）危险废物的贮存</w:t>
            </w:r>
          </w:p>
          <w:p>
            <w:pPr>
              <w:spacing w:line="360" w:lineRule="auto"/>
              <w:ind w:firstLine="480" w:firstLineChars="200"/>
              <w:rPr>
                <w:sz w:val="24"/>
              </w:rPr>
            </w:pPr>
            <w:r>
              <w:rPr>
                <w:sz w:val="24"/>
              </w:rPr>
              <w:t>危废暂存间的建设必须满足《危险废物贮存污染控制标准》（GB18597-2001）及其2013修改单中相关要求。</w:t>
            </w:r>
          </w:p>
          <w:p>
            <w:pPr>
              <w:spacing w:line="360" w:lineRule="auto"/>
              <w:ind w:firstLine="480" w:firstLineChars="200"/>
              <w:rPr>
                <w:sz w:val="24"/>
              </w:rPr>
            </w:pPr>
            <w:r>
              <w:rPr>
                <w:sz w:val="24"/>
              </w:rPr>
              <w:t>①在厂区内设置规范的危废暂存间，生产过程中收集的</w:t>
            </w:r>
            <w:r>
              <w:rPr>
                <w:rFonts w:hint="eastAsia"/>
                <w:sz w:val="24"/>
              </w:rPr>
              <w:t>废过滤棉、废催化剂、废活性炭、废机油及废机油桶、废切削液及废切削液桶</w:t>
            </w:r>
            <w:r>
              <w:rPr>
                <w:sz w:val="24"/>
              </w:rPr>
              <w:t>为危险废物应在危废暂存间贮存。</w:t>
            </w:r>
          </w:p>
          <w:p>
            <w:pPr>
              <w:spacing w:line="360" w:lineRule="auto"/>
              <w:ind w:firstLine="480" w:firstLineChars="200"/>
              <w:rPr>
                <w:sz w:val="24"/>
              </w:rPr>
            </w:pPr>
            <w:r>
              <w:rPr>
                <w:sz w:val="24"/>
              </w:rPr>
              <w:t>②</w:t>
            </w:r>
            <w:r>
              <w:rPr>
                <w:rFonts w:hint="eastAsia"/>
                <w:sz w:val="24"/>
              </w:rPr>
              <w:t>废过滤棉、废催化剂、废活性炭、废机油及废机油桶等</w:t>
            </w:r>
            <w:r>
              <w:rPr>
                <w:sz w:val="24"/>
              </w:rPr>
              <w:t>含可挥发的有机废气，防止有机废气挥发产生二次污染，应采用铁桶容器密闭收集，容器顶部与液体表面之间保留100mm以上的空间，禁止将不相容的危险废物在临时贮存设施或容器内混装。</w:t>
            </w:r>
          </w:p>
          <w:p>
            <w:pPr>
              <w:spacing w:line="360" w:lineRule="auto"/>
              <w:ind w:firstLine="480" w:firstLineChars="200"/>
              <w:rPr>
                <w:sz w:val="24"/>
              </w:rPr>
            </w:pPr>
            <w:r>
              <w:rPr>
                <w:sz w:val="24"/>
              </w:rPr>
              <w:t>③贮存危险废物时应按危险废物的种类和特性进行分区贮存，每个贮存区域之间宜设置挡墙间隔，并应设置防雨、防火、防雷、防扬尘装置。</w:t>
            </w:r>
          </w:p>
          <w:p>
            <w:pPr>
              <w:spacing w:line="360" w:lineRule="auto"/>
              <w:ind w:firstLine="480" w:firstLineChars="200"/>
              <w:rPr>
                <w:sz w:val="24"/>
              </w:rPr>
            </w:pPr>
            <w:r>
              <w:rPr>
                <w:sz w:val="24"/>
              </w:rPr>
              <w:t>④应建立危险废物贮存的台帐制度，危险废物出入库交接应填写《危险废物出入库交接记录表》。</w:t>
            </w:r>
          </w:p>
          <w:p>
            <w:pPr>
              <w:spacing w:line="360" w:lineRule="auto"/>
              <w:ind w:firstLine="480" w:firstLineChars="200"/>
              <w:rPr>
                <w:sz w:val="24"/>
              </w:rPr>
            </w:pPr>
            <w:r>
              <w:rPr>
                <w:sz w:val="24"/>
              </w:rPr>
              <w:t>⑤危废暂存间应根据贮存的废物种类和特性按照《危险废物贮存污染控制标准》（GB 18597-2001）及2013修改单中附录A设置标志。</w:t>
            </w:r>
          </w:p>
          <w:p>
            <w:pPr>
              <w:spacing w:line="360" w:lineRule="auto"/>
              <w:ind w:firstLine="480" w:firstLineChars="200"/>
              <w:rPr>
                <w:sz w:val="24"/>
              </w:rPr>
            </w:pPr>
            <w:r>
              <w:rPr>
                <w:sz w:val="24"/>
              </w:rPr>
              <w:t>（3）危险废物的运输</w:t>
            </w:r>
          </w:p>
          <w:p>
            <w:pPr>
              <w:spacing w:line="360" w:lineRule="auto"/>
              <w:ind w:firstLine="480" w:firstLineChars="200"/>
              <w:rPr>
                <w:sz w:val="24"/>
              </w:rPr>
            </w:pPr>
            <w:r>
              <w:rPr>
                <w:sz w:val="24"/>
              </w:rPr>
              <w:t>①危险废物运输应由持有危险废物经营许可证的单位按照其许可证的经营范围组织实施，承担危险废物运输的单位应获得交通运输部门颁发的危险货物运输资质。</w:t>
            </w:r>
          </w:p>
          <w:p>
            <w:pPr>
              <w:spacing w:line="360" w:lineRule="auto"/>
              <w:ind w:firstLine="480" w:firstLineChars="200"/>
              <w:rPr>
                <w:sz w:val="24"/>
              </w:rPr>
            </w:pPr>
            <w:r>
              <w:rPr>
                <w:sz w:val="24"/>
              </w:rPr>
              <w:t>②危险废物公路运输应按照《道路危险货物运输管理规定》（（交通运输部令2016年第36号）执行；危险废物铁路运输应按《铁路危险货物运输管理规则》（铁运[2006]79号）规定执行；危险废物水路运输应按《水路危险货物运输规则》（交通部令[1996年]第10号）规定执行。</w:t>
            </w:r>
          </w:p>
          <w:p>
            <w:pPr>
              <w:spacing w:line="360" w:lineRule="auto"/>
              <w:ind w:firstLine="480" w:firstLineChars="200"/>
              <w:rPr>
                <w:sz w:val="24"/>
              </w:rPr>
            </w:pPr>
            <w:r>
              <w:rPr>
                <w:sz w:val="24"/>
              </w:rPr>
              <w:t>③废弃危险化学品的运输应执行《危险化学品安全管理条例》有关运输的规定。</w:t>
            </w:r>
          </w:p>
          <w:p>
            <w:pPr>
              <w:spacing w:line="360" w:lineRule="auto"/>
              <w:ind w:firstLine="480" w:firstLineChars="200"/>
              <w:rPr>
                <w:sz w:val="24"/>
              </w:rPr>
            </w:pPr>
            <w:r>
              <w:rPr>
                <w:sz w:val="24"/>
              </w:rPr>
              <w:t>④运输单位承运危险废物时，应在危险废物包装上按照《危险废物贮存污染控制标准》（GB 18597-2001）附录A设置标志。</w:t>
            </w:r>
          </w:p>
          <w:p>
            <w:pPr>
              <w:spacing w:line="360" w:lineRule="auto"/>
              <w:ind w:firstLine="480" w:firstLineChars="200"/>
              <w:rPr>
                <w:sz w:val="24"/>
              </w:rPr>
            </w:pPr>
            <w:r>
              <w:rPr>
                <w:sz w:val="24"/>
              </w:rPr>
              <w:t>⑤危险废物公路运输时，运输车辆应按GB13392设置车辆标志。铁路运输和水路运输危险废物时应在集装箱外按GB190规定悬挂标志。</w:t>
            </w:r>
          </w:p>
          <w:p>
            <w:pPr>
              <w:spacing w:line="360" w:lineRule="auto"/>
              <w:ind w:firstLine="480" w:firstLineChars="200"/>
              <w:rPr>
                <w:sz w:val="24"/>
              </w:rPr>
            </w:pPr>
            <w:r>
              <w:rPr>
                <w:sz w:val="24"/>
              </w:rPr>
              <w:t>⑥危险废物运输时的中转、装卸过程应遵守如下技术要求：</w:t>
            </w:r>
          </w:p>
          <w:p>
            <w:pPr>
              <w:spacing w:line="360" w:lineRule="auto"/>
              <w:ind w:firstLine="480" w:firstLineChars="200"/>
              <w:rPr>
                <w:sz w:val="24"/>
              </w:rPr>
            </w:pPr>
            <w:r>
              <w:rPr>
                <w:sz w:val="24"/>
              </w:rPr>
              <w:t>a.卸载区的工作人员应熟悉废物的危险特性，并配备适当的个人防护装备，装卸剧毒废物应配备特殊的防护装备。</w:t>
            </w:r>
          </w:p>
          <w:p>
            <w:pPr>
              <w:spacing w:line="360" w:lineRule="auto"/>
              <w:ind w:firstLine="480" w:firstLineChars="200"/>
              <w:rPr>
                <w:sz w:val="24"/>
              </w:rPr>
            </w:pPr>
            <w:r>
              <w:rPr>
                <w:sz w:val="24"/>
              </w:rPr>
              <w:t>b.卸载区应配备必要的消防设备和设施，并设置明显的指示标志。</w:t>
            </w:r>
          </w:p>
          <w:p>
            <w:pPr>
              <w:spacing w:line="360" w:lineRule="auto"/>
              <w:ind w:firstLine="480" w:firstLineChars="200"/>
              <w:rPr>
                <w:sz w:val="24"/>
              </w:rPr>
            </w:pPr>
            <w:r>
              <w:rPr>
                <w:sz w:val="24"/>
              </w:rPr>
              <w:t>c.危险废物装卸区应设置隔离设施，液态废物卸载区应设置收集槽和缓冲罐。</w:t>
            </w:r>
          </w:p>
          <w:p>
            <w:pPr>
              <w:spacing w:line="360" w:lineRule="auto"/>
              <w:ind w:firstLine="480" w:firstLineChars="200"/>
              <w:rPr>
                <w:sz w:val="24"/>
              </w:rPr>
            </w:pPr>
            <w:r>
              <w:rPr>
                <w:sz w:val="24"/>
              </w:rPr>
              <w:t>⑦危险废物的运输应采取危险废物转移“五联单”制度，保证运输安全，防止非法转移和非法处置，保证危险废物的安全监控，防止危险废物污染事故发生。“五联单”中第一联由废物产生者送交环保局，第二联由废物产生者保管，第三联由处置场工作人员送交环保局，第四联由处置场工作人员保存，第五联由废物运输者保存。</w:t>
            </w:r>
          </w:p>
          <w:p>
            <w:pPr>
              <w:spacing w:line="360" w:lineRule="auto"/>
              <w:ind w:firstLine="480" w:firstLineChars="200"/>
              <w:rPr>
                <w:sz w:val="24"/>
              </w:rPr>
            </w:pPr>
            <w:r>
              <w:rPr>
                <w:sz w:val="24"/>
              </w:rPr>
              <w:t>项目生产过程中产生的固体废物均有合理去处，而且实现了固体废物“资源化、无害化、减量化”，不直接向外环境排放，对外界环境不会造成不良影响，运营期固废治理措施合理可行。</w:t>
            </w:r>
          </w:p>
          <w:p>
            <w:pPr>
              <w:spacing w:line="360" w:lineRule="auto"/>
              <w:ind w:firstLine="482" w:firstLineChars="200"/>
              <w:rPr>
                <w:b/>
                <w:bCs/>
                <w:sz w:val="24"/>
              </w:rPr>
            </w:pPr>
            <w:r>
              <w:rPr>
                <w:b/>
                <w:bCs/>
                <w:sz w:val="24"/>
              </w:rPr>
              <w:t>5、地下水、土壤</w:t>
            </w:r>
          </w:p>
          <w:p>
            <w:pPr>
              <w:spacing w:line="360" w:lineRule="auto"/>
              <w:ind w:firstLine="480" w:firstLineChars="200"/>
              <w:rPr>
                <w:sz w:val="24"/>
              </w:rPr>
            </w:pPr>
            <w:r>
              <w:rPr>
                <w:sz w:val="24"/>
              </w:rPr>
              <w:t>（1）污染源、污染物类型及污染途径</w:t>
            </w:r>
          </w:p>
          <w:p>
            <w:pPr>
              <w:spacing w:line="360" w:lineRule="auto"/>
              <w:ind w:firstLine="480" w:firstLineChars="200"/>
              <w:rPr>
                <w:sz w:val="24"/>
              </w:rPr>
            </w:pPr>
            <w:r>
              <w:rPr>
                <w:sz w:val="24"/>
              </w:rPr>
              <w:t>本项目营运期废气污染源主要为颗粒物、非甲烷总烃、</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rFonts w:hint="eastAsia"/>
                <w:sz w:val="24"/>
              </w:rPr>
              <w:t>、烟气黑度</w:t>
            </w:r>
            <w:r>
              <w:rPr>
                <w:sz w:val="24"/>
              </w:rPr>
              <w:t>，废气中不含重金属、二噁英等污染物，污染物不会影响土壤和地下水环境。本项目废水主要为生活污水，</w:t>
            </w:r>
            <w:r>
              <w:rPr>
                <w:rFonts w:hint="eastAsia"/>
                <w:sz w:val="24"/>
              </w:rPr>
              <w:t>经厂内化粪池处理后通过污水管网排入新河县城东污水处理厂进一步</w:t>
            </w:r>
            <w:r>
              <w:rPr>
                <w:sz w:val="24"/>
              </w:rPr>
              <w:t>处理。本项目根据要求采取相应的分区防渗，切断了对土壤、地下水的污染途径，不会对土壤、地下水造成影响。</w:t>
            </w:r>
          </w:p>
          <w:p>
            <w:pPr>
              <w:spacing w:line="360" w:lineRule="auto"/>
              <w:ind w:firstLine="480" w:firstLineChars="200"/>
              <w:rPr>
                <w:sz w:val="24"/>
              </w:rPr>
            </w:pPr>
            <w:r>
              <w:rPr>
                <w:sz w:val="24"/>
              </w:rPr>
              <w:t>本项目</w:t>
            </w:r>
            <w:r>
              <w:rPr>
                <w:rFonts w:hint="eastAsia"/>
                <w:sz w:val="24"/>
              </w:rPr>
              <w:t>正产工况下</w:t>
            </w:r>
            <w:r>
              <w:rPr>
                <w:sz w:val="24"/>
              </w:rPr>
              <w:t>生产单元不存在地下水、土壤污染途径。非正常状况下，危废暂存间防渗层</w:t>
            </w:r>
            <w:r>
              <w:rPr>
                <w:rFonts w:hint="eastAsia"/>
                <w:sz w:val="24"/>
              </w:rPr>
              <w:t>、原料库液态物料存放区防渗层</w:t>
            </w:r>
            <w:r>
              <w:rPr>
                <w:sz w:val="24"/>
              </w:rPr>
              <w:t>出现破损的情况或者危险废物泄漏，污染物可能发生下渗对土壤及地下水造成影响。</w:t>
            </w:r>
          </w:p>
          <w:p>
            <w:pPr>
              <w:spacing w:line="360" w:lineRule="auto"/>
              <w:ind w:firstLine="480" w:firstLineChars="200"/>
              <w:rPr>
                <w:sz w:val="24"/>
              </w:rPr>
            </w:pPr>
            <w:r>
              <w:rPr>
                <w:sz w:val="24"/>
              </w:rPr>
              <w:t>（2）分区防渗</w:t>
            </w:r>
          </w:p>
          <w:p>
            <w:pPr>
              <w:spacing w:line="360" w:lineRule="auto"/>
              <w:ind w:firstLine="480" w:firstLineChars="200"/>
              <w:rPr>
                <w:sz w:val="24"/>
              </w:rPr>
            </w:pPr>
            <w:r>
              <w:rPr>
                <w:sz w:val="24"/>
              </w:rPr>
              <w:t>为防止本项目的生产运行对区域地下水环境造成不利影响，依据污染物产生及处理的过程、环节，结合本项目总平面布置情况，将场区分为简单防渗区、一般防渗区和重点防渗区。分区渗措施如下表</w:t>
            </w:r>
            <w:r>
              <w:rPr>
                <w:rFonts w:hint="eastAsia"/>
                <w:sz w:val="24"/>
              </w:rPr>
              <w:t>51</w:t>
            </w:r>
            <w:r>
              <w:rPr>
                <w:sz w:val="24"/>
              </w:rPr>
              <w:t>所示。</w:t>
            </w:r>
          </w:p>
          <w:p>
            <w:pPr>
              <w:jc w:val="center"/>
              <w:rPr>
                <w:b/>
                <w:sz w:val="24"/>
              </w:rPr>
            </w:pPr>
            <w:r>
              <w:rPr>
                <w:b/>
                <w:sz w:val="24"/>
              </w:rPr>
              <w:t>表</w:t>
            </w:r>
            <w:r>
              <w:rPr>
                <w:rFonts w:hint="eastAsia"/>
                <w:b/>
                <w:sz w:val="24"/>
              </w:rPr>
              <w:t xml:space="preserve">51 </w:t>
            </w:r>
            <w:r>
              <w:rPr>
                <w:b/>
                <w:sz w:val="24"/>
              </w:rPr>
              <w:t>本项目分区防渗情况一览表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217"/>
              <w:gridCol w:w="4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73" w:type="pct"/>
                  <w:vAlign w:val="center"/>
                </w:tcPr>
                <w:p>
                  <w:pPr>
                    <w:jc w:val="center"/>
                    <w:rPr>
                      <w:b/>
                      <w:bCs/>
                      <w:szCs w:val="21"/>
                    </w:rPr>
                  </w:pPr>
                  <w:r>
                    <w:rPr>
                      <w:b/>
                      <w:bCs/>
                      <w:szCs w:val="21"/>
                    </w:rPr>
                    <w:t>防渗分区</w:t>
                  </w:r>
                </w:p>
              </w:tc>
              <w:tc>
                <w:tcPr>
                  <w:tcW w:w="1310" w:type="pct"/>
                  <w:vAlign w:val="center"/>
                </w:tcPr>
                <w:p>
                  <w:pPr>
                    <w:jc w:val="center"/>
                    <w:rPr>
                      <w:b/>
                      <w:bCs/>
                      <w:szCs w:val="21"/>
                    </w:rPr>
                  </w:pPr>
                  <w:r>
                    <w:rPr>
                      <w:b/>
                      <w:bCs/>
                      <w:szCs w:val="21"/>
                    </w:rPr>
                    <w:t>防渗区域</w:t>
                  </w:r>
                </w:p>
              </w:tc>
              <w:tc>
                <w:tcPr>
                  <w:tcW w:w="2816" w:type="pct"/>
                  <w:vAlign w:val="center"/>
                </w:tcPr>
                <w:p>
                  <w:pPr>
                    <w:jc w:val="center"/>
                    <w:rPr>
                      <w:b/>
                      <w:bCs/>
                      <w:szCs w:val="21"/>
                    </w:rPr>
                  </w:pPr>
                  <w:r>
                    <w:rPr>
                      <w:b/>
                      <w:bCs/>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jc w:val="center"/>
                    <w:rPr>
                      <w:szCs w:val="21"/>
                    </w:rPr>
                  </w:pPr>
                  <w:r>
                    <w:rPr>
                      <w:szCs w:val="21"/>
                    </w:rPr>
                    <w:t>重点防渗区</w:t>
                  </w:r>
                </w:p>
              </w:tc>
              <w:tc>
                <w:tcPr>
                  <w:tcW w:w="1310" w:type="pct"/>
                  <w:vAlign w:val="center"/>
                </w:tcPr>
                <w:p>
                  <w:pPr>
                    <w:jc w:val="center"/>
                    <w:rPr>
                      <w:szCs w:val="21"/>
                    </w:rPr>
                  </w:pPr>
                  <w:r>
                    <w:rPr>
                      <w:szCs w:val="21"/>
                    </w:rPr>
                    <w:t>危废暂存间</w:t>
                  </w:r>
                  <w:r>
                    <w:rPr>
                      <w:rFonts w:hint="eastAsia"/>
                      <w:szCs w:val="21"/>
                    </w:rPr>
                    <w:t>、原料库液态物料存放区</w:t>
                  </w:r>
                </w:p>
              </w:tc>
              <w:tc>
                <w:tcPr>
                  <w:tcW w:w="2816" w:type="pct"/>
                  <w:vAlign w:val="center"/>
                </w:tcPr>
                <w:p>
                  <w:pPr>
                    <w:jc w:val="center"/>
                    <w:rPr>
                      <w:szCs w:val="21"/>
                    </w:rPr>
                  </w:pPr>
                  <w:r>
                    <w:rPr>
                      <w:szCs w:val="21"/>
                    </w:rPr>
                    <w:t>等效黏土防渗层Mb≥6.0m，K≤1×10</w:t>
                  </w:r>
                  <w:r>
                    <w:rPr>
                      <w:szCs w:val="21"/>
                      <w:vertAlign w:val="superscript"/>
                    </w:rPr>
                    <w:t>-10</w:t>
                  </w:r>
                  <w:r>
                    <w:rPr>
                      <w:szCs w:val="21"/>
                    </w:rPr>
                    <w:t>cm/s；或参照GB18598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jc w:val="center"/>
                    <w:rPr>
                      <w:szCs w:val="21"/>
                    </w:rPr>
                  </w:pPr>
                  <w:r>
                    <w:rPr>
                      <w:szCs w:val="21"/>
                    </w:rPr>
                    <w:t>一般防渗区</w:t>
                  </w:r>
                </w:p>
              </w:tc>
              <w:tc>
                <w:tcPr>
                  <w:tcW w:w="1310" w:type="pct"/>
                  <w:vAlign w:val="center"/>
                </w:tcPr>
                <w:p>
                  <w:pPr>
                    <w:jc w:val="center"/>
                    <w:rPr>
                      <w:szCs w:val="21"/>
                    </w:rPr>
                  </w:pPr>
                  <w:r>
                    <w:rPr>
                      <w:szCs w:val="21"/>
                    </w:rPr>
                    <w:t>生产车间、化粪池</w:t>
                  </w:r>
                </w:p>
              </w:tc>
              <w:tc>
                <w:tcPr>
                  <w:tcW w:w="2816" w:type="pct"/>
                  <w:vAlign w:val="center"/>
                </w:tcPr>
                <w:p>
                  <w:pPr>
                    <w:jc w:val="center"/>
                    <w:rPr>
                      <w:szCs w:val="21"/>
                    </w:rPr>
                  </w:pPr>
                  <w:r>
                    <w:rPr>
                      <w:szCs w:val="21"/>
                    </w:rPr>
                    <w:t>等效黏土防渗层Mb≥1.5m，K≤1×10</w:t>
                  </w:r>
                  <w:r>
                    <w:rPr>
                      <w:szCs w:val="21"/>
                      <w:vertAlign w:val="superscript"/>
                    </w:rPr>
                    <w:t>-7</w:t>
                  </w:r>
                  <w:r>
                    <w:rPr>
                      <w:szCs w:val="21"/>
                    </w:rPr>
                    <w:t>cm/s；或参照GB16889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jc w:val="center"/>
                    <w:rPr>
                      <w:szCs w:val="21"/>
                    </w:rPr>
                  </w:pPr>
                  <w:r>
                    <w:rPr>
                      <w:szCs w:val="21"/>
                    </w:rPr>
                    <w:t>简单防渗区</w:t>
                  </w:r>
                </w:p>
              </w:tc>
              <w:tc>
                <w:tcPr>
                  <w:tcW w:w="1310" w:type="pct"/>
                  <w:vAlign w:val="center"/>
                </w:tcPr>
                <w:p>
                  <w:pPr>
                    <w:jc w:val="center"/>
                    <w:rPr>
                      <w:szCs w:val="21"/>
                    </w:rPr>
                  </w:pPr>
                  <w:r>
                    <w:rPr>
                      <w:szCs w:val="21"/>
                    </w:rPr>
                    <w:t>道路及其他区域</w:t>
                  </w:r>
                </w:p>
              </w:tc>
              <w:tc>
                <w:tcPr>
                  <w:tcW w:w="2816" w:type="pct"/>
                  <w:vAlign w:val="center"/>
                </w:tcPr>
                <w:p>
                  <w:pPr>
                    <w:jc w:val="center"/>
                    <w:rPr>
                      <w:szCs w:val="21"/>
                    </w:rPr>
                  </w:pPr>
                  <w:r>
                    <w:rPr>
                      <w:szCs w:val="21"/>
                    </w:rPr>
                    <w:t>一般地面硬化</w:t>
                  </w:r>
                </w:p>
              </w:tc>
            </w:tr>
          </w:tbl>
          <w:p>
            <w:pPr>
              <w:spacing w:line="360" w:lineRule="auto"/>
              <w:ind w:firstLine="482" w:firstLineChars="200"/>
              <w:rPr>
                <w:b/>
                <w:bCs/>
                <w:sz w:val="24"/>
              </w:rPr>
            </w:pPr>
            <w:r>
              <w:rPr>
                <w:b/>
                <w:bCs/>
                <w:sz w:val="24"/>
              </w:rPr>
              <w:t>6、环境风险</w:t>
            </w:r>
          </w:p>
          <w:p>
            <w:pPr>
              <w:spacing w:line="360" w:lineRule="auto"/>
              <w:ind w:firstLine="480" w:firstLineChars="200"/>
              <w:rPr>
                <w:sz w:val="24"/>
              </w:rPr>
            </w:pPr>
            <w:r>
              <w:rPr>
                <w:sz w:val="24"/>
              </w:rPr>
              <w:t>6.1风险识别</w:t>
            </w:r>
          </w:p>
          <w:p>
            <w:pPr>
              <w:spacing w:line="360" w:lineRule="auto"/>
              <w:ind w:firstLine="480" w:firstLineChars="200"/>
              <w:rPr>
                <w:sz w:val="24"/>
              </w:rPr>
            </w:pPr>
            <w:r>
              <w:rPr>
                <w:sz w:val="24"/>
              </w:rPr>
              <w:t>从企业生产全过程识别环境风险物质，包括原辅材料、燃料、中间产品、副产品、最终产品、污染物等，并对照《建设项目环境风险评价技术导则》（HJ169-2018）附录B可知，项目风险物质为</w:t>
            </w:r>
            <w:r>
              <w:rPr>
                <w:rFonts w:hint="eastAsia"/>
                <w:sz w:val="24"/>
              </w:rPr>
              <w:t>天然气、</w:t>
            </w:r>
            <w:r>
              <w:rPr>
                <w:sz w:val="24"/>
              </w:rPr>
              <w:t>切削液和机油以及废机油、废切削液、废机油桶、废切削液桶、</w:t>
            </w:r>
            <w:r>
              <w:rPr>
                <w:rFonts w:hint="eastAsia"/>
                <w:sz w:val="24"/>
              </w:rPr>
              <w:t>废过滤棉</w:t>
            </w:r>
            <w:r>
              <w:rPr>
                <w:sz w:val="24"/>
              </w:rPr>
              <w:t>、</w:t>
            </w:r>
            <w:r>
              <w:rPr>
                <w:rFonts w:hint="eastAsia"/>
                <w:sz w:val="24"/>
              </w:rPr>
              <w:t>废催化剂、废活性炭</w:t>
            </w:r>
            <w:r>
              <w:rPr>
                <w:sz w:val="24"/>
              </w:rPr>
              <w:t>。</w:t>
            </w:r>
          </w:p>
          <w:p>
            <w:pPr>
              <w:spacing w:line="360" w:lineRule="auto"/>
              <w:ind w:firstLine="480" w:firstLineChars="200"/>
              <w:rPr>
                <w:sz w:val="24"/>
              </w:rPr>
            </w:pPr>
            <w:r>
              <w:rPr>
                <w:sz w:val="24"/>
              </w:rPr>
              <w:t>风险物质危险性识别情况见表</w:t>
            </w:r>
            <w:r>
              <w:rPr>
                <w:rFonts w:hint="eastAsia"/>
                <w:sz w:val="24"/>
              </w:rPr>
              <w:t>52</w:t>
            </w:r>
            <w:r>
              <w:rPr>
                <w:sz w:val="24"/>
              </w:rPr>
              <w:t>。</w:t>
            </w:r>
          </w:p>
          <w:p>
            <w:pPr>
              <w:jc w:val="center"/>
              <w:rPr>
                <w:b/>
                <w:sz w:val="24"/>
              </w:rPr>
            </w:pPr>
            <w:r>
              <w:rPr>
                <w:b/>
                <w:sz w:val="24"/>
              </w:rPr>
              <w:t>表</w:t>
            </w:r>
            <w:r>
              <w:rPr>
                <w:rFonts w:hint="eastAsia"/>
                <w:b/>
                <w:sz w:val="24"/>
              </w:rPr>
              <w:t>52</w:t>
            </w:r>
            <w:r>
              <w:rPr>
                <w:b/>
                <w:sz w:val="24"/>
              </w:rPr>
              <w:t xml:space="preserve">  风险物质危险性识别一览表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643"/>
              <w:gridCol w:w="862"/>
              <w:gridCol w:w="1277"/>
              <w:gridCol w:w="1187"/>
              <w:gridCol w:w="1254"/>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restart"/>
                  <w:vAlign w:val="center"/>
                </w:tcPr>
                <w:p>
                  <w:pPr>
                    <w:jc w:val="center"/>
                    <w:rPr>
                      <w:b/>
                      <w:bCs/>
                      <w:szCs w:val="21"/>
                    </w:rPr>
                  </w:pPr>
                  <w:r>
                    <w:rPr>
                      <w:b/>
                      <w:bCs/>
                      <w:szCs w:val="21"/>
                    </w:rPr>
                    <w:t>危险单元名称</w:t>
                  </w:r>
                </w:p>
              </w:tc>
              <w:tc>
                <w:tcPr>
                  <w:tcW w:w="2505" w:type="dxa"/>
                  <w:gridSpan w:val="2"/>
                  <w:vAlign w:val="center"/>
                </w:tcPr>
                <w:p>
                  <w:pPr>
                    <w:jc w:val="center"/>
                    <w:rPr>
                      <w:b/>
                      <w:bCs/>
                      <w:szCs w:val="21"/>
                    </w:rPr>
                  </w:pPr>
                  <w:r>
                    <w:rPr>
                      <w:b/>
                      <w:bCs/>
                      <w:szCs w:val="21"/>
                    </w:rPr>
                    <w:t>单元内危险物质</w:t>
                  </w:r>
                </w:p>
              </w:tc>
              <w:tc>
                <w:tcPr>
                  <w:tcW w:w="5072" w:type="dxa"/>
                  <w:gridSpan w:val="4"/>
                  <w:vAlign w:val="center"/>
                </w:tcPr>
                <w:p>
                  <w:pPr>
                    <w:jc w:val="center"/>
                    <w:rPr>
                      <w:b/>
                      <w:bCs/>
                      <w:szCs w:val="21"/>
                    </w:rPr>
                  </w:pPr>
                  <w:r>
                    <w:rPr>
                      <w:b/>
                      <w:bCs/>
                      <w:szCs w:val="21"/>
                    </w:rPr>
                    <w:t>风险源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b/>
                      <w:bCs/>
                      <w:szCs w:val="21"/>
                    </w:rPr>
                  </w:pPr>
                </w:p>
              </w:tc>
              <w:tc>
                <w:tcPr>
                  <w:tcW w:w="1643" w:type="dxa"/>
                  <w:vAlign w:val="center"/>
                </w:tcPr>
                <w:p>
                  <w:pPr>
                    <w:jc w:val="center"/>
                    <w:rPr>
                      <w:b/>
                      <w:bCs/>
                      <w:szCs w:val="21"/>
                    </w:rPr>
                  </w:pPr>
                  <w:r>
                    <w:rPr>
                      <w:b/>
                      <w:bCs/>
                      <w:szCs w:val="21"/>
                    </w:rPr>
                    <w:t>危险物质</w:t>
                  </w:r>
                </w:p>
              </w:tc>
              <w:tc>
                <w:tcPr>
                  <w:tcW w:w="862" w:type="dxa"/>
                  <w:vAlign w:val="center"/>
                </w:tcPr>
                <w:p>
                  <w:pPr>
                    <w:jc w:val="center"/>
                    <w:rPr>
                      <w:b/>
                      <w:bCs/>
                      <w:szCs w:val="21"/>
                    </w:rPr>
                  </w:pPr>
                  <w:r>
                    <w:rPr>
                      <w:b/>
                      <w:bCs/>
                      <w:szCs w:val="21"/>
                    </w:rPr>
                    <w:t>最大</w:t>
                  </w:r>
                </w:p>
                <w:p>
                  <w:pPr>
                    <w:jc w:val="center"/>
                    <w:rPr>
                      <w:b/>
                      <w:bCs/>
                      <w:szCs w:val="21"/>
                    </w:rPr>
                  </w:pPr>
                  <w:r>
                    <w:rPr>
                      <w:b/>
                      <w:bCs/>
                      <w:szCs w:val="21"/>
                    </w:rPr>
                    <w:t>存在量</w:t>
                  </w:r>
                </w:p>
              </w:tc>
              <w:tc>
                <w:tcPr>
                  <w:tcW w:w="1277" w:type="dxa"/>
                  <w:vAlign w:val="center"/>
                </w:tcPr>
                <w:p>
                  <w:pPr>
                    <w:jc w:val="center"/>
                    <w:rPr>
                      <w:b/>
                      <w:bCs/>
                      <w:szCs w:val="21"/>
                    </w:rPr>
                  </w:pPr>
                  <w:r>
                    <w:rPr>
                      <w:b/>
                      <w:bCs/>
                      <w:szCs w:val="21"/>
                    </w:rPr>
                    <w:t>名称</w:t>
                  </w:r>
                </w:p>
              </w:tc>
              <w:tc>
                <w:tcPr>
                  <w:tcW w:w="1187" w:type="dxa"/>
                  <w:vAlign w:val="center"/>
                </w:tcPr>
                <w:p>
                  <w:pPr>
                    <w:jc w:val="center"/>
                    <w:rPr>
                      <w:b/>
                      <w:bCs/>
                      <w:szCs w:val="21"/>
                    </w:rPr>
                  </w:pPr>
                  <w:r>
                    <w:rPr>
                      <w:b/>
                      <w:bCs/>
                      <w:szCs w:val="21"/>
                    </w:rPr>
                    <w:t>危险性</w:t>
                  </w:r>
                </w:p>
              </w:tc>
              <w:tc>
                <w:tcPr>
                  <w:tcW w:w="1254" w:type="dxa"/>
                  <w:vAlign w:val="center"/>
                </w:tcPr>
                <w:p>
                  <w:pPr>
                    <w:jc w:val="center"/>
                    <w:rPr>
                      <w:b/>
                      <w:bCs/>
                      <w:szCs w:val="21"/>
                    </w:rPr>
                  </w:pPr>
                  <w:r>
                    <w:rPr>
                      <w:b/>
                      <w:bCs/>
                      <w:szCs w:val="21"/>
                    </w:rPr>
                    <w:t>存在条件</w:t>
                  </w:r>
                </w:p>
              </w:tc>
              <w:tc>
                <w:tcPr>
                  <w:tcW w:w="1354" w:type="dxa"/>
                  <w:vAlign w:val="center"/>
                </w:tcPr>
                <w:p>
                  <w:pPr>
                    <w:jc w:val="center"/>
                    <w:rPr>
                      <w:b/>
                      <w:bCs/>
                      <w:szCs w:val="21"/>
                    </w:rPr>
                  </w:pPr>
                  <w:r>
                    <w:rPr>
                      <w:b/>
                      <w:bCs/>
                      <w:szCs w:val="21"/>
                    </w:rPr>
                    <w:t>转化为事故的触发因素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restart"/>
                  <w:vAlign w:val="center"/>
                </w:tcPr>
                <w:p>
                  <w:pPr>
                    <w:jc w:val="center"/>
                    <w:rPr>
                      <w:szCs w:val="21"/>
                    </w:rPr>
                  </w:pPr>
                  <w:r>
                    <w:rPr>
                      <w:szCs w:val="21"/>
                    </w:rPr>
                    <w:t>车间</w:t>
                  </w:r>
                </w:p>
              </w:tc>
              <w:tc>
                <w:tcPr>
                  <w:tcW w:w="1643" w:type="dxa"/>
                  <w:vAlign w:val="center"/>
                </w:tcPr>
                <w:p>
                  <w:pPr>
                    <w:jc w:val="center"/>
                    <w:rPr>
                      <w:szCs w:val="21"/>
                    </w:rPr>
                  </w:pPr>
                  <w:r>
                    <w:rPr>
                      <w:szCs w:val="21"/>
                    </w:rPr>
                    <w:t>机油</w:t>
                  </w:r>
                </w:p>
              </w:tc>
              <w:tc>
                <w:tcPr>
                  <w:tcW w:w="862" w:type="dxa"/>
                  <w:vAlign w:val="center"/>
                </w:tcPr>
                <w:p>
                  <w:pPr>
                    <w:jc w:val="center"/>
                    <w:rPr>
                      <w:szCs w:val="21"/>
                    </w:rPr>
                  </w:pPr>
                  <w:r>
                    <w:rPr>
                      <w:rFonts w:hint="eastAsia"/>
                      <w:szCs w:val="21"/>
                    </w:rPr>
                    <w:t>0.3</w:t>
                  </w:r>
                  <w:r>
                    <w:rPr>
                      <w:szCs w:val="21"/>
                    </w:rPr>
                    <w:t>t</w:t>
                  </w:r>
                </w:p>
              </w:tc>
              <w:tc>
                <w:tcPr>
                  <w:tcW w:w="1277" w:type="dxa"/>
                  <w:vAlign w:val="center"/>
                </w:tcPr>
                <w:p>
                  <w:pPr>
                    <w:jc w:val="center"/>
                    <w:rPr>
                      <w:szCs w:val="21"/>
                    </w:rPr>
                  </w:pPr>
                  <w:r>
                    <w:rPr>
                      <w:szCs w:val="21"/>
                    </w:rPr>
                    <w:t>机油</w:t>
                  </w:r>
                </w:p>
              </w:tc>
              <w:tc>
                <w:tcPr>
                  <w:tcW w:w="1187" w:type="dxa"/>
                  <w:vAlign w:val="center"/>
                </w:tcPr>
                <w:p>
                  <w:pPr>
                    <w:jc w:val="center"/>
                    <w:rPr>
                      <w:szCs w:val="21"/>
                    </w:rPr>
                  </w:pPr>
                  <w:r>
                    <w:rPr>
                      <w:szCs w:val="21"/>
                    </w:rPr>
                    <w:t>易燃、有毒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rFonts w:hint="eastAsia"/>
                      <w:szCs w:val="21"/>
                    </w:rPr>
                    <w:t>切削液</w:t>
                  </w:r>
                </w:p>
              </w:tc>
              <w:tc>
                <w:tcPr>
                  <w:tcW w:w="862" w:type="dxa"/>
                  <w:vAlign w:val="center"/>
                </w:tcPr>
                <w:p>
                  <w:pPr>
                    <w:jc w:val="center"/>
                    <w:rPr>
                      <w:szCs w:val="21"/>
                    </w:rPr>
                  </w:pPr>
                  <w:r>
                    <w:rPr>
                      <w:rFonts w:hint="eastAsia"/>
                      <w:szCs w:val="21"/>
                    </w:rPr>
                    <w:t>0.5t</w:t>
                  </w:r>
                </w:p>
              </w:tc>
              <w:tc>
                <w:tcPr>
                  <w:tcW w:w="1277" w:type="dxa"/>
                  <w:vAlign w:val="center"/>
                </w:tcPr>
                <w:p>
                  <w:pPr>
                    <w:jc w:val="center"/>
                    <w:rPr>
                      <w:szCs w:val="21"/>
                    </w:rPr>
                  </w:pPr>
                  <w:r>
                    <w:rPr>
                      <w:rFonts w:hint="eastAsia"/>
                      <w:szCs w:val="21"/>
                    </w:rPr>
                    <w:t>切削液</w:t>
                  </w:r>
                </w:p>
              </w:tc>
              <w:tc>
                <w:tcPr>
                  <w:tcW w:w="1187" w:type="dxa"/>
                  <w:vAlign w:val="center"/>
                </w:tcPr>
                <w:p>
                  <w:pPr>
                    <w:jc w:val="center"/>
                    <w:rPr>
                      <w:szCs w:val="21"/>
                    </w:rPr>
                  </w:pPr>
                  <w:r>
                    <w:rPr>
                      <w:szCs w:val="21"/>
                    </w:rPr>
                    <w:t>易燃、有毒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rFonts w:hint="eastAsia"/>
                      <w:szCs w:val="21"/>
                    </w:rPr>
                    <w:t>天然气（甲烷）</w:t>
                  </w:r>
                </w:p>
              </w:tc>
              <w:tc>
                <w:tcPr>
                  <w:tcW w:w="862" w:type="dxa"/>
                  <w:vAlign w:val="center"/>
                </w:tcPr>
                <w:p>
                  <w:pPr>
                    <w:jc w:val="center"/>
                    <w:rPr>
                      <w:szCs w:val="21"/>
                    </w:rPr>
                  </w:pPr>
                  <w:r>
                    <w:rPr>
                      <w:rFonts w:hint="eastAsia"/>
                      <w:szCs w:val="21"/>
                    </w:rPr>
                    <w:t>0.0023t</w:t>
                  </w:r>
                </w:p>
              </w:tc>
              <w:tc>
                <w:tcPr>
                  <w:tcW w:w="1277" w:type="dxa"/>
                  <w:vAlign w:val="center"/>
                </w:tcPr>
                <w:p>
                  <w:pPr>
                    <w:jc w:val="center"/>
                    <w:rPr>
                      <w:szCs w:val="21"/>
                    </w:rPr>
                  </w:pPr>
                  <w:r>
                    <w:rPr>
                      <w:rFonts w:hint="eastAsia"/>
                      <w:szCs w:val="21"/>
                    </w:rPr>
                    <w:t>天然气（甲烷）</w:t>
                  </w:r>
                </w:p>
              </w:tc>
              <w:tc>
                <w:tcPr>
                  <w:tcW w:w="1187" w:type="dxa"/>
                  <w:vAlign w:val="center"/>
                </w:tcPr>
                <w:p>
                  <w:pPr>
                    <w:jc w:val="center"/>
                    <w:rPr>
                      <w:szCs w:val="21"/>
                    </w:rPr>
                  </w:pPr>
                  <w:r>
                    <w:rPr>
                      <w:rFonts w:hint="eastAsia"/>
                      <w:szCs w:val="21"/>
                    </w:rPr>
                    <w:t>易燃</w:t>
                  </w:r>
                </w:p>
              </w:tc>
              <w:tc>
                <w:tcPr>
                  <w:tcW w:w="1254" w:type="dxa"/>
                  <w:vAlign w:val="center"/>
                </w:tcPr>
                <w:p>
                  <w:pPr>
                    <w:jc w:val="center"/>
                    <w:rPr>
                      <w:szCs w:val="21"/>
                    </w:rPr>
                  </w:pPr>
                  <w:r>
                    <w:rPr>
                      <w:rFonts w:hint="eastAsia"/>
                      <w:szCs w:val="21"/>
                    </w:rPr>
                    <w:t>--</w:t>
                  </w:r>
                </w:p>
              </w:tc>
              <w:tc>
                <w:tcPr>
                  <w:tcW w:w="1354" w:type="dxa"/>
                  <w:vAlign w:val="center"/>
                </w:tcPr>
                <w:p>
                  <w:pPr>
                    <w:jc w:val="center"/>
                    <w:rPr>
                      <w:szCs w:val="21"/>
                    </w:rPr>
                  </w:pPr>
                  <w:r>
                    <w:rPr>
                      <w:szCs w:val="21"/>
                    </w:rPr>
                    <w:t>泄露、爆炸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restart"/>
                  <w:vAlign w:val="center"/>
                </w:tcPr>
                <w:p>
                  <w:pPr>
                    <w:jc w:val="center"/>
                    <w:rPr>
                      <w:szCs w:val="21"/>
                    </w:rPr>
                  </w:pPr>
                  <w:r>
                    <w:rPr>
                      <w:szCs w:val="21"/>
                    </w:rPr>
                    <w:t>危废暂存间</w:t>
                  </w:r>
                </w:p>
              </w:tc>
              <w:tc>
                <w:tcPr>
                  <w:tcW w:w="1643" w:type="dxa"/>
                  <w:vAlign w:val="center"/>
                </w:tcPr>
                <w:p>
                  <w:pPr>
                    <w:jc w:val="center"/>
                    <w:rPr>
                      <w:szCs w:val="21"/>
                    </w:rPr>
                  </w:pPr>
                  <w:r>
                    <w:rPr>
                      <w:rFonts w:hint="eastAsia"/>
                      <w:szCs w:val="21"/>
                    </w:rPr>
                    <w:t>废过滤棉</w:t>
                  </w:r>
                </w:p>
              </w:tc>
              <w:tc>
                <w:tcPr>
                  <w:tcW w:w="862" w:type="dxa"/>
                  <w:vAlign w:val="center"/>
                </w:tcPr>
                <w:p>
                  <w:pPr>
                    <w:jc w:val="center"/>
                    <w:rPr>
                      <w:szCs w:val="21"/>
                    </w:rPr>
                  </w:pPr>
                  <w:r>
                    <w:rPr>
                      <w:rFonts w:hint="eastAsia"/>
                      <w:szCs w:val="21"/>
                    </w:rPr>
                    <w:t>0.01</w:t>
                  </w:r>
                  <w:r>
                    <w:rPr>
                      <w:szCs w:val="21"/>
                    </w:rPr>
                    <w:t>t</w:t>
                  </w:r>
                </w:p>
              </w:tc>
              <w:tc>
                <w:tcPr>
                  <w:tcW w:w="1277" w:type="dxa"/>
                  <w:vAlign w:val="center"/>
                </w:tcPr>
                <w:p>
                  <w:pPr>
                    <w:jc w:val="center"/>
                    <w:rPr>
                      <w:szCs w:val="21"/>
                    </w:rPr>
                  </w:pPr>
                  <w:r>
                    <w:rPr>
                      <w:szCs w:val="21"/>
                    </w:rPr>
                    <w:t>废</w:t>
                  </w:r>
                  <w:r>
                    <w:rPr>
                      <w:rFonts w:hint="eastAsia"/>
                      <w:szCs w:val="21"/>
                    </w:rPr>
                    <w:t>过滤棉</w:t>
                  </w:r>
                </w:p>
              </w:tc>
              <w:tc>
                <w:tcPr>
                  <w:tcW w:w="1187" w:type="dxa"/>
                  <w:vAlign w:val="center"/>
                </w:tcPr>
                <w:p>
                  <w:pPr>
                    <w:jc w:val="center"/>
                    <w:rPr>
                      <w:szCs w:val="21"/>
                    </w:rPr>
                  </w:pPr>
                  <w:r>
                    <w:rPr>
                      <w:szCs w:val="21"/>
                    </w:rPr>
                    <w:t>可燃、有毒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rFonts w:hint="eastAsia"/>
                      <w:szCs w:val="21"/>
                    </w:rPr>
                    <w:t>废催化剂（最大存在量）</w:t>
                  </w:r>
                </w:p>
              </w:tc>
              <w:tc>
                <w:tcPr>
                  <w:tcW w:w="862" w:type="dxa"/>
                  <w:vAlign w:val="center"/>
                </w:tcPr>
                <w:p>
                  <w:pPr>
                    <w:jc w:val="center"/>
                    <w:rPr>
                      <w:szCs w:val="21"/>
                    </w:rPr>
                  </w:pPr>
                  <w:r>
                    <w:rPr>
                      <w:rFonts w:hint="eastAsia"/>
                      <w:szCs w:val="21"/>
                    </w:rPr>
                    <w:t>0.3t</w:t>
                  </w:r>
                </w:p>
              </w:tc>
              <w:tc>
                <w:tcPr>
                  <w:tcW w:w="1277" w:type="dxa"/>
                  <w:vAlign w:val="center"/>
                </w:tcPr>
                <w:p>
                  <w:pPr>
                    <w:jc w:val="center"/>
                    <w:rPr>
                      <w:szCs w:val="21"/>
                    </w:rPr>
                  </w:pPr>
                  <w:r>
                    <w:rPr>
                      <w:rFonts w:hint="eastAsia"/>
                      <w:szCs w:val="21"/>
                    </w:rPr>
                    <w:t>废塑粉包装袋</w:t>
                  </w:r>
                </w:p>
              </w:tc>
              <w:tc>
                <w:tcPr>
                  <w:tcW w:w="1187" w:type="dxa"/>
                  <w:vAlign w:val="center"/>
                </w:tcPr>
                <w:p>
                  <w:pPr>
                    <w:jc w:val="center"/>
                    <w:rPr>
                      <w:szCs w:val="21"/>
                    </w:rPr>
                  </w:pPr>
                  <w:r>
                    <w:rPr>
                      <w:rFonts w:hint="eastAsia"/>
                      <w:szCs w:val="21"/>
                    </w:rPr>
                    <w:t>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rFonts w:hint="eastAsia"/>
                      <w:szCs w:val="21"/>
                    </w:rPr>
                    <w:t>废活性炭（最大存在量）</w:t>
                  </w:r>
                </w:p>
              </w:tc>
              <w:tc>
                <w:tcPr>
                  <w:tcW w:w="862" w:type="dxa"/>
                  <w:vAlign w:val="center"/>
                </w:tcPr>
                <w:p>
                  <w:pPr>
                    <w:jc w:val="center"/>
                    <w:rPr>
                      <w:szCs w:val="21"/>
                    </w:rPr>
                  </w:pPr>
                  <w:r>
                    <w:rPr>
                      <w:rFonts w:hint="eastAsia"/>
                      <w:szCs w:val="21"/>
                    </w:rPr>
                    <w:t>0.4t</w:t>
                  </w:r>
                </w:p>
              </w:tc>
              <w:tc>
                <w:tcPr>
                  <w:tcW w:w="1277" w:type="dxa"/>
                  <w:vAlign w:val="center"/>
                </w:tcPr>
                <w:p>
                  <w:pPr>
                    <w:jc w:val="center"/>
                    <w:rPr>
                      <w:szCs w:val="21"/>
                    </w:rPr>
                  </w:pPr>
                  <w:r>
                    <w:rPr>
                      <w:rFonts w:hint="eastAsia"/>
                      <w:szCs w:val="21"/>
                    </w:rPr>
                    <w:t>废活性炭</w:t>
                  </w:r>
                </w:p>
              </w:tc>
              <w:tc>
                <w:tcPr>
                  <w:tcW w:w="1187" w:type="dxa"/>
                  <w:vAlign w:val="center"/>
                </w:tcPr>
                <w:p>
                  <w:pPr>
                    <w:jc w:val="center"/>
                    <w:rPr>
                      <w:szCs w:val="21"/>
                    </w:rPr>
                  </w:pPr>
                  <w:r>
                    <w:rPr>
                      <w:rFonts w:hint="eastAsia"/>
                      <w:szCs w:val="21"/>
                    </w:rPr>
                    <w:t>可燃</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szCs w:val="21"/>
                    </w:rPr>
                    <w:t>废机油</w:t>
                  </w:r>
                </w:p>
              </w:tc>
              <w:tc>
                <w:tcPr>
                  <w:tcW w:w="862" w:type="dxa"/>
                  <w:vAlign w:val="center"/>
                </w:tcPr>
                <w:p>
                  <w:pPr>
                    <w:jc w:val="center"/>
                    <w:rPr>
                      <w:szCs w:val="21"/>
                    </w:rPr>
                  </w:pPr>
                  <w:r>
                    <w:rPr>
                      <w:rFonts w:hint="eastAsia"/>
                      <w:szCs w:val="21"/>
                    </w:rPr>
                    <w:t>0.12</w:t>
                  </w:r>
                  <w:r>
                    <w:rPr>
                      <w:szCs w:val="21"/>
                    </w:rPr>
                    <w:t>t</w:t>
                  </w:r>
                </w:p>
              </w:tc>
              <w:tc>
                <w:tcPr>
                  <w:tcW w:w="1277" w:type="dxa"/>
                  <w:vAlign w:val="center"/>
                </w:tcPr>
                <w:p>
                  <w:pPr>
                    <w:jc w:val="center"/>
                    <w:rPr>
                      <w:szCs w:val="21"/>
                    </w:rPr>
                  </w:pPr>
                  <w:r>
                    <w:rPr>
                      <w:szCs w:val="21"/>
                    </w:rPr>
                    <w:t>废机油</w:t>
                  </w:r>
                </w:p>
              </w:tc>
              <w:tc>
                <w:tcPr>
                  <w:tcW w:w="1187" w:type="dxa"/>
                  <w:vAlign w:val="center"/>
                </w:tcPr>
                <w:p>
                  <w:pPr>
                    <w:jc w:val="center"/>
                    <w:rPr>
                      <w:szCs w:val="21"/>
                    </w:rPr>
                  </w:pPr>
                  <w:r>
                    <w:rPr>
                      <w:szCs w:val="21"/>
                    </w:rPr>
                    <w:t>可燃、有毒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szCs w:val="21"/>
                    </w:rPr>
                    <w:t>废机油桶</w:t>
                  </w:r>
                </w:p>
              </w:tc>
              <w:tc>
                <w:tcPr>
                  <w:tcW w:w="862" w:type="dxa"/>
                  <w:vAlign w:val="center"/>
                </w:tcPr>
                <w:p>
                  <w:pPr>
                    <w:jc w:val="center"/>
                    <w:rPr>
                      <w:szCs w:val="21"/>
                    </w:rPr>
                  </w:pPr>
                  <w:r>
                    <w:rPr>
                      <w:szCs w:val="21"/>
                    </w:rPr>
                    <w:t>0.0</w:t>
                  </w:r>
                  <w:r>
                    <w:rPr>
                      <w:rFonts w:hint="eastAsia"/>
                      <w:szCs w:val="21"/>
                    </w:rPr>
                    <w:t>3</w:t>
                  </w:r>
                  <w:r>
                    <w:rPr>
                      <w:szCs w:val="21"/>
                    </w:rPr>
                    <w:t>t</w:t>
                  </w:r>
                </w:p>
              </w:tc>
              <w:tc>
                <w:tcPr>
                  <w:tcW w:w="1277" w:type="dxa"/>
                  <w:vAlign w:val="center"/>
                </w:tcPr>
                <w:p>
                  <w:pPr>
                    <w:jc w:val="center"/>
                    <w:rPr>
                      <w:szCs w:val="21"/>
                    </w:rPr>
                  </w:pPr>
                  <w:r>
                    <w:rPr>
                      <w:szCs w:val="21"/>
                    </w:rPr>
                    <w:t>废机油桶</w:t>
                  </w:r>
                </w:p>
              </w:tc>
              <w:tc>
                <w:tcPr>
                  <w:tcW w:w="1187" w:type="dxa"/>
                  <w:vAlign w:val="center"/>
                </w:tcPr>
                <w:p>
                  <w:pPr>
                    <w:jc w:val="center"/>
                    <w:rPr>
                      <w:szCs w:val="21"/>
                    </w:rPr>
                  </w:pPr>
                  <w:r>
                    <w:rPr>
                      <w:szCs w:val="21"/>
                    </w:rPr>
                    <w:t>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szCs w:val="21"/>
                    </w:rPr>
                    <w:t>废切削液</w:t>
                  </w:r>
                </w:p>
              </w:tc>
              <w:tc>
                <w:tcPr>
                  <w:tcW w:w="862" w:type="dxa"/>
                  <w:vAlign w:val="center"/>
                </w:tcPr>
                <w:p>
                  <w:pPr>
                    <w:jc w:val="center"/>
                    <w:rPr>
                      <w:szCs w:val="21"/>
                    </w:rPr>
                  </w:pPr>
                  <w:r>
                    <w:rPr>
                      <w:szCs w:val="21"/>
                    </w:rPr>
                    <w:t>0.</w:t>
                  </w:r>
                  <w:r>
                    <w:rPr>
                      <w:rFonts w:hint="eastAsia"/>
                      <w:szCs w:val="21"/>
                    </w:rPr>
                    <w:t>4</w:t>
                  </w:r>
                  <w:r>
                    <w:rPr>
                      <w:szCs w:val="21"/>
                    </w:rPr>
                    <w:t>t</w:t>
                  </w:r>
                </w:p>
              </w:tc>
              <w:tc>
                <w:tcPr>
                  <w:tcW w:w="1277" w:type="dxa"/>
                  <w:vAlign w:val="center"/>
                </w:tcPr>
                <w:p>
                  <w:pPr>
                    <w:jc w:val="center"/>
                    <w:rPr>
                      <w:szCs w:val="21"/>
                    </w:rPr>
                  </w:pPr>
                  <w:r>
                    <w:rPr>
                      <w:szCs w:val="21"/>
                    </w:rPr>
                    <w:t>废切削液</w:t>
                  </w:r>
                </w:p>
              </w:tc>
              <w:tc>
                <w:tcPr>
                  <w:tcW w:w="1187" w:type="dxa"/>
                  <w:vAlign w:val="center"/>
                </w:tcPr>
                <w:p>
                  <w:pPr>
                    <w:jc w:val="center"/>
                    <w:rPr>
                      <w:szCs w:val="21"/>
                    </w:rPr>
                  </w:pPr>
                  <w:r>
                    <w:rPr>
                      <w:szCs w:val="21"/>
                    </w:rPr>
                    <w:t>可燃、有毒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vMerge w:val="continue"/>
                  <w:vAlign w:val="center"/>
                </w:tcPr>
                <w:p>
                  <w:pPr>
                    <w:jc w:val="center"/>
                    <w:rPr>
                      <w:szCs w:val="21"/>
                    </w:rPr>
                  </w:pPr>
                </w:p>
              </w:tc>
              <w:tc>
                <w:tcPr>
                  <w:tcW w:w="1643" w:type="dxa"/>
                  <w:vAlign w:val="center"/>
                </w:tcPr>
                <w:p>
                  <w:pPr>
                    <w:jc w:val="center"/>
                    <w:rPr>
                      <w:szCs w:val="21"/>
                    </w:rPr>
                  </w:pPr>
                  <w:r>
                    <w:rPr>
                      <w:szCs w:val="21"/>
                    </w:rPr>
                    <w:t>废切削液桶</w:t>
                  </w:r>
                </w:p>
              </w:tc>
              <w:tc>
                <w:tcPr>
                  <w:tcW w:w="862" w:type="dxa"/>
                  <w:vAlign w:val="center"/>
                </w:tcPr>
                <w:p>
                  <w:pPr>
                    <w:jc w:val="center"/>
                    <w:rPr>
                      <w:szCs w:val="21"/>
                    </w:rPr>
                  </w:pPr>
                  <w:r>
                    <w:rPr>
                      <w:szCs w:val="21"/>
                    </w:rPr>
                    <w:t>0.0</w:t>
                  </w:r>
                  <w:r>
                    <w:rPr>
                      <w:rFonts w:hint="eastAsia"/>
                      <w:szCs w:val="21"/>
                    </w:rPr>
                    <w:t>5</w:t>
                  </w:r>
                  <w:r>
                    <w:rPr>
                      <w:szCs w:val="21"/>
                    </w:rPr>
                    <w:t>t</w:t>
                  </w:r>
                </w:p>
              </w:tc>
              <w:tc>
                <w:tcPr>
                  <w:tcW w:w="1277" w:type="dxa"/>
                  <w:vAlign w:val="center"/>
                </w:tcPr>
                <w:p>
                  <w:pPr>
                    <w:jc w:val="center"/>
                    <w:rPr>
                      <w:szCs w:val="21"/>
                    </w:rPr>
                  </w:pPr>
                  <w:r>
                    <w:rPr>
                      <w:szCs w:val="21"/>
                    </w:rPr>
                    <w:t>废切削液桶</w:t>
                  </w:r>
                </w:p>
              </w:tc>
              <w:tc>
                <w:tcPr>
                  <w:tcW w:w="1187" w:type="dxa"/>
                  <w:vAlign w:val="center"/>
                </w:tcPr>
                <w:p>
                  <w:pPr>
                    <w:jc w:val="center"/>
                    <w:rPr>
                      <w:szCs w:val="21"/>
                    </w:rPr>
                  </w:pPr>
                  <w:r>
                    <w:rPr>
                      <w:szCs w:val="21"/>
                    </w:rPr>
                    <w:t>有毒</w:t>
                  </w:r>
                </w:p>
              </w:tc>
              <w:tc>
                <w:tcPr>
                  <w:tcW w:w="1254" w:type="dxa"/>
                  <w:vAlign w:val="center"/>
                </w:tcPr>
                <w:p>
                  <w:pPr>
                    <w:jc w:val="center"/>
                    <w:rPr>
                      <w:szCs w:val="21"/>
                    </w:rPr>
                  </w:pPr>
                  <w:r>
                    <w:rPr>
                      <w:szCs w:val="21"/>
                    </w:rPr>
                    <w:t>常温、常压</w:t>
                  </w:r>
                </w:p>
              </w:tc>
              <w:tc>
                <w:tcPr>
                  <w:tcW w:w="1354" w:type="dxa"/>
                  <w:vAlign w:val="center"/>
                </w:tcPr>
                <w:p>
                  <w:pPr>
                    <w:jc w:val="center"/>
                    <w:rPr>
                      <w:szCs w:val="21"/>
                    </w:rPr>
                  </w:pPr>
                  <w:r>
                    <w:rPr>
                      <w:szCs w:val="21"/>
                    </w:rPr>
                    <w:t>泄漏</w:t>
                  </w:r>
                </w:p>
              </w:tc>
            </w:tr>
          </w:tbl>
          <w:p>
            <w:pPr>
              <w:spacing w:line="360" w:lineRule="auto"/>
              <w:ind w:firstLine="480" w:firstLineChars="200"/>
              <w:rPr>
                <w:sz w:val="24"/>
              </w:rPr>
            </w:pPr>
            <w:r>
              <w:rPr>
                <w:sz w:val="24"/>
              </w:rPr>
              <w:t>6.2风险等级划分</w:t>
            </w:r>
          </w:p>
          <w:p>
            <w:pPr>
              <w:spacing w:line="360" w:lineRule="auto"/>
              <w:ind w:firstLine="480" w:firstLineChars="200"/>
              <w:rPr>
                <w:sz w:val="24"/>
              </w:rPr>
            </w:pPr>
            <w:r>
              <w:rPr>
                <w:sz w:val="24"/>
              </w:rPr>
              <w:t>根据建设项目涉及的物质和工艺系统的危险性及其所在地的环境敏感程度，结合事故情形下环境影响途径，对建设项目潜在环境危害程度进行概化分析，建设项目环境风险潜势划分表见下表</w:t>
            </w:r>
            <w:r>
              <w:rPr>
                <w:rFonts w:hint="eastAsia"/>
                <w:sz w:val="24"/>
              </w:rPr>
              <w:t>53</w:t>
            </w:r>
            <w:r>
              <w:rPr>
                <w:sz w:val="24"/>
              </w:rPr>
              <w:t>。</w:t>
            </w:r>
          </w:p>
          <w:p>
            <w:pPr>
              <w:pStyle w:val="21"/>
              <w:ind w:firstLine="420"/>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53</w:t>
            </w:r>
            <w:r>
              <w:rPr>
                <w:rFonts w:ascii="Times New Roman" w:hAnsi="Times New Roman" w:cs="Times New Roman"/>
                <w:b/>
                <w:bCs/>
                <w:color w:val="auto"/>
              </w:rPr>
              <w:t xml:space="preserve">  环境风险潜势划分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904"/>
              <w:gridCol w:w="1519"/>
              <w:gridCol w:w="1519"/>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dxa"/>
                  <w:vMerge w:val="restart"/>
                  <w:vAlign w:val="center"/>
                </w:tcPr>
                <w:p>
                  <w:pPr>
                    <w:spacing w:line="0" w:lineRule="atLeast"/>
                    <w:jc w:val="center"/>
                    <w:rPr>
                      <w:b/>
                      <w:bCs/>
                      <w:szCs w:val="21"/>
                    </w:rPr>
                  </w:pPr>
                  <w:r>
                    <w:rPr>
                      <w:b/>
                      <w:bCs/>
                      <w:szCs w:val="21"/>
                    </w:rPr>
                    <w:t>环境敏感程度（E）</w:t>
                  </w:r>
                </w:p>
              </w:tc>
              <w:tc>
                <w:tcPr>
                  <w:tcW w:w="6461" w:type="dxa"/>
                  <w:gridSpan w:val="4"/>
                  <w:vAlign w:val="center"/>
                </w:tcPr>
                <w:p>
                  <w:pPr>
                    <w:spacing w:line="0" w:lineRule="atLeast"/>
                    <w:jc w:val="center"/>
                    <w:rPr>
                      <w:b/>
                      <w:bCs/>
                      <w:szCs w:val="21"/>
                    </w:rPr>
                  </w:pPr>
                  <w:r>
                    <w:rPr>
                      <w:b/>
                      <w:bCs/>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dxa"/>
                  <w:vMerge w:val="continue"/>
                  <w:vAlign w:val="center"/>
                </w:tcPr>
                <w:p>
                  <w:pPr>
                    <w:spacing w:line="0" w:lineRule="atLeast"/>
                    <w:jc w:val="center"/>
                    <w:rPr>
                      <w:szCs w:val="21"/>
                    </w:rPr>
                  </w:pPr>
                </w:p>
              </w:tc>
              <w:tc>
                <w:tcPr>
                  <w:tcW w:w="1904" w:type="dxa"/>
                  <w:vAlign w:val="center"/>
                </w:tcPr>
                <w:p>
                  <w:pPr>
                    <w:spacing w:line="0" w:lineRule="atLeast"/>
                    <w:jc w:val="center"/>
                    <w:rPr>
                      <w:b/>
                      <w:bCs/>
                      <w:szCs w:val="21"/>
                    </w:rPr>
                  </w:pPr>
                  <w:r>
                    <w:rPr>
                      <w:b/>
                      <w:bCs/>
                      <w:szCs w:val="21"/>
                    </w:rPr>
                    <w:t>极高危害（DA001）</w:t>
                  </w:r>
                </w:p>
              </w:tc>
              <w:tc>
                <w:tcPr>
                  <w:tcW w:w="1519" w:type="dxa"/>
                  <w:vAlign w:val="center"/>
                </w:tcPr>
                <w:p>
                  <w:pPr>
                    <w:spacing w:line="0" w:lineRule="atLeast"/>
                    <w:jc w:val="center"/>
                    <w:rPr>
                      <w:b/>
                      <w:bCs/>
                      <w:szCs w:val="21"/>
                    </w:rPr>
                  </w:pPr>
                  <w:r>
                    <w:rPr>
                      <w:b/>
                      <w:bCs/>
                      <w:szCs w:val="21"/>
                    </w:rPr>
                    <w:t>高度危害（P2）</w:t>
                  </w:r>
                </w:p>
              </w:tc>
              <w:tc>
                <w:tcPr>
                  <w:tcW w:w="1519" w:type="dxa"/>
                  <w:vAlign w:val="center"/>
                </w:tcPr>
                <w:p>
                  <w:pPr>
                    <w:spacing w:line="0" w:lineRule="atLeast"/>
                    <w:jc w:val="center"/>
                    <w:rPr>
                      <w:b/>
                      <w:bCs/>
                      <w:szCs w:val="21"/>
                    </w:rPr>
                  </w:pPr>
                  <w:r>
                    <w:rPr>
                      <w:b/>
                      <w:bCs/>
                      <w:szCs w:val="21"/>
                    </w:rPr>
                    <w:t>中度危害（P3）</w:t>
                  </w:r>
                </w:p>
              </w:tc>
              <w:tc>
                <w:tcPr>
                  <w:tcW w:w="1519" w:type="dxa"/>
                  <w:vAlign w:val="center"/>
                </w:tcPr>
                <w:p>
                  <w:pPr>
                    <w:spacing w:line="0" w:lineRule="atLeast"/>
                    <w:jc w:val="center"/>
                    <w:rPr>
                      <w:b/>
                      <w:bCs/>
                      <w:szCs w:val="21"/>
                    </w:rPr>
                  </w:pPr>
                  <w:r>
                    <w:rPr>
                      <w:b/>
                      <w:bCs/>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dxa"/>
                  <w:vAlign w:val="center"/>
                </w:tcPr>
                <w:p>
                  <w:pPr>
                    <w:spacing w:line="0" w:lineRule="atLeast"/>
                    <w:jc w:val="center"/>
                    <w:rPr>
                      <w:szCs w:val="21"/>
                    </w:rPr>
                  </w:pPr>
                  <w:r>
                    <w:rPr>
                      <w:szCs w:val="21"/>
                    </w:rPr>
                    <w:t>环境高度敏感区（E1）</w:t>
                  </w:r>
                </w:p>
              </w:tc>
              <w:tc>
                <w:tcPr>
                  <w:tcW w:w="1904" w:type="dxa"/>
                  <w:vAlign w:val="center"/>
                </w:tcPr>
                <w:p>
                  <w:pPr>
                    <w:spacing w:line="0" w:lineRule="atLeast"/>
                    <w:jc w:val="center"/>
                    <w:rPr>
                      <w:szCs w:val="21"/>
                    </w:rPr>
                  </w:pPr>
                  <w:r>
                    <w:rPr>
                      <w:szCs w:val="21"/>
                    </w:rPr>
                    <w:t>Ⅳ</w:t>
                  </w:r>
                  <w:r>
                    <w:rPr>
                      <w:szCs w:val="21"/>
                      <w:vertAlign w:val="superscript"/>
                    </w:rPr>
                    <w:t>+</w:t>
                  </w:r>
                </w:p>
              </w:tc>
              <w:tc>
                <w:tcPr>
                  <w:tcW w:w="1519" w:type="dxa"/>
                  <w:vAlign w:val="center"/>
                </w:tcPr>
                <w:p>
                  <w:pPr>
                    <w:spacing w:line="0" w:lineRule="atLeast"/>
                    <w:jc w:val="center"/>
                    <w:rPr>
                      <w:szCs w:val="21"/>
                    </w:rPr>
                  </w:pPr>
                  <w:r>
                    <w:rPr>
                      <w:szCs w:val="21"/>
                    </w:rPr>
                    <w:t>Ⅳ</w:t>
                  </w:r>
                </w:p>
              </w:tc>
              <w:tc>
                <w:tcPr>
                  <w:tcW w:w="1519" w:type="dxa"/>
                  <w:vAlign w:val="center"/>
                </w:tcPr>
                <w:p>
                  <w:pPr>
                    <w:spacing w:line="0" w:lineRule="atLeast"/>
                    <w:jc w:val="center"/>
                    <w:rPr>
                      <w:szCs w:val="21"/>
                    </w:rPr>
                  </w:pPr>
                  <w:r>
                    <w:rPr>
                      <w:szCs w:val="21"/>
                    </w:rPr>
                    <w:t>Ⅲ</w:t>
                  </w:r>
                </w:p>
              </w:tc>
              <w:tc>
                <w:tcPr>
                  <w:tcW w:w="1519" w:type="dxa"/>
                  <w:vAlign w:val="center"/>
                </w:tcPr>
                <w:p>
                  <w:pPr>
                    <w:spacing w:line="0" w:lineRule="atLeast"/>
                    <w:jc w:val="center"/>
                    <w:rPr>
                      <w:szCs w:val="21"/>
                    </w:rPr>
                  </w:pPr>
                  <w:r>
                    <w:rPr>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dxa"/>
                  <w:vAlign w:val="center"/>
                </w:tcPr>
                <w:p>
                  <w:pPr>
                    <w:spacing w:line="0" w:lineRule="atLeast"/>
                    <w:jc w:val="center"/>
                    <w:rPr>
                      <w:szCs w:val="21"/>
                    </w:rPr>
                  </w:pPr>
                  <w:r>
                    <w:rPr>
                      <w:szCs w:val="21"/>
                    </w:rPr>
                    <w:t>环境中度敏感区（E2）</w:t>
                  </w:r>
                </w:p>
              </w:tc>
              <w:tc>
                <w:tcPr>
                  <w:tcW w:w="1904" w:type="dxa"/>
                  <w:vAlign w:val="center"/>
                </w:tcPr>
                <w:p>
                  <w:pPr>
                    <w:spacing w:line="0" w:lineRule="atLeast"/>
                    <w:jc w:val="center"/>
                    <w:rPr>
                      <w:szCs w:val="21"/>
                    </w:rPr>
                  </w:pPr>
                  <w:r>
                    <w:rPr>
                      <w:szCs w:val="21"/>
                    </w:rPr>
                    <w:t>Ⅳ</w:t>
                  </w:r>
                </w:p>
              </w:tc>
              <w:tc>
                <w:tcPr>
                  <w:tcW w:w="1519" w:type="dxa"/>
                  <w:vAlign w:val="center"/>
                </w:tcPr>
                <w:p>
                  <w:pPr>
                    <w:spacing w:line="0" w:lineRule="atLeast"/>
                    <w:jc w:val="center"/>
                    <w:rPr>
                      <w:szCs w:val="21"/>
                    </w:rPr>
                  </w:pPr>
                  <w:r>
                    <w:rPr>
                      <w:szCs w:val="21"/>
                    </w:rPr>
                    <w:t>Ⅲ</w:t>
                  </w:r>
                </w:p>
              </w:tc>
              <w:tc>
                <w:tcPr>
                  <w:tcW w:w="1519" w:type="dxa"/>
                  <w:vAlign w:val="center"/>
                </w:tcPr>
                <w:p>
                  <w:pPr>
                    <w:spacing w:line="0" w:lineRule="atLeast"/>
                    <w:jc w:val="center"/>
                    <w:rPr>
                      <w:szCs w:val="21"/>
                    </w:rPr>
                  </w:pPr>
                  <w:r>
                    <w:rPr>
                      <w:szCs w:val="21"/>
                    </w:rPr>
                    <w:t>Ⅲ</w:t>
                  </w:r>
                </w:p>
              </w:tc>
              <w:tc>
                <w:tcPr>
                  <w:tcW w:w="1519" w:type="dxa"/>
                  <w:vAlign w:val="center"/>
                </w:tcPr>
                <w:p>
                  <w:pPr>
                    <w:spacing w:line="0" w:lineRule="atLeast"/>
                    <w:jc w:val="center"/>
                    <w:rPr>
                      <w:szCs w:val="21"/>
                    </w:rPr>
                  </w:pPr>
                  <w:r>
                    <w:rPr>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dxa"/>
                  <w:vAlign w:val="center"/>
                </w:tcPr>
                <w:p>
                  <w:pPr>
                    <w:spacing w:line="0" w:lineRule="atLeast"/>
                    <w:jc w:val="center"/>
                    <w:rPr>
                      <w:szCs w:val="21"/>
                    </w:rPr>
                  </w:pPr>
                  <w:r>
                    <w:rPr>
                      <w:szCs w:val="21"/>
                    </w:rPr>
                    <w:t>环境低度敏感区（E3）</w:t>
                  </w:r>
                </w:p>
              </w:tc>
              <w:tc>
                <w:tcPr>
                  <w:tcW w:w="1904" w:type="dxa"/>
                  <w:vAlign w:val="center"/>
                </w:tcPr>
                <w:p>
                  <w:pPr>
                    <w:spacing w:line="0" w:lineRule="atLeast"/>
                    <w:jc w:val="center"/>
                    <w:rPr>
                      <w:szCs w:val="21"/>
                    </w:rPr>
                  </w:pPr>
                  <w:r>
                    <w:rPr>
                      <w:szCs w:val="21"/>
                    </w:rPr>
                    <w:t>Ⅲ</w:t>
                  </w:r>
                </w:p>
              </w:tc>
              <w:tc>
                <w:tcPr>
                  <w:tcW w:w="1519" w:type="dxa"/>
                  <w:vAlign w:val="center"/>
                </w:tcPr>
                <w:p>
                  <w:pPr>
                    <w:spacing w:line="0" w:lineRule="atLeast"/>
                    <w:jc w:val="center"/>
                    <w:rPr>
                      <w:szCs w:val="21"/>
                    </w:rPr>
                  </w:pPr>
                  <w:r>
                    <w:rPr>
                      <w:szCs w:val="21"/>
                    </w:rPr>
                    <w:t>Ⅲ</w:t>
                  </w:r>
                </w:p>
              </w:tc>
              <w:tc>
                <w:tcPr>
                  <w:tcW w:w="1519" w:type="dxa"/>
                  <w:vAlign w:val="center"/>
                </w:tcPr>
                <w:p>
                  <w:pPr>
                    <w:spacing w:line="0" w:lineRule="atLeast"/>
                    <w:jc w:val="center"/>
                    <w:rPr>
                      <w:szCs w:val="21"/>
                    </w:rPr>
                  </w:pPr>
                  <w:r>
                    <w:rPr>
                      <w:szCs w:val="21"/>
                    </w:rPr>
                    <w:t>Ⅱ</w:t>
                  </w:r>
                </w:p>
              </w:tc>
              <w:tc>
                <w:tcPr>
                  <w:tcW w:w="1519" w:type="dxa"/>
                  <w:vAlign w:val="center"/>
                </w:tcPr>
                <w:p>
                  <w:pPr>
                    <w:spacing w:line="0" w:lineRule="atLeast"/>
                    <w:jc w:val="center"/>
                    <w:rPr>
                      <w:szCs w:val="21"/>
                    </w:rPr>
                  </w:pPr>
                  <w:r>
                    <w:rPr>
                      <w:szCs w:val="21"/>
                    </w:rPr>
                    <w:t>Ⅰ</w:t>
                  </w:r>
                </w:p>
              </w:tc>
            </w:tr>
          </w:tbl>
          <w:p>
            <w:pPr>
              <w:spacing w:line="360" w:lineRule="auto"/>
              <w:ind w:firstLine="480" w:firstLineChars="200"/>
              <w:rPr>
                <w:sz w:val="24"/>
              </w:rPr>
            </w:pPr>
            <w:r>
              <w:rPr>
                <w:sz w:val="24"/>
              </w:rPr>
              <w:t>计算所涉及的每种危险物质在厂界内的最大存在总量与其在《建设项目环境风险评价技术导则》（HJ169-2018）附录B中对应临界量的比值Q。</w:t>
            </w:r>
          </w:p>
          <w:p>
            <w:pPr>
              <w:spacing w:line="360" w:lineRule="auto"/>
              <w:ind w:firstLine="480" w:firstLineChars="200"/>
              <w:rPr>
                <w:sz w:val="24"/>
              </w:rPr>
            </w:pPr>
            <w:r>
              <w:rPr>
                <w:sz w:val="24"/>
              </w:rPr>
              <w:t>当只涉及一种危险物质时，计算该物质的总量与其临界量比值，即为Q；</w:t>
            </w:r>
          </w:p>
          <w:p>
            <w:pPr>
              <w:spacing w:line="360" w:lineRule="auto"/>
              <w:ind w:firstLine="480" w:firstLineChars="200"/>
              <w:rPr>
                <w:sz w:val="24"/>
              </w:rPr>
            </w:pPr>
            <w:r>
              <w:rPr>
                <w:sz w:val="24"/>
              </w:rPr>
              <w:t>当存在多种危险物质时，则按下式计算物质总量与其临界量比值（Q）：</w:t>
            </w:r>
          </w:p>
          <w:p>
            <w:pPr>
              <w:spacing w:line="360" w:lineRule="auto"/>
              <w:jc w:val="center"/>
              <w:rPr>
                <w:sz w:val="24"/>
              </w:rPr>
            </w:pPr>
            <w:r>
              <w:rPr>
                <w:sz w:val="24"/>
              </w:rPr>
              <w:t>Q=q</w:t>
            </w:r>
            <w:r>
              <w:rPr>
                <w:sz w:val="24"/>
                <w:vertAlign w:val="subscript"/>
              </w:rPr>
              <w:t>1</w:t>
            </w:r>
            <w:r>
              <w:rPr>
                <w:sz w:val="24"/>
              </w:rPr>
              <w:t>/Q</w:t>
            </w:r>
            <w:r>
              <w:rPr>
                <w:sz w:val="24"/>
                <w:vertAlign w:val="subscript"/>
              </w:rPr>
              <w:t>1</w:t>
            </w:r>
            <w:r>
              <w:rPr>
                <w:sz w:val="24"/>
              </w:rPr>
              <w:t>+q</w:t>
            </w:r>
            <w:r>
              <w:rPr>
                <w:sz w:val="24"/>
                <w:vertAlign w:val="subscript"/>
              </w:rPr>
              <w:t>2</w:t>
            </w:r>
            <w:r>
              <w:rPr>
                <w:sz w:val="24"/>
              </w:rPr>
              <w:t>/Q</w:t>
            </w:r>
            <w:r>
              <w:rPr>
                <w:sz w:val="24"/>
                <w:vertAlign w:val="subscript"/>
              </w:rPr>
              <w:t>2</w:t>
            </w:r>
            <w:r>
              <w:rPr>
                <w:sz w:val="24"/>
              </w:rPr>
              <w:t>……+q</w:t>
            </w:r>
            <w:r>
              <w:rPr>
                <w:sz w:val="24"/>
                <w:vertAlign w:val="subscript"/>
              </w:rPr>
              <w:t>n</w:t>
            </w:r>
            <w:r>
              <w:rPr>
                <w:sz w:val="24"/>
              </w:rPr>
              <w:t>/Q</w:t>
            </w:r>
            <w:r>
              <w:rPr>
                <w:sz w:val="24"/>
                <w:vertAlign w:val="subscript"/>
              </w:rPr>
              <w:t>n</w:t>
            </w:r>
          </w:p>
          <w:p>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pPr>
              <w:spacing w:line="360" w:lineRule="auto"/>
              <w:ind w:firstLine="480" w:firstLineChars="200"/>
              <w:rPr>
                <w:sz w:val="24"/>
              </w:rPr>
            </w:pPr>
            <w:r>
              <w:rPr>
                <w:sz w:val="24"/>
              </w:rPr>
              <w:t xml:space="preserve">     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pPr>
              <w:spacing w:line="360" w:lineRule="auto"/>
              <w:ind w:firstLine="480" w:firstLineChars="200"/>
              <w:rPr>
                <w:sz w:val="24"/>
              </w:rPr>
            </w:pPr>
            <w:r>
              <w:rPr>
                <w:sz w:val="24"/>
              </w:rPr>
              <w:t>当Q＜1时，该项目环境风险潜势为Ⅰ。</w:t>
            </w:r>
          </w:p>
          <w:p>
            <w:pPr>
              <w:spacing w:line="360" w:lineRule="auto"/>
              <w:ind w:firstLine="480" w:firstLineChars="200"/>
              <w:rPr>
                <w:sz w:val="24"/>
              </w:rPr>
            </w:pPr>
            <w:r>
              <w:rPr>
                <w:sz w:val="24"/>
              </w:rPr>
              <w:t>当Q≥1时，将Q至划分为：</w:t>
            </w:r>
          </w:p>
          <w:p>
            <w:pPr>
              <w:spacing w:line="360" w:lineRule="auto"/>
              <w:ind w:firstLine="480" w:firstLineChars="200"/>
              <w:rPr>
                <w:sz w:val="24"/>
              </w:rPr>
            </w:pPr>
            <w:r>
              <w:rPr>
                <w:sz w:val="24"/>
              </w:rPr>
              <w:t>1≤Q＜10；10≤Q＜100；Q≥100。</w:t>
            </w:r>
          </w:p>
          <w:p>
            <w:pPr>
              <w:spacing w:line="360" w:lineRule="auto"/>
              <w:ind w:firstLine="480" w:firstLineChars="200"/>
              <w:rPr>
                <w:sz w:val="24"/>
              </w:rPr>
            </w:pPr>
            <w:r>
              <w:rPr>
                <w:sz w:val="24"/>
              </w:rPr>
              <w:t>对照《建设项目环境风险评价技术导则》（HJ169-2018）附录B重点关注的危险物质及临界量表B.1和表B.2，本项目</w:t>
            </w:r>
            <w:r>
              <w:rPr>
                <w:rFonts w:hint="eastAsia"/>
                <w:sz w:val="24"/>
              </w:rPr>
              <w:t>机油、切削液、天然气</w:t>
            </w:r>
            <w:r>
              <w:rPr>
                <w:sz w:val="24"/>
              </w:rPr>
              <w:t>以及厂内产生的危险废物属于环境风险物质，因此，本项目“危险物质数量与临界量比值（Q）”为0.</w:t>
            </w:r>
            <w:r>
              <w:rPr>
                <w:rFonts w:hint="eastAsia"/>
                <w:sz w:val="24"/>
              </w:rPr>
              <w:t>026358</w:t>
            </w:r>
            <w:r>
              <w:rPr>
                <w:sz w:val="24"/>
              </w:rPr>
              <w:t>，Q＜1，本项目环境风险潜势为Ⅰ。</w:t>
            </w:r>
          </w:p>
          <w:p>
            <w:pPr>
              <w:spacing w:line="360" w:lineRule="auto"/>
              <w:ind w:firstLine="480" w:firstLineChars="200"/>
              <w:rPr>
                <w:sz w:val="24"/>
              </w:rPr>
            </w:pPr>
            <w:r>
              <w:rPr>
                <w:sz w:val="24"/>
              </w:rPr>
              <w:t>环境风险物质与临界量的比值见下表</w:t>
            </w:r>
            <w:r>
              <w:rPr>
                <w:rFonts w:hint="eastAsia"/>
                <w:sz w:val="24"/>
              </w:rPr>
              <w:t>54</w:t>
            </w:r>
            <w:r>
              <w:rPr>
                <w:sz w:val="24"/>
              </w:rPr>
              <w:t>。</w:t>
            </w:r>
          </w:p>
          <w:p>
            <w:pPr>
              <w:pStyle w:val="21"/>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54</w:t>
            </w:r>
            <w:r>
              <w:rPr>
                <w:rFonts w:ascii="Times New Roman" w:hAnsi="Times New Roman" w:cs="Times New Roman"/>
                <w:b/>
                <w:bCs/>
                <w:color w:val="auto"/>
              </w:rPr>
              <w:t xml:space="preserve">  项目环境风险物质数量与临界量比值Q值确定表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805"/>
              <w:gridCol w:w="1217"/>
              <w:gridCol w:w="1217"/>
              <w:gridCol w:w="1224"/>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b/>
                      <w:bCs/>
                      <w:szCs w:val="21"/>
                    </w:rPr>
                  </w:pPr>
                  <w:r>
                    <w:rPr>
                      <w:b/>
                      <w:bCs/>
                      <w:szCs w:val="21"/>
                    </w:rPr>
                    <w:t>序号</w:t>
                  </w:r>
                </w:p>
              </w:tc>
              <w:tc>
                <w:tcPr>
                  <w:tcW w:w="1659" w:type="pct"/>
                  <w:vAlign w:val="center"/>
                </w:tcPr>
                <w:p>
                  <w:pPr>
                    <w:jc w:val="center"/>
                    <w:rPr>
                      <w:b/>
                      <w:bCs/>
                      <w:szCs w:val="21"/>
                    </w:rPr>
                  </w:pPr>
                  <w:r>
                    <w:rPr>
                      <w:b/>
                      <w:bCs/>
                      <w:szCs w:val="21"/>
                    </w:rPr>
                    <w:t>危险物质名称</w:t>
                  </w:r>
                </w:p>
              </w:tc>
              <w:tc>
                <w:tcPr>
                  <w:tcW w:w="720" w:type="pct"/>
                  <w:vAlign w:val="center"/>
                </w:tcPr>
                <w:p>
                  <w:pPr>
                    <w:jc w:val="center"/>
                    <w:rPr>
                      <w:b/>
                      <w:bCs/>
                      <w:szCs w:val="21"/>
                    </w:rPr>
                  </w:pPr>
                  <w:r>
                    <w:rPr>
                      <w:b/>
                      <w:bCs/>
                      <w:szCs w:val="21"/>
                    </w:rPr>
                    <w:t>CAS号</w:t>
                  </w:r>
                </w:p>
              </w:tc>
              <w:tc>
                <w:tcPr>
                  <w:tcW w:w="720" w:type="pct"/>
                  <w:vAlign w:val="center"/>
                </w:tcPr>
                <w:p>
                  <w:pPr>
                    <w:jc w:val="center"/>
                    <w:rPr>
                      <w:b/>
                      <w:bCs/>
                      <w:szCs w:val="21"/>
                    </w:rPr>
                  </w:pPr>
                  <w:r>
                    <w:rPr>
                      <w:b/>
                      <w:bCs/>
                      <w:szCs w:val="21"/>
                    </w:rPr>
                    <w:t>最大储存量Qn/t</w:t>
                  </w:r>
                </w:p>
              </w:tc>
              <w:tc>
                <w:tcPr>
                  <w:tcW w:w="720" w:type="pct"/>
                  <w:vAlign w:val="center"/>
                </w:tcPr>
                <w:p>
                  <w:pPr>
                    <w:jc w:val="center"/>
                    <w:rPr>
                      <w:b/>
                      <w:bCs/>
                      <w:szCs w:val="21"/>
                    </w:rPr>
                  </w:pPr>
                  <w:r>
                    <w:rPr>
                      <w:b/>
                      <w:bCs/>
                      <w:szCs w:val="21"/>
                    </w:rPr>
                    <w:t>临界量Qn/t</w:t>
                  </w:r>
                </w:p>
              </w:tc>
              <w:tc>
                <w:tcPr>
                  <w:tcW w:w="721" w:type="pct"/>
                  <w:vAlign w:val="center"/>
                </w:tcPr>
                <w:p>
                  <w:pPr>
                    <w:jc w:val="center"/>
                    <w:rPr>
                      <w:b/>
                      <w:bCs/>
                      <w:szCs w:val="21"/>
                    </w:rPr>
                  </w:pPr>
                  <w:r>
                    <w:rPr>
                      <w:b/>
                      <w:bCs/>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Align w:val="center"/>
                </w:tcPr>
                <w:p>
                  <w:pPr>
                    <w:jc w:val="center"/>
                    <w:rPr>
                      <w:szCs w:val="21"/>
                    </w:rPr>
                  </w:pPr>
                  <w:r>
                    <w:rPr>
                      <w:szCs w:val="21"/>
                    </w:rPr>
                    <w:t>1</w:t>
                  </w:r>
                </w:p>
              </w:tc>
              <w:tc>
                <w:tcPr>
                  <w:tcW w:w="1659" w:type="pct"/>
                  <w:vAlign w:val="center"/>
                </w:tcPr>
                <w:p>
                  <w:pPr>
                    <w:jc w:val="center"/>
                    <w:rPr>
                      <w:szCs w:val="21"/>
                    </w:rPr>
                  </w:pPr>
                  <w:r>
                    <w:rPr>
                      <w:rFonts w:hint="eastAsia"/>
                      <w:szCs w:val="21"/>
                    </w:rPr>
                    <w:t>机油</w:t>
                  </w:r>
                </w:p>
              </w:tc>
              <w:tc>
                <w:tcPr>
                  <w:tcW w:w="720" w:type="pct"/>
                  <w:vAlign w:val="center"/>
                </w:tcPr>
                <w:p>
                  <w:pPr>
                    <w:jc w:val="center"/>
                    <w:rPr>
                      <w:szCs w:val="21"/>
                    </w:rPr>
                  </w:pPr>
                  <w:r>
                    <w:rPr>
                      <w:rFonts w:hint="eastAsia"/>
                      <w:szCs w:val="21"/>
                    </w:rPr>
                    <w:t>--</w:t>
                  </w:r>
                </w:p>
              </w:tc>
              <w:tc>
                <w:tcPr>
                  <w:tcW w:w="720" w:type="pct"/>
                  <w:vAlign w:val="center"/>
                </w:tcPr>
                <w:p>
                  <w:pPr>
                    <w:jc w:val="center"/>
                    <w:rPr>
                      <w:szCs w:val="21"/>
                    </w:rPr>
                  </w:pPr>
                  <w:r>
                    <w:rPr>
                      <w:rFonts w:hint="eastAsia"/>
                      <w:szCs w:val="21"/>
                    </w:rPr>
                    <w:t>0.3</w:t>
                  </w:r>
                </w:p>
              </w:tc>
              <w:tc>
                <w:tcPr>
                  <w:tcW w:w="720" w:type="pct"/>
                  <w:vAlign w:val="center"/>
                </w:tcPr>
                <w:p>
                  <w:pPr>
                    <w:jc w:val="center"/>
                    <w:rPr>
                      <w:szCs w:val="21"/>
                    </w:rPr>
                  </w:pPr>
                  <w:r>
                    <w:rPr>
                      <w:rFonts w:hint="eastAsia"/>
                      <w:szCs w:val="21"/>
                    </w:rPr>
                    <w:t>2500</w:t>
                  </w:r>
                </w:p>
              </w:tc>
              <w:tc>
                <w:tcPr>
                  <w:tcW w:w="721" w:type="pct"/>
                  <w:vAlign w:val="center"/>
                </w:tcPr>
                <w:p>
                  <w:pPr>
                    <w:jc w:val="center"/>
                    <w:rPr>
                      <w:szCs w:val="21"/>
                    </w:rPr>
                  </w:pPr>
                  <w:r>
                    <w:rPr>
                      <w:rFonts w:hint="eastAsia"/>
                      <w:szCs w:val="21"/>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szCs w:val="21"/>
                    </w:rPr>
                    <w:t>2</w:t>
                  </w:r>
                </w:p>
              </w:tc>
              <w:tc>
                <w:tcPr>
                  <w:tcW w:w="1659" w:type="pct"/>
                  <w:vAlign w:val="center"/>
                </w:tcPr>
                <w:p>
                  <w:pPr>
                    <w:jc w:val="center"/>
                    <w:rPr>
                      <w:szCs w:val="21"/>
                    </w:rPr>
                  </w:pPr>
                  <w:r>
                    <w:rPr>
                      <w:rFonts w:hint="eastAsia"/>
                      <w:szCs w:val="21"/>
                    </w:rPr>
                    <w:t>切削液</w:t>
                  </w:r>
                </w:p>
              </w:tc>
              <w:tc>
                <w:tcPr>
                  <w:tcW w:w="720" w:type="pct"/>
                  <w:vAlign w:val="center"/>
                </w:tcPr>
                <w:p>
                  <w:pPr>
                    <w:jc w:val="center"/>
                    <w:rPr>
                      <w:szCs w:val="21"/>
                    </w:rPr>
                  </w:pPr>
                  <w:r>
                    <w:rPr>
                      <w:rFonts w:hint="eastAsia"/>
                      <w:szCs w:val="21"/>
                    </w:rPr>
                    <w:t>--</w:t>
                  </w:r>
                </w:p>
              </w:tc>
              <w:tc>
                <w:tcPr>
                  <w:tcW w:w="720" w:type="pct"/>
                  <w:vAlign w:val="center"/>
                </w:tcPr>
                <w:p>
                  <w:pPr>
                    <w:jc w:val="center"/>
                    <w:rPr>
                      <w:szCs w:val="21"/>
                    </w:rPr>
                  </w:pPr>
                  <w:r>
                    <w:rPr>
                      <w:rFonts w:hint="eastAsia"/>
                      <w:szCs w:val="21"/>
                    </w:rPr>
                    <w:t>0.5</w:t>
                  </w:r>
                </w:p>
              </w:tc>
              <w:tc>
                <w:tcPr>
                  <w:tcW w:w="720" w:type="pct"/>
                  <w:vAlign w:val="center"/>
                </w:tcPr>
                <w:p>
                  <w:pPr>
                    <w:jc w:val="center"/>
                    <w:rPr>
                      <w:szCs w:val="21"/>
                    </w:rPr>
                  </w:pPr>
                  <w:r>
                    <w:rPr>
                      <w:rFonts w:hint="eastAsia"/>
                      <w:szCs w:val="21"/>
                    </w:rPr>
                    <w:t>50</w:t>
                  </w:r>
                </w:p>
              </w:tc>
              <w:tc>
                <w:tcPr>
                  <w:tcW w:w="721" w:type="pct"/>
                  <w:vAlign w:val="center"/>
                </w:tcPr>
                <w:p>
                  <w:pPr>
                    <w:jc w:val="center"/>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3</w:t>
                  </w:r>
                </w:p>
              </w:tc>
              <w:tc>
                <w:tcPr>
                  <w:tcW w:w="1659" w:type="pct"/>
                  <w:vAlign w:val="center"/>
                </w:tcPr>
                <w:p>
                  <w:pPr>
                    <w:spacing w:line="360" w:lineRule="exact"/>
                    <w:jc w:val="center"/>
                    <w:rPr>
                      <w:szCs w:val="21"/>
                    </w:rPr>
                  </w:pPr>
                  <w:r>
                    <w:rPr>
                      <w:rFonts w:hint="eastAsia"/>
                      <w:szCs w:val="21"/>
                    </w:rPr>
                    <w:t>天然气（甲烷）</w:t>
                  </w:r>
                </w:p>
              </w:tc>
              <w:tc>
                <w:tcPr>
                  <w:tcW w:w="720" w:type="pct"/>
                  <w:vAlign w:val="center"/>
                </w:tcPr>
                <w:p>
                  <w:pPr>
                    <w:spacing w:line="360" w:lineRule="exact"/>
                    <w:jc w:val="center"/>
                    <w:rPr>
                      <w:szCs w:val="21"/>
                    </w:rPr>
                  </w:pPr>
                  <w:r>
                    <w:rPr>
                      <w:szCs w:val="21"/>
                    </w:rPr>
                    <w:t>74-82-8</w:t>
                  </w:r>
                </w:p>
              </w:tc>
              <w:tc>
                <w:tcPr>
                  <w:tcW w:w="720" w:type="pct"/>
                  <w:vAlign w:val="center"/>
                </w:tcPr>
                <w:p>
                  <w:pPr>
                    <w:jc w:val="center"/>
                    <w:rPr>
                      <w:szCs w:val="21"/>
                    </w:rPr>
                  </w:pPr>
                  <w:r>
                    <w:rPr>
                      <w:rFonts w:hint="eastAsia"/>
                      <w:szCs w:val="21"/>
                    </w:rPr>
                    <w:t>0.0023</w:t>
                  </w:r>
                </w:p>
              </w:tc>
              <w:tc>
                <w:tcPr>
                  <w:tcW w:w="720" w:type="pct"/>
                  <w:vAlign w:val="center"/>
                </w:tcPr>
                <w:p>
                  <w:pPr>
                    <w:jc w:val="center"/>
                    <w:rPr>
                      <w:szCs w:val="21"/>
                    </w:rPr>
                  </w:pPr>
                  <w:r>
                    <w:rPr>
                      <w:rFonts w:hint="eastAsia"/>
                      <w:szCs w:val="21"/>
                    </w:rPr>
                    <w:t>10</w:t>
                  </w:r>
                </w:p>
              </w:tc>
              <w:tc>
                <w:tcPr>
                  <w:tcW w:w="721" w:type="pct"/>
                  <w:vAlign w:val="center"/>
                </w:tcPr>
                <w:p>
                  <w:pPr>
                    <w:jc w:val="center"/>
                    <w:rPr>
                      <w:szCs w:val="21"/>
                    </w:rPr>
                  </w:pPr>
                  <w:r>
                    <w:rPr>
                      <w:rFonts w:hint="eastAsia"/>
                      <w:szCs w:val="21"/>
                    </w:rPr>
                    <w:t>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4</w:t>
                  </w:r>
                </w:p>
              </w:tc>
              <w:tc>
                <w:tcPr>
                  <w:tcW w:w="1659" w:type="pct"/>
                  <w:vAlign w:val="center"/>
                </w:tcPr>
                <w:p>
                  <w:pPr>
                    <w:jc w:val="center"/>
                    <w:rPr>
                      <w:szCs w:val="21"/>
                    </w:rPr>
                  </w:pPr>
                  <w:r>
                    <w:rPr>
                      <w:szCs w:val="21"/>
                    </w:rPr>
                    <w:t>废</w:t>
                  </w:r>
                  <w:r>
                    <w:rPr>
                      <w:rFonts w:hint="eastAsia"/>
                      <w:szCs w:val="21"/>
                    </w:rPr>
                    <w:t>过滤棉</w:t>
                  </w:r>
                </w:p>
              </w:tc>
              <w:tc>
                <w:tcPr>
                  <w:tcW w:w="720" w:type="pct"/>
                  <w:vAlign w:val="center"/>
                </w:tcPr>
                <w:p>
                  <w:pPr>
                    <w:jc w:val="center"/>
                    <w:rPr>
                      <w:szCs w:val="21"/>
                    </w:rPr>
                  </w:pPr>
                  <w:r>
                    <w:rPr>
                      <w:szCs w:val="21"/>
                    </w:rPr>
                    <w:t>--</w:t>
                  </w:r>
                </w:p>
              </w:tc>
              <w:tc>
                <w:tcPr>
                  <w:tcW w:w="720" w:type="pct"/>
                  <w:vAlign w:val="center"/>
                </w:tcPr>
                <w:p>
                  <w:pPr>
                    <w:jc w:val="center"/>
                    <w:rPr>
                      <w:szCs w:val="21"/>
                    </w:rPr>
                  </w:pPr>
                  <w:r>
                    <w:rPr>
                      <w:rFonts w:hint="eastAsia"/>
                      <w:szCs w:val="21"/>
                    </w:rPr>
                    <w:t>0.01</w:t>
                  </w:r>
                </w:p>
              </w:tc>
              <w:tc>
                <w:tcPr>
                  <w:tcW w:w="720" w:type="pct"/>
                  <w:vAlign w:val="center"/>
                </w:tcPr>
                <w:p>
                  <w:pPr>
                    <w:jc w:val="center"/>
                    <w:rPr>
                      <w:szCs w:val="21"/>
                    </w:rPr>
                  </w:pPr>
                  <w:r>
                    <w:rPr>
                      <w:szCs w:val="21"/>
                    </w:rPr>
                    <w:t>50</w:t>
                  </w:r>
                </w:p>
              </w:tc>
              <w:tc>
                <w:tcPr>
                  <w:tcW w:w="721" w:type="pct"/>
                  <w:vAlign w:val="center"/>
                </w:tcPr>
                <w:p>
                  <w:pPr>
                    <w:jc w:val="center"/>
                    <w:rPr>
                      <w:szCs w:val="21"/>
                    </w:rPr>
                  </w:pPr>
                  <w:r>
                    <w:rPr>
                      <w:rFonts w:hint="eastAsia"/>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szCs w:val="21"/>
                    </w:rPr>
                    <w:t>5</w:t>
                  </w:r>
                </w:p>
              </w:tc>
              <w:tc>
                <w:tcPr>
                  <w:tcW w:w="1659" w:type="pct"/>
                  <w:vAlign w:val="center"/>
                </w:tcPr>
                <w:p>
                  <w:pPr>
                    <w:jc w:val="center"/>
                    <w:rPr>
                      <w:szCs w:val="21"/>
                    </w:rPr>
                  </w:pPr>
                  <w:r>
                    <w:rPr>
                      <w:rFonts w:hint="eastAsia"/>
                      <w:szCs w:val="21"/>
                    </w:rPr>
                    <w:t>废活性炭</w:t>
                  </w:r>
                </w:p>
              </w:tc>
              <w:tc>
                <w:tcPr>
                  <w:tcW w:w="720" w:type="pct"/>
                  <w:vAlign w:val="center"/>
                </w:tcPr>
                <w:p>
                  <w:pPr>
                    <w:jc w:val="center"/>
                    <w:rPr>
                      <w:szCs w:val="21"/>
                    </w:rPr>
                  </w:pPr>
                  <w:r>
                    <w:rPr>
                      <w:rFonts w:hint="eastAsia"/>
                      <w:szCs w:val="21"/>
                    </w:rPr>
                    <w:t>--</w:t>
                  </w:r>
                </w:p>
              </w:tc>
              <w:tc>
                <w:tcPr>
                  <w:tcW w:w="720" w:type="pct"/>
                  <w:vAlign w:val="center"/>
                </w:tcPr>
                <w:p>
                  <w:pPr>
                    <w:jc w:val="center"/>
                    <w:rPr>
                      <w:szCs w:val="21"/>
                    </w:rPr>
                  </w:pPr>
                  <w:r>
                    <w:rPr>
                      <w:rFonts w:hint="eastAsia"/>
                      <w:szCs w:val="21"/>
                    </w:rPr>
                    <w:t>0.4</w:t>
                  </w:r>
                </w:p>
              </w:tc>
              <w:tc>
                <w:tcPr>
                  <w:tcW w:w="720" w:type="pct"/>
                  <w:vAlign w:val="center"/>
                </w:tcPr>
                <w:p>
                  <w:pPr>
                    <w:jc w:val="center"/>
                    <w:rPr>
                      <w:szCs w:val="21"/>
                    </w:rPr>
                  </w:pPr>
                  <w:r>
                    <w:rPr>
                      <w:rFonts w:hint="eastAsia"/>
                      <w:szCs w:val="21"/>
                    </w:rPr>
                    <w:t>50</w:t>
                  </w:r>
                </w:p>
              </w:tc>
              <w:tc>
                <w:tcPr>
                  <w:tcW w:w="721" w:type="pct"/>
                  <w:vAlign w:val="center"/>
                </w:tcPr>
                <w:p>
                  <w:pPr>
                    <w:jc w:val="center"/>
                    <w:rPr>
                      <w:szCs w:val="21"/>
                    </w:rPr>
                  </w:pPr>
                  <w:r>
                    <w:rPr>
                      <w:rFonts w:hint="eastAsia"/>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szCs w:val="21"/>
                    </w:rPr>
                    <w:t>6</w:t>
                  </w:r>
                </w:p>
              </w:tc>
              <w:tc>
                <w:tcPr>
                  <w:tcW w:w="1659" w:type="pct"/>
                  <w:vAlign w:val="center"/>
                </w:tcPr>
                <w:p>
                  <w:pPr>
                    <w:jc w:val="center"/>
                    <w:rPr>
                      <w:szCs w:val="21"/>
                    </w:rPr>
                  </w:pPr>
                  <w:r>
                    <w:rPr>
                      <w:rFonts w:hint="eastAsia"/>
                      <w:szCs w:val="21"/>
                    </w:rPr>
                    <w:t>废催化剂</w:t>
                  </w:r>
                </w:p>
              </w:tc>
              <w:tc>
                <w:tcPr>
                  <w:tcW w:w="720" w:type="pct"/>
                  <w:vAlign w:val="center"/>
                </w:tcPr>
                <w:p>
                  <w:pPr>
                    <w:jc w:val="center"/>
                    <w:rPr>
                      <w:szCs w:val="21"/>
                    </w:rPr>
                  </w:pPr>
                  <w:r>
                    <w:rPr>
                      <w:rFonts w:hint="eastAsia"/>
                      <w:szCs w:val="21"/>
                    </w:rPr>
                    <w:t>--</w:t>
                  </w:r>
                </w:p>
              </w:tc>
              <w:tc>
                <w:tcPr>
                  <w:tcW w:w="720" w:type="pct"/>
                  <w:vAlign w:val="center"/>
                </w:tcPr>
                <w:p>
                  <w:pPr>
                    <w:jc w:val="center"/>
                    <w:rPr>
                      <w:szCs w:val="21"/>
                    </w:rPr>
                  </w:pPr>
                  <w:r>
                    <w:rPr>
                      <w:rFonts w:hint="eastAsia"/>
                      <w:szCs w:val="21"/>
                    </w:rPr>
                    <w:t>0.3</w:t>
                  </w:r>
                </w:p>
              </w:tc>
              <w:tc>
                <w:tcPr>
                  <w:tcW w:w="720" w:type="pct"/>
                  <w:vAlign w:val="center"/>
                </w:tcPr>
                <w:p>
                  <w:pPr>
                    <w:jc w:val="center"/>
                    <w:rPr>
                      <w:szCs w:val="21"/>
                    </w:rPr>
                  </w:pPr>
                  <w:r>
                    <w:rPr>
                      <w:rFonts w:hint="eastAsia"/>
                      <w:szCs w:val="21"/>
                    </w:rPr>
                    <w:t>50</w:t>
                  </w:r>
                </w:p>
              </w:tc>
              <w:tc>
                <w:tcPr>
                  <w:tcW w:w="721" w:type="pct"/>
                  <w:vAlign w:val="center"/>
                </w:tcPr>
                <w:p>
                  <w:pPr>
                    <w:jc w:val="center"/>
                    <w:rPr>
                      <w:szCs w:val="21"/>
                    </w:rPr>
                  </w:pPr>
                  <w:r>
                    <w:rPr>
                      <w:rFonts w:hint="eastAsia"/>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7</w:t>
                  </w:r>
                </w:p>
              </w:tc>
              <w:tc>
                <w:tcPr>
                  <w:tcW w:w="1659" w:type="pct"/>
                  <w:vAlign w:val="center"/>
                </w:tcPr>
                <w:p>
                  <w:pPr>
                    <w:jc w:val="center"/>
                    <w:rPr>
                      <w:szCs w:val="21"/>
                    </w:rPr>
                  </w:pPr>
                  <w:r>
                    <w:rPr>
                      <w:szCs w:val="21"/>
                    </w:rPr>
                    <w:t>废机油</w:t>
                  </w:r>
                </w:p>
              </w:tc>
              <w:tc>
                <w:tcPr>
                  <w:tcW w:w="720" w:type="pct"/>
                  <w:vAlign w:val="center"/>
                </w:tcPr>
                <w:p>
                  <w:pPr>
                    <w:jc w:val="center"/>
                    <w:rPr>
                      <w:szCs w:val="21"/>
                    </w:rPr>
                  </w:pPr>
                  <w:r>
                    <w:rPr>
                      <w:szCs w:val="21"/>
                    </w:rPr>
                    <w:t>--</w:t>
                  </w:r>
                </w:p>
              </w:tc>
              <w:tc>
                <w:tcPr>
                  <w:tcW w:w="720" w:type="pct"/>
                  <w:vAlign w:val="center"/>
                </w:tcPr>
                <w:p>
                  <w:pPr>
                    <w:jc w:val="center"/>
                    <w:rPr>
                      <w:szCs w:val="21"/>
                    </w:rPr>
                  </w:pPr>
                  <w:r>
                    <w:rPr>
                      <w:rFonts w:hint="eastAsia"/>
                      <w:szCs w:val="21"/>
                    </w:rPr>
                    <w:t>0.12</w:t>
                  </w:r>
                </w:p>
              </w:tc>
              <w:tc>
                <w:tcPr>
                  <w:tcW w:w="720" w:type="pct"/>
                  <w:vAlign w:val="center"/>
                </w:tcPr>
                <w:p>
                  <w:pPr>
                    <w:jc w:val="center"/>
                    <w:rPr>
                      <w:szCs w:val="21"/>
                    </w:rPr>
                  </w:pPr>
                  <w:r>
                    <w:rPr>
                      <w:rFonts w:hint="eastAsia"/>
                      <w:szCs w:val="21"/>
                    </w:rPr>
                    <w:t>2500</w:t>
                  </w:r>
                </w:p>
              </w:tc>
              <w:tc>
                <w:tcPr>
                  <w:tcW w:w="721" w:type="pct"/>
                  <w:vAlign w:val="center"/>
                </w:tcPr>
                <w:p>
                  <w:pPr>
                    <w:jc w:val="center"/>
                    <w:rPr>
                      <w:szCs w:val="21"/>
                    </w:rPr>
                  </w:pPr>
                  <w:r>
                    <w:rPr>
                      <w:rFonts w:hint="eastAsia"/>
                      <w:szCs w:val="21"/>
                    </w:rPr>
                    <w:t>0.000048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8</w:t>
                  </w:r>
                </w:p>
              </w:tc>
              <w:tc>
                <w:tcPr>
                  <w:tcW w:w="1659" w:type="pct"/>
                  <w:vAlign w:val="center"/>
                </w:tcPr>
                <w:p>
                  <w:pPr>
                    <w:jc w:val="center"/>
                    <w:rPr>
                      <w:szCs w:val="21"/>
                    </w:rPr>
                  </w:pPr>
                  <w:r>
                    <w:rPr>
                      <w:szCs w:val="21"/>
                    </w:rPr>
                    <w:t>废机油桶</w:t>
                  </w:r>
                </w:p>
              </w:tc>
              <w:tc>
                <w:tcPr>
                  <w:tcW w:w="720" w:type="pct"/>
                  <w:vAlign w:val="center"/>
                </w:tcPr>
                <w:p>
                  <w:pPr>
                    <w:jc w:val="center"/>
                    <w:rPr>
                      <w:szCs w:val="21"/>
                    </w:rPr>
                  </w:pPr>
                  <w:r>
                    <w:rPr>
                      <w:szCs w:val="21"/>
                    </w:rPr>
                    <w:t>--</w:t>
                  </w:r>
                </w:p>
              </w:tc>
              <w:tc>
                <w:tcPr>
                  <w:tcW w:w="720" w:type="pct"/>
                  <w:vAlign w:val="center"/>
                </w:tcPr>
                <w:p>
                  <w:pPr>
                    <w:jc w:val="center"/>
                    <w:rPr>
                      <w:szCs w:val="21"/>
                    </w:rPr>
                  </w:pPr>
                  <w:r>
                    <w:rPr>
                      <w:szCs w:val="21"/>
                    </w:rPr>
                    <w:t>0.0</w:t>
                  </w:r>
                  <w:r>
                    <w:rPr>
                      <w:rFonts w:hint="eastAsia"/>
                      <w:szCs w:val="21"/>
                    </w:rPr>
                    <w:t>3</w:t>
                  </w:r>
                </w:p>
              </w:tc>
              <w:tc>
                <w:tcPr>
                  <w:tcW w:w="720" w:type="pct"/>
                  <w:vAlign w:val="center"/>
                </w:tcPr>
                <w:p>
                  <w:pPr>
                    <w:jc w:val="center"/>
                    <w:rPr>
                      <w:szCs w:val="21"/>
                    </w:rPr>
                  </w:pPr>
                  <w:r>
                    <w:rPr>
                      <w:szCs w:val="21"/>
                    </w:rPr>
                    <w:t>50</w:t>
                  </w:r>
                </w:p>
              </w:tc>
              <w:tc>
                <w:tcPr>
                  <w:tcW w:w="721" w:type="pct"/>
                  <w:vAlign w:val="center"/>
                </w:tcPr>
                <w:p>
                  <w:pPr>
                    <w:jc w:val="center"/>
                    <w:rPr>
                      <w:szCs w:val="21"/>
                    </w:rPr>
                  </w:pPr>
                  <w:r>
                    <w:rPr>
                      <w:rFonts w:hint="eastAsia"/>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9</w:t>
                  </w:r>
                </w:p>
              </w:tc>
              <w:tc>
                <w:tcPr>
                  <w:tcW w:w="1659" w:type="pct"/>
                  <w:vAlign w:val="center"/>
                </w:tcPr>
                <w:p>
                  <w:pPr>
                    <w:jc w:val="center"/>
                    <w:rPr>
                      <w:szCs w:val="21"/>
                    </w:rPr>
                  </w:pPr>
                  <w:r>
                    <w:rPr>
                      <w:szCs w:val="21"/>
                    </w:rPr>
                    <w:t>废切削液</w:t>
                  </w:r>
                </w:p>
              </w:tc>
              <w:tc>
                <w:tcPr>
                  <w:tcW w:w="720" w:type="pct"/>
                  <w:vAlign w:val="center"/>
                </w:tcPr>
                <w:p>
                  <w:pPr>
                    <w:jc w:val="center"/>
                    <w:rPr>
                      <w:szCs w:val="21"/>
                    </w:rPr>
                  </w:pPr>
                  <w:r>
                    <w:rPr>
                      <w:szCs w:val="21"/>
                    </w:rPr>
                    <w:t>--</w:t>
                  </w:r>
                </w:p>
              </w:tc>
              <w:tc>
                <w:tcPr>
                  <w:tcW w:w="720" w:type="pct"/>
                  <w:vAlign w:val="center"/>
                </w:tcPr>
                <w:p>
                  <w:pPr>
                    <w:jc w:val="center"/>
                    <w:rPr>
                      <w:szCs w:val="21"/>
                    </w:rPr>
                  </w:pPr>
                  <w:r>
                    <w:rPr>
                      <w:szCs w:val="21"/>
                    </w:rPr>
                    <w:t>0.</w:t>
                  </w:r>
                  <w:r>
                    <w:rPr>
                      <w:rFonts w:hint="eastAsia"/>
                      <w:szCs w:val="21"/>
                    </w:rPr>
                    <w:t>4</w:t>
                  </w:r>
                </w:p>
              </w:tc>
              <w:tc>
                <w:tcPr>
                  <w:tcW w:w="720" w:type="pct"/>
                  <w:vAlign w:val="center"/>
                </w:tcPr>
                <w:p>
                  <w:pPr>
                    <w:jc w:val="center"/>
                    <w:rPr>
                      <w:szCs w:val="21"/>
                    </w:rPr>
                  </w:pPr>
                  <w:r>
                    <w:rPr>
                      <w:rFonts w:hint="eastAsia"/>
                      <w:szCs w:val="21"/>
                    </w:rPr>
                    <w:t>2500</w:t>
                  </w:r>
                </w:p>
              </w:tc>
              <w:tc>
                <w:tcPr>
                  <w:tcW w:w="721" w:type="pct"/>
                  <w:vAlign w:val="center"/>
                </w:tcPr>
                <w:p>
                  <w:pPr>
                    <w:jc w:val="center"/>
                    <w:rPr>
                      <w:szCs w:val="21"/>
                    </w:rPr>
                  </w:pPr>
                  <w:r>
                    <w:rPr>
                      <w:rFonts w:hint="eastAsia"/>
                      <w:szCs w:val="21"/>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pPr>
                    <w:jc w:val="center"/>
                    <w:rPr>
                      <w:szCs w:val="21"/>
                    </w:rPr>
                  </w:pPr>
                  <w:r>
                    <w:rPr>
                      <w:rFonts w:hint="eastAsia"/>
                      <w:szCs w:val="21"/>
                    </w:rPr>
                    <w:t>10</w:t>
                  </w:r>
                </w:p>
              </w:tc>
              <w:tc>
                <w:tcPr>
                  <w:tcW w:w="1659" w:type="pct"/>
                  <w:vAlign w:val="center"/>
                </w:tcPr>
                <w:p>
                  <w:pPr>
                    <w:jc w:val="center"/>
                    <w:rPr>
                      <w:szCs w:val="21"/>
                    </w:rPr>
                  </w:pPr>
                  <w:r>
                    <w:rPr>
                      <w:szCs w:val="21"/>
                    </w:rPr>
                    <w:t>废切削液桶</w:t>
                  </w:r>
                </w:p>
              </w:tc>
              <w:tc>
                <w:tcPr>
                  <w:tcW w:w="720" w:type="pct"/>
                  <w:vAlign w:val="center"/>
                </w:tcPr>
                <w:p>
                  <w:pPr>
                    <w:jc w:val="center"/>
                    <w:rPr>
                      <w:szCs w:val="21"/>
                    </w:rPr>
                  </w:pPr>
                  <w:r>
                    <w:rPr>
                      <w:szCs w:val="21"/>
                    </w:rPr>
                    <w:t>--</w:t>
                  </w:r>
                </w:p>
              </w:tc>
              <w:tc>
                <w:tcPr>
                  <w:tcW w:w="720" w:type="pct"/>
                  <w:vAlign w:val="center"/>
                </w:tcPr>
                <w:p>
                  <w:pPr>
                    <w:jc w:val="center"/>
                    <w:rPr>
                      <w:szCs w:val="21"/>
                    </w:rPr>
                  </w:pPr>
                  <w:r>
                    <w:rPr>
                      <w:szCs w:val="21"/>
                    </w:rPr>
                    <w:t>0.0</w:t>
                  </w:r>
                  <w:r>
                    <w:rPr>
                      <w:rFonts w:hint="eastAsia"/>
                      <w:szCs w:val="21"/>
                    </w:rPr>
                    <w:t>5</w:t>
                  </w:r>
                </w:p>
              </w:tc>
              <w:tc>
                <w:tcPr>
                  <w:tcW w:w="720" w:type="pct"/>
                  <w:vAlign w:val="center"/>
                </w:tcPr>
                <w:p>
                  <w:pPr>
                    <w:jc w:val="center"/>
                    <w:rPr>
                      <w:szCs w:val="21"/>
                    </w:rPr>
                  </w:pPr>
                  <w:r>
                    <w:rPr>
                      <w:szCs w:val="21"/>
                    </w:rPr>
                    <w:t>50</w:t>
                  </w:r>
                </w:p>
              </w:tc>
              <w:tc>
                <w:tcPr>
                  <w:tcW w:w="721" w:type="pct"/>
                  <w:vAlign w:val="center"/>
                </w:tcPr>
                <w:p>
                  <w:pPr>
                    <w:jc w:val="center"/>
                    <w:rPr>
                      <w:szCs w:val="21"/>
                    </w:rPr>
                  </w:pPr>
                  <w:r>
                    <w:rPr>
                      <w:rFonts w:hint="eastAsia"/>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8" w:type="pct"/>
                  <w:gridSpan w:val="5"/>
                  <w:vAlign w:val="center"/>
                </w:tcPr>
                <w:p>
                  <w:pPr>
                    <w:jc w:val="center"/>
                    <w:rPr>
                      <w:szCs w:val="21"/>
                    </w:rPr>
                  </w:pPr>
                  <w:r>
                    <w:rPr>
                      <w:szCs w:val="21"/>
                    </w:rPr>
                    <w:t>项目Q值</w:t>
                  </w:r>
                </w:p>
              </w:tc>
              <w:tc>
                <w:tcPr>
                  <w:tcW w:w="721" w:type="pct"/>
                  <w:vAlign w:val="center"/>
                </w:tcPr>
                <w:p>
                  <w:pPr>
                    <w:jc w:val="center"/>
                    <w:rPr>
                      <w:szCs w:val="21"/>
                      <w:highlight w:val="yellow"/>
                    </w:rPr>
                  </w:pPr>
                  <w:r>
                    <w:rPr>
                      <w:rFonts w:hint="eastAsia"/>
                      <w:szCs w:val="21"/>
                    </w:rPr>
                    <w:t>0.026358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jc w:val="left"/>
                  </w:pPr>
                  <w:r>
                    <w:rPr>
                      <w:sz w:val="20"/>
                      <w:szCs w:val="22"/>
                    </w:rPr>
                    <w:t>注：</w:t>
                  </w:r>
                  <w:r>
                    <w:rPr>
                      <w:sz w:val="20"/>
                      <w:szCs w:val="20"/>
                    </w:rPr>
                    <w:t>废</w:t>
                  </w:r>
                  <w:r>
                    <w:rPr>
                      <w:rFonts w:hint="eastAsia"/>
                      <w:sz w:val="20"/>
                      <w:szCs w:val="20"/>
                    </w:rPr>
                    <w:t>过滤棉、废机油、废机油桶、废切削液及废切削液桶的</w:t>
                  </w:r>
                  <w:r>
                    <w:rPr>
                      <w:sz w:val="20"/>
                      <w:szCs w:val="20"/>
                    </w:rPr>
                    <w:t>更换周期为</w:t>
                  </w:r>
                  <w:r>
                    <w:rPr>
                      <w:rFonts w:hint="eastAsia"/>
                      <w:sz w:val="20"/>
                      <w:szCs w:val="20"/>
                    </w:rPr>
                    <w:t>均12</w:t>
                  </w:r>
                  <w:r>
                    <w:rPr>
                      <w:sz w:val="20"/>
                      <w:szCs w:val="20"/>
                    </w:rPr>
                    <w:t>个月/次，厂内贮存周期为</w:t>
                  </w:r>
                  <w:r>
                    <w:rPr>
                      <w:rFonts w:hint="eastAsia"/>
                      <w:sz w:val="20"/>
                      <w:szCs w:val="20"/>
                    </w:rPr>
                    <w:t>12</w:t>
                  </w:r>
                  <w:r>
                    <w:rPr>
                      <w:sz w:val="20"/>
                      <w:szCs w:val="20"/>
                    </w:rPr>
                    <w:t>个月</w:t>
                  </w:r>
                  <w:r>
                    <w:rPr>
                      <w:rFonts w:hint="eastAsia"/>
                      <w:sz w:val="20"/>
                      <w:szCs w:val="20"/>
                    </w:rPr>
                    <w:t>；废催化剂的更换周期为1次/3年，废活性炭的更换周期为1次/2年，厂内贮存周期为12个月，废活性炭、废催化剂存在量以一次更换下来的量为最大量。</w:t>
                  </w:r>
                </w:p>
              </w:tc>
            </w:tr>
          </w:tbl>
          <w:p>
            <w:pPr>
              <w:spacing w:line="360" w:lineRule="auto"/>
              <w:ind w:firstLine="480" w:firstLineChars="200"/>
              <w:rPr>
                <w:sz w:val="24"/>
              </w:rPr>
            </w:pPr>
            <w:r>
              <w:rPr>
                <w:sz w:val="24"/>
              </w:rPr>
              <w:t>6.3可能影响途径</w:t>
            </w:r>
          </w:p>
          <w:p>
            <w:pPr>
              <w:spacing w:line="360" w:lineRule="auto"/>
              <w:ind w:firstLine="480" w:firstLineChars="200"/>
              <w:rPr>
                <w:sz w:val="24"/>
              </w:rPr>
            </w:pPr>
            <w:r>
              <w:rPr>
                <w:sz w:val="24"/>
              </w:rPr>
              <w:t>通过对风险识别并结合本工程实际情况，本工程风险主要存在于生产运行过程中，本项目风险类型主要为泄漏和火灾两种。</w:t>
            </w:r>
          </w:p>
          <w:p>
            <w:pPr>
              <w:spacing w:line="360" w:lineRule="auto"/>
              <w:ind w:firstLine="480" w:firstLineChars="200"/>
              <w:rPr>
                <w:sz w:val="24"/>
              </w:rPr>
            </w:pPr>
            <w:r>
              <w:rPr>
                <w:sz w:val="24"/>
              </w:rPr>
              <w:t>项目危险废物</w:t>
            </w:r>
            <w:r>
              <w:rPr>
                <w:rFonts w:hint="eastAsia"/>
                <w:sz w:val="24"/>
              </w:rPr>
              <w:t>或者液态原料机油、切削液等</w:t>
            </w:r>
            <w:r>
              <w:rPr>
                <w:sz w:val="24"/>
              </w:rPr>
              <w:t>泄漏后，在未采取有效防渗措施的情况下，可能会通过下渗污染土壤和地下水；</w:t>
            </w:r>
            <w:r>
              <w:rPr>
                <w:rFonts w:hint="eastAsia"/>
                <w:sz w:val="24"/>
              </w:rPr>
              <w:t>天然气</w:t>
            </w:r>
            <w:r>
              <w:rPr>
                <w:sz w:val="24"/>
              </w:rPr>
              <w:t>泄漏后发生火灾</w:t>
            </w:r>
            <w:r>
              <w:rPr>
                <w:rFonts w:hint="eastAsia"/>
                <w:sz w:val="24"/>
              </w:rPr>
              <w:t>或爆炸</w:t>
            </w:r>
            <w:r>
              <w:rPr>
                <w:sz w:val="24"/>
              </w:rPr>
              <w:t>，产生的主要污染物为CO</w:t>
            </w:r>
            <w:r>
              <w:rPr>
                <w:sz w:val="24"/>
                <w:vertAlign w:val="subscript"/>
              </w:rPr>
              <w:t>2</w:t>
            </w:r>
            <w:r>
              <w:rPr>
                <w:sz w:val="24"/>
              </w:rPr>
              <w:t>、H</w:t>
            </w:r>
            <w:r>
              <w:rPr>
                <w:sz w:val="24"/>
                <w:vertAlign w:val="subscript"/>
              </w:rPr>
              <w:t>2</w:t>
            </w:r>
            <w:r>
              <w:rPr>
                <w:sz w:val="24"/>
              </w:rPr>
              <w:t>O等，在不完全燃烧情况下也产生CO，对局地空气环境造成污染影响。</w:t>
            </w:r>
          </w:p>
          <w:p>
            <w:pPr>
              <w:spacing w:line="360" w:lineRule="auto"/>
              <w:ind w:firstLine="480" w:firstLineChars="200"/>
              <w:rPr>
                <w:sz w:val="24"/>
              </w:rPr>
            </w:pPr>
            <w:r>
              <w:rPr>
                <w:sz w:val="24"/>
              </w:rPr>
              <w:t>6.4环境风险防范措施</w:t>
            </w:r>
          </w:p>
          <w:p>
            <w:pPr>
              <w:spacing w:line="360" w:lineRule="auto"/>
              <w:ind w:firstLine="480" w:firstLineChars="200"/>
              <w:rPr>
                <w:sz w:val="24"/>
              </w:rPr>
            </w:pPr>
            <w:r>
              <w:rPr>
                <w:sz w:val="24"/>
              </w:rPr>
              <w:t>为使环境风险减小到最低限度，结合本项目危险物质特性及风险可能影响的途径，企业应采用以下风险防范措施：</w:t>
            </w:r>
          </w:p>
          <w:p>
            <w:pPr>
              <w:spacing w:line="360" w:lineRule="auto"/>
              <w:ind w:firstLine="480" w:firstLineChars="200"/>
              <w:rPr>
                <w:sz w:val="24"/>
              </w:rPr>
            </w:pPr>
            <w:r>
              <w:rPr>
                <w:sz w:val="24"/>
              </w:rPr>
              <w:t>①设置单独的危废存放间，危险废物必须存放于危废间内，且分类收集，妥善保存。</w:t>
            </w:r>
          </w:p>
          <w:p>
            <w:pPr>
              <w:spacing w:line="360" w:lineRule="auto"/>
              <w:ind w:firstLine="480" w:firstLineChars="200"/>
              <w:rPr>
                <w:sz w:val="24"/>
              </w:rPr>
            </w:pPr>
            <w:r>
              <w:rPr>
                <w:sz w:val="24"/>
              </w:rPr>
              <w:t>②危废暂存间</w:t>
            </w:r>
            <w:r>
              <w:rPr>
                <w:rFonts w:hint="eastAsia"/>
                <w:sz w:val="24"/>
              </w:rPr>
              <w:t>、原料库液态物料存放区</w:t>
            </w:r>
            <w:r>
              <w:rPr>
                <w:sz w:val="24"/>
              </w:rPr>
              <w:t>应采取防渗措施并设置围堰，定期检查防渗层的防渗性能，确保不对地下水水质及土壤产生污染影响。</w:t>
            </w:r>
          </w:p>
          <w:p>
            <w:pPr>
              <w:spacing w:line="360" w:lineRule="auto"/>
              <w:ind w:firstLine="480" w:firstLineChars="200"/>
              <w:rPr>
                <w:sz w:val="24"/>
              </w:rPr>
            </w:pPr>
            <w:r>
              <w:rPr>
                <w:sz w:val="24"/>
              </w:rPr>
              <w:t>③根据项目危险物质特性及风险可能影响的途径，制定适用于本项目的事故应急预案。</w:t>
            </w:r>
          </w:p>
          <w:p>
            <w:pPr>
              <w:spacing w:line="360" w:lineRule="auto"/>
              <w:ind w:firstLine="480" w:firstLineChars="200"/>
              <w:rPr>
                <w:sz w:val="24"/>
              </w:rPr>
            </w:pPr>
            <w:r>
              <w:rPr>
                <w:sz w:val="24"/>
              </w:rPr>
              <w:t>④危险废物必须将危险废物装入容器内，禁止将不相容(相互反应)的危险废物在同一容器内混装；容器应粘贴符合标准中附录A所示标签；容器应满足相应强度要求，且完好无损，容器材质和衬里与危险废物相容(不相互反应)。</w:t>
            </w:r>
          </w:p>
          <w:p>
            <w:pPr>
              <w:spacing w:line="360" w:lineRule="auto"/>
              <w:ind w:firstLine="480" w:firstLineChars="200"/>
              <w:rPr>
                <w:sz w:val="24"/>
              </w:rPr>
            </w:pPr>
            <w:r>
              <w:rPr>
                <w:sz w:val="24"/>
              </w:rPr>
              <w:t>⑤做好危险废物情况的记录，记录上须注明危险废物的名称、来源、数量和包装容器的类别、入库日期、存放库位、危废出库日期及接受单位名称，危险废物台账和记录簿的保存时间应当为5年以上，联单保存期限为5年；</w:t>
            </w:r>
          </w:p>
          <w:p>
            <w:pPr>
              <w:spacing w:line="360" w:lineRule="auto"/>
              <w:ind w:firstLine="480" w:firstLineChars="200"/>
              <w:rPr>
                <w:sz w:val="24"/>
              </w:rPr>
            </w:pPr>
            <w:r>
              <w:rPr>
                <w:sz w:val="24"/>
              </w:rPr>
              <w:t>⑥必须定期对贮存的危险废物包装容器及贮存设施进行检查，发现破损，应及时采取措施清理更换，更换的包装容器等按照危险废物处置。</w:t>
            </w:r>
          </w:p>
          <w:p>
            <w:pPr>
              <w:spacing w:line="360" w:lineRule="auto"/>
              <w:ind w:firstLine="480" w:firstLineChars="200"/>
              <w:rPr>
                <w:sz w:val="24"/>
              </w:rPr>
            </w:pPr>
            <w:r>
              <w:rPr>
                <w:sz w:val="24"/>
              </w:rPr>
              <w:fldChar w:fldCharType="begin"/>
            </w:r>
            <w:r>
              <w:rPr>
                <w:sz w:val="24"/>
              </w:rPr>
              <w:instrText xml:space="preserve"> = 7 \* GB3 </w:instrText>
            </w:r>
            <w:r>
              <w:rPr>
                <w:sz w:val="24"/>
              </w:rPr>
              <w:fldChar w:fldCharType="separate"/>
            </w:r>
            <w:r>
              <w:rPr>
                <w:sz w:val="24"/>
              </w:rPr>
              <w:t>⑦</w:t>
            </w:r>
            <w:r>
              <w:rPr>
                <w:sz w:val="24"/>
              </w:rPr>
              <w:fldChar w:fldCharType="end"/>
            </w:r>
            <w:r>
              <w:rPr>
                <w:rFonts w:hint="eastAsia"/>
                <w:sz w:val="24"/>
              </w:rPr>
              <w:t>机油和切削液</w:t>
            </w:r>
            <w:r>
              <w:rPr>
                <w:sz w:val="24"/>
              </w:rPr>
              <w:t>存放于密闭空间且远离火源，且按照要求设置防渗层，定期检查防渗层的防渗性能，确保不对地下水水质及土壤产生污染影响。</w:t>
            </w:r>
          </w:p>
          <w:p>
            <w:pPr>
              <w:spacing w:line="360" w:lineRule="auto"/>
              <w:ind w:firstLine="480" w:firstLineChars="200"/>
              <w:rPr>
                <w:sz w:val="24"/>
              </w:rPr>
            </w:pPr>
            <w:r>
              <w:rPr>
                <w:rFonts w:hint="eastAsia" w:ascii="宋体" w:hAnsi="宋体" w:cs="宋体"/>
                <w:sz w:val="24"/>
              </w:rPr>
              <w:t>⑧</w:t>
            </w:r>
            <w:r>
              <w:rPr>
                <w:sz w:val="24"/>
              </w:rPr>
              <w:t>设置过流保护及紧急切断装置，进一步提高工艺管线及阀门质量，加强其日常维修保养。企业应当在天然气管道周边配备相应数量的灭火器，并定期对灭火器的质量进行检查，以备火灾发生时能够正常使用。</w:t>
            </w:r>
          </w:p>
          <w:p>
            <w:pPr>
              <w:spacing w:line="360" w:lineRule="auto"/>
              <w:ind w:firstLine="480" w:firstLineChars="200"/>
              <w:rPr>
                <w:sz w:val="24"/>
              </w:rPr>
            </w:pPr>
            <w:r>
              <w:rPr>
                <w:rFonts w:hint="eastAsia" w:ascii="宋体" w:hAnsi="宋体" w:cs="宋体"/>
                <w:sz w:val="24"/>
              </w:rPr>
              <w:t>⑨</w:t>
            </w:r>
            <w:r>
              <w:rPr>
                <w:sz w:val="24"/>
              </w:rPr>
              <w:t>设置报警及排气装置，天然气在发生泄漏时能及时发现，采取措施</w:t>
            </w:r>
            <w:r>
              <w:rPr>
                <w:rFonts w:hint="eastAsia"/>
                <w:sz w:val="24"/>
              </w:rPr>
              <w:t>；</w:t>
            </w:r>
            <w:r>
              <w:rPr>
                <w:sz w:val="24"/>
              </w:rPr>
              <w:t>做好用气设备和天然气管道的维修检修工作。</w:t>
            </w:r>
          </w:p>
          <w:p>
            <w:pPr>
              <w:spacing w:line="360" w:lineRule="auto"/>
              <w:ind w:firstLine="480" w:firstLineChars="200"/>
              <w:rPr>
                <w:sz w:val="24"/>
              </w:rPr>
            </w:pPr>
            <w:r>
              <w:rPr>
                <w:rFonts w:hint="eastAsia" w:ascii="宋体" w:hAnsi="宋体" w:cs="宋体"/>
                <w:sz w:val="24"/>
              </w:rPr>
              <w:t>⑩</w:t>
            </w:r>
            <w:r>
              <w:rPr>
                <w:sz w:val="24"/>
              </w:rPr>
              <w:t>生产过程中严格按照生产操作规范进行，杜绝人为安全隐患，严禁吸烟和使用明火</w:t>
            </w:r>
            <w:r>
              <w:rPr>
                <w:rFonts w:hint="eastAsia"/>
                <w:sz w:val="24"/>
              </w:rPr>
              <w:t>；</w:t>
            </w:r>
            <w:r>
              <w:rPr>
                <w:rFonts w:hint="eastAsia" w:ascii="宋体" w:hAnsi="宋体" w:cs="宋体"/>
                <w:sz w:val="24"/>
              </w:rPr>
              <w:t>加强员工的安全意识，加强教育和宣传工作，提高员工处理突发事件的能力。生产过程中严格按照生产规范进行，杜绝人为安全隐患；</w:t>
            </w:r>
            <w:r>
              <w:rPr>
                <w:sz w:val="24"/>
                <w:szCs w:val="32"/>
              </w:rPr>
              <w:t>制定厂内风险应急预案，每年进行一次消防演习，确保厂内消防设施能够正常运行等；制定相应管道的定期检查制度，主要包括检查各密封点、管道有无渗漏、有无变形，阀门、阀体及连接部位是否完好等。</w:t>
            </w:r>
          </w:p>
          <w:p>
            <w:pPr>
              <w:spacing w:line="360" w:lineRule="auto"/>
              <w:ind w:firstLine="480" w:firstLineChars="200"/>
              <w:rPr>
                <w:sz w:val="24"/>
              </w:rPr>
            </w:pPr>
            <w:r>
              <w:rPr>
                <w:sz w:val="24"/>
              </w:rPr>
              <w:t>6.5事故应急措施</w:t>
            </w:r>
          </w:p>
          <w:p>
            <w:pPr>
              <w:spacing w:line="360" w:lineRule="auto"/>
              <w:ind w:firstLine="464" w:firstLineChars="200"/>
              <w:rPr>
                <w:bCs/>
                <w:spacing w:val="-4"/>
                <w:sz w:val="24"/>
              </w:rPr>
            </w:pPr>
            <w:r>
              <w:rPr>
                <w:bCs/>
                <w:spacing w:val="-4"/>
                <w:sz w:val="24"/>
              </w:rPr>
              <w:t>具体应急措施见下表。</w:t>
            </w: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r>
              <w:rPr>
                <w:b/>
                <w:sz w:val="24"/>
              </w:rPr>
              <w:t>表</w:t>
            </w:r>
            <w:r>
              <w:rPr>
                <w:rFonts w:hint="eastAsia"/>
                <w:b/>
                <w:sz w:val="24"/>
              </w:rPr>
              <w:t>55</w:t>
            </w:r>
            <w:r>
              <w:rPr>
                <w:b/>
                <w:sz w:val="24"/>
              </w:rPr>
              <w:t xml:space="preserve">  项目环境风险突发事故应急措施一览表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837"/>
              <w:gridCol w:w="5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pacing w:val="-4"/>
                      <w:szCs w:val="21"/>
                    </w:rPr>
                  </w:pPr>
                  <w:r>
                    <w:rPr>
                      <w:b/>
                      <w:spacing w:val="-4"/>
                      <w:szCs w:val="21"/>
                    </w:rPr>
                    <w:t>序号</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pacing w:val="-4"/>
                      <w:szCs w:val="21"/>
                    </w:rPr>
                  </w:pPr>
                  <w:r>
                    <w:rPr>
                      <w:b/>
                      <w:spacing w:val="-4"/>
                      <w:szCs w:val="21"/>
                    </w:rPr>
                    <w:t>项目</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pacing w:val="-4"/>
                      <w:szCs w:val="21"/>
                    </w:rPr>
                  </w:pPr>
                  <w:r>
                    <w:rPr>
                      <w:b/>
                      <w:spacing w:val="-4"/>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1</w:t>
                  </w:r>
                </w:p>
              </w:tc>
              <w:tc>
                <w:tcPr>
                  <w:tcW w:w="458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404" w:firstLineChars="200"/>
                    <w:jc w:val="center"/>
                    <w:rPr>
                      <w:bCs/>
                      <w:spacing w:val="-4"/>
                      <w:szCs w:val="21"/>
                    </w:rPr>
                  </w:pPr>
                  <w:r>
                    <w:rPr>
                      <w:bCs/>
                      <w:spacing w:val="-4"/>
                      <w:szCs w:val="21"/>
                    </w:rPr>
                    <w:t>编制突发环境事件应急预案（包含危废专章）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2</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应急设备及材料</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防火灾、爆炸事故的应急设施、设备与材料。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3</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应急通告与交通</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规定应急状态下的通讯、通告方式和交通保障、管理等事项。可充分利用现代化的通信设施，如手机、固定电话等。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4</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应急环境监测及事故评价</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由专业人员对环境分析事故现场进行应急监测，对事故性质、严重程度所造成的环境危害后果进行评估，吸取经验教训避免再次发生事故，为指挥部门提供决策依据。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5</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应急防护措施消除泄露措施及需使用器材</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事故现场：控制事故发展，防止发生扩大、蔓延及连锁反应；</w:t>
                  </w:r>
                </w:p>
                <w:p>
                  <w:pPr>
                    <w:spacing w:line="360" w:lineRule="exact"/>
                    <w:jc w:val="left"/>
                    <w:rPr>
                      <w:bCs/>
                      <w:spacing w:val="-4"/>
                      <w:szCs w:val="21"/>
                    </w:rPr>
                  </w:pPr>
                  <w:r>
                    <w:rPr>
                      <w:bCs/>
                      <w:spacing w:val="-4"/>
                      <w:szCs w:val="21"/>
                    </w:rPr>
                    <w:t>清楚现场泄漏物，降低危害；相应地设施器材配备；</w:t>
                  </w:r>
                </w:p>
                <w:p>
                  <w:pPr>
                    <w:spacing w:line="360" w:lineRule="exact"/>
                    <w:jc w:val="left"/>
                    <w:rPr>
                      <w:bCs/>
                      <w:spacing w:val="-4"/>
                      <w:szCs w:val="21"/>
                    </w:rPr>
                  </w:pPr>
                  <w:r>
                    <w:rPr>
                      <w:bCs/>
                      <w:spacing w:val="-4"/>
                      <w:szCs w:val="21"/>
                    </w:rPr>
                    <w:t>邻近地区：控制防火区域，控制和消除环境污染的措施和相应地设备配备。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6</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应急状态终止恢复措施</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事故现场：规定应急状态终止程序；事故现场善后处理，恢复生产措施；</w:t>
                  </w:r>
                </w:p>
                <w:p>
                  <w:pPr>
                    <w:spacing w:line="360" w:lineRule="exact"/>
                    <w:jc w:val="left"/>
                    <w:rPr>
                      <w:bCs/>
                      <w:spacing w:val="-4"/>
                      <w:szCs w:val="21"/>
                    </w:rPr>
                  </w:pPr>
                  <w:r>
                    <w:rPr>
                      <w:bCs/>
                      <w:spacing w:val="-4"/>
                      <w:szCs w:val="21"/>
                    </w:rPr>
                    <w:t>邻近地区：解除事故警戒，公众返回和善后恢复措施。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7</w:t>
                  </w:r>
                </w:p>
              </w:tc>
              <w:tc>
                <w:tcPr>
                  <w:tcW w:w="108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pacing w:val="-4"/>
                      <w:szCs w:val="21"/>
                    </w:rPr>
                  </w:pPr>
                  <w:r>
                    <w:rPr>
                      <w:bCs/>
                      <w:spacing w:val="-4"/>
                      <w:szCs w:val="21"/>
                    </w:rPr>
                    <w:t>记录和报告</w:t>
                  </w:r>
                </w:p>
              </w:tc>
              <w:tc>
                <w:tcPr>
                  <w:tcW w:w="3496" w:type="pct"/>
                  <w:tcBorders>
                    <w:top w:val="single" w:color="auto" w:sz="4" w:space="0"/>
                    <w:left w:val="single" w:color="auto" w:sz="4" w:space="0"/>
                    <w:bottom w:val="single" w:color="auto" w:sz="4" w:space="0"/>
                    <w:right w:val="single" w:color="auto" w:sz="4" w:space="0"/>
                  </w:tcBorders>
                  <w:vAlign w:val="center"/>
                </w:tcPr>
                <w:p>
                  <w:pPr>
                    <w:spacing w:line="360" w:lineRule="exact"/>
                    <w:jc w:val="left"/>
                    <w:rPr>
                      <w:bCs/>
                      <w:spacing w:val="-4"/>
                      <w:szCs w:val="21"/>
                    </w:rPr>
                  </w:pPr>
                  <w:r>
                    <w:rPr>
                      <w:bCs/>
                      <w:spacing w:val="-4"/>
                      <w:szCs w:val="21"/>
                    </w:rPr>
                    <w:t>建立档案和报告制度，设专门部门负责管理。</w:t>
                  </w:r>
                </w:p>
              </w:tc>
            </w:tr>
          </w:tbl>
          <w:p>
            <w:pPr>
              <w:spacing w:line="360" w:lineRule="auto"/>
              <w:ind w:firstLine="464" w:firstLineChars="200"/>
              <w:rPr>
                <w:bCs/>
                <w:spacing w:val="-4"/>
                <w:sz w:val="24"/>
              </w:rPr>
            </w:pPr>
            <w:r>
              <w:rPr>
                <w:bCs/>
                <w:spacing w:val="-4"/>
                <w:sz w:val="24"/>
              </w:rPr>
              <w:t>因此，在做好风险防范措施的基础上，本项目环境风险可控。</w:t>
            </w:r>
          </w:p>
          <w:p>
            <w:pPr>
              <w:spacing w:line="360" w:lineRule="auto"/>
              <w:ind w:firstLine="482" w:firstLineChars="200"/>
              <w:rPr>
                <w:b/>
                <w:bCs/>
                <w:sz w:val="24"/>
              </w:rPr>
            </w:pPr>
            <w:r>
              <w:rPr>
                <w:b/>
                <w:bCs/>
                <w:sz w:val="24"/>
              </w:rPr>
              <w:t>7、生态</w:t>
            </w:r>
          </w:p>
          <w:p>
            <w:pPr>
              <w:spacing w:line="360" w:lineRule="auto"/>
              <w:ind w:firstLine="480" w:firstLineChars="200"/>
              <w:rPr>
                <w:sz w:val="24"/>
              </w:rPr>
            </w:pPr>
            <w:r>
              <w:rPr>
                <w:sz w:val="24"/>
              </w:rPr>
              <w:t>本项目在</w:t>
            </w:r>
            <w:r>
              <w:rPr>
                <w:rFonts w:hint="eastAsia"/>
                <w:sz w:val="24"/>
              </w:rPr>
              <w:t>河北省邢台市新河县经济开发区东区经五路北侧</w:t>
            </w:r>
            <w:r>
              <w:rPr>
                <w:sz w:val="24"/>
              </w:rPr>
              <w:t>，项目占地为</w:t>
            </w:r>
            <w:r>
              <w:rPr>
                <w:rFonts w:hint="eastAsia"/>
                <w:sz w:val="24"/>
              </w:rPr>
              <w:t>二类工业用地</w:t>
            </w:r>
            <w:r>
              <w:rPr>
                <w:sz w:val="24"/>
              </w:rPr>
              <w:t>，</w:t>
            </w:r>
            <w:r>
              <w:rPr>
                <w:rFonts w:hint="eastAsia"/>
                <w:sz w:val="24"/>
              </w:rPr>
              <w:t>拟建项目厂址现状为旱地和道路，根据</w:t>
            </w:r>
            <w:r>
              <w:rPr>
                <w:rFonts w:hint="eastAsia"/>
                <w:sz w:val="24"/>
                <w:szCs w:val="32"/>
              </w:rPr>
              <w:t>《河北省新河县城乡总体规划(2018-2035)》，该地块全部为允许建设区，项目不涉及基本农田，</w:t>
            </w:r>
            <w:r>
              <w:rPr>
                <w:sz w:val="24"/>
                <w:szCs w:val="32"/>
              </w:rPr>
              <w:t>区域以及附近没有国家、地方重点保护的珍稀濒危野生动物天然集中分布</w:t>
            </w:r>
            <w:r>
              <w:t>区</w:t>
            </w:r>
            <w:r>
              <w:rPr>
                <w:rFonts w:hint="eastAsia"/>
              </w:rPr>
              <w:t>；</w:t>
            </w:r>
            <w:r>
              <w:rPr>
                <w:sz w:val="24"/>
              </w:rPr>
              <w:t>因此，本项目实施不会对项目区域生态造成明显影响。</w:t>
            </w:r>
          </w:p>
          <w:p>
            <w:pPr>
              <w:spacing w:line="360" w:lineRule="auto"/>
              <w:ind w:firstLine="482" w:firstLineChars="200"/>
              <w:rPr>
                <w:b/>
                <w:bCs/>
                <w:sz w:val="24"/>
              </w:rPr>
            </w:pPr>
            <w:r>
              <w:rPr>
                <w:b/>
                <w:bCs/>
                <w:sz w:val="24"/>
              </w:rPr>
              <w:t>8、电磁辐射</w:t>
            </w:r>
          </w:p>
          <w:p>
            <w:pPr>
              <w:spacing w:line="360" w:lineRule="auto"/>
              <w:ind w:firstLine="480" w:firstLineChars="200"/>
              <w:rPr>
                <w:sz w:val="24"/>
              </w:rPr>
            </w:pPr>
            <w:r>
              <w:rPr>
                <w:sz w:val="24"/>
              </w:rPr>
              <w:t>不涉及。</w:t>
            </w:r>
          </w:p>
          <w:p>
            <w:pPr>
              <w:spacing w:line="360" w:lineRule="auto"/>
              <w:ind w:firstLine="482" w:firstLineChars="200"/>
              <w:rPr>
                <w:b/>
                <w:sz w:val="24"/>
              </w:rPr>
            </w:pPr>
            <w:r>
              <w:rPr>
                <w:b/>
                <w:sz w:val="24"/>
              </w:rPr>
              <w:t>9、环境管理与环境监测</w:t>
            </w:r>
          </w:p>
          <w:p>
            <w:pPr>
              <w:spacing w:line="360" w:lineRule="auto"/>
              <w:ind w:firstLine="480" w:firstLineChars="200"/>
              <w:rPr>
                <w:sz w:val="24"/>
              </w:rPr>
            </w:pPr>
            <w:r>
              <w:rPr>
                <w:sz w:val="24"/>
              </w:rPr>
              <w:t>9.1排污口规范化</w:t>
            </w:r>
          </w:p>
          <w:p>
            <w:pPr>
              <w:spacing w:line="360" w:lineRule="auto"/>
              <w:ind w:firstLine="480" w:firstLineChars="200"/>
              <w:rPr>
                <w:sz w:val="24"/>
              </w:rPr>
            </w:pPr>
            <w:r>
              <w:rPr>
                <w:sz w:val="24"/>
              </w:rPr>
              <w:t>排污口是项目投产后污染物进入环境、对环境产生影响的通道，强化排污口的管理是实施污染物总量控制的基础工作之一，也是区域环境管理逐步实现污染物排放科学化、定量化的重要手段，项目应按照下列要求进行排污口规范化管理：</w:t>
            </w:r>
          </w:p>
          <w:p>
            <w:pPr>
              <w:spacing w:line="360" w:lineRule="auto"/>
              <w:ind w:firstLine="480" w:firstLineChars="200"/>
              <w:rPr>
                <w:sz w:val="24"/>
              </w:rPr>
            </w:pPr>
            <w:r>
              <w:rPr>
                <w:sz w:val="24"/>
              </w:rPr>
              <w:t>①根据国家环境保护总局《关于开展排放口规范化整治工作的通知》（环发[2006]33号）、《环境保护图形标志》（15562.1-1995）</w:t>
            </w:r>
            <w:r>
              <w:rPr>
                <w:rFonts w:hint="eastAsia"/>
                <w:sz w:val="24"/>
              </w:rPr>
              <w:t>等</w:t>
            </w:r>
            <w:r>
              <w:rPr>
                <w:sz w:val="24"/>
              </w:rPr>
              <w:t>的规定设置环境保护图形标志牌。</w:t>
            </w:r>
          </w:p>
          <w:p>
            <w:pPr>
              <w:spacing w:line="360" w:lineRule="auto"/>
              <w:ind w:firstLine="480" w:firstLineChars="200"/>
              <w:rPr>
                <w:sz w:val="24"/>
              </w:rPr>
            </w:pPr>
            <w:r>
              <w:rPr>
                <w:sz w:val="24"/>
              </w:rPr>
              <w:t>②排气筒的设置应符合《污染源监测技术规范》相关要求；</w:t>
            </w:r>
          </w:p>
          <w:p>
            <w:pPr>
              <w:spacing w:line="360" w:lineRule="auto"/>
              <w:ind w:firstLine="480" w:firstLineChars="200"/>
              <w:rPr>
                <w:sz w:val="24"/>
              </w:rPr>
            </w:pPr>
            <w:r>
              <w:rPr>
                <w:sz w:val="24"/>
              </w:rPr>
              <w:t>③污染物排放口的环境保护图形标志牌应设置在靠近采样点的醒目处，标志牌设置高度为其上缘距地面约2m。</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t>④</w:t>
            </w:r>
            <w:r>
              <w:rPr>
                <w:sz w:val="24"/>
              </w:rPr>
              <w:fldChar w:fldCharType="end"/>
            </w:r>
            <w:r>
              <w:rPr>
                <w:rFonts w:hint="eastAsia"/>
                <w:sz w:val="24"/>
              </w:rPr>
              <w:t>固废堆放</w:t>
            </w:r>
          </w:p>
          <w:p>
            <w:pPr>
              <w:spacing w:line="360" w:lineRule="auto"/>
              <w:ind w:firstLine="480" w:firstLineChars="200"/>
              <w:rPr>
                <w:sz w:val="24"/>
              </w:rPr>
            </w:pPr>
            <w:r>
              <w:rPr>
                <w:sz w:val="24"/>
              </w:rPr>
              <w:t>固废堆场应设置环境保护图形标志牌，将一般固废、危险废物等分开存放，做到防火、防扬散、防渗漏，确保不对周围环境形成二次污染。</w:t>
            </w:r>
            <w:r>
              <w:rPr>
                <w:szCs w:val="21"/>
              </w:rPr>
              <w:t>危险废物按照《危险废物贮存污染控制标准》（GB18597-2001）及2013年修改单相关规定要求，危废间及危险废物储存容器上需要张贴标签</w:t>
            </w:r>
            <w:r>
              <w:rPr>
                <w:rFonts w:hint="eastAsia"/>
                <w:szCs w:val="21"/>
              </w:rPr>
              <w:t>。</w:t>
            </w:r>
          </w:p>
          <w:p>
            <w:pPr>
              <w:spacing w:line="360" w:lineRule="auto"/>
              <w:ind w:firstLine="480" w:firstLineChars="200"/>
              <w:rPr>
                <w:sz w:val="24"/>
              </w:rPr>
            </w:pPr>
            <w:r>
              <w:rPr>
                <w:sz w:val="24"/>
              </w:rPr>
              <w:t>环境保护图形标志——排放口（源）见图</w:t>
            </w:r>
            <w:r>
              <w:rPr>
                <w:rFonts w:hint="eastAsia"/>
                <w:sz w:val="24"/>
              </w:rPr>
              <w:t>4。</w:t>
            </w:r>
          </w:p>
          <w:tbl>
            <w:tblPr>
              <w:tblStyle w:val="24"/>
              <w:tblW w:w="4999" w:type="pct"/>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15" w:type="dxa"/>
                <w:left w:w="15" w:type="dxa"/>
                <w:bottom w:w="15" w:type="dxa"/>
                <w:right w:w="15" w:type="dxa"/>
              </w:tblCellMar>
            </w:tblPr>
            <w:tblGrid>
              <w:gridCol w:w="2115"/>
              <w:gridCol w:w="2115"/>
              <w:gridCol w:w="2116"/>
              <w:gridCol w:w="21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1451" w:hRule="atLeast"/>
                <w:tblCellSpacing w:w="0" w:type="dxa"/>
                <w:jc w:val="center"/>
              </w:trPr>
              <w:tc>
                <w:tcPr>
                  <w:tcW w:w="1250" w:type="pct"/>
                  <w:vAlign w:val="center"/>
                </w:tcPr>
                <w:p>
                  <w:pPr>
                    <w:jc w:val="center"/>
                  </w:pPr>
                  <w:r>
                    <w:fldChar w:fldCharType="begin"/>
                  </w:r>
                  <w:r>
                    <w:instrText xml:space="preserve"> INCLUDEPICTURE  "http://www.anquan.com.cn/tubiao/image/huanj/HP003.jpg" \* MERGEFORMATINET </w:instrText>
                  </w:r>
                  <w:r>
                    <w:fldChar w:fldCharType="separate"/>
                  </w:r>
                  <w:r>
                    <w:fldChar w:fldCharType="begin"/>
                  </w:r>
                  <w:r>
                    <w:instrText xml:space="preserve"> INCLUDEPICTURE  "http://www.anquan.com.cn/tubiao/image/huanj/HP003.jpg" \* MERGEFORMATINET </w:instrText>
                  </w:r>
                  <w:r>
                    <w:fldChar w:fldCharType="separate"/>
                  </w:r>
                  <w:r>
                    <w:fldChar w:fldCharType="begin"/>
                  </w:r>
                  <w:r>
                    <w:instrText xml:space="preserve"> INCLUDEPICTURE  "http://www.anquan.com.cn/tubiao/image/huanj/HP003.jpg" \* MERGEFORMATINET </w:instrText>
                  </w:r>
                  <w:r>
                    <w:fldChar w:fldCharType="separate"/>
                  </w:r>
                  <w:r>
                    <w:fldChar w:fldCharType="begin"/>
                  </w:r>
                  <w:r>
                    <w:instrText xml:space="preserve"> INCLUDEPICTURE  "http://www.anquan.com.cn/tubiao/image/huanj/HP003.jpg" \* MERGEFORMATINET </w:instrText>
                  </w:r>
                  <w:r>
                    <w:fldChar w:fldCharType="separate"/>
                  </w:r>
                  <w:r>
                    <w:fldChar w:fldCharType="begin"/>
                  </w:r>
                  <w:r>
                    <w:instrText xml:space="preserve"> INCLUDEPICTURE  "http://www.anquan.com.cn/tubiao/image/huanj/HP003.jpg" \* MERGEFORMATINET </w:instrText>
                  </w:r>
                  <w:r>
                    <w:fldChar w:fldCharType="separate"/>
                  </w:r>
                  <w:r>
                    <w:fldChar w:fldCharType="begin"/>
                  </w:r>
                  <w:r>
                    <w:instrText xml:space="preserve"> INCLUDEPICTURE  "http://www.anquan.com.cn/tubiao/image/huanj/HP003.jpg" \* MERGEFORMATINET </w:instrText>
                  </w:r>
                  <w:r>
                    <w:fldChar w:fldCharType="separate"/>
                  </w:r>
                  <w:r>
                    <w:pict>
                      <v:shape id="_x0000_i1027" o:spt="75" alt="HP003" type="#_x0000_t75" style="height:80.3pt;width:80.3pt;" filled="f" o:preferrelative="t" stroked="f" coordsize="21600,21600">
                        <v:path/>
                        <v:fill on="f" focussize="0,0"/>
                        <v:stroke on="f" joinstyle="miter"/>
                        <v:imagedata r:id="rId14" r:href="rId15"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separate"/>
                  </w:r>
                  <w:r>
                    <w:fldChar w:fldCharType="begin"/>
                  </w:r>
                  <w:r>
                    <w:instrText xml:space="preserve"> INCLUDEPICTURE  "http://www.anquan.com.cn/tubiao/image/huanj/HP001.jpg" \* MERGEFORMATINET </w:instrTex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1250" w:type="pct"/>
                  <w:vAlign w:val="center"/>
                </w:tcPr>
                <w:p>
                  <w:pPr>
                    <w:jc w:val="center"/>
                  </w:pPr>
                  <w:r>
                    <w:drawing>
                      <wp:inline distT="0" distB="0" distL="0" distR="0">
                        <wp:extent cx="1095375" cy="1038225"/>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95375" cy="1038225"/>
                                </a:xfrm>
                                <a:prstGeom prst="rect">
                                  <a:avLst/>
                                </a:prstGeom>
                                <a:noFill/>
                                <a:ln>
                                  <a:noFill/>
                                </a:ln>
                              </pic:spPr>
                            </pic:pic>
                          </a:graphicData>
                        </a:graphic>
                      </wp:inline>
                    </w:drawing>
                  </w:r>
                </w:p>
              </w:tc>
              <w:tc>
                <w:tcPr>
                  <w:tcW w:w="1250" w:type="pct"/>
                  <w:vAlign w:val="center"/>
                </w:tcPr>
                <w:p>
                  <w:pPr>
                    <w:jc w:val="center"/>
                    <w:rPr>
                      <w:szCs w:val="22"/>
                    </w:rPr>
                  </w:pPr>
                  <w:r>
                    <w:fldChar w:fldCharType="begin"/>
                  </w:r>
                  <w:r>
                    <w:instrText xml:space="preserve"> INCLUDEPICTURE  "http://www.anquan.com.cn/tubiao/image/huanj/HP007.jpg" \* MERGEFORMATINET </w:instrText>
                  </w:r>
                  <w:r>
                    <w:fldChar w:fldCharType="separate"/>
                  </w:r>
                  <w:r>
                    <w:fldChar w:fldCharType="begin"/>
                  </w:r>
                  <w:r>
                    <w:instrText xml:space="preserve"> INCLUDEPICTURE  "http://www.anquan.com.cn/tubiao/image/huanj/HP007.jpg" \* MERGEFORMATINET </w:instrText>
                  </w:r>
                  <w:r>
                    <w:fldChar w:fldCharType="separate"/>
                  </w:r>
                  <w:r>
                    <w:fldChar w:fldCharType="begin"/>
                  </w:r>
                  <w:r>
                    <w:instrText xml:space="preserve"> INCLUDEPICTURE  "http://www.anquan.com.cn/tubiao/image/huanj/HP007.jpg" \* MERGEFORMATINET </w:instrText>
                  </w:r>
                  <w:r>
                    <w:fldChar w:fldCharType="separate"/>
                  </w:r>
                  <w:r>
                    <w:fldChar w:fldCharType="begin"/>
                  </w:r>
                  <w:r>
                    <w:instrText xml:space="preserve"> INCLUDEPICTURE  "http://www.anquan.com.cn/tubiao/image/huanj/HP007.jpg" \* MERGEFORMATINET </w:instrText>
                  </w:r>
                  <w:r>
                    <w:fldChar w:fldCharType="separate"/>
                  </w:r>
                  <w:r>
                    <w:fldChar w:fldCharType="begin"/>
                  </w:r>
                  <w:r>
                    <w:instrText xml:space="preserve"> INCLUDEPICTURE  "http://www.anquan.com.cn/tubiao/image/huanj/HP007.jpg" \* MERGEFORMATINET </w:instrText>
                  </w:r>
                  <w:r>
                    <w:fldChar w:fldCharType="separate"/>
                  </w:r>
                  <w:r>
                    <w:fldChar w:fldCharType="begin"/>
                  </w:r>
                  <w:r>
                    <w:instrText xml:space="preserve"> INCLUDEPICTURE  "http://www.anquan.com.cn/tubiao/image/huanj/HP007.jpg" \* MERGEFORMATINET </w:instrText>
                  </w:r>
                  <w:r>
                    <w:fldChar w:fldCharType="separate"/>
                  </w:r>
                  <w:r>
                    <w:pict>
                      <v:shape id="_x0000_i1028" o:spt="75" alt="HP007" type="#_x0000_t75" style="height:80.3pt;width:80.3pt;" filled="f" o:preferrelative="t" stroked="f" coordsize="21600,21600">
                        <v:path/>
                        <v:fill on="f" focussize="0,0"/>
                        <v:stroke on="f" joinstyle="miter"/>
                        <v:imagedata r:id="rId17" r:href="rId18" o:title=""/>
                        <o:lock v:ext="edit" aspectratio="t"/>
                        <w10:wrap type="none"/>
                        <w10:anchorlock/>
                      </v:shape>
                    </w:pict>
                  </w:r>
                  <w:r>
                    <w:fldChar w:fldCharType="end"/>
                  </w:r>
                  <w:r>
                    <w:fldChar w:fldCharType="end"/>
                  </w:r>
                  <w:r>
                    <w:fldChar w:fldCharType="end"/>
                  </w:r>
                  <w:r>
                    <w:fldChar w:fldCharType="end"/>
                  </w:r>
                  <w:r>
                    <w:fldChar w:fldCharType="end"/>
                  </w:r>
                  <w:r>
                    <w:fldChar w:fldCharType="end"/>
                  </w:r>
                </w:p>
              </w:tc>
              <w:tc>
                <w:tcPr>
                  <w:tcW w:w="1250" w:type="pct"/>
                  <w:vAlign w:val="center"/>
                </w:tcPr>
                <w:p>
                  <w:pPr>
                    <w:jc w:val="center"/>
                  </w:pPr>
                  <w:r>
                    <w:fldChar w:fldCharType="begin"/>
                  </w:r>
                  <w:r>
                    <w:instrText xml:space="preserve"> INCLUDEPICTURE  "http://www.anquan.com.cn/tubiao/image/huanj/HP005.jpg" \* MERGEFORMATINET </w:instrText>
                  </w:r>
                  <w:r>
                    <w:fldChar w:fldCharType="separate"/>
                  </w:r>
                  <w:r>
                    <w:fldChar w:fldCharType="begin"/>
                  </w:r>
                  <w:r>
                    <w:instrText xml:space="preserve"> INCLUDEPICTURE  "http://www.anquan.com.cn/tubiao/image/huanj/HP005.jpg" \* MERGEFORMATINET </w:instrText>
                  </w:r>
                  <w:r>
                    <w:fldChar w:fldCharType="separate"/>
                  </w:r>
                  <w:r>
                    <w:fldChar w:fldCharType="begin"/>
                  </w:r>
                  <w:r>
                    <w:instrText xml:space="preserve"> INCLUDEPICTURE  "http://www.anquan.com.cn/tubiao/image/huanj/HP005.jpg" \* MERGEFORMATINET </w:instrText>
                  </w:r>
                  <w:r>
                    <w:fldChar w:fldCharType="separate"/>
                  </w:r>
                  <w:r>
                    <w:fldChar w:fldCharType="begin"/>
                  </w:r>
                  <w:r>
                    <w:instrText xml:space="preserve"> INCLUDEPICTURE  "http://www.anquan.com.cn/tubiao/image/huanj/HP005.jpg" \* MERGEFORMATINET </w:instrText>
                  </w:r>
                  <w:r>
                    <w:fldChar w:fldCharType="separate"/>
                  </w:r>
                  <w:r>
                    <w:fldChar w:fldCharType="begin"/>
                  </w:r>
                  <w:r>
                    <w:instrText xml:space="preserve"> INCLUDEPICTURE  "http://www.anquan.com.cn/tubiao/image/huanj/HP005.jpg" \* MERGEFORMATINET </w:instrText>
                  </w:r>
                  <w:r>
                    <w:fldChar w:fldCharType="separate"/>
                  </w:r>
                  <w:r>
                    <w:fldChar w:fldCharType="begin"/>
                  </w:r>
                  <w:r>
                    <w:instrText xml:space="preserve"> INCLUDEPICTURE  "http://www.anquan.com.cn/tubiao/image/huanj/HP005.jpg" \* MERGEFORMATINET </w:instrText>
                  </w:r>
                  <w:r>
                    <w:fldChar w:fldCharType="separate"/>
                  </w:r>
                  <w:r>
                    <w:pict>
                      <v:shape id="_x0000_i1029" o:spt="75" alt="HP005" type="#_x0000_t75" style="height:80.3pt;width:80.3pt;" filled="f" o:preferrelative="t" stroked="f" coordsize="21600,21600">
                        <v:path/>
                        <v:fill on="f" focussize="0,0"/>
                        <v:stroke on="f" joinstyle="miter"/>
                        <v:imagedata r:id="rId19" r:href="rId20" o:title=""/>
                        <o:lock v:ext="edit" aspectratio="t"/>
                        <w10:wrap type="none"/>
                        <w10:anchorlock/>
                      </v:shape>
                    </w:pict>
                  </w:r>
                  <w:r>
                    <w:fldChar w:fldCharType="end"/>
                  </w:r>
                  <w:r>
                    <w:fldChar w:fldCharType="end"/>
                  </w:r>
                  <w:r>
                    <w:fldChar w:fldCharType="end"/>
                  </w:r>
                  <w:r>
                    <w:fldChar w:fldCharType="end"/>
                  </w:r>
                  <w:r>
                    <w:fldChar w:fldCharType="end"/>
                  </w:r>
                  <w: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81" w:hRule="atLeast"/>
                <w:tblCellSpacing w:w="0" w:type="dxa"/>
                <w:jc w:val="center"/>
              </w:trPr>
              <w:tc>
                <w:tcPr>
                  <w:tcW w:w="1250" w:type="pct"/>
                  <w:vAlign w:val="center"/>
                </w:tcPr>
                <w:p>
                  <w:pPr>
                    <w:jc w:val="center"/>
                  </w:pPr>
                  <w:r>
                    <w:t>废气排放口</w:t>
                  </w:r>
                </w:p>
              </w:tc>
              <w:tc>
                <w:tcPr>
                  <w:tcW w:w="1250" w:type="pct"/>
                  <w:vAlign w:val="center"/>
                </w:tcPr>
                <w:p>
                  <w:pPr>
                    <w:jc w:val="center"/>
                  </w:pPr>
                  <w:r>
                    <w:rPr>
                      <w:rFonts w:hint="eastAsia"/>
                    </w:rPr>
                    <w:t>废水排放口</w:t>
                  </w:r>
                </w:p>
              </w:tc>
              <w:tc>
                <w:tcPr>
                  <w:tcW w:w="1250" w:type="pct"/>
                  <w:vAlign w:val="center"/>
                </w:tcPr>
                <w:p>
                  <w:pPr>
                    <w:jc w:val="center"/>
                    <w:rPr>
                      <w:szCs w:val="22"/>
                    </w:rPr>
                  </w:pPr>
                  <w:r>
                    <w:t>一般固体废物</w:t>
                  </w:r>
                </w:p>
              </w:tc>
              <w:tc>
                <w:tcPr>
                  <w:tcW w:w="1250" w:type="pct"/>
                  <w:vAlign w:val="center"/>
                </w:tcPr>
                <w:p>
                  <w:pPr>
                    <w:jc w:val="center"/>
                  </w:pPr>
                  <w:r>
                    <w:t>噪声排放源</w:t>
                  </w:r>
                </w:p>
              </w:tc>
            </w:tr>
          </w:tbl>
          <w:p>
            <w:pPr>
              <w:spacing w:line="360" w:lineRule="auto"/>
              <w:jc w:val="center"/>
              <w:rPr>
                <w:b/>
                <w:bCs/>
                <w:szCs w:val="21"/>
              </w:rPr>
            </w:pPr>
            <w:r>
              <w:rPr>
                <w:b/>
                <w:bCs/>
                <w:sz w:val="24"/>
              </w:rPr>
              <w:t>图</w:t>
            </w:r>
            <w:r>
              <w:rPr>
                <w:rFonts w:hint="eastAsia"/>
                <w:b/>
                <w:bCs/>
                <w:sz w:val="24"/>
              </w:rPr>
              <w:t xml:space="preserve">4  </w:t>
            </w:r>
            <w:r>
              <w:rPr>
                <w:b/>
                <w:bCs/>
                <w:sz w:val="24"/>
              </w:rPr>
              <w:t>环境保护图形标志—排放口（源）</w:t>
            </w:r>
          </w:p>
          <w:p>
            <w:pPr>
              <w:spacing w:line="360" w:lineRule="auto"/>
              <w:ind w:firstLine="480" w:firstLineChars="200"/>
              <w:rPr>
                <w:sz w:val="24"/>
              </w:rPr>
            </w:pPr>
            <w:r>
              <w:rPr>
                <w:sz w:val="24"/>
              </w:rPr>
              <w:t>环境保护图形标志--排放口（源）的形状及颜色见表</w:t>
            </w:r>
            <w:r>
              <w:rPr>
                <w:rFonts w:hint="eastAsia"/>
                <w:sz w:val="24"/>
              </w:rPr>
              <w:t>56。</w:t>
            </w:r>
          </w:p>
          <w:p>
            <w:pPr>
              <w:jc w:val="center"/>
              <w:rPr>
                <w:b/>
                <w:bCs/>
                <w:szCs w:val="21"/>
              </w:rPr>
            </w:pPr>
            <w:r>
              <w:rPr>
                <w:b/>
                <w:bCs/>
                <w:sz w:val="24"/>
              </w:rPr>
              <w:t>表</w:t>
            </w:r>
            <w:r>
              <w:rPr>
                <w:rFonts w:hint="eastAsia"/>
                <w:b/>
                <w:bCs/>
                <w:sz w:val="24"/>
              </w:rPr>
              <w:t>56</w:t>
            </w:r>
            <w:r>
              <w:rPr>
                <w:b/>
                <w:bCs/>
                <w:sz w:val="24"/>
              </w:rPr>
              <w:t xml:space="preserve">  标志的形状及颜色说明</w:t>
            </w:r>
          </w:p>
          <w:tbl>
            <w:tblPr>
              <w:tblStyle w:val="24"/>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317"/>
              <w:gridCol w:w="2128"/>
              <w:gridCol w:w="2138"/>
              <w:gridCol w:w="1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69" w:type="pct"/>
                  <w:vAlign w:val="center"/>
                </w:tcPr>
                <w:p>
                  <w:pPr>
                    <w:jc w:val="center"/>
                    <w:rPr>
                      <w:b/>
                    </w:rPr>
                  </w:pPr>
                  <w:r>
                    <w:rPr>
                      <w:b/>
                    </w:rPr>
                    <w:t>/</w:t>
                  </w:r>
                </w:p>
              </w:tc>
              <w:tc>
                <w:tcPr>
                  <w:tcW w:w="1257" w:type="pct"/>
                  <w:vAlign w:val="center"/>
                </w:tcPr>
                <w:p>
                  <w:pPr>
                    <w:jc w:val="center"/>
                    <w:rPr>
                      <w:b/>
                    </w:rPr>
                  </w:pPr>
                  <w:r>
                    <w:rPr>
                      <w:b/>
                    </w:rPr>
                    <w:t>形状</w:t>
                  </w:r>
                </w:p>
              </w:tc>
              <w:tc>
                <w:tcPr>
                  <w:tcW w:w="1263" w:type="pct"/>
                  <w:vAlign w:val="center"/>
                </w:tcPr>
                <w:p>
                  <w:pPr>
                    <w:jc w:val="center"/>
                    <w:rPr>
                      <w:b/>
                    </w:rPr>
                  </w:pPr>
                  <w:r>
                    <w:rPr>
                      <w:b/>
                    </w:rPr>
                    <w:t>背景颜色</w:t>
                  </w:r>
                </w:p>
              </w:tc>
              <w:tc>
                <w:tcPr>
                  <w:tcW w:w="1108" w:type="pct"/>
                  <w:vAlign w:val="center"/>
                </w:tcPr>
                <w:p>
                  <w:pPr>
                    <w:jc w:val="center"/>
                    <w:rPr>
                      <w:b/>
                    </w:rPr>
                  </w:pPr>
                  <w:r>
                    <w:rPr>
                      <w:b/>
                    </w:rPr>
                    <w:t>图形颜色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69" w:type="pct"/>
                  <w:vAlign w:val="center"/>
                </w:tcPr>
                <w:p>
                  <w:pPr>
                    <w:jc w:val="center"/>
                  </w:pPr>
                  <w:r>
                    <w:t>警告标志</w:t>
                  </w:r>
                </w:p>
              </w:tc>
              <w:tc>
                <w:tcPr>
                  <w:tcW w:w="1257" w:type="pct"/>
                  <w:vAlign w:val="center"/>
                </w:tcPr>
                <w:p>
                  <w:pPr>
                    <w:jc w:val="center"/>
                  </w:pPr>
                  <w:r>
                    <w:t>三角形边框</w:t>
                  </w:r>
                </w:p>
              </w:tc>
              <w:tc>
                <w:tcPr>
                  <w:tcW w:w="1263" w:type="pct"/>
                  <w:vAlign w:val="center"/>
                </w:tcPr>
                <w:p>
                  <w:pPr>
                    <w:jc w:val="center"/>
                  </w:pPr>
                  <w:r>
                    <w:t>黄色</w:t>
                  </w:r>
                </w:p>
              </w:tc>
              <w:tc>
                <w:tcPr>
                  <w:tcW w:w="1108" w:type="pct"/>
                  <w:vAlign w:val="center"/>
                </w:tcPr>
                <w:p>
                  <w:pPr>
                    <w:jc w:val="center"/>
                  </w:pPr>
                  <w:r>
                    <w:t>黑色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69" w:type="pct"/>
                  <w:vAlign w:val="center"/>
                </w:tcPr>
                <w:p>
                  <w:pPr>
                    <w:jc w:val="center"/>
                  </w:pPr>
                  <w:r>
                    <w:t>提示标志</w:t>
                  </w:r>
                </w:p>
              </w:tc>
              <w:tc>
                <w:tcPr>
                  <w:tcW w:w="1257" w:type="pct"/>
                  <w:vAlign w:val="center"/>
                </w:tcPr>
                <w:p>
                  <w:pPr>
                    <w:jc w:val="center"/>
                  </w:pPr>
                  <w:r>
                    <w:t>正方形边框</w:t>
                  </w:r>
                </w:p>
              </w:tc>
              <w:tc>
                <w:tcPr>
                  <w:tcW w:w="1263" w:type="pct"/>
                  <w:vAlign w:val="center"/>
                </w:tcPr>
                <w:p>
                  <w:pPr>
                    <w:jc w:val="center"/>
                  </w:pPr>
                  <w:r>
                    <w:t>绿色</w:t>
                  </w:r>
                </w:p>
              </w:tc>
              <w:tc>
                <w:tcPr>
                  <w:tcW w:w="1108" w:type="pct"/>
                  <w:vAlign w:val="center"/>
                </w:tcPr>
                <w:p>
                  <w:pPr>
                    <w:jc w:val="center"/>
                  </w:pPr>
                  <w:r>
                    <w:t>白色</w:t>
                  </w:r>
                </w:p>
              </w:tc>
            </w:tr>
          </w:tbl>
          <w:p>
            <w:pPr>
              <w:spacing w:line="360" w:lineRule="auto"/>
              <w:ind w:firstLine="420" w:firstLineChars="200"/>
              <w:rPr>
                <w:sz w:val="24"/>
              </w:rPr>
            </w:pPr>
            <w:r>
              <w:rPr>
                <w:szCs w:val="21"/>
              </w:rPr>
              <w:t>危废间及储存容器标签示例</w:t>
            </w:r>
            <w:r>
              <w:rPr>
                <w:rFonts w:hint="eastAsia"/>
                <w:szCs w:val="21"/>
              </w:rPr>
              <w:t>见表57</w:t>
            </w:r>
            <w:r>
              <w:rPr>
                <w:rFonts w:hint="eastAsia"/>
                <w:sz w:val="24"/>
              </w:rPr>
              <w:t>。</w:t>
            </w: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r>
              <w:rPr>
                <w:b/>
                <w:bCs/>
                <w:sz w:val="24"/>
              </w:rPr>
              <w:t>表</w:t>
            </w:r>
            <w:r>
              <w:rPr>
                <w:rFonts w:hint="eastAsia"/>
                <w:b/>
                <w:bCs/>
                <w:sz w:val="24"/>
              </w:rPr>
              <w:t xml:space="preserve">57  </w:t>
            </w:r>
            <w:r>
              <w:rPr>
                <w:b/>
                <w:bCs/>
                <w:sz w:val="24"/>
              </w:rPr>
              <w:t>危废间及储存容器标签示例</w:t>
            </w:r>
          </w:p>
          <w:tbl>
            <w:tblPr>
              <w:tblStyle w:val="24"/>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40"/>
              <w:gridCol w:w="3831"/>
              <w:gridCol w:w="3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blHeader/>
                <w:jc w:val="center"/>
              </w:trPr>
              <w:tc>
                <w:tcPr>
                  <w:tcW w:w="614" w:type="pct"/>
                  <w:vAlign w:val="center"/>
                </w:tcPr>
                <w:p>
                  <w:pPr>
                    <w:jc w:val="center"/>
                    <w:rPr>
                      <w:b/>
                      <w:szCs w:val="21"/>
                    </w:rPr>
                  </w:pPr>
                  <w:r>
                    <w:rPr>
                      <w:b/>
                      <w:szCs w:val="21"/>
                    </w:rPr>
                    <w:t>场合</w:t>
                  </w:r>
                </w:p>
              </w:tc>
              <w:tc>
                <w:tcPr>
                  <w:tcW w:w="2263" w:type="pct"/>
                  <w:vAlign w:val="center"/>
                </w:tcPr>
                <w:p>
                  <w:pPr>
                    <w:jc w:val="center"/>
                    <w:rPr>
                      <w:b/>
                      <w:szCs w:val="21"/>
                    </w:rPr>
                  </w:pPr>
                  <w:r>
                    <w:rPr>
                      <w:b/>
                      <w:szCs w:val="21"/>
                    </w:rPr>
                    <w:t>样式</w:t>
                  </w:r>
                </w:p>
              </w:tc>
              <w:tc>
                <w:tcPr>
                  <w:tcW w:w="2121" w:type="pct"/>
                  <w:vAlign w:val="center"/>
                </w:tcPr>
                <w:p>
                  <w:pPr>
                    <w:jc w:val="center"/>
                    <w:rPr>
                      <w:b/>
                      <w:szCs w:val="21"/>
                    </w:rPr>
                  </w:pPr>
                  <w:r>
                    <w:rPr>
                      <w:b/>
                      <w:szCs w:val="21"/>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614" w:type="pct"/>
                  <w:vAlign w:val="center"/>
                </w:tcPr>
                <w:p>
                  <w:pPr>
                    <w:jc w:val="center"/>
                    <w:rPr>
                      <w:szCs w:val="21"/>
                    </w:rPr>
                  </w:pPr>
                  <w:r>
                    <w:rPr>
                      <w:szCs w:val="21"/>
                    </w:rPr>
                    <w:t>室外（粘贴于门上或悬挂）</w:t>
                  </w:r>
                </w:p>
              </w:tc>
              <w:tc>
                <w:tcPr>
                  <w:tcW w:w="2263" w:type="pct"/>
                  <w:vAlign w:val="center"/>
                </w:tcPr>
                <w:p>
                  <w:pPr>
                    <w:jc w:val="center"/>
                    <w:rPr>
                      <w:szCs w:val="21"/>
                    </w:rPr>
                  </w:pPr>
                  <w:r>
                    <w:rPr>
                      <w:szCs w:val="21"/>
                    </w:rPr>
                    <w:drawing>
                      <wp:inline distT="0" distB="0" distL="0" distR="0">
                        <wp:extent cx="1504950" cy="1323975"/>
                        <wp:effectExtent l="0" t="0" r="0" b="0"/>
                        <wp:docPr id="10" name="图片 12" descr="说明: 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说明: A_1危废警示标志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04950" cy="1323975"/>
                                </a:xfrm>
                                <a:prstGeom prst="rect">
                                  <a:avLst/>
                                </a:prstGeom>
                                <a:noFill/>
                                <a:ln>
                                  <a:noFill/>
                                </a:ln>
                              </pic:spPr>
                            </pic:pic>
                          </a:graphicData>
                        </a:graphic>
                      </wp:inline>
                    </w:drawing>
                  </w:r>
                </w:p>
              </w:tc>
              <w:tc>
                <w:tcPr>
                  <w:tcW w:w="2121" w:type="pct"/>
                  <w:vAlign w:val="center"/>
                </w:tcPr>
                <w:p>
                  <w:pPr>
                    <w:rPr>
                      <w:szCs w:val="21"/>
                    </w:rPr>
                  </w:pPr>
                  <w:r>
                    <w:rPr>
                      <w:szCs w:val="21"/>
                    </w:rPr>
                    <w:t>1、危险废物警告标志规格颜色</w:t>
                  </w:r>
                </w:p>
                <w:p>
                  <w:pPr>
                    <w:rPr>
                      <w:szCs w:val="21"/>
                    </w:rPr>
                  </w:pPr>
                  <w:r>
                    <w:rPr>
                      <w:szCs w:val="21"/>
                    </w:rPr>
                    <w:t>形状：等边三角形，边长42cm</w:t>
                  </w:r>
                </w:p>
                <w:p>
                  <w:pPr>
                    <w:rPr>
                      <w:szCs w:val="21"/>
                    </w:rPr>
                  </w:pPr>
                  <w:r>
                    <w:rPr>
                      <w:szCs w:val="21"/>
                    </w:rPr>
                    <w:t>颜色：背景为黄色，图形为黑色</w:t>
                  </w:r>
                </w:p>
                <w:p>
                  <w:pPr>
                    <w:rPr>
                      <w:szCs w:val="21"/>
                    </w:rPr>
                  </w:pPr>
                  <w:r>
                    <w:rPr>
                      <w:szCs w:val="21"/>
                    </w:rPr>
                    <w:t>2、警告标志外檐2.5cm</w:t>
                  </w:r>
                </w:p>
                <w:p>
                  <w:pPr>
                    <w:rPr>
                      <w:szCs w:val="21"/>
                    </w:rPr>
                  </w:pPr>
                  <w:r>
                    <w:rPr>
                      <w:szCs w:val="21"/>
                    </w:rPr>
                    <w:t>3、使用于：危险废物贮存设施为房屋的，建有围墙或防护栅栏，且高度高于100cm时；部分危险废物利用、处置场所。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14" w:type="pct"/>
                  <w:vAlign w:val="center"/>
                </w:tcPr>
                <w:p>
                  <w:pPr>
                    <w:jc w:val="center"/>
                    <w:rPr>
                      <w:szCs w:val="21"/>
                    </w:rPr>
                  </w:pPr>
                  <w:r>
                    <w:rPr>
                      <w:rFonts w:hint="eastAsia"/>
                      <w:szCs w:val="21"/>
                    </w:rPr>
                    <w:t>室内外悬挂</w:t>
                  </w:r>
                </w:p>
              </w:tc>
              <w:tc>
                <w:tcPr>
                  <w:tcW w:w="2263" w:type="pct"/>
                  <w:vAlign w:val="center"/>
                </w:tcPr>
                <w:p>
                  <w:pPr>
                    <w:jc w:val="center"/>
                    <w:rPr>
                      <w:szCs w:val="21"/>
                    </w:rPr>
                  </w:pPr>
                  <w:r>
                    <w:rPr>
                      <w:szCs w:val="21"/>
                    </w:rPr>
                    <w:drawing>
                      <wp:inline distT="0" distB="0" distL="0" distR="0">
                        <wp:extent cx="1152525" cy="942975"/>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22">
                                  <a:extLst>
                                    <a:ext uri="{28A0092B-C50C-407E-A947-70E740481C1C}">
                                      <a14:useLocalDpi xmlns:a14="http://schemas.microsoft.com/office/drawing/2010/main" val="0"/>
                                    </a:ext>
                                  </a:extLst>
                                </a:blip>
                                <a:srcRect t="28459" b="40303"/>
                                <a:stretch>
                                  <a:fillRect/>
                                </a:stretch>
                              </pic:blipFill>
                              <pic:spPr>
                                <a:xfrm>
                                  <a:off x="0" y="0"/>
                                  <a:ext cx="1152525" cy="942975"/>
                                </a:xfrm>
                                <a:prstGeom prst="rect">
                                  <a:avLst/>
                                </a:prstGeom>
                                <a:noFill/>
                                <a:ln>
                                  <a:noFill/>
                                </a:ln>
                              </pic:spPr>
                            </pic:pic>
                          </a:graphicData>
                        </a:graphic>
                      </wp:inline>
                    </w:drawing>
                  </w:r>
                </w:p>
              </w:tc>
              <w:tc>
                <w:tcPr>
                  <w:tcW w:w="2121" w:type="pct"/>
                  <w:vAlign w:val="center"/>
                </w:tcPr>
                <w:p>
                  <w:pPr>
                    <w:rPr>
                      <w:szCs w:val="21"/>
                    </w:rPr>
                  </w:pPr>
                  <w:r>
                    <w:rPr>
                      <w:szCs w:val="21"/>
                    </w:rPr>
                    <w:t>1、危险废物标签尺寸颜色：</w:t>
                  </w:r>
                </w:p>
                <w:p>
                  <w:pPr>
                    <w:rPr>
                      <w:szCs w:val="21"/>
                    </w:rPr>
                  </w:pPr>
                  <w:r>
                    <w:rPr>
                      <w:szCs w:val="21"/>
                    </w:rPr>
                    <w:t>尺寸：</w:t>
                  </w:r>
                  <w:r>
                    <w:rPr>
                      <w:rFonts w:hint="eastAsia"/>
                      <w:szCs w:val="21"/>
                    </w:rPr>
                    <w:t>4</w:t>
                  </w:r>
                  <w:r>
                    <w:rPr>
                      <w:szCs w:val="21"/>
                    </w:rPr>
                    <w:t>0×</w:t>
                  </w:r>
                  <w:r>
                    <w:rPr>
                      <w:rFonts w:hint="eastAsia"/>
                      <w:szCs w:val="21"/>
                    </w:rPr>
                    <w:t>4</w:t>
                  </w:r>
                  <w:r>
                    <w:rPr>
                      <w:szCs w:val="21"/>
                    </w:rPr>
                    <w:t>0cm</w:t>
                  </w:r>
                </w:p>
                <w:p>
                  <w:pPr>
                    <w:rPr>
                      <w:szCs w:val="21"/>
                    </w:rPr>
                  </w:pPr>
                  <w:r>
                    <w:rPr>
                      <w:szCs w:val="21"/>
                    </w:rPr>
                    <w:t>底色：醒目的橘黄色</w:t>
                  </w:r>
                </w:p>
                <w:p>
                  <w:pPr>
                    <w:rPr>
                      <w:szCs w:val="21"/>
                    </w:rPr>
                  </w:pPr>
                  <w:r>
                    <w:rPr>
                      <w:szCs w:val="21"/>
                    </w:rPr>
                    <w:t>字体：黑体字</w:t>
                  </w:r>
                </w:p>
                <w:p>
                  <w:pPr>
                    <w:rPr>
                      <w:szCs w:val="21"/>
                    </w:rPr>
                  </w:pPr>
                  <w:r>
                    <w:rPr>
                      <w:szCs w:val="21"/>
                    </w:rPr>
                    <w:t>字体颜色：黑色</w:t>
                  </w:r>
                </w:p>
                <w:p>
                  <w:pPr>
                    <w:rPr>
                      <w:szCs w:val="21"/>
                    </w:rPr>
                  </w:pPr>
                  <w:r>
                    <w:rPr>
                      <w:szCs w:val="21"/>
                    </w:rPr>
                    <w:t>2、危险类别：按危险废物种类选择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14" w:type="pct"/>
                  <w:vAlign w:val="center"/>
                </w:tcPr>
                <w:p>
                  <w:pPr>
                    <w:jc w:val="center"/>
                    <w:rPr>
                      <w:szCs w:val="21"/>
                    </w:rPr>
                  </w:pPr>
                  <w:r>
                    <w:rPr>
                      <w:szCs w:val="21"/>
                    </w:rPr>
                    <w:t>粘贴于危险废物储存容器</w:t>
                  </w:r>
                </w:p>
              </w:tc>
              <w:tc>
                <w:tcPr>
                  <w:tcW w:w="2263" w:type="pct"/>
                  <w:vAlign w:val="center"/>
                </w:tcPr>
                <w:p>
                  <w:pPr>
                    <w:jc w:val="center"/>
                    <w:rPr>
                      <w:szCs w:val="21"/>
                    </w:rPr>
                  </w:pPr>
                  <w:r>
                    <w:rPr>
                      <w:szCs w:val="21"/>
                    </w:rPr>
                    <w:drawing>
                      <wp:inline distT="0" distB="0" distL="0" distR="0">
                        <wp:extent cx="1152525" cy="942975"/>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22">
                                  <a:extLst>
                                    <a:ext uri="{28A0092B-C50C-407E-A947-70E740481C1C}">
                                      <a14:useLocalDpi xmlns:a14="http://schemas.microsoft.com/office/drawing/2010/main" val="0"/>
                                    </a:ext>
                                  </a:extLst>
                                </a:blip>
                                <a:srcRect t="28459" b="40303"/>
                                <a:stretch>
                                  <a:fillRect/>
                                </a:stretch>
                              </pic:blipFill>
                              <pic:spPr>
                                <a:xfrm>
                                  <a:off x="0" y="0"/>
                                  <a:ext cx="1152525" cy="942975"/>
                                </a:xfrm>
                                <a:prstGeom prst="rect">
                                  <a:avLst/>
                                </a:prstGeom>
                                <a:noFill/>
                                <a:ln>
                                  <a:noFill/>
                                </a:ln>
                              </pic:spPr>
                            </pic:pic>
                          </a:graphicData>
                        </a:graphic>
                      </wp:inline>
                    </w:drawing>
                  </w:r>
                </w:p>
              </w:tc>
              <w:tc>
                <w:tcPr>
                  <w:tcW w:w="2121" w:type="pct"/>
                  <w:vAlign w:val="center"/>
                </w:tcPr>
                <w:p>
                  <w:pPr>
                    <w:rPr>
                      <w:szCs w:val="21"/>
                    </w:rPr>
                  </w:pPr>
                  <w:r>
                    <w:rPr>
                      <w:szCs w:val="21"/>
                    </w:rPr>
                    <w:t>1、危险废物标签尺寸颜色：</w:t>
                  </w:r>
                </w:p>
                <w:p>
                  <w:pPr>
                    <w:rPr>
                      <w:szCs w:val="21"/>
                    </w:rPr>
                  </w:pPr>
                  <w:r>
                    <w:rPr>
                      <w:szCs w:val="21"/>
                    </w:rPr>
                    <w:t>尺寸：20×20cm</w:t>
                  </w:r>
                </w:p>
                <w:p>
                  <w:pPr>
                    <w:rPr>
                      <w:szCs w:val="21"/>
                    </w:rPr>
                  </w:pPr>
                  <w:r>
                    <w:rPr>
                      <w:szCs w:val="21"/>
                    </w:rPr>
                    <w:t>底色：醒目的橘黄色</w:t>
                  </w:r>
                </w:p>
                <w:p>
                  <w:pPr>
                    <w:rPr>
                      <w:szCs w:val="21"/>
                    </w:rPr>
                  </w:pPr>
                  <w:r>
                    <w:rPr>
                      <w:szCs w:val="21"/>
                    </w:rPr>
                    <w:t>字体：黑体字</w:t>
                  </w:r>
                </w:p>
                <w:p>
                  <w:pPr>
                    <w:rPr>
                      <w:szCs w:val="21"/>
                    </w:rPr>
                  </w:pPr>
                  <w:r>
                    <w:rPr>
                      <w:szCs w:val="21"/>
                    </w:rPr>
                    <w:t>字体颜色：黑色</w:t>
                  </w:r>
                </w:p>
                <w:p>
                  <w:pPr>
                    <w:rPr>
                      <w:szCs w:val="21"/>
                    </w:rPr>
                  </w:pPr>
                  <w:r>
                    <w:rPr>
                      <w:szCs w:val="21"/>
                    </w:rPr>
                    <w:t>2、危险类别：按危险废物种类选择</w:t>
                  </w:r>
                </w:p>
              </w:tc>
            </w:tr>
          </w:tbl>
          <w:p>
            <w:pPr>
              <w:spacing w:line="360" w:lineRule="auto"/>
              <w:ind w:firstLine="480" w:firstLineChars="200"/>
              <w:rPr>
                <w:sz w:val="24"/>
              </w:rPr>
            </w:pPr>
            <w:r>
              <w:rPr>
                <w:sz w:val="24"/>
              </w:rPr>
              <w:t>9.2排污许可管理</w:t>
            </w:r>
          </w:p>
          <w:p>
            <w:pPr>
              <w:spacing w:line="360" w:lineRule="auto"/>
              <w:ind w:firstLine="480" w:firstLineChars="200"/>
              <w:rPr>
                <w:sz w:val="24"/>
              </w:rPr>
            </w:pPr>
            <w:r>
              <w:rPr>
                <w:sz w:val="24"/>
              </w:rPr>
              <w:t>根据环境保护部办公厅《关于做好环境影响评价制度与排污许可制衔接相关工作的通知》（环办环评[2017]84号）要求，做好《建设项目环境影响评价分类管理名录》和《固定污染源排污许可分类管理名录》的衔接，按照建设项目对环境的影响程度、污染物产生量和排放量，实行统一分类管理。</w:t>
            </w:r>
          </w:p>
          <w:p>
            <w:pPr>
              <w:spacing w:line="360" w:lineRule="auto"/>
              <w:ind w:firstLine="480" w:firstLineChars="200"/>
              <w:rPr>
                <w:sz w:val="24"/>
              </w:rPr>
            </w:pPr>
            <w:r>
              <w:rPr>
                <w:sz w:val="24"/>
              </w:rPr>
              <w:t>①项目建设必须严格执行环保设施与主体工程同时设计、同时施工、同时投产使用的“三同时”制度，工程竣工后按规定程序申请环保验收，验收合格后主体工程方可投入正式运行。</w:t>
            </w:r>
          </w:p>
          <w:p>
            <w:pPr>
              <w:spacing w:line="360" w:lineRule="auto"/>
              <w:ind w:firstLine="480" w:firstLineChars="200"/>
              <w:rPr>
                <w:sz w:val="24"/>
              </w:rPr>
            </w:pPr>
            <w:r>
              <w:rPr>
                <w:sz w:val="24"/>
              </w:rPr>
              <w:t>②规范环保部门日常监督管理；设置环保专职人员，对公司区域内污染源进行定期监测（可以委托有资质的单位进行监测）。</w:t>
            </w:r>
          </w:p>
          <w:p>
            <w:pPr>
              <w:spacing w:line="360" w:lineRule="auto"/>
              <w:ind w:firstLine="480" w:firstLineChars="200"/>
              <w:rPr>
                <w:sz w:val="24"/>
              </w:rPr>
            </w:pPr>
            <w:r>
              <w:rPr>
                <w:sz w:val="24"/>
              </w:rPr>
              <w:t>9.3环境监测制度</w:t>
            </w:r>
          </w:p>
          <w:p>
            <w:pPr>
              <w:spacing w:line="360" w:lineRule="auto"/>
              <w:ind w:firstLine="480" w:firstLineChars="200"/>
              <w:rPr>
                <w:sz w:val="24"/>
              </w:rPr>
            </w:pPr>
            <w:r>
              <w:rPr>
                <w:sz w:val="24"/>
              </w:rPr>
              <w:t>项目需要根据项目排污特点及实际情况及《排污单位自行监测技术指南 总则》（HJ 942-2018）</w:t>
            </w:r>
            <w:r>
              <w:rPr>
                <w:rFonts w:hint="eastAsia"/>
                <w:sz w:val="24"/>
              </w:rPr>
              <w:t>、《排污单位自行监测技术指南 涂装》（HJ1086-2020）等</w:t>
            </w:r>
            <w:r>
              <w:rPr>
                <w:sz w:val="24"/>
              </w:rPr>
              <w:t>，建立健全各项监测制度并保证其实施</w:t>
            </w:r>
            <w:r>
              <w:rPr>
                <w:rFonts w:hint="eastAsia"/>
                <w:sz w:val="24"/>
              </w:rPr>
              <w:t>。</w:t>
            </w: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3" w:name="_Hlk54167917"/>
      <w:r>
        <w:rPr>
          <w:rFonts w:ascii="Times New Roman" w:hAnsi="Times New Roman" w:eastAsia="黑体"/>
          <w:snapToGrid w:val="0"/>
          <w:sz w:val="30"/>
          <w:szCs w:val="30"/>
        </w:rPr>
        <w:t>环境保护措施监督检查清单</w:t>
      </w:r>
      <w:bookmarkEnd w:id="3"/>
    </w:p>
    <w:tbl>
      <w:tblPr>
        <w:tblStyle w:val="24"/>
        <w:tblW w:w="50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24"/>
        <w:gridCol w:w="1007"/>
        <w:gridCol w:w="906"/>
        <w:gridCol w:w="938"/>
        <w:gridCol w:w="1868"/>
        <w:gridCol w:w="1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688" w:type="pct"/>
            <w:tcBorders>
              <w:tl2br w:val="single" w:color="auto" w:sz="4" w:space="0"/>
            </w:tcBorders>
          </w:tcPr>
          <w:p>
            <w:pPr>
              <w:adjustRightInd w:val="0"/>
              <w:snapToGrid w:val="0"/>
              <w:ind w:firstLine="480" w:firstLineChars="200"/>
              <w:rPr>
                <w:sz w:val="24"/>
              </w:rPr>
            </w:pPr>
            <w:r>
              <w:rPr>
                <w:sz w:val="24"/>
              </w:rPr>
              <w:t>内容</w:t>
            </w: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r>
              <w:rPr>
                <w:sz w:val="24"/>
              </w:rPr>
              <w:t>要素</w:t>
            </w:r>
          </w:p>
        </w:tc>
        <w:tc>
          <w:tcPr>
            <w:tcW w:w="619" w:type="pct"/>
            <w:vAlign w:val="center"/>
          </w:tcPr>
          <w:p>
            <w:pPr>
              <w:adjustRightInd w:val="0"/>
              <w:snapToGrid w:val="0"/>
              <w:jc w:val="center"/>
              <w:rPr>
                <w:sz w:val="24"/>
              </w:rPr>
            </w:pPr>
            <w:r>
              <w:rPr>
                <w:sz w:val="24"/>
              </w:rPr>
              <w:t>排放口(编号、名称)/污染源</w:t>
            </w:r>
          </w:p>
        </w:tc>
        <w:tc>
          <w:tcPr>
            <w:tcW w:w="555" w:type="pct"/>
            <w:vAlign w:val="center"/>
          </w:tcPr>
          <w:p>
            <w:pPr>
              <w:adjustRightInd w:val="0"/>
              <w:snapToGrid w:val="0"/>
              <w:jc w:val="center"/>
              <w:rPr>
                <w:sz w:val="24"/>
              </w:rPr>
            </w:pPr>
            <w:r>
              <w:rPr>
                <w:sz w:val="24"/>
              </w:rPr>
              <w:t>污染物项目</w:t>
            </w:r>
          </w:p>
        </w:tc>
        <w:tc>
          <w:tcPr>
            <w:tcW w:w="1016" w:type="pct"/>
            <w:gridSpan w:val="2"/>
            <w:vAlign w:val="center"/>
          </w:tcPr>
          <w:p>
            <w:pPr>
              <w:adjustRightInd w:val="0"/>
              <w:snapToGrid w:val="0"/>
              <w:jc w:val="center"/>
              <w:rPr>
                <w:sz w:val="24"/>
              </w:rPr>
            </w:pPr>
            <w:r>
              <w:rPr>
                <w:sz w:val="24"/>
              </w:rPr>
              <w:t>环境保护措施</w:t>
            </w:r>
          </w:p>
        </w:tc>
        <w:tc>
          <w:tcPr>
            <w:tcW w:w="1029" w:type="pct"/>
            <w:vAlign w:val="center"/>
          </w:tcPr>
          <w:p>
            <w:pPr>
              <w:adjustRightInd w:val="0"/>
              <w:snapToGrid w:val="0"/>
              <w:jc w:val="center"/>
              <w:rPr>
                <w:sz w:val="24"/>
              </w:rPr>
            </w:pPr>
            <w:r>
              <w:rPr>
                <w:rFonts w:hint="eastAsia"/>
                <w:sz w:val="24"/>
              </w:rPr>
              <w:t>标准限值</w:t>
            </w:r>
          </w:p>
        </w:tc>
        <w:tc>
          <w:tcPr>
            <w:tcW w:w="1090" w:type="pct"/>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Merge w:val="restart"/>
            <w:vAlign w:val="center"/>
          </w:tcPr>
          <w:p>
            <w:pPr>
              <w:adjustRightInd w:val="0"/>
              <w:snapToGrid w:val="0"/>
              <w:jc w:val="center"/>
              <w:rPr>
                <w:sz w:val="24"/>
              </w:rPr>
            </w:pPr>
            <w:r>
              <w:rPr>
                <w:sz w:val="24"/>
              </w:rPr>
              <w:t>大气环境</w:t>
            </w:r>
          </w:p>
        </w:tc>
        <w:tc>
          <w:tcPr>
            <w:tcW w:w="619" w:type="pct"/>
            <w:vAlign w:val="center"/>
          </w:tcPr>
          <w:p>
            <w:pPr>
              <w:adjustRightInd w:val="0"/>
              <w:snapToGrid w:val="0"/>
              <w:jc w:val="center"/>
              <w:rPr>
                <w:sz w:val="24"/>
              </w:rPr>
            </w:pPr>
            <w:r>
              <w:rPr>
                <w:rFonts w:hint="eastAsia"/>
                <w:sz w:val="24"/>
              </w:rPr>
              <w:t>焊接工序废气</w:t>
            </w:r>
          </w:p>
        </w:tc>
        <w:tc>
          <w:tcPr>
            <w:tcW w:w="555" w:type="pct"/>
            <w:vAlign w:val="center"/>
          </w:tcPr>
          <w:p>
            <w:pPr>
              <w:adjustRightInd w:val="0"/>
              <w:snapToGrid w:val="0"/>
              <w:jc w:val="center"/>
              <w:rPr>
                <w:sz w:val="24"/>
              </w:rPr>
            </w:pPr>
            <w:r>
              <w:rPr>
                <w:rFonts w:hint="eastAsia"/>
                <w:sz w:val="24"/>
              </w:rPr>
              <w:t>颗粒物</w:t>
            </w:r>
          </w:p>
        </w:tc>
        <w:tc>
          <w:tcPr>
            <w:tcW w:w="499" w:type="pct"/>
            <w:vAlign w:val="center"/>
          </w:tcPr>
          <w:p>
            <w:pPr>
              <w:adjustRightInd w:val="0"/>
              <w:snapToGrid w:val="0"/>
              <w:jc w:val="center"/>
              <w:rPr>
                <w:sz w:val="24"/>
              </w:rPr>
            </w:pPr>
            <w:r>
              <w:rPr>
                <w:rFonts w:hint="eastAsia"/>
                <w:sz w:val="24"/>
              </w:rPr>
              <w:t>集气罩+布袋除尘器</w:t>
            </w:r>
          </w:p>
        </w:tc>
        <w:tc>
          <w:tcPr>
            <w:tcW w:w="517" w:type="pct"/>
            <w:vMerge w:val="restart"/>
            <w:vAlign w:val="center"/>
          </w:tcPr>
          <w:p>
            <w:pPr>
              <w:adjustRightInd w:val="0"/>
              <w:snapToGrid w:val="0"/>
              <w:jc w:val="center"/>
              <w:rPr>
                <w:sz w:val="24"/>
              </w:rPr>
            </w:pPr>
            <w:r>
              <w:rPr>
                <w:rFonts w:hint="eastAsia"/>
                <w:sz w:val="24"/>
              </w:rPr>
              <w:t>+20m高排气筒（DA001）</w:t>
            </w:r>
          </w:p>
        </w:tc>
        <w:tc>
          <w:tcPr>
            <w:tcW w:w="1029" w:type="pct"/>
            <w:vMerge w:val="restart"/>
            <w:vAlign w:val="center"/>
          </w:tcPr>
          <w:p>
            <w:pPr>
              <w:adjustRightInd w:val="0"/>
              <w:snapToGrid w:val="0"/>
              <w:jc w:val="center"/>
              <w:rPr>
                <w:bCs/>
                <w:sz w:val="24"/>
              </w:rPr>
            </w:pPr>
            <w:r>
              <w:rPr>
                <w:bCs/>
                <w:sz w:val="24"/>
              </w:rPr>
              <w:t>排气筒：</w:t>
            </w:r>
            <w:r>
              <w:rPr>
                <w:rFonts w:hint="eastAsia"/>
                <w:bCs/>
                <w:sz w:val="24"/>
              </w:rPr>
              <w:t>20</w:t>
            </w:r>
            <w:r>
              <w:rPr>
                <w:bCs/>
                <w:sz w:val="24"/>
              </w:rPr>
              <w:t>m</w:t>
            </w:r>
          </w:p>
          <w:p>
            <w:pPr>
              <w:adjustRightInd w:val="0"/>
              <w:snapToGrid w:val="0"/>
              <w:jc w:val="center"/>
              <w:rPr>
                <w:bCs/>
                <w:sz w:val="24"/>
                <w:vertAlign w:val="superscript"/>
              </w:rPr>
            </w:pPr>
            <w:r>
              <w:rPr>
                <w:bCs/>
                <w:sz w:val="24"/>
              </w:rPr>
              <w:t>排放浓度≤</w:t>
            </w:r>
            <w:r>
              <w:rPr>
                <w:rFonts w:hint="eastAsia"/>
                <w:bCs/>
                <w:sz w:val="24"/>
              </w:rPr>
              <w:t>120</w:t>
            </w:r>
            <w:r>
              <w:rPr>
                <w:bCs/>
                <w:sz w:val="24"/>
              </w:rPr>
              <w:t>mg/m</w:t>
            </w:r>
            <w:r>
              <w:rPr>
                <w:bCs/>
                <w:sz w:val="24"/>
                <w:vertAlign w:val="superscript"/>
              </w:rPr>
              <w:t>3</w:t>
            </w:r>
          </w:p>
          <w:p>
            <w:pPr>
              <w:adjustRightInd w:val="0"/>
              <w:snapToGrid w:val="0"/>
              <w:jc w:val="center"/>
              <w:rPr>
                <w:sz w:val="24"/>
              </w:rPr>
            </w:pPr>
            <w:r>
              <w:rPr>
                <w:bCs/>
                <w:sz w:val="24"/>
              </w:rPr>
              <w:t>排放速率≤</w:t>
            </w:r>
            <w:r>
              <w:rPr>
                <w:rFonts w:hint="eastAsia"/>
                <w:bCs/>
                <w:sz w:val="24"/>
              </w:rPr>
              <w:t>5.9</w:t>
            </w:r>
            <w:r>
              <w:rPr>
                <w:bCs/>
                <w:sz w:val="24"/>
              </w:rPr>
              <w:t>kg/h</w:t>
            </w:r>
          </w:p>
        </w:tc>
        <w:tc>
          <w:tcPr>
            <w:tcW w:w="1090" w:type="pct"/>
            <w:vMerge w:val="restart"/>
            <w:vAlign w:val="center"/>
          </w:tcPr>
          <w:p>
            <w:pPr>
              <w:adjustRightInd w:val="0"/>
              <w:snapToGrid w:val="0"/>
              <w:jc w:val="center"/>
              <w:rPr>
                <w:sz w:val="24"/>
              </w:rPr>
            </w:pPr>
            <w:r>
              <w:rPr>
                <w:sz w:val="24"/>
              </w:rPr>
              <w:t>《大气污染物综合排放标准》（GB16297-1996）表2</w:t>
            </w:r>
            <w:r>
              <w:rPr>
                <w:rFonts w:hint="eastAsia"/>
                <w:sz w:val="24"/>
              </w:rPr>
              <w:t>“其他”二级排放</w:t>
            </w:r>
            <w:r>
              <w:rPr>
                <w:sz w:val="24"/>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Merge w:val="continue"/>
            <w:vAlign w:val="center"/>
          </w:tcPr>
          <w:p>
            <w:pPr>
              <w:adjustRightInd w:val="0"/>
              <w:snapToGrid w:val="0"/>
              <w:jc w:val="center"/>
              <w:rPr>
                <w:sz w:val="24"/>
              </w:rPr>
            </w:pPr>
          </w:p>
        </w:tc>
        <w:tc>
          <w:tcPr>
            <w:tcW w:w="619" w:type="pct"/>
            <w:vAlign w:val="center"/>
          </w:tcPr>
          <w:p>
            <w:pPr>
              <w:adjustRightInd w:val="0"/>
              <w:snapToGrid w:val="0"/>
              <w:jc w:val="center"/>
              <w:rPr>
                <w:sz w:val="24"/>
              </w:rPr>
            </w:pPr>
            <w:r>
              <w:rPr>
                <w:rFonts w:hint="eastAsia"/>
                <w:sz w:val="24"/>
              </w:rPr>
              <w:t>激光切割废气</w:t>
            </w:r>
          </w:p>
        </w:tc>
        <w:tc>
          <w:tcPr>
            <w:tcW w:w="555" w:type="pct"/>
            <w:vAlign w:val="center"/>
          </w:tcPr>
          <w:p>
            <w:pPr>
              <w:adjustRightInd w:val="0"/>
              <w:snapToGrid w:val="0"/>
              <w:jc w:val="center"/>
              <w:rPr>
                <w:sz w:val="24"/>
              </w:rPr>
            </w:pPr>
            <w:r>
              <w:rPr>
                <w:rFonts w:hint="eastAsia"/>
                <w:sz w:val="24"/>
              </w:rPr>
              <w:t>颗粒物</w:t>
            </w:r>
          </w:p>
        </w:tc>
        <w:tc>
          <w:tcPr>
            <w:tcW w:w="499" w:type="pct"/>
            <w:vAlign w:val="center"/>
          </w:tcPr>
          <w:p>
            <w:pPr>
              <w:adjustRightInd w:val="0"/>
              <w:snapToGrid w:val="0"/>
              <w:jc w:val="center"/>
              <w:rPr>
                <w:sz w:val="24"/>
              </w:rPr>
            </w:pPr>
            <w:r>
              <w:rPr>
                <w:rFonts w:hint="eastAsia"/>
                <w:sz w:val="24"/>
              </w:rPr>
              <w:t>集气装置+自带布袋除尘器</w:t>
            </w:r>
          </w:p>
        </w:tc>
        <w:tc>
          <w:tcPr>
            <w:tcW w:w="517" w:type="pct"/>
            <w:vMerge w:val="continue"/>
            <w:vAlign w:val="center"/>
          </w:tcPr>
          <w:p>
            <w:pPr>
              <w:adjustRightInd w:val="0"/>
              <w:snapToGrid w:val="0"/>
              <w:jc w:val="center"/>
              <w:rPr>
                <w:sz w:val="24"/>
              </w:rPr>
            </w:pPr>
          </w:p>
        </w:tc>
        <w:tc>
          <w:tcPr>
            <w:tcW w:w="1029" w:type="pct"/>
            <w:vMerge w:val="continue"/>
            <w:vAlign w:val="center"/>
          </w:tcPr>
          <w:p>
            <w:pPr>
              <w:adjustRightInd w:val="0"/>
              <w:snapToGrid w:val="0"/>
              <w:jc w:val="center"/>
              <w:rPr>
                <w:sz w:val="24"/>
              </w:rPr>
            </w:pPr>
          </w:p>
        </w:tc>
        <w:tc>
          <w:tcPr>
            <w:tcW w:w="1090" w:type="pct"/>
            <w:vMerge w:val="continue"/>
            <w:vAlign w:val="center"/>
          </w:tcPr>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Merge w:val="continue"/>
            <w:vAlign w:val="center"/>
          </w:tcPr>
          <w:p>
            <w:pPr>
              <w:adjustRightInd w:val="0"/>
              <w:snapToGrid w:val="0"/>
              <w:jc w:val="center"/>
              <w:rPr>
                <w:sz w:val="24"/>
              </w:rPr>
            </w:pPr>
          </w:p>
        </w:tc>
        <w:tc>
          <w:tcPr>
            <w:tcW w:w="619" w:type="pct"/>
            <w:vAlign w:val="center"/>
          </w:tcPr>
          <w:p>
            <w:pPr>
              <w:adjustRightInd w:val="0"/>
              <w:snapToGrid w:val="0"/>
              <w:jc w:val="center"/>
              <w:rPr>
                <w:sz w:val="24"/>
              </w:rPr>
            </w:pPr>
            <w:r>
              <w:rPr>
                <w:rFonts w:hint="eastAsia"/>
                <w:sz w:val="24"/>
              </w:rPr>
              <w:t>喷涂废气</w:t>
            </w:r>
          </w:p>
        </w:tc>
        <w:tc>
          <w:tcPr>
            <w:tcW w:w="555" w:type="pct"/>
            <w:vAlign w:val="center"/>
          </w:tcPr>
          <w:p>
            <w:pPr>
              <w:adjustRightInd w:val="0"/>
              <w:snapToGrid w:val="0"/>
              <w:jc w:val="center"/>
              <w:rPr>
                <w:sz w:val="24"/>
              </w:rPr>
            </w:pPr>
            <w:r>
              <w:rPr>
                <w:rFonts w:hint="eastAsia"/>
                <w:sz w:val="24"/>
              </w:rPr>
              <w:t>颗粒物</w:t>
            </w:r>
          </w:p>
        </w:tc>
        <w:tc>
          <w:tcPr>
            <w:tcW w:w="1016" w:type="pct"/>
            <w:gridSpan w:val="2"/>
            <w:vAlign w:val="center"/>
          </w:tcPr>
          <w:p>
            <w:pPr>
              <w:adjustRightInd w:val="0"/>
              <w:snapToGrid w:val="0"/>
              <w:jc w:val="center"/>
              <w:rPr>
                <w:sz w:val="24"/>
              </w:rPr>
            </w:pPr>
            <w:r>
              <w:rPr>
                <w:rFonts w:hint="eastAsia"/>
                <w:sz w:val="24"/>
              </w:rPr>
              <w:t>集气装置+旋风除尘器+滤筒除尘器20m高排气筒（DA002）</w:t>
            </w:r>
          </w:p>
        </w:tc>
        <w:tc>
          <w:tcPr>
            <w:tcW w:w="1029" w:type="pct"/>
            <w:vAlign w:val="center"/>
          </w:tcPr>
          <w:p>
            <w:pPr>
              <w:adjustRightInd w:val="0"/>
              <w:snapToGrid w:val="0"/>
              <w:jc w:val="center"/>
              <w:rPr>
                <w:bCs/>
                <w:sz w:val="24"/>
              </w:rPr>
            </w:pPr>
            <w:r>
              <w:rPr>
                <w:bCs/>
                <w:sz w:val="24"/>
              </w:rPr>
              <w:t>排气筒：</w:t>
            </w:r>
            <w:r>
              <w:rPr>
                <w:rFonts w:hint="eastAsia"/>
                <w:bCs/>
                <w:sz w:val="24"/>
              </w:rPr>
              <w:t>20</w:t>
            </w:r>
            <w:r>
              <w:rPr>
                <w:bCs/>
                <w:sz w:val="24"/>
              </w:rPr>
              <w:t>m</w:t>
            </w:r>
          </w:p>
          <w:p>
            <w:pPr>
              <w:adjustRightInd w:val="0"/>
              <w:snapToGrid w:val="0"/>
              <w:jc w:val="center"/>
              <w:rPr>
                <w:bCs/>
                <w:sz w:val="24"/>
                <w:vertAlign w:val="superscript"/>
              </w:rPr>
            </w:pPr>
            <w:r>
              <w:rPr>
                <w:bCs/>
                <w:sz w:val="24"/>
              </w:rPr>
              <w:t>排放浓度≤18mg/m</w:t>
            </w:r>
            <w:r>
              <w:rPr>
                <w:bCs/>
                <w:sz w:val="24"/>
                <w:vertAlign w:val="superscript"/>
              </w:rPr>
              <w:t>3</w:t>
            </w:r>
          </w:p>
          <w:p>
            <w:pPr>
              <w:adjustRightInd w:val="0"/>
              <w:snapToGrid w:val="0"/>
              <w:jc w:val="center"/>
              <w:rPr>
                <w:sz w:val="24"/>
              </w:rPr>
            </w:pPr>
            <w:r>
              <w:rPr>
                <w:bCs/>
                <w:sz w:val="24"/>
              </w:rPr>
              <w:t>排放速率≤0.</w:t>
            </w:r>
            <w:r>
              <w:rPr>
                <w:rFonts w:hint="eastAsia"/>
                <w:bCs/>
                <w:sz w:val="24"/>
              </w:rPr>
              <w:t>85</w:t>
            </w:r>
            <w:r>
              <w:rPr>
                <w:bCs/>
                <w:sz w:val="24"/>
              </w:rPr>
              <w:t>kg/h</w:t>
            </w:r>
          </w:p>
        </w:tc>
        <w:tc>
          <w:tcPr>
            <w:tcW w:w="1090" w:type="pct"/>
            <w:vAlign w:val="center"/>
          </w:tcPr>
          <w:p>
            <w:pPr>
              <w:adjustRightInd w:val="0"/>
              <w:snapToGrid w:val="0"/>
              <w:jc w:val="center"/>
              <w:rPr>
                <w:sz w:val="24"/>
              </w:rPr>
            </w:pPr>
            <w:r>
              <w:rPr>
                <w:sz w:val="24"/>
              </w:rPr>
              <w:t>《大气污染物综合排放标准》（GB16297-1996）表2</w:t>
            </w:r>
            <w:r>
              <w:rPr>
                <w:rFonts w:hint="eastAsia"/>
                <w:sz w:val="24"/>
              </w:rPr>
              <w:t>“</w:t>
            </w:r>
            <w:r>
              <w:rPr>
                <w:sz w:val="24"/>
              </w:rPr>
              <w:t>染料尘</w:t>
            </w:r>
            <w:r>
              <w:rPr>
                <w:rFonts w:hint="eastAsia"/>
                <w:sz w:val="24"/>
              </w:rPr>
              <w:t>”二级排放</w:t>
            </w:r>
            <w:r>
              <w:rPr>
                <w:sz w:val="24"/>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688" w:type="pct"/>
            <w:vMerge w:val="continue"/>
            <w:vAlign w:val="center"/>
          </w:tcPr>
          <w:p>
            <w:pPr>
              <w:adjustRightInd w:val="0"/>
              <w:snapToGrid w:val="0"/>
              <w:jc w:val="center"/>
              <w:rPr>
                <w:sz w:val="24"/>
              </w:rPr>
            </w:pPr>
          </w:p>
        </w:tc>
        <w:tc>
          <w:tcPr>
            <w:tcW w:w="619" w:type="pct"/>
            <w:vMerge w:val="restart"/>
            <w:vAlign w:val="center"/>
          </w:tcPr>
          <w:p>
            <w:pPr>
              <w:adjustRightInd w:val="0"/>
              <w:snapToGrid w:val="0"/>
              <w:jc w:val="center"/>
              <w:rPr>
                <w:sz w:val="24"/>
              </w:rPr>
            </w:pPr>
            <w:r>
              <w:rPr>
                <w:rFonts w:hint="eastAsia"/>
                <w:sz w:val="24"/>
              </w:rPr>
              <w:t>天然气燃烧废气</w:t>
            </w:r>
          </w:p>
        </w:tc>
        <w:tc>
          <w:tcPr>
            <w:tcW w:w="555" w:type="pct"/>
            <w:vAlign w:val="center"/>
          </w:tcPr>
          <w:p>
            <w:pPr>
              <w:adjustRightInd w:val="0"/>
              <w:snapToGrid w:val="0"/>
              <w:jc w:val="center"/>
              <w:rPr>
                <w:sz w:val="24"/>
              </w:rPr>
            </w:pPr>
            <w:r>
              <w:rPr>
                <w:sz w:val="24"/>
              </w:rPr>
              <w:t>颗粒物</w:t>
            </w:r>
          </w:p>
        </w:tc>
        <w:tc>
          <w:tcPr>
            <w:tcW w:w="499" w:type="pct"/>
            <w:vMerge w:val="restart"/>
            <w:vAlign w:val="center"/>
          </w:tcPr>
          <w:p>
            <w:pPr>
              <w:jc w:val="center"/>
              <w:rPr>
                <w:sz w:val="24"/>
                <w:szCs w:val="32"/>
              </w:rPr>
            </w:pPr>
            <w:r>
              <w:rPr>
                <w:rFonts w:hint="eastAsia"/>
                <w:sz w:val="24"/>
                <w:szCs w:val="32"/>
              </w:rPr>
              <w:t>天然气燃烧器设置低氮燃烧器；集气装置</w:t>
            </w:r>
          </w:p>
        </w:tc>
        <w:tc>
          <w:tcPr>
            <w:tcW w:w="517" w:type="pct"/>
            <w:vMerge w:val="restart"/>
            <w:vAlign w:val="center"/>
          </w:tcPr>
          <w:p>
            <w:pPr>
              <w:jc w:val="center"/>
            </w:pPr>
            <w:r>
              <w:rPr>
                <w:sz w:val="24"/>
                <w:szCs w:val="32"/>
              </w:rPr>
              <w:t>+</w:t>
            </w:r>
            <w:r>
              <w:rPr>
                <w:rFonts w:hint="eastAsia"/>
                <w:sz w:val="24"/>
                <w:szCs w:val="32"/>
              </w:rPr>
              <w:t>干式过滤棉+活性炭吸附脱附催化燃烧装置</w:t>
            </w:r>
            <w:r>
              <w:rPr>
                <w:sz w:val="24"/>
              </w:rPr>
              <w:t>+</w:t>
            </w:r>
            <w:r>
              <w:rPr>
                <w:rFonts w:hint="eastAsia"/>
                <w:sz w:val="24"/>
              </w:rPr>
              <w:t>20</w:t>
            </w:r>
            <w:r>
              <w:rPr>
                <w:sz w:val="24"/>
              </w:rPr>
              <w:t>m排气筒</w:t>
            </w:r>
            <w:r>
              <w:rPr>
                <w:rFonts w:hint="eastAsia"/>
                <w:sz w:val="24"/>
              </w:rPr>
              <w:t>（</w:t>
            </w:r>
            <w:r>
              <w:rPr>
                <w:sz w:val="24"/>
              </w:rPr>
              <w:t>DA00</w:t>
            </w:r>
            <w:r>
              <w:rPr>
                <w:rFonts w:hint="eastAsia"/>
                <w:sz w:val="24"/>
              </w:rPr>
              <w:t>3），设置VOCs超标报警装置</w:t>
            </w:r>
          </w:p>
        </w:tc>
        <w:tc>
          <w:tcPr>
            <w:tcW w:w="1029" w:type="pct"/>
            <w:vAlign w:val="center"/>
          </w:tcPr>
          <w:p>
            <w:pPr>
              <w:jc w:val="center"/>
              <w:textAlignment w:val="baseline"/>
              <w:rPr>
                <w:sz w:val="24"/>
              </w:rPr>
            </w:pPr>
            <w:r>
              <w:rPr>
                <w:sz w:val="24"/>
              </w:rPr>
              <w:t>≤30mg/</w:t>
            </w:r>
            <w:r>
              <w:rPr>
                <w:kern w:val="0"/>
                <w:sz w:val="24"/>
              </w:rPr>
              <w:t>m</w:t>
            </w:r>
            <w:r>
              <w:rPr>
                <w:kern w:val="0"/>
                <w:sz w:val="24"/>
                <w:vertAlign w:val="superscript"/>
              </w:rPr>
              <w:t>3</w:t>
            </w:r>
          </w:p>
        </w:tc>
        <w:tc>
          <w:tcPr>
            <w:tcW w:w="1090" w:type="pct"/>
            <w:vMerge w:val="restart"/>
            <w:vAlign w:val="center"/>
          </w:tcPr>
          <w:p>
            <w:pPr>
              <w:adjustRightInd w:val="0"/>
              <w:snapToGrid w:val="0"/>
              <w:jc w:val="center"/>
              <w:rPr>
                <w:sz w:val="24"/>
              </w:rPr>
            </w:pPr>
            <w:r>
              <w:rPr>
                <w:sz w:val="24"/>
              </w:rPr>
              <w:t>《工业炉窑大气污染物排放标准》（DB13/1640-2012）中表1、表2排放限值标准要求同时满足《邢台市空气质量综合指数“退后十”攻坚行动方案》（邢字〔2021〕3号）要求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88" w:type="pct"/>
            <w:vMerge w:val="continue"/>
            <w:vAlign w:val="center"/>
          </w:tcPr>
          <w:p>
            <w:pPr>
              <w:adjustRightInd w:val="0"/>
              <w:snapToGrid w:val="0"/>
              <w:jc w:val="center"/>
            </w:pPr>
          </w:p>
        </w:tc>
        <w:tc>
          <w:tcPr>
            <w:tcW w:w="619" w:type="pct"/>
            <w:vMerge w:val="continue"/>
            <w:vAlign w:val="center"/>
          </w:tcPr>
          <w:p>
            <w:pPr>
              <w:adjustRightInd w:val="0"/>
              <w:snapToGrid w:val="0"/>
              <w:jc w:val="center"/>
            </w:pPr>
          </w:p>
        </w:tc>
        <w:tc>
          <w:tcPr>
            <w:tcW w:w="555" w:type="pct"/>
            <w:vAlign w:val="center"/>
          </w:tcPr>
          <w:p>
            <w:pPr>
              <w:adjustRightInd w:val="0"/>
              <w:snapToGrid w:val="0"/>
              <w:jc w:val="center"/>
            </w:pPr>
            <w:r>
              <w:rPr>
                <w:rFonts w:hint="eastAsia"/>
                <w:sz w:val="24"/>
              </w:rPr>
              <w:t>SO</w:t>
            </w:r>
            <w:r>
              <w:rPr>
                <w:rFonts w:hint="eastAsia"/>
                <w:sz w:val="24"/>
                <w:vertAlign w:val="subscript"/>
              </w:rPr>
              <w:t>2</w:t>
            </w:r>
          </w:p>
        </w:tc>
        <w:tc>
          <w:tcPr>
            <w:tcW w:w="499" w:type="pct"/>
            <w:vMerge w:val="continue"/>
            <w:vAlign w:val="center"/>
          </w:tcPr>
          <w:p>
            <w:pPr>
              <w:adjustRightInd w:val="0"/>
              <w:snapToGrid w:val="0"/>
              <w:jc w:val="center"/>
            </w:pPr>
          </w:p>
        </w:tc>
        <w:tc>
          <w:tcPr>
            <w:tcW w:w="517" w:type="pct"/>
            <w:vMerge w:val="continue"/>
            <w:vAlign w:val="center"/>
          </w:tcPr>
          <w:p>
            <w:pPr>
              <w:adjustRightInd w:val="0"/>
              <w:snapToGrid w:val="0"/>
              <w:jc w:val="center"/>
            </w:pPr>
          </w:p>
        </w:tc>
        <w:tc>
          <w:tcPr>
            <w:tcW w:w="1029" w:type="pct"/>
            <w:vAlign w:val="center"/>
          </w:tcPr>
          <w:p>
            <w:pPr>
              <w:jc w:val="center"/>
              <w:textAlignment w:val="baseline"/>
              <w:rPr>
                <w:sz w:val="24"/>
              </w:rPr>
            </w:pPr>
            <w:r>
              <w:rPr>
                <w:sz w:val="24"/>
              </w:rPr>
              <w:t>≤50mg/</w:t>
            </w:r>
            <w:r>
              <w:rPr>
                <w:kern w:val="0"/>
                <w:sz w:val="24"/>
              </w:rPr>
              <w:t>m</w:t>
            </w:r>
            <w:r>
              <w:rPr>
                <w:kern w:val="0"/>
                <w:sz w:val="24"/>
                <w:vertAlign w:val="superscript"/>
              </w:rPr>
              <w:t>3</w:t>
            </w:r>
          </w:p>
        </w:tc>
        <w:tc>
          <w:tcPr>
            <w:tcW w:w="1090" w:type="pct"/>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88" w:type="pct"/>
            <w:vMerge w:val="continue"/>
            <w:vAlign w:val="center"/>
          </w:tcPr>
          <w:p>
            <w:pPr>
              <w:adjustRightInd w:val="0"/>
              <w:snapToGrid w:val="0"/>
              <w:jc w:val="center"/>
              <w:rPr>
                <w:szCs w:val="21"/>
              </w:rPr>
            </w:pPr>
          </w:p>
        </w:tc>
        <w:tc>
          <w:tcPr>
            <w:tcW w:w="619" w:type="pct"/>
            <w:vMerge w:val="continue"/>
            <w:vAlign w:val="center"/>
          </w:tcPr>
          <w:p>
            <w:pPr>
              <w:adjustRightInd w:val="0"/>
              <w:snapToGrid w:val="0"/>
              <w:jc w:val="center"/>
              <w:rPr>
                <w:szCs w:val="21"/>
              </w:rPr>
            </w:pPr>
          </w:p>
        </w:tc>
        <w:tc>
          <w:tcPr>
            <w:tcW w:w="555" w:type="pct"/>
            <w:vAlign w:val="center"/>
          </w:tcPr>
          <w:p>
            <w:pPr>
              <w:adjustRightInd w:val="0"/>
              <w:snapToGrid w:val="0"/>
              <w:jc w:val="center"/>
              <w:rPr>
                <w:szCs w:val="21"/>
              </w:rPr>
            </w:pPr>
            <w:r>
              <w:rPr>
                <w:rFonts w:hint="eastAsia"/>
                <w:sz w:val="24"/>
              </w:rPr>
              <w:t>NO</w:t>
            </w:r>
            <w:r>
              <w:rPr>
                <w:rFonts w:hint="eastAsia"/>
                <w:sz w:val="24"/>
                <w:vertAlign w:val="subscript"/>
              </w:rPr>
              <w:t>X</w:t>
            </w:r>
          </w:p>
        </w:tc>
        <w:tc>
          <w:tcPr>
            <w:tcW w:w="499" w:type="pct"/>
            <w:vMerge w:val="continue"/>
            <w:vAlign w:val="center"/>
          </w:tcPr>
          <w:p>
            <w:pPr>
              <w:adjustRightInd w:val="0"/>
              <w:snapToGrid w:val="0"/>
              <w:jc w:val="center"/>
              <w:rPr>
                <w:szCs w:val="21"/>
              </w:rPr>
            </w:pPr>
          </w:p>
        </w:tc>
        <w:tc>
          <w:tcPr>
            <w:tcW w:w="517" w:type="pct"/>
            <w:vMerge w:val="continue"/>
            <w:vAlign w:val="center"/>
          </w:tcPr>
          <w:p>
            <w:pPr>
              <w:adjustRightInd w:val="0"/>
              <w:snapToGrid w:val="0"/>
              <w:jc w:val="center"/>
              <w:rPr>
                <w:szCs w:val="21"/>
              </w:rPr>
            </w:pPr>
          </w:p>
        </w:tc>
        <w:tc>
          <w:tcPr>
            <w:tcW w:w="1029" w:type="pct"/>
            <w:vAlign w:val="center"/>
          </w:tcPr>
          <w:p>
            <w:pPr>
              <w:adjustRightInd w:val="0"/>
              <w:snapToGrid w:val="0"/>
              <w:jc w:val="center"/>
              <w:rPr>
                <w:sz w:val="24"/>
              </w:rPr>
            </w:pPr>
            <w:r>
              <w:rPr>
                <w:sz w:val="24"/>
              </w:rPr>
              <w:t>≤200mg/</w:t>
            </w:r>
            <w:r>
              <w:rPr>
                <w:kern w:val="0"/>
                <w:sz w:val="24"/>
              </w:rPr>
              <w:t>m</w:t>
            </w:r>
            <w:r>
              <w:rPr>
                <w:kern w:val="0"/>
                <w:sz w:val="24"/>
                <w:vertAlign w:val="superscript"/>
              </w:rPr>
              <w:t>3</w:t>
            </w:r>
          </w:p>
        </w:tc>
        <w:tc>
          <w:tcPr>
            <w:tcW w:w="1090" w:type="pct"/>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88" w:type="pct"/>
            <w:vMerge w:val="continue"/>
            <w:vAlign w:val="center"/>
          </w:tcPr>
          <w:p>
            <w:pPr>
              <w:adjustRightInd w:val="0"/>
              <w:snapToGrid w:val="0"/>
              <w:jc w:val="center"/>
              <w:rPr>
                <w:szCs w:val="21"/>
              </w:rPr>
            </w:pPr>
          </w:p>
        </w:tc>
        <w:tc>
          <w:tcPr>
            <w:tcW w:w="619" w:type="pct"/>
            <w:vMerge w:val="continue"/>
            <w:vAlign w:val="center"/>
          </w:tcPr>
          <w:p>
            <w:pPr>
              <w:adjustRightInd w:val="0"/>
              <w:snapToGrid w:val="0"/>
              <w:jc w:val="center"/>
              <w:rPr>
                <w:szCs w:val="21"/>
              </w:rPr>
            </w:pPr>
          </w:p>
        </w:tc>
        <w:tc>
          <w:tcPr>
            <w:tcW w:w="555" w:type="pct"/>
            <w:vAlign w:val="center"/>
          </w:tcPr>
          <w:p>
            <w:pPr>
              <w:adjustRightInd w:val="0"/>
              <w:snapToGrid w:val="0"/>
              <w:jc w:val="center"/>
              <w:rPr>
                <w:color w:val="0000FF"/>
                <w:sz w:val="24"/>
              </w:rPr>
            </w:pPr>
            <w:r>
              <w:rPr>
                <w:rFonts w:hint="eastAsia"/>
                <w:sz w:val="24"/>
              </w:rPr>
              <w:t>烟气黑度</w:t>
            </w:r>
          </w:p>
        </w:tc>
        <w:tc>
          <w:tcPr>
            <w:tcW w:w="499" w:type="pct"/>
            <w:vMerge w:val="continue"/>
            <w:vAlign w:val="center"/>
          </w:tcPr>
          <w:p>
            <w:pPr>
              <w:adjustRightInd w:val="0"/>
              <w:snapToGrid w:val="0"/>
              <w:jc w:val="center"/>
              <w:rPr>
                <w:color w:val="0000FF"/>
                <w:szCs w:val="21"/>
              </w:rPr>
            </w:pPr>
          </w:p>
        </w:tc>
        <w:tc>
          <w:tcPr>
            <w:tcW w:w="517" w:type="pct"/>
            <w:vMerge w:val="continue"/>
            <w:vAlign w:val="center"/>
          </w:tcPr>
          <w:p>
            <w:pPr>
              <w:adjustRightInd w:val="0"/>
              <w:snapToGrid w:val="0"/>
              <w:jc w:val="center"/>
              <w:rPr>
                <w:color w:val="0000FF"/>
                <w:szCs w:val="21"/>
              </w:rPr>
            </w:pPr>
          </w:p>
        </w:tc>
        <w:tc>
          <w:tcPr>
            <w:tcW w:w="1029" w:type="pct"/>
            <w:vAlign w:val="center"/>
          </w:tcPr>
          <w:p>
            <w:pPr>
              <w:adjustRightInd w:val="0"/>
              <w:snapToGrid w:val="0"/>
              <w:jc w:val="center"/>
              <w:rPr>
                <w:color w:val="0000FF"/>
                <w:sz w:val="24"/>
              </w:rPr>
            </w:pPr>
            <w:r>
              <w:rPr>
                <w:rFonts w:hint="eastAsia"/>
                <w:sz w:val="24"/>
              </w:rPr>
              <w:t>＜1</w:t>
            </w:r>
          </w:p>
        </w:tc>
        <w:tc>
          <w:tcPr>
            <w:tcW w:w="1090" w:type="pct"/>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Merge w:val="continue"/>
            <w:vAlign w:val="center"/>
          </w:tcPr>
          <w:p>
            <w:pPr>
              <w:adjustRightInd w:val="0"/>
              <w:snapToGrid w:val="0"/>
              <w:jc w:val="center"/>
              <w:rPr>
                <w:sz w:val="24"/>
              </w:rPr>
            </w:pPr>
          </w:p>
        </w:tc>
        <w:tc>
          <w:tcPr>
            <w:tcW w:w="619" w:type="pct"/>
            <w:vAlign w:val="center"/>
          </w:tcPr>
          <w:p>
            <w:pPr>
              <w:adjustRightInd w:val="0"/>
              <w:snapToGrid w:val="0"/>
              <w:jc w:val="center"/>
              <w:rPr>
                <w:sz w:val="24"/>
              </w:rPr>
            </w:pPr>
            <w:r>
              <w:rPr>
                <w:rFonts w:hint="eastAsia"/>
                <w:sz w:val="24"/>
              </w:rPr>
              <w:t>固化</w:t>
            </w:r>
          </w:p>
          <w:p>
            <w:pPr>
              <w:adjustRightInd w:val="0"/>
              <w:snapToGrid w:val="0"/>
              <w:jc w:val="center"/>
              <w:rPr>
                <w:sz w:val="24"/>
              </w:rPr>
            </w:pPr>
            <w:r>
              <w:rPr>
                <w:rFonts w:hint="eastAsia"/>
                <w:sz w:val="24"/>
              </w:rPr>
              <w:t>废气</w:t>
            </w:r>
          </w:p>
        </w:tc>
        <w:tc>
          <w:tcPr>
            <w:tcW w:w="555" w:type="pct"/>
            <w:vAlign w:val="center"/>
          </w:tcPr>
          <w:p>
            <w:pPr>
              <w:adjustRightInd w:val="0"/>
              <w:snapToGrid w:val="0"/>
              <w:jc w:val="center"/>
              <w:rPr>
                <w:sz w:val="24"/>
              </w:rPr>
            </w:pPr>
            <w:r>
              <w:rPr>
                <w:sz w:val="24"/>
              </w:rPr>
              <w:t>非甲烷总烃</w:t>
            </w:r>
          </w:p>
        </w:tc>
        <w:tc>
          <w:tcPr>
            <w:tcW w:w="499" w:type="pct"/>
            <w:vAlign w:val="center"/>
          </w:tcPr>
          <w:p>
            <w:pPr>
              <w:jc w:val="center"/>
              <w:rPr>
                <w:sz w:val="24"/>
              </w:rPr>
            </w:pPr>
            <w:r>
              <w:rPr>
                <w:rFonts w:hint="eastAsia"/>
                <w:sz w:val="24"/>
              </w:rPr>
              <w:t>集气装置</w:t>
            </w:r>
          </w:p>
        </w:tc>
        <w:tc>
          <w:tcPr>
            <w:tcW w:w="517" w:type="pct"/>
            <w:vMerge w:val="continue"/>
            <w:vAlign w:val="center"/>
          </w:tcPr>
          <w:p>
            <w:pPr>
              <w:adjustRightInd w:val="0"/>
              <w:snapToGrid w:val="0"/>
              <w:jc w:val="center"/>
              <w:rPr>
                <w:sz w:val="24"/>
              </w:rPr>
            </w:pPr>
          </w:p>
        </w:tc>
        <w:tc>
          <w:tcPr>
            <w:tcW w:w="1029" w:type="pct"/>
            <w:vAlign w:val="center"/>
          </w:tcPr>
          <w:p>
            <w:pPr>
              <w:pStyle w:val="16"/>
              <w:adjustRightInd w:val="0"/>
              <w:snapToGrid w:val="0"/>
              <w:spacing w:line="240" w:lineRule="auto"/>
              <w:ind w:left="0" w:leftChars="0" w:firstLine="0" w:firstLineChars="0"/>
              <w:rPr>
                <w:rFonts w:ascii="Times New Roman" w:hAnsi="Times New Roman"/>
                <w:bCs/>
                <w:szCs w:val="24"/>
                <w:vertAlign w:val="superscript"/>
              </w:rPr>
            </w:pPr>
            <w:r>
              <w:rPr>
                <w:rFonts w:ascii="Times New Roman" w:hAnsi="Times New Roman"/>
                <w:bCs/>
                <w:szCs w:val="24"/>
              </w:rPr>
              <w:t>排放浓度≤60mg/m</w:t>
            </w:r>
            <w:r>
              <w:rPr>
                <w:rFonts w:ascii="Times New Roman" w:hAnsi="Times New Roman"/>
                <w:bCs/>
                <w:szCs w:val="24"/>
                <w:vertAlign w:val="superscript"/>
              </w:rPr>
              <w:t>3</w:t>
            </w:r>
          </w:p>
          <w:p>
            <w:pPr>
              <w:adjustRightInd w:val="0"/>
              <w:snapToGrid w:val="0"/>
              <w:jc w:val="center"/>
              <w:rPr>
                <w:sz w:val="24"/>
              </w:rPr>
            </w:pPr>
            <w:r>
              <w:rPr>
                <w:bCs/>
                <w:sz w:val="24"/>
              </w:rPr>
              <w:t>去除效率≥70%</w:t>
            </w:r>
          </w:p>
        </w:tc>
        <w:tc>
          <w:tcPr>
            <w:tcW w:w="1090" w:type="pct"/>
            <w:vAlign w:val="center"/>
          </w:tcPr>
          <w:p>
            <w:pPr>
              <w:adjustRightInd w:val="0"/>
              <w:snapToGrid w:val="0"/>
              <w:jc w:val="center"/>
              <w:rPr>
                <w:sz w:val="24"/>
              </w:rPr>
            </w:pPr>
            <w:r>
              <w:rPr>
                <w:sz w:val="24"/>
              </w:rPr>
              <w:t>《工业企业挥发性有机物排放控制标准》（DB13/2322-2016）表1表面涂装业浓度限值及去除效率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88" w:type="pct"/>
            <w:vMerge w:val="continue"/>
            <w:vAlign w:val="center"/>
          </w:tcPr>
          <w:p>
            <w:pPr>
              <w:adjustRightInd w:val="0"/>
              <w:snapToGrid w:val="0"/>
              <w:jc w:val="center"/>
              <w:rPr>
                <w:sz w:val="24"/>
              </w:rPr>
            </w:pPr>
          </w:p>
        </w:tc>
        <w:tc>
          <w:tcPr>
            <w:tcW w:w="619" w:type="pct"/>
            <w:vMerge w:val="restart"/>
            <w:vAlign w:val="center"/>
          </w:tcPr>
          <w:p>
            <w:pPr>
              <w:adjustRightInd w:val="0"/>
              <w:snapToGrid w:val="0"/>
              <w:jc w:val="center"/>
              <w:rPr>
                <w:sz w:val="24"/>
              </w:rPr>
            </w:pPr>
            <w:r>
              <w:rPr>
                <w:sz w:val="24"/>
              </w:rPr>
              <w:t>其他</w:t>
            </w:r>
          </w:p>
          <w:p>
            <w:pPr>
              <w:adjustRightInd w:val="0"/>
              <w:snapToGrid w:val="0"/>
              <w:jc w:val="center"/>
              <w:rPr>
                <w:sz w:val="24"/>
              </w:rPr>
            </w:pPr>
            <w:r>
              <w:rPr>
                <w:sz w:val="24"/>
              </w:rPr>
              <w:t>无组织废气</w:t>
            </w:r>
            <w:r>
              <w:rPr>
                <w:rFonts w:hint="eastAsia"/>
                <w:sz w:val="24"/>
              </w:rPr>
              <w:t>（未收集</w:t>
            </w:r>
            <w:r>
              <w:rPr>
                <w:sz w:val="24"/>
              </w:rPr>
              <w:t>的</w:t>
            </w:r>
            <w:r>
              <w:rPr>
                <w:rFonts w:hint="eastAsia"/>
                <w:sz w:val="24"/>
              </w:rPr>
              <w:t>废气）</w:t>
            </w:r>
          </w:p>
        </w:tc>
        <w:tc>
          <w:tcPr>
            <w:tcW w:w="555" w:type="pct"/>
            <w:vAlign w:val="center"/>
          </w:tcPr>
          <w:p>
            <w:pPr>
              <w:adjustRightInd w:val="0"/>
              <w:snapToGrid w:val="0"/>
              <w:jc w:val="center"/>
              <w:rPr>
                <w:sz w:val="24"/>
              </w:rPr>
            </w:pPr>
            <w:r>
              <w:rPr>
                <w:rFonts w:hint="eastAsia"/>
                <w:sz w:val="24"/>
              </w:rPr>
              <w:t>颗粒物</w:t>
            </w:r>
          </w:p>
        </w:tc>
        <w:tc>
          <w:tcPr>
            <w:tcW w:w="1016" w:type="pct"/>
            <w:gridSpan w:val="2"/>
            <w:vMerge w:val="restart"/>
            <w:vAlign w:val="center"/>
          </w:tcPr>
          <w:p>
            <w:pPr>
              <w:adjustRightInd w:val="0"/>
              <w:snapToGrid w:val="0"/>
              <w:jc w:val="center"/>
              <w:rPr>
                <w:sz w:val="24"/>
              </w:rPr>
            </w:pPr>
            <w:r>
              <w:rPr>
                <w:sz w:val="24"/>
              </w:rPr>
              <w:t>车间密闭，加强收集，减少无组织废气的排放</w:t>
            </w:r>
          </w:p>
        </w:tc>
        <w:tc>
          <w:tcPr>
            <w:tcW w:w="1029" w:type="pct"/>
            <w:vAlign w:val="center"/>
          </w:tcPr>
          <w:p>
            <w:pPr>
              <w:adjustRightInd w:val="0"/>
              <w:snapToGrid w:val="0"/>
              <w:jc w:val="center"/>
              <w:rPr>
                <w:sz w:val="24"/>
              </w:rPr>
            </w:pPr>
            <w:r>
              <w:rPr>
                <w:bCs/>
                <w:sz w:val="24"/>
              </w:rPr>
              <w:t>≤</w:t>
            </w:r>
            <w:r>
              <w:rPr>
                <w:rFonts w:hint="eastAsia"/>
                <w:bCs/>
                <w:sz w:val="24"/>
              </w:rPr>
              <w:t>1.0</w:t>
            </w:r>
            <w:r>
              <w:rPr>
                <w:bCs/>
                <w:sz w:val="24"/>
              </w:rPr>
              <w:t>mg/m</w:t>
            </w:r>
            <w:r>
              <w:rPr>
                <w:bCs/>
                <w:sz w:val="24"/>
                <w:vertAlign w:val="superscript"/>
              </w:rPr>
              <w:t>3</w:t>
            </w:r>
            <w:r>
              <w:rPr>
                <w:rFonts w:hint="eastAsia"/>
                <w:bCs/>
                <w:sz w:val="24"/>
              </w:rPr>
              <w:t>，</w:t>
            </w:r>
            <w:r>
              <w:rPr>
                <w:rFonts w:hint="eastAsia"/>
                <w:spacing w:val="-16"/>
                <w:sz w:val="24"/>
              </w:rPr>
              <w:t>同时满足肉眼不可见</w:t>
            </w:r>
          </w:p>
        </w:tc>
        <w:tc>
          <w:tcPr>
            <w:tcW w:w="1090" w:type="pct"/>
            <w:vAlign w:val="center"/>
          </w:tcPr>
          <w:p>
            <w:pPr>
              <w:adjustRightInd w:val="0"/>
              <w:snapToGrid w:val="0"/>
              <w:jc w:val="center"/>
              <w:rPr>
                <w:sz w:val="24"/>
              </w:rPr>
            </w:pPr>
            <w:r>
              <w:rPr>
                <w:sz w:val="24"/>
              </w:rPr>
              <w:t>《大气污染物综合排放标准》（GB16297-1996）表2颗粒物</w:t>
            </w:r>
            <w:r>
              <w:rPr>
                <w:rFonts w:hint="eastAsia"/>
                <w:sz w:val="24"/>
              </w:rPr>
              <w:t>“其他”</w:t>
            </w:r>
            <w:r>
              <w:rPr>
                <w:sz w:val="24"/>
              </w:rPr>
              <w:t>无组织排放浓度限值</w:t>
            </w:r>
            <w:r>
              <w:rPr>
                <w:rFonts w:hint="eastAsia"/>
                <w:sz w:val="24"/>
              </w:rPr>
              <w:t>及“染料尘”要求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88" w:type="pct"/>
            <w:vMerge w:val="continue"/>
            <w:vAlign w:val="center"/>
          </w:tcPr>
          <w:p>
            <w:pPr>
              <w:adjustRightInd w:val="0"/>
              <w:snapToGrid w:val="0"/>
              <w:jc w:val="center"/>
            </w:pPr>
          </w:p>
        </w:tc>
        <w:tc>
          <w:tcPr>
            <w:tcW w:w="619" w:type="pct"/>
            <w:vMerge w:val="continue"/>
            <w:vAlign w:val="center"/>
          </w:tcPr>
          <w:p>
            <w:pPr>
              <w:adjustRightInd w:val="0"/>
              <w:snapToGrid w:val="0"/>
              <w:jc w:val="center"/>
            </w:pPr>
          </w:p>
        </w:tc>
        <w:tc>
          <w:tcPr>
            <w:tcW w:w="555" w:type="pct"/>
            <w:vAlign w:val="center"/>
          </w:tcPr>
          <w:p>
            <w:pPr>
              <w:adjustRightInd w:val="0"/>
              <w:snapToGrid w:val="0"/>
              <w:jc w:val="center"/>
              <w:rPr>
                <w:sz w:val="24"/>
              </w:rPr>
            </w:pPr>
            <w:r>
              <w:rPr>
                <w:rFonts w:hint="eastAsia"/>
                <w:sz w:val="24"/>
              </w:rPr>
              <w:t>SO</w:t>
            </w:r>
            <w:r>
              <w:rPr>
                <w:rFonts w:hint="eastAsia"/>
                <w:sz w:val="24"/>
                <w:vertAlign w:val="subscript"/>
              </w:rPr>
              <w:t>2</w:t>
            </w:r>
          </w:p>
        </w:tc>
        <w:tc>
          <w:tcPr>
            <w:tcW w:w="1016" w:type="pct"/>
            <w:gridSpan w:val="2"/>
            <w:vMerge w:val="continue"/>
            <w:vAlign w:val="center"/>
          </w:tcPr>
          <w:p>
            <w:pPr>
              <w:adjustRightInd w:val="0"/>
              <w:snapToGrid w:val="0"/>
              <w:jc w:val="center"/>
              <w:rPr>
                <w:sz w:val="24"/>
              </w:rPr>
            </w:pPr>
          </w:p>
        </w:tc>
        <w:tc>
          <w:tcPr>
            <w:tcW w:w="1029" w:type="pct"/>
            <w:vAlign w:val="center"/>
          </w:tcPr>
          <w:p>
            <w:pPr>
              <w:adjustRightInd w:val="0"/>
              <w:snapToGrid w:val="0"/>
              <w:jc w:val="center"/>
              <w:rPr>
                <w:sz w:val="24"/>
              </w:rPr>
            </w:pPr>
            <w:r>
              <w:rPr>
                <w:bCs/>
                <w:sz w:val="24"/>
              </w:rPr>
              <w:t>≤</w:t>
            </w:r>
            <w:r>
              <w:rPr>
                <w:rFonts w:hint="eastAsia"/>
                <w:bCs/>
                <w:sz w:val="24"/>
              </w:rPr>
              <w:t>0.40</w:t>
            </w:r>
            <w:r>
              <w:rPr>
                <w:bCs/>
                <w:sz w:val="24"/>
              </w:rPr>
              <w:t>mg/m</w:t>
            </w:r>
            <w:r>
              <w:rPr>
                <w:bCs/>
                <w:sz w:val="24"/>
                <w:vertAlign w:val="superscript"/>
              </w:rPr>
              <w:t>3</w:t>
            </w:r>
          </w:p>
        </w:tc>
        <w:tc>
          <w:tcPr>
            <w:tcW w:w="1090" w:type="pct"/>
            <w:vMerge w:val="restart"/>
            <w:vAlign w:val="center"/>
          </w:tcPr>
          <w:p>
            <w:pPr>
              <w:adjustRightInd w:val="0"/>
              <w:snapToGrid w:val="0"/>
              <w:jc w:val="center"/>
              <w:rPr>
                <w:sz w:val="24"/>
              </w:rPr>
            </w:pPr>
            <w:r>
              <w:rPr>
                <w:sz w:val="24"/>
              </w:rPr>
              <w:t>《大气污染物综合排放标准》（GB16297-1996）表2无组织排放浓度限值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88" w:type="pct"/>
            <w:vMerge w:val="continue"/>
            <w:vAlign w:val="center"/>
          </w:tcPr>
          <w:p>
            <w:pPr>
              <w:adjustRightInd w:val="0"/>
              <w:snapToGrid w:val="0"/>
              <w:jc w:val="center"/>
              <w:rPr>
                <w:sz w:val="24"/>
              </w:rPr>
            </w:pPr>
          </w:p>
        </w:tc>
        <w:tc>
          <w:tcPr>
            <w:tcW w:w="619" w:type="pct"/>
            <w:vMerge w:val="continue"/>
            <w:vAlign w:val="center"/>
          </w:tcPr>
          <w:p>
            <w:pPr>
              <w:adjustRightInd w:val="0"/>
              <w:snapToGrid w:val="0"/>
              <w:jc w:val="center"/>
              <w:rPr>
                <w:sz w:val="24"/>
              </w:rPr>
            </w:pPr>
          </w:p>
        </w:tc>
        <w:tc>
          <w:tcPr>
            <w:tcW w:w="555" w:type="pct"/>
            <w:vAlign w:val="center"/>
          </w:tcPr>
          <w:p>
            <w:pPr>
              <w:adjustRightInd w:val="0"/>
              <w:snapToGrid w:val="0"/>
              <w:jc w:val="center"/>
              <w:rPr>
                <w:sz w:val="24"/>
              </w:rPr>
            </w:pPr>
            <w:r>
              <w:rPr>
                <w:rFonts w:hint="eastAsia"/>
                <w:sz w:val="24"/>
              </w:rPr>
              <w:t>NO</w:t>
            </w:r>
            <w:r>
              <w:rPr>
                <w:rFonts w:hint="eastAsia"/>
                <w:sz w:val="24"/>
                <w:vertAlign w:val="subscript"/>
              </w:rPr>
              <w:t>X</w:t>
            </w:r>
          </w:p>
        </w:tc>
        <w:tc>
          <w:tcPr>
            <w:tcW w:w="1016" w:type="pct"/>
            <w:gridSpan w:val="2"/>
            <w:vMerge w:val="continue"/>
            <w:vAlign w:val="center"/>
          </w:tcPr>
          <w:p>
            <w:pPr>
              <w:adjustRightInd w:val="0"/>
              <w:snapToGrid w:val="0"/>
              <w:jc w:val="center"/>
              <w:rPr>
                <w:sz w:val="24"/>
              </w:rPr>
            </w:pPr>
          </w:p>
        </w:tc>
        <w:tc>
          <w:tcPr>
            <w:tcW w:w="1029" w:type="pct"/>
            <w:vAlign w:val="center"/>
          </w:tcPr>
          <w:p>
            <w:pPr>
              <w:adjustRightInd w:val="0"/>
              <w:snapToGrid w:val="0"/>
              <w:jc w:val="center"/>
              <w:rPr>
                <w:sz w:val="24"/>
              </w:rPr>
            </w:pPr>
            <w:r>
              <w:rPr>
                <w:bCs/>
                <w:sz w:val="24"/>
              </w:rPr>
              <w:t>≤</w:t>
            </w:r>
            <w:r>
              <w:rPr>
                <w:rFonts w:hint="eastAsia"/>
                <w:bCs/>
                <w:sz w:val="24"/>
              </w:rPr>
              <w:t>0.12</w:t>
            </w:r>
            <w:r>
              <w:rPr>
                <w:bCs/>
                <w:sz w:val="24"/>
              </w:rPr>
              <w:t>mg/m</w:t>
            </w:r>
            <w:r>
              <w:rPr>
                <w:bCs/>
                <w:sz w:val="24"/>
                <w:vertAlign w:val="superscript"/>
              </w:rPr>
              <w:t>3</w:t>
            </w:r>
          </w:p>
        </w:tc>
        <w:tc>
          <w:tcPr>
            <w:tcW w:w="1090" w:type="pct"/>
            <w:vMerge w:val="continue"/>
            <w:vAlign w:val="center"/>
          </w:tcPr>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Merge w:val="continue"/>
            <w:vAlign w:val="center"/>
          </w:tcPr>
          <w:p>
            <w:pPr>
              <w:adjustRightInd w:val="0"/>
              <w:snapToGrid w:val="0"/>
              <w:jc w:val="center"/>
              <w:rPr>
                <w:sz w:val="24"/>
              </w:rPr>
            </w:pPr>
          </w:p>
        </w:tc>
        <w:tc>
          <w:tcPr>
            <w:tcW w:w="619" w:type="pct"/>
            <w:vMerge w:val="continue"/>
            <w:vAlign w:val="center"/>
          </w:tcPr>
          <w:p>
            <w:pPr>
              <w:adjustRightInd w:val="0"/>
              <w:snapToGrid w:val="0"/>
              <w:jc w:val="center"/>
              <w:rPr>
                <w:sz w:val="24"/>
              </w:rPr>
            </w:pPr>
          </w:p>
        </w:tc>
        <w:tc>
          <w:tcPr>
            <w:tcW w:w="555" w:type="pct"/>
            <w:vAlign w:val="center"/>
          </w:tcPr>
          <w:p>
            <w:pPr>
              <w:adjustRightInd w:val="0"/>
              <w:snapToGrid w:val="0"/>
              <w:jc w:val="center"/>
              <w:rPr>
                <w:sz w:val="24"/>
              </w:rPr>
            </w:pPr>
            <w:r>
              <w:rPr>
                <w:sz w:val="24"/>
              </w:rPr>
              <w:t>非甲烷总烃</w:t>
            </w:r>
          </w:p>
        </w:tc>
        <w:tc>
          <w:tcPr>
            <w:tcW w:w="1016" w:type="pct"/>
            <w:gridSpan w:val="2"/>
            <w:vMerge w:val="continue"/>
            <w:vAlign w:val="center"/>
          </w:tcPr>
          <w:p>
            <w:pPr>
              <w:adjustRightInd w:val="0"/>
              <w:snapToGrid w:val="0"/>
              <w:jc w:val="center"/>
              <w:rPr>
                <w:sz w:val="24"/>
              </w:rPr>
            </w:pPr>
          </w:p>
        </w:tc>
        <w:tc>
          <w:tcPr>
            <w:tcW w:w="1029" w:type="pct"/>
            <w:vAlign w:val="center"/>
          </w:tcPr>
          <w:p>
            <w:pPr>
              <w:adjustRightInd w:val="0"/>
              <w:snapToGrid w:val="0"/>
              <w:jc w:val="center"/>
              <w:rPr>
                <w:bCs/>
                <w:sz w:val="24"/>
              </w:rPr>
            </w:pPr>
            <w:r>
              <w:rPr>
                <w:rFonts w:hint="eastAsia"/>
                <w:spacing w:val="-10"/>
                <w:sz w:val="24"/>
              </w:rPr>
              <w:t>厂界</w:t>
            </w:r>
            <w:r>
              <w:rPr>
                <w:bCs/>
                <w:sz w:val="24"/>
              </w:rPr>
              <w:t>≤</w:t>
            </w:r>
            <w:r>
              <w:rPr>
                <w:rFonts w:hint="eastAsia"/>
                <w:bCs/>
                <w:sz w:val="24"/>
              </w:rPr>
              <w:t>2.0</w:t>
            </w:r>
            <w:r>
              <w:rPr>
                <w:bCs/>
                <w:sz w:val="24"/>
              </w:rPr>
              <w:t>mg/m</w:t>
            </w:r>
            <w:r>
              <w:rPr>
                <w:bCs/>
                <w:sz w:val="24"/>
                <w:vertAlign w:val="superscript"/>
              </w:rPr>
              <w:t>3</w:t>
            </w:r>
            <w:r>
              <w:rPr>
                <w:rFonts w:hint="eastAsia"/>
                <w:bCs/>
                <w:sz w:val="24"/>
              </w:rPr>
              <w:t>；</w:t>
            </w:r>
          </w:p>
          <w:p>
            <w:pPr>
              <w:adjustRightInd w:val="0"/>
              <w:snapToGrid w:val="0"/>
              <w:jc w:val="center"/>
              <w:rPr>
                <w:bCs/>
                <w:sz w:val="24"/>
              </w:rPr>
            </w:pPr>
            <w:r>
              <w:rPr>
                <w:rFonts w:hint="eastAsia"/>
                <w:bCs/>
                <w:sz w:val="24"/>
              </w:rPr>
              <w:t>厂房外厂内：</w:t>
            </w:r>
          </w:p>
          <w:p>
            <w:pPr>
              <w:adjustRightInd w:val="0"/>
              <w:snapToGrid w:val="0"/>
              <w:jc w:val="center"/>
              <w:rPr>
                <w:bCs/>
                <w:sz w:val="24"/>
              </w:rPr>
            </w:pPr>
            <w:r>
              <w:rPr>
                <w:rFonts w:hint="eastAsia"/>
                <w:bCs/>
                <w:sz w:val="24"/>
              </w:rPr>
              <w:t>1h平均浓度</w:t>
            </w:r>
            <w:r>
              <w:rPr>
                <w:bCs/>
                <w:sz w:val="24"/>
              </w:rPr>
              <w:t>≤</w:t>
            </w:r>
            <w:r>
              <w:rPr>
                <w:rFonts w:hint="eastAsia"/>
                <w:bCs/>
                <w:sz w:val="24"/>
              </w:rPr>
              <w:t>6</w:t>
            </w:r>
            <w:r>
              <w:rPr>
                <w:bCs/>
                <w:sz w:val="24"/>
              </w:rPr>
              <w:t>mg/m</w:t>
            </w:r>
            <w:r>
              <w:rPr>
                <w:bCs/>
                <w:sz w:val="24"/>
                <w:vertAlign w:val="superscript"/>
              </w:rPr>
              <w:t>3</w:t>
            </w:r>
            <w:r>
              <w:rPr>
                <w:rFonts w:hint="eastAsia"/>
                <w:bCs/>
                <w:sz w:val="24"/>
              </w:rPr>
              <w:t>；</w:t>
            </w:r>
          </w:p>
          <w:p>
            <w:pPr>
              <w:adjustRightInd w:val="0"/>
              <w:snapToGrid w:val="0"/>
              <w:jc w:val="center"/>
              <w:rPr>
                <w:spacing w:val="-10"/>
                <w:sz w:val="24"/>
              </w:rPr>
            </w:pPr>
            <w:r>
              <w:rPr>
                <w:rFonts w:hint="eastAsia"/>
                <w:bCs/>
                <w:sz w:val="24"/>
              </w:rPr>
              <w:t>任意一次浓度</w:t>
            </w:r>
            <w:r>
              <w:rPr>
                <w:bCs/>
                <w:sz w:val="24"/>
              </w:rPr>
              <w:t>≤</w:t>
            </w:r>
            <w:r>
              <w:rPr>
                <w:rFonts w:hint="eastAsia"/>
                <w:bCs/>
                <w:sz w:val="24"/>
              </w:rPr>
              <w:t>20</w:t>
            </w:r>
            <w:r>
              <w:rPr>
                <w:bCs/>
                <w:sz w:val="24"/>
              </w:rPr>
              <w:t>mg/m</w:t>
            </w:r>
            <w:r>
              <w:rPr>
                <w:bCs/>
                <w:sz w:val="24"/>
                <w:vertAlign w:val="superscript"/>
              </w:rPr>
              <w:t>3</w:t>
            </w:r>
          </w:p>
        </w:tc>
        <w:tc>
          <w:tcPr>
            <w:tcW w:w="1090" w:type="pct"/>
            <w:vAlign w:val="center"/>
          </w:tcPr>
          <w:p>
            <w:pPr>
              <w:adjustRightInd w:val="0"/>
              <w:snapToGrid w:val="0"/>
              <w:jc w:val="center"/>
              <w:rPr>
                <w:spacing w:val="-10"/>
                <w:sz w:val="24"/>
              </w:rPr>
            </w:pPr>
            <w:r>
              <w:rPr>
                <w:spacing w:val="-10"/>
                <w:sz w:val="24"/>
              </w:rPr>
              <w:t>《工业企业挥发性有机物排放控制标准》（DB13/2322-2016）表2限值要求；</w:t>
            </w:r>
          </w:p>
          <w:p>
            <w:pPr>
              <w:adjustRightInd w:val="0"/>
              <w:snapToGrid w:val="0"/>
              <w:jc w:val="center"/>
              <w:rPr>
                <w:sz w:val="24"/>
              </w:rPr>
            </w:pPr>
            <w:r>
              <w:rPr>
                <w:spacing w:val="-10"/>
                <w:sz w:val="24"/>
              </w:rPr>
              <w:t>《挥发性有机物无组织排放控制标准》（GB37822-2019）表A.1厂区内VOCs无组织特别排放限值要求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地表水环境</w:t>
            </w:r>
          </w:p>
        </w:tc>
        <w:tc>
          <w:tcPr>
            <w:tcW w:w="619" w:type="pct"/>
            <w:vAlign w:val="center"/>
          </w:tcPr>
          <w:p>
            <w:pPr>
              <w:adjustRightInd w:val="0"/>
              <w:snapToGrid w:val="0"/>
              <w:jc w:val="center"/>
              <w:rPr>
                <w:sz w:val="24"/>
              </w:rPr>
            </w:pPr>
            <w:r>
              <w:rPr>
                <w:sz w:val="24"/>
              </w:rPr>
              <w:t>生活污水</w:t>
            </w:r>
          </w:p>
        </w:tc>
        <w:tc>
          <w:tcPr>
            <w:tcW w:w="555" w:type="pct"/>
            <w:vAlign w:val="center"/>
          </w:tcPr>
          <w:p>
            <w:pPr>
              <w:adjustRightInd w:val="0"/>
              <w:snapToGrid w:val="0"/>
              <w:jc w:val="center"/>
              <w:rPr>
                <w:sz w:val="24"/>
              </w:rPr>
            </w:pPr>
            <w:r>
              <w:rPr>
                <w:rFonts w:hint="eastAsia"/>
                <w:sz w:val="24"/>
              </w:rPr>
              <w:t>pH、</w:t>
            </w:r>
            <w:r>
              <w:rPr>
                <w:sz w:val="24"/>
              </w:rPr>
              <w:t>COD</w:t>
            </w:r>
          </w:p>
          <w:p>
            <w:pPr>
              <w:adjustRightInd w:val="0"/>
              <w:snapToGrid w:val="0"/>
              <w:jc w:val="center"/>
              <w:rPr>
                <w:sz w:val="24"/>
              </w:rPr>
            </w:pPr>
            <w:r>
              <w:rPr>
                <w:sz w:val="24"/>
              </w:rPr>
              <w:t>BOD</w:t>
            </w:r>
            <w:r>
              <w:rPr>
                <w:sz w:val="24"/>
                <w:vertAlign w:val="subscript"/>
              </w:rPr>
              <w:t>5</w:t>
            </w:r>
          </w:p>
          <w:p>
            <w:pPr>
              <w:adjustRightInd w:val="0"/>
              <w:snapToGrid w:val="0"/>
              <w:jc w:val="center"/>
              <w:rPr>
                <w:sz w:val="24"/>
              </w:rPr>
            </w:pPr>
            <w:r>
              <w:rPr>
                <w:sz w:val="24"/>
              </w:rPr>
              <w:t>SS</w:t>
            </w:r>
          </w:p>
          <w:p>
            <w:pPr>
              <w:adjustRightInd w:val="0"/>
              <w:snapToGrid w:val="0"/>
              <w:jc w:val="center"/>
              <w:rPr>
                <w:sz w:val="24"/>
              </w:rPr>
            </w:pPr>
            <w:r>
              <w:rPr>
                <w:sz w:val="24"/>
              </w:rPr>
              <w:t>氨氮</w:t>
            </w:r>
          </w:p>
          <w:p>
            <w:pPr>
              <w:adjustRightInd w:val="0"/>
              <w:snapToGrid w:val="0"/>
              <w:jc w:val="center"/>
              <w:rPr>
                <w:sz w:val="24"/>
              </w:rPr>
            </w:pPr>
            <w:r>
              <w:rPr>
                <w:rFonts w:hint="eastAsia"/>
                <w:sz w:val="24"/>
              </w:rPr>
              <w:t>总磷</w:t>
            </w:r>
          </w:p>
          <w:p>
            <w:pPr>
              <w:adjustRightInd w:val="0"/>
              <w:snapToGrid w:val="0"/>
              <w:jc w:val="center"/>
              <w:rPr>
                <w:sz w:val="24"/>
              </w:rPr>
            </w:pPr>
            <w:r>
              <w:rPr>
                <w:rFonts w:hint="eastAsia"/>
                <w:sz w:val="24"/>
              </w:rPr>
              <w:t>总氮</w:t>
            </w:r>
          </w:p>
        </w:tc>
        <w:tc>
          <w:tcPr>
            <w:tcW w:w="1016" w:type="pct"/>
            <w:gridSpan w:val="2"/>
            <w:vAlign w:val="center"/>
          </w:tcPr>
          <w:p>
            <w:pPr>
              <w:adjustRightInd w:val="0"/>
              <w:snapToGrid w:val="0"/>
              <w:jc w:val="center"/>
              <w:rPr>
                <w:sz w:val="24"/>
              </w:rPr>
            </w:pPr>
            <w:r>
              <w:rPr>
                <w:sz w:val="24"/>
              </w:rPr>
              <w:t>经厂内化粪池处理后，进入污水管网，排入</w:t>
            </w:r>
            <w:r>
              <w:rPr>
                <w:rFonts w:hint="eastAsia"/>
                <w:sz w:val="24"/>
              </w:rPr>
              <w:t>新河县城东污水处理厂</w:t>
            </w:r>
            <w:r>
              <w:rPr>
                <w:sz w:val="24"/>
              </w:rPr>
              <w:t>进一步处理</w:t>
            </w:r>
          </w:p>
        </w:tc>
        <w:tc>
          <w:tcPr>
            <w:tcW w:w="1029" w:type="pct"/>
            <w:vAlign w:val="center"/>
          </w:tcPr>
          <w:p>
            <w:pPr>
              <w:adjustRightInd w:val="0"/>
              <w:snapToGrid w:val="0"/>
              <w:jc w:val="center"/>
              <w:rPr>
                <w:bCs/>
                <w:sz w:val="24"/>
              </w:rPr>
            </w:pPr>
            <w:r>
              <w:rPr>
                <w:rFonts w:hint="eastAsia"/>
                <w:bCs/>
                <w:sz w:val="24"/>
              </w:rPr>
              <w:t>pH：6~9</w:t>
            </w:r>
          </w:p>
          <w:p>
            <w:pPr>
              <w:adjustRightInd w:val="0"/>
              <w:snapToGrid w:val="0"/>
              <w:jc w:val="center"/>
              <w:rPr>
                <w:bCs/>
                <w:sz w:val="24"/>
              </w:rPr>
            </w:pPr>
            <w:r>
              <w:rPr>
                <w:rFonts w:hint="eastAsia"/>
                <w:bCs/>
                <w:sz w:val="24"/>
              </w:rPr>
              <w:t>COD</w:t>
            </w:r>
            <w:r>
              <w:rPr>
                <w:rFonts w:ascii="Arial" w:hAnsi="Arial" w:cs="Arial"/>
                <w:bCs/>
                <w:sz w:val="24"/>
              </w:rPr>
              <w:t>≤</w:t>
            </w:r>
            <w:r>
              <w:rPr>
                <w:rFonts w:hint="eastAsia"/>
                <w:bCs/>
                <w:sz w:val="24"/>
              </w:rPr>
              <w:t>500mg/L</w:t>
            </w:r>
          </w:p>
          <w:p>
            <w:pPr>
              <w:adjustRightInd w:val="0"/>
              <w:snapToGrid w:val="0"/>
              <w:jc w:val="center"/>
              <w:rPr>
                <w:bCs/>
                <w:sz w:val="24"/>
              </w:rPr>
            </w:pPr>
            <w:r>
              <w:rPr>
                <w:rFonts w:hint="eastAsia"/>
                <w:bCs/>
                <w:sz w:val="24"/>
              </w:rPr>
              <w:t>BOD</w:t>
            </w:r>
            <w:r>
              <w:rPr>
                <w:rFonts w:hint="eastAsia"/>
                <w:bCs/>
                <w:sz w:val="24"/>
                <w:vertAlign w:val="subscript"/>
              </w:rPr>
              <w:t>5</w:t>
            </w:r>
            <w:r>
              <w:rPr>
                <w:rFonts w:ascii="Arial" w:hAnsi="Arial" w:cs="Arial"/>
                <w:bCs/>
                <w:sz w:val="24"/>
              </w:rPr>
              <w:t>≤</w:t>
            </w:r>
            <w:r>
              <w:rPr>
                <w:rFonts w:hint="eastAsia"/>
                <w:bCs/>
                <w:sz w:val="24"/>
              </w:rPr>
              <w:t>200mg/L</w:t>
            </w:r>
          </w:p>
          <w:p>
            <w:pPr>
              <w:adjustRightInd w:val="0"/>
              <w:snapToGrid w:val="0"/>
              <w:jc w:val="center"/>
              <w:rPr>
                <w:bCs/>
                <w:sz w:val="24"/>
              </w:rPr>
            </w:pPr>
            <w:r>
              <w:rPr>
                <w:rFonts w:hint="eastAsia"/>
                <w:bCs/>
                <w:sz w:val="24"/>
              </w:rPr>
              <w:t>SS</w:t>
            </w:r>
            <w:r>
              <w:rPr>
                <w:rFonts w:ascii="Arial" w:hAnsi="Arial" w:cs="Arial"/>
                <w:bCs/>
                <w:sz w:val="24"/>
              </w:rPr>
              <w:t>≤</w:t>
            </w:r>
            <w:r>
              <w:rPr>
                <w:rFonts w:hint="eastAsia"/>
                <w:bCs/>
                <w:sz w:val="24"/>
              </w:rPr>
              <w:t>350mg/L</w:t>
            </w:r>
          </w:p>
          <w:p>
            <w:pPr>
              <w:adjustRightInd w:val="0"/>
              <w:snapToGrid w:val="0"/>
              <w:jc w:val="center"/>
              <w:rPr>
                <w:bCs/>
                <w:sz w:val="24"/>
              </w:rPr>
            </w:pPr>
            <w:r>
              <w:rPr>
                <w:sz w:val="24"/>
                <w:szCs w:val="32"/>
              </w:rPr>
              <w:t>NH</w:t>
            </w:r>
            <w:r>
              <w:rPr>
                <w:sz w:val="24"/>
                <w:szCs w:val="32"/>
                <w:vertAlign w:val="subscript"/>
              </w:rPr>
              <w:t>3</w:t>
            </w:r>
            <w:r>
              <w:rPr>
                <w:sz w:val="24"/>
                <w:szCs w:val="32"/>
              </w:rPr>
              <w:t>-N</w:t>
            </w:r>
            <w:r>
              <w:rPr>
                <w:rFonts w:ascii="Arial" w:hAnsi="Arial" w:cs="Arial"/>
                <w:sz w:val="24"/>
                <w:szCs w:val="32"/>
              </w:rPr>
              <w:t>≤</w:t>
            </w:r>
            <w:r>
              <w:rPr>
                <w:rFonts w:hint="eastAsia"/>
                <w:sz w:val="24"/>
                <w:szCs w:val="32"/>
              </w:rPr>
              <w:t>42mg/L</w:t>
            </w:r>
          </w:p>
        </w:tc>
        <w:tc>
          <w:tcPr>
            <w:tcW w:w="1090" w:type="pct"/>
            <w:vAlign w:val="center"/>
          </w:tcPr>
          <w:p>
            <w:pPr>
              <w:adjustRightInd w:val="0"/>
              <w:snapToGrid w:val="0"/>
              <w:jc w:val="center"/>
              <w:rPr>
                <w:sz w:val="24"/>
              </w:rPr>
            </w:pPr>
            <w:r>
              <w:rPr>
                <w:bCs/>
                <w:sz w:val="24"/>
              </w:rPr>
              <w:t>《污水综合排放标准》（GB8978-1996）表4三级标准要求并同时满足</w:t>
            </w:r>
            <w:r>
              <w:rPr>
                <w:rFonts w:hint="eastAsia"/>
                <w:bCs/>
                <w:sz w:val="24"/>
              </w:rPr>
              <w:t>新河县城东污水处理厂</w:t>
            </w:r>
            <w:r>
              <w:rPr>
                <w:bCs/>
                <w:sz w:val="24"/>
              </w:rP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声环境</w:t>
            </w:r>
          </w:p>
        </w:tc>
        <w:tc>
          <w:tcPr>
            <w:tcW w:w="619" w:type="pct"/>
            <w:vAlign w:val="center"/>
          </w:tcPr>
          <w:p>
            <w:pPr>
              <w:adjustRightInd w:val="0"/>
              <w:snapToGrid w:val="0"/>
              <w:jc w:val="center"/>
              <w:rPr>
                <w:sz w:val="24"/>
              </w:rPr>
            </w:pPr>
            <w:r>
              <w:rPr>
                <w:sz w:val="24"/>
              </w:rPr>
              <w:t>设备噪声</w:t>
            </w:r>
          </w:p>
        </w:tc>
        <w:tc>
          <w:tcPr>
            <w:tcW w:w="555" w:type="pct"/>
            <w:vAlign w:val="center"/>
          </w:tcPr>
          <w:p>
            <w:pPr>
              <w:adjustRightInd w:val="0"/>
              <w:snapToGrid w:val="0"/>
              <w:jc w:val="center"/>
              <w:rPr>
                <w:sz w:val="24"/>
              </w:rPr>
            </w:pPr>
            <w:r>
              <w:rPr>
                <w:sz w:val="24"/>
              </w:rPr>
              <w:t>等效连续A声级</w:t>
            </w:r>
          </w:p>
        </w:tc>
        <w:tc>
          <w:tcPr>
            <w:tcW w:w="1016" w:type="pct"/>
            <w:gridSpan w:val="2"/>
            <w:vAlign w:val="center"/>
          </w:tcPr>
          <w:p>
            <w:pPr>
              <w:adjustRightInd w:val="0"/>
              <w:snapToGrid w:val="0"/>
              <w:jc w:val="center"/>
              <w:rPr>
                <w:sz w:val="24"/>
              </w:rPr>
            </w:pPr>
            <w:r>
              <w:rPr>
                <w:sz w:val="24"/>
              </w:rPr>
              <w:t>选用低噪声设备、安装减振装置、生产设备合理布局、厂房隔声等措施</w:t>
            </w:r>
          </w:p>
        </w:tc>
        <w:tc>
          <w:tcPr>
            <w:tcW w:w="1029" w:type="pct"/>
            <w:vAlign w:val="center"/>
          </w:tcPr>
          <w:p>
            <w:pPr>
              <w:adjustRightInd w:val="0"/>
              <w:snapToGrid w:val="0"/>
              <w:jc w:val="center"/>
              <w:rPr>
                <w:sz w:val="24"/>
              </w:rPr>
            </w:pPr>
            <w:r>
              <w:rPr>
                <w:sz w:val="24"/>
              </w:rPr>
              <w:t>昼间</w:t>
            </w:r>
            <w:r>
              <w:rPr>
                <w:rFonts w:ascii="Arial" w:hAnsi="Arial" w:cs="Arial"/>
                <w:sz w:val="24"/>
              </w:rPr>
              <w:t>≤</w:t>
            </w:r>
            <w:r>
              <w:rPr>
                <w:sz w:val="24"/>
              </w:rPr>
              <w:t>65dB(A)</w:t>
            </w:r>
          </w:p>
          <w:p>
            <w:pPr>
              <w:adjustRightInd w:val="0"/>
              <w:snapToGrid w:val="0"/>
              <w:jc w:val="center"/>
              <w:rPr>
                <w:sz w:val="24"/>
              </w:rPr>
            </w:pPr>
            <w:r>
              <w:rPr>
                <w:sz w:val="24"/>
              </w:rPr>
              <w:t>夜间</w:t>
            </w:r>
            <w:r>
              <w:rPr>
                <w:rFonts w:ascii="Arial" w:hAnsi="Arial" w:cs="Arial"/>
                <w:sz w:val="24"/>
              </w:rPr>
              <w:t>≤</w:t>
            </w:r>
            <w:r>
              <w:rPr>
                <w:sz w:val="24"/>
              </w:rPr>
              <w:t>55dB(A)</w:t>
            </w:r>
          </w:p>
        </w:tc>
        <w:tc>
          <w:tcPr>
            <w:tcW w:w="1090" w:type="pct"/>
            <w:vAlign w:val="center"/>
          </w:tcPr>
          <w:p>
            <w:pPr>
              <w:adjustRightInd w:val="0"/>
              <w:snapToGrid w:val="0"/>
              <w:jc w:val="center"/>
              <w:rPr>
                <w:sz w:val="24"/>
              </w:rPr>
            </w:pPr>
            <w:r>
              <w:rPr>
                <w:sz w:val="24"/>
              </w:rPr>
              <w:t>《工业企业厂界环境噪声排放标准》(GB12348-2008)</w:t>
            </w:r>
          </w:p>
          <w:p>
            <w:pPr>
              <w:adjustRightInd w:val="0"/>
              <w:snapToGrid w:val="0"/>
              <w:jc w:val="center"/>
              <w:rPr>
                <w:sz w:val="24"/>
              </w:rPr>
            </w:pPr>
            <w:r>
              <w:rPr>
                <w:sz w:val="24"/>
              </w:rPr>
              <w:t>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电磁辐射</w:t>
            </w:r>
          </w:p>
        </w:tc>
        <w:tc>
          <w:tcPr>
            <w:tcW w:w="619" w:type="pct"/>
            <w:vAlign w:val="center"/>
          </w:tcPr>
          <w:p>
            <w:pPr>
              <w:adjustRightInd w:val="0"/>
              <w:snapToGrid w:val="0"/>
              <w:jc w:val="center"/>
              <w:rPr>
                <w:sz w:val="24"/>
              </w:rPr>
            </w:pPr>
            <w:r>
              <w:rPr>
                <w:sz w:val="24"/>
              </w:rPr>
              <w:t>/</w:t>
            </w:r>
          </w:p>
        </w:tc>
        <w:tc>
          <w:tcPr>
            <w:tcW w:w="555" w:type="pct"/>
            <w:vAlign w:val="center"/>
          </w:tcPr>
          <w:p>
            <w:pPr>
              <w:adjustRightInd w:val="0"/>
              <w:snapToGrid w:val="0"/>
              <w:jc w:val="center"/>
              <w:rPr>
                <w:sz w:val="24"/>
              </w:rPr>
            </w:pPr>
            <w:r>
              <w:rPr>
                <w:sz w:val="24"/>
              </w:rPr>
              <w:t>/</w:t>
            </w:r>
          </w:p>
        </w:tc>
        <w:tc>
          <w:tcPr>
            <w:tcW w:w="1016" w:type="pct"/>
            <w:gridSpan w:val="2"/>
            <w:vAlign w:val="center"/>
          </w:tcPr>
          <w:p>
            <w:pPr>
              <w:adjustRightInd w:val="0"/>
              <w:snapToGrid w:val="0"/>
              <w:jc w:val="center"/>
              <w:rPr>
                <w:sz w:val="24"/>
              </w:rPr>
            </w:pPr>
            <w:r>
              <w:rPr>
                <w:sz w:val="24"/>
              </w:rPr>
              <w:t>/</w:t>
            </w:r>
          </w:p>
        </w:tc>
        <w:tc>
          <w:tcPr>
            <w:tcW w:w="1029" w:type="pct"/>
            <w:vAlign w:val="center"/>
          </w:tcPr>
          <w:p>
            <w:pPr>
              <w:adjustRightInd w:val="0"/>
              <w:snapToGrid w:val="0"/>
              <w:jc w:val="center"/>
              <w:rPr>
                <w:sz w:val="24"/>
              </w:rPr>
            </w:pPr>
            <w:r>
              <w:rPr>
                <w:rFonts w:hint="eastAsia"/>
                <w:sz w:val="24"/>
              </w:rPr>
              <w:t>/</w:t>
            </w:r>
          </w:p>
        </w:tc>
        <w:tc>
          <w:tcPr>
            <w:tcW w:w="1090" w:type="pct"/>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固体废物</w:t>
            </w:r>
          </w:p>
        </w:tc>
        <w:tc>
          <w:tcPr>
            <w:tcW w:w="4311" w:type="pct"/>
            <w:gridSpan w:val="6"/>
            <w:vAlign w:val="center"/>
          </w:tcPr>
          <w:p>
            <w:pPr>
              <w:adjustRightInd w:val="0"/>
              <w:snapToGrid w:val="0"/>
              <w:jc w:val="left"/>
              <w:rPr>
                <w:sz w:val="24"/>
              </w:rPr>
            </w:pPr>
            <w:r>
              <w:rPr>
                <w:sz w:val="24"/>
              </w:rPr>
              <w:t>一般工业固废：切割下料工序产生的边角料、机械加工工序产生的</w:t>
            </w:r>
            <w:r>
              <w:rPr>
                <w:rFonts w:hint="eastAsia"/>
                <w:sz w:val="24"/>
              </w:rPr>
              <w:t>下角料</w:t>
            </w:r>
            <w:r>
              <w:rPr>
                <w:sz w:val="24"/>
              </w:rPr>
              <w:t>、废焊渣、</w:t>
            </w:r>
            <w:r>
              <w:rPr>
                <w:rFonts w:hint="eastAsia"/>
                <w:sz w:val="24"/>
              </w:rPr>
              <w:t>塑粉废包装袋、焊接工序布袋除尘器收集粉尘、</w:t>
            </w:r>
            <w:r>
              <w:rPr>
                <w:sz w:val="24"/>
              </w:rPr>
              <w:t>切割工序自带布袋除尘器收集粉尘统一收集后</w:t>
            </w:r>
            <w:r>
              <w:rPr>
                <w:rFonts w:hint="eastAsia"/>
                <w:sz w:val="24"/>
              </w:rPr>
              <w:t>外售，喷涂工序各除尘器收集塑粉集中收集后回用于生产；废滤筒集中收集，厂家回收；</w:t>
            </w:r>
          </w:p>
          <w:p>
            <w:pPr>
              <w:adjustRightInd w:val="0"/>
              <w:snapToGrid w:val="0"/>
              <w:jc w:val="left"/>
              <w:rPr>
                <w:sz w:val="24"/>
              </w:rPr>
            </w:pPr>
            <w:r>
              <w:rPr>
                <w:sz w:val="24"/>
              </w:rPr>
              <w:t>危险废物：</w:t>
            </w:r>
            <w:r>
              <w:rPr>
                <w:rFonts w:hint="eastAsia"/>
                <w:sz w:val="24"/>
              </w:rPr>
              <w:t>废活性炭、废过滤棉</w:t>
            </w:r>
            <w:r>
              <w:rPr>
                <w:sz w:val="24"/>
              </w:rPr>
              <w:t>、</w:t>
            </w:r>
            <w:r>
              <w:rPr>
                <w:rFonts w:hint="eastAsia"/>
                <w:sz w:val="24"/>
              </w:rPr>
              <w:t>废催化剂、</w:t>
            </w:r>
            <w:r>
              <w:rPr>
                <w:sz w:val="24"/>
              </w:rPr>
              <w:t>废机油、废机油桶、废切削液、废切削液桶属危险废物，利用带有标志的专用容器分类收集、封口密闭后贮存于危废暂存间，定期委托有资质的单位处置；</w:t>
            </w:r>
          </w:p>
          <w:p>
            <w:pPr>
              <w:adjustRightInd w:val="0"/>
              <w:snapToGrid w:val="0"/>
              <w:jc w:val="left"/>
              <w:rPr>
                <w:sz w:val="24"/>
              </w:rPr>
            </w:pPr>
            <w:r>
              <w:rPr>
                <w:sz w:val="24"/>
              </w:rPr>
              <w:t>生活垃圾：厂内收集由环卫部门清运处理。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土壤及地下水污染防治措施</w:t>
            </w:r>
          </w:p>
        </w:tc>
        <w:tc>
          <w:tcPr>
            <w:tcW w:w="4311" w:type="pct"/>
            <w:gridSpan w:val="6"/>
            <w:vAlign w:val="center"/>
          </w:tcPr>
          <w:p>
            <w:pPr>
              <w:adjustRightInd w:val="0"/>
              <w:snapToGrid w:val="0"/>
              <w:rPr>
                <w:sz w:val="24"/>
              </w:rPr>
            </w:pPr>
            <w:r>
              <w:rPr>
                <w:sz w:val="24"/>
              </w:rPr>
              <w:t>①重点防渗区：危废暂存间</w:t>
            </w:r>
            <w:r>
              <w:rPr>
                <w:rFonts w:hint="eastAsia"/>
                <w:sz w:val="24"/>
              </w:rPr>
              <w:t>和原料库液态物料存放区</w:t>
            </w:r>
            <w:r>
              <w:rPr>
                <w:sz w:val="24"/>
              </w:rPr>
              <w:t>为重点防渗区，等效黏土防渗层Mb≥6.0m、K≤1×10</w:t>
            </w:r>
            <w:r>
              <w:rPr>
                <w:sz w:val="24"/>
                <w:vertAlign w:val="superscript"/>
              </w:rPr>
              <w:t>-10</w:t>
            </w:r>
            <w:r>
              <w:rPr>
                <w:sz w:val="24"/>
              </w:rPr>
              <w:t>cm/s</w:t>
            </w:r>
            <w:r>
              <w:rPr>
                <w:rFonts w:hint="eastAsia"/>
                <w:sz w:val="24"/>
              </w:rPr>
              <w:t>；或参照GB18598执行</w:t>
            </w:r>
            <w:r>
              <w:rPr>
                <w:sz w:val="24"/>
              </w:rPr>
              <w:t>。</w:t>
            </w:r>
          </w:p>
          <w:p>
            <w:pPr>
              <w:adjustRightInd w:val="0"/>
              <w:snapToGrid w:val="0"/>
              <w:rPr>
                <w:sz w:val="24"/>
              </w:rPr>
            </w:pPr>
            <w:r>
              <w:rPr>
                <w:sz w:val="24"/>
              </w:rPr>
              <w:t>②一般防渗区：生产车间、化粪池为一般防渗区，等效黏土防渗层Mb≥1.5m、渗透系数≤1×10</w:t>
            </w:r>
            <w:r>
              <w:rPr>
                <w:sz w:val="24"/>
                <w:vertAlign w:val="superscript"/>
              </w:rPr>
              <w:t>-7</w:t>
            </w:r>
            <w:r>
              <w:rPr>
                <w:sz w:val="24"/>
              </w:rPr>
              <w:t>cm/s</w:t>
            </w:r>
            <w:r>
              <w:rPr>
                <w:rFonts w:hint="eastAsia"/>
                <w:sz w:val="24"/>
              </w:rPr>
              <w:t>；或参照GB16889 执行</w:t>
            </w:r>
            <w:r>
              <w:rPr>
                <w:sz w:val="24"/>
              </w:rPr>
              <w:t>。</w:t>
            </w:r>
          </w:p>
          <w:p>
            <w:pPr>
              <w:adjustRightInd w:val="0"/>
              <w:snapToGrid w:val="0"/>
              <w:rPr>
                <w:sz w:val="24"/>
              </w:rPr>
            </w:pPr>
            <w:r>
              <w:rPr>
                <w:sz w:val="24"/>
              </w:rPr>
              <w:fldChar w:fldCharType="begin"/>
            </w:r>
            <w:r>
              <w:rPr>
                <w:sz w:val="24"/>
              </w:rPr>
              <w:instrText xml:space="preserve"> = 3 \* GB3 </w:instrText>
            </w:r>
            <w:r>
              <w:rPr>
                <w:sz w:val="24"/>
              </w:rPr>
              <w:fldChar w:fldCharType="separate"/>
            </w:r>
            <w:r>
              <w:rPr>
                <w:sz w:val="24"/>
              </w:rPr>
              <w:t>③</w:t>
            </w:r>
            <w:r>
              <w:rPr>
                <w:sz w:val="24"/>
              </w:rPr>
              <w:fldChar w:fldCharType="end"/>
            </w:r>
            <w:r>
              <w:rPr>
                <w:sz w:val="24"/>
              </w:rPr>
              <w:t>简单防渗区：厂区道路及其他区域为简单防渗区，一般地面硬化。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z w:val="24"/>
              </w:rPr>
            </w:pPr>
            <w:r>
              <w:rPr>
                <w:sz w:val="24"/>
              </w:rPr>
              <w:t>生态保护</w:t>
            </w:r>
          </w:p>
          <w:p>
            <w:pPr>
              <w:adjustRightInd w:val="0"/>
              <w:snapToGrid w:val="0"/>
              <w:jc w:val="center"/>
              <w:rPr>
                <w:sz w:val="24"/>
              </w:rPr>
            </w:pPr>
            <w:r>
              <w:rPr>
                <w:sz w:val="24"/>
              </w:rPr>
              <w:t>措施</w:t>
            </w:r>
          </w:p>
        </w:tc>
        <w:tc>
          <w:tcPr>
            <w:tcW w:w="4311" w:type="pct"/>
            <w:gridSpan w:val="6"/>
            <w:vAlign w:val="center"/>
          </w:tcPr>
          <w:p>
            <w:pPr>
              <w:adjustRightInd w:val="0"/>
              <w:snapToGrid w:val="0"/>
              <w:jc w:val="center"/>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4311" w:type="pct"/>
            <w:gridSpan w:val="6"/>
            <w:vAlign w:val="center"/>
          </w:tcPr>
          <w:p>
            <w:pPr>
              <w:adjustRightInd w:val="0"/>
              <w:snapToGrid w:val="0"/>
              <w:jc w:val="left"/>
              <w:rPr>
                <w:sz w:val="24"/>
              </w:rPr>
            </w:pPr>
            <w:r>
              <w:rPr>
                <w:sz w:val="24"/>
              </w:rPr>
              <w:t>①设置单独的危废存放间，危险废物必须存放于危废间内，且分类收集，妥善保存。</w:t>
            </w:r>
          </w:p>
          <w:p>
            <w:pPr>
              <w:adjustRightInd w:val="0"/>
              <w:snapToGrid w:val="0"/>
              <w:jc w:val="left"/>
              <w:rPr>
                <w:sz w:val="24"/>
              </w:rPr>
            </w:pPr>
            <w:r>
              <w:rPr>
                <w:sz w:val="24"/>
              </w:rPr>
              <w:t>②危废暂存间</w:t>
            </w:r>
            <w:r>
              <w:rPr>
                <w:rFonts w:hint="eastAsia"/>
                <w:sz w:val="24"/>
              </w:rPr>
              <w:t>、原料库液态物料存放区</w:t>
            </w:r>
            <w:r>
              <w:rPr>
                <w:sz w:val="24"/>
              </w:rPr>
              <w:t>应采取防渗措施并设置围堰，定期检查防渗层的防渗性能，确保不对地下水水质及土壤产生污染影响。</w:t>
            </w:r>
          </w:p>
          <w:p>
            <w:pPr>
              <w:adjustRightInd w:val="0"/>
              <w:snapToGrid w:val="0"/>
              <w:jc w:val="left"/>
              <w:rPr>
                <w:sz w:val="24"/>
              </w:rPr>
            </w:pPr>
            <w:r>
              <w:rPr>
                <w:sz w:val="24"/>
              </w:rPr>
              <w:t>③根据项目危险物质特性及风险可能影响的途径，制定适用于本项目的事故应急预案。</w:t>
            </w:r>
          </w:p>
          <w:p>
            <w:pPr>
              <w:adjustRightInd w:val="0"/>
              <w:snapToGrid w:val="0"/>
              <w:jc w:val="left"/>
              <w:rPr>
                <w:sz w:val="24"/>
              </w:rPr>
            </w:pPr>
            <w:r>
              <w:rPr>
                <w:sz w:val="24"/>
              </w:rPr>
              <w:t>④危险废物必须将危险废物装入容器内，禁止将不相容(相互反应)的危险废物在同一容器内混装；容器应粘贴符合标准中附录A所示标签；容器应满足相应强度要求，且完好无损，容器材质和衬里与危险废物相容(不相互反应)。</w:t>
            </w:r>
          </w:p>
          <w:p>
            <w:pPr>
              <w:adjustRightInd w:val="0"/>
              <w:snapToGrid w:val="0"/>
              <w:jc w:val="left"/>
              <w:rPr>
                <w:sz w:val="24"/>
              </w:rPr>
            </w:pPr>
            <w:r>
              <w:rPr>
                <w:sz w:val="24"/>
              </w:rPr>
              <w:t>⑤做好危险废物情况的记录，记录上须注明危险废物的名称、来源、数量和包装容器的类别、入库日期、存放库位、危废出库日期及接受单位名称，危险废物台账和记录簿的保存时间应当为5年以上，联单保存期限为5年；</w:t>
            </w:r>
          </w:p>
          <w:p>
            <w:pPr>
              <w:adjustRightInd w:val="0"/>
              <w:snapToGrid w:val="0"/>
              <w:rPr>
                <w:sz w:val="24"/>
              </w:rPr>
            </w:pPr>
            <w:r>
              <w:rPr>
                <w:sz w:val="24"/>
              </w:rPr>
              <w:t>⑥必须定期对贮存的危险废物包装容器及贮存设施进行检查，发现破损，应及时采取措施清理更换，更换的包装容器等按照危险废物处置。</w:t>
            </w:r>
          </w:p>
          <w:p>
            <w:pPr>
              <w:adjustRightInd w:val="0"/>
              <w:snapToGrid w:val="0"/>
              <w:rPr>
                <w:sz w:val="24"/>
              </w:rPr>
            </w:pPr>
            <w:r>
              <w:rPr>
                <w:sz w:val="24"/>
              </w:rPr>
              <w:t>⑦机油和切削液存放于密闭空间且远离火源，且按照要求设置防渗层，定期检查防渗层的防渗性能，确保不对地下水水质及土壤产生污染影响。</w:t>
            </w:r>
          </w:p>
          <w:p>
            <w:pPr>
              <w:adjustRightInd w:val="0"/>
              <w:snapToGrid w:val="0"/>
              <w:rPr>
                <w:sz w:val="24"/>
              </w:rPr>
            </w:pPr>
            <w:r>
              <w:rPr>
                <w:sz w:val="24"/>
              </w:rPr>
              <w:t>⑧设置过流保护及紧急切断装置，进一步提高工艺管线及阀门质量，加强其日常维修保养。企业应当在天然气管道周边配备相应数量的灭火器，并定期对灭火器的质量进行检查，以备火灾发生时能够正常使用。</w:t>
            </w:r>
          </w:p>
          <w:p>
            <w:pPr>
              <w:adjustRightInd w:val="0"/>
              <w:snapToGrid w:val="0"/>
              <w:rPr>
                <w:sz w:val="24"/>
              </w:rPr>
            </w:pPr>
            <w:r>
              <w:rPr>
                <w:sz w:val="24"/>
              </w:rPr>
              <w:t>⑨设置报警及排气装置，天然气在发生泄漏时能及时发现，采取措施；做好用气设备和天然气管道的维修检修工作。</w:t>
            </w:r>
          </w:p>
          <w:p>
            <w:pPr>
              <w:adjustRightInd w:val="0"/>
              <w:snapToGrid w:val="0"/>
              <w:jc w:val="left"/>
              <w:rPr>
                <w:sz w:val="24"/>
                <w:szCs w:val="32"/>
              </w:rPr>
            </w:pPr>
            <w:r>
              <w:rPr>
                <w:sz w:val="24"/>
              </w:rPr>
              <w:t>⑩生产过程中严格按照生产操作规范进行，杜绝人为安全隐患，严禁吸烟和使用明火；加强员工的安全意识，加强教育和宣传工作，提高员工处理突发事件的能力。生产过程中严格按照生产规范进行，杜绝人为安全隐患；</w:t>
            </w:r>
            <w:r>
              <w:rPr>
                <w:sz w:val="24"/>
                <w:szCs w:val="32"/>
              </w:rPr>
              <w:t>制定厂内风险应急预案，每年进行一次消防演习，确保厂内消防设施能够正常运行等；制定相应管道的定期检查制度，主要包括检查各密封点、管道有无渗漏、有无变形，阀门、阀体及连接部位是否完好等。</w:t>
            </w:r>
          </w:p>
          <w:p>
            <w:pPr>
              <w:adjustRightInd w:val="0"/>
              <w:snapToGrid w:val="0"/>
              <w:jc w:val="left"/>
              <w:rPr>
                <w:sz w:val="24"/>
                <w:szCs w:val="32"/>
              </w:rPr>
            </w:pPr>
          </w:p>
          <w:p>
            <w:pPr>
              <w:adjustRightInd w:val="0"/>
              <w:snapToGrid w:val="0"/>
              <w:jc w:val="left"/>
              <w:rPr>
                <w:sz w:val="24"/>
                <w:szCs w:val="32"/>
              </w:rPr>
            </w:pPr>
          </w:p>
          <w:p>
            <w:pPr>
              <w:adjustRightInd w:val="0"/>
              <w:snapToGrid w:val="0"/>
              <w:jc w:val="left"/>
              <w:rPr>
                <w:sz w:val="24"/>
                <w:szCs w:val="32"/>
              </w:rPr>
            </w:pPr>
          </w:p>
          <w:p>
            <w:pPr>
              <w:adjustRightInd w:val="0"/>
              <w:snapToGrid w:val="0"/>
              <w:jc w:val="left"/>
              <w:rPr>
                <w:sz w:val="24"/>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688" w:type="pct"/>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4311" w:type="pct"/>
            <w:gridSpan w:val="6"/>
            <w:vAlign w:val="center"/>
          </w:tcPr>
          <w:p>
            <w:pPr>
              <w:adjustRightInd w:val="0"/>
              <w:snapToGrid w:val="0"/>
              <w:jc w:val="left"/>
              <w:rPr>
                <w:sz w:val="24"/>
              </w:rPr>
            </w:pPr>
            <w:r>
              <w:rPr>
                <w:sz w:val="24"/>
              </w:rPr>
              <w:t>按规定申领排污许可证，编制台账、执行报告等；</w:t>
            </w:r>
            <w:r>
              <w:rPr>
                <w:rFonts w:hint="eastAsia"/>
                <w:sz w:val="24"/>
              </w:rPr>
              <w:t>严格按照《重污染天气重点行业应急减排措施指定技术指南》（2021年修订版）中“工业涂装”绩效分级B级指标进行建设和后期运行管理</w:t>
            </w:r>
            <w:r>
              <w:rPr>
                <w:rFonts w:hint="eastAsia"/>
                <w:sz w:val="24"/>
                <w:highlight w:val="yellow"/>
              </w:rPr>
              <w:t>；</w:t>
            </w:r>
            <w:r>
              <w:rPr>
                <w:sz w:val="24"/>
                <w:highlight w:val="yellow"/>
              </w:rPr>
              <w:t>编制突发环境事件应急预案；</w:t>
            </w:r>
            <w:r>
              <w:rPr>
                <w:sz w:val="24"/>
              </w:rPr>
              <w:t>危险废物临时贮存仓库设立相应标志牌，签订危险废物处置协议并按规定暂存、转移，记录危险废物管理台账；建立完善的环境管理制度，设立专门环境管理机构；按照环境监测计划对项目废气（排气筒DA001</w:t>
            </w:r>
            <w:r>
              <w:rPr>
                <w:rFonts w:hint="eastAsia"/>
                <w:sz w:val="24"/>
              </w:rPr>
              <w:t>、DA002、DA003</w:t>
            </w:r>
            <w:r>
              <w:rPr>
                <w:sz w:val="24"/>
              </w:rPr>
              <w:t>及无组织）、</w:t>
            </w:r>
            <w:r>
              <w:rPr>
                <w:rFonts w:hint="eastAsia"/>
                <w:sz w:val="24"/>
              </w:rPr>
              <w:t>废水、</w:t>
            </w:r>
            <w:r>
              <w:rPr>
                <w:sz w:val="24"/>
              </w:rPr>
              <w:t>厂</w:t>
            </w:r>
            <w:bookmarkStart w:id="4" w:name="_GoBack"/>
            <w:bookmarkEnd w:id="4"/>
            <w:r>
              <w:rPr>
                <w:sz w:val="24"/>
              </w:rPr>
              <w:t>界噪声等定期进行监测；废气排气筒预留监测口并设立相应标志牌，并按照《固定源废气监测技术规范》（HJ/T 397-2007）要求设置采样口</w:t>
            </w:r>
            <w:r>
              <w:rPr>
                <w:rFonts w:hint="eastAsia"/>
                <w:sz w:val="24"/>
              </w:rPr>
              <w:t>；按照要求设置废水、废水、噪声、固废排放口</w:t>
            </w:r>
            <w:r>
              <w:rPr>
                <w:sz w:val="24"/>
              </w:rPr>
              <w:t>环境保护图形标志牌。</w:t>
            </w: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adjustRightInd w:val="0"/>
              <w:snapToGrid w:val="0"/>
              <w:jc w:val="left"/>
              <w:rPr>
                <w:sz w:val="24"/>
              </w:rPr>
            </w:pPr>
          </w:p>
          <w:p>
            <w:pPr>
              <w:pStyle w:val="2"/>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adjustRightInd w:val="0"/>
              <w:snapToGrid w:val="0"/>
              <w:jc w:val="left"/>
              <w:rPr>
                <w:sz w:val="24"/>
              </w:rPr>
            </w:pPr>
          </w:p>
          <w:p>
            <w:pPr>
              <w:adjustRightInd w:val="0"/>
              <w:snapToGrid w:val="0"/>
              <w:jc w:val="left"/>
              <w:rPr>
                <w:sz w:val="24"/>
              </w:rPr>
            </w:pPr>
          </w:p>
        </w:tc>
      </w:tr>
    </w:tbl>
    <w:p>
      <w:pPr>
        <w:pStyle w:val="17"/>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8" w:hRule="atLeast"/>
          <w:jc w:val="center"/>
        </w:trPr>
        <w:tc>
          <w:tcPr>
            <w:tcW w:w="8865" w:type="dxa"/>
          </w:tcPr>
          <w:p>
            <w:pPr>
              <w:spacing w:line="360" w:lineRule="auto"/>
              <w:ind w:firstLine="480" w:firstLineChars="200"/>
              <w:rPr>
                <w:sz w:val="24"/>
              </w:rPr>
            </w:pPr>
            <w:r>
              <w:rPr>
                <w:sz w:val="24"/>
              </w:rPr>
              <w:t>本项目选址和建设符合国家和地方环境保护政策，项目配套污染防治措施，可实现污染物达标排放，对环境影响较小，在落实环境管理和正确稳定运行环保设施措施的前提下，从环境保护角度分析，项目建设可行。</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tc>
      </w:tr>
    </w:tbl>
    <w:p>
      <w:pPr>
        <w:rPr>
          <w:rFonts w:eastAsia="黑体"/>
        </w:rPr>
        <w:sectPr>
          <w:footerReference r:id="rId6" w:type="default"/>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17"/>
        <w:adjustRightInd w:val="0"/>
        <w:snapToGrid w:val="0"/>
        <w:spacing w:before="0" w:beforeAutospacing="0" w:after="0" w:afterAutospacing="0"/>
        <w:jc w:val="center"/>
        <w:outlineLvl w:val="0"/>
        <w:rPr>
          <w:rFonts w:ascii="Times New Roman" w:hAnsi="Times New Roman" w:eastAsia="方正小标宋_GBK"/>
          <w:snapToGrid w:val="0"/>
          <w:sz w:val="36"/>
          <w:szCs w:val="36"/>
        </w:rPr>
      </w:pPr>
      <w:r>
        <w:rPr>
          <w:rFonts w:ascii="Times New Roman" w:hAnsi="Times New Roman" w:eastAsia="方正小标宋_GBK"/>
          <w:snapToGrid w:val="0"/>
          <w:sz w:val="36"/>
          <w:szCs w:val="36"/>
        </w:rPr>
        <w:t>建设项目污染物排放量汇总表</w:t>
      </w:r>
    </w:p>
    <w:tbl>
      <w:tblPr>
        <w:tblStyle w:val="24"/>
        <w:tblW w:w="137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581"/>
        <w:gridCol w:w="1079"/>
        <w:gridCol w:w="1112"/>
        <w:gridCol w:w="1529"/>
        <w:gridCol w:w="1684"/>
        <w:gridCol w:w="1166"/>
        <w:gridCol w:w="1617"/>
        <w:gridCol w:w="17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tcBorders>
              <w:tl2br w:val="single" w:color="auto" w:sz="4" w:space="0"/>
            </w:tcBorders>
            <w:tcMar>
              <w:left w:w="28" w:type="dxa"/>
              <w:right w:w="28" w:type="dxa"/>
            </w:tcMar>
            <w:vAlign w:val="center"/>
          </w:tcPr>
          <w:p>
            <w:pPr>
              <w:pStyle w:val="43"/>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43"/>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2581"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079"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kern w:val="2"/>
                <w:szCs w:val="21"/>
              </w:rPr>
              <w:t>①</w:t>
            </w:r>
            <w:r>
              <w:rPr>
                <w:rFonts w:ascii="Times New Roman"/>
                <w:snapToGrid w:val="0"/>
                <w:spacing w:val="-6"/>
                <w:kern w:val="21"/>
                <w:szCs w:val="21"/>
              </w:rPr>
              <w:fldChar w:fldCharType="end"/>
            </w:r>
          </w:p>
        </w:tc>
        <w:tc>
          <w:tcPr>
            <w:tcW w:w="1112"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43"/>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Times New Roman"/>
                <w:snapToGrid w:val="0"/>
                <w:spacing w:val="-6"/>
                <w:kern w:val="21"/>
                <w:szCs w:val="21"/>
              </w:rPr>
              <w:t>②</w:t>
            </w:r>
            <w:r>
              <w:rPr>
                <w:rFonts w:ascii="Times New Roman"/>
                <w:snapToGrid w:val="0"/>
                <w:spacing w:val="-6"/>
                <w:kern w:val="21"/>
                <w:szCs w:val="21"/>
              </w:rPr>
              <w:fldChar w:fldCharType="end"/>
            </w:r>
          </w:p>
        </w:tc>
        <w:tc>
          <w:tcPr>
            <w:tcW w:w="1529"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kern w:val="2"/>
                <w:szCs w:val="21"/>
              </w:rPr>
              <w:t>③</w:t>
            </w:r>
            <w:r>
              <w:rPr>
                <w:rFonts w:ascii="Times New Roman"/>
                <w:snapToGrid w:val="0"/>
                <w:spacing w:val="-6"/>
                <w:kern w:val="21"/>
                <w:szCs w:val="21"/>
              </w:rPr>
              <w:fldChar w:fldCharType="end"/>
            </w:r>
          </w:p>
        </w:tc>
        <w:tc>
          <w:tcPr>
            <w:tcW w:w="1684"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kern w:val="2"/>
                <w:szCs w:val="21"/>
              </w:rPr>
              <w:t>④</w:t>
            </w:r>
            <w:r>
              <w:rPr>
                <w:rFonts w:ascii="Times New Roman"/>
                <w:snapToGrid w:val="0"/>
                <w:spacing w:val="-6"/>
                <w:kern w:val="21"/>
                <w:szCs w:val="21"/>
              </w:rPr>
              <w:fldChar w:fldCharType="end"/>
            </w:r>
          </w:p>
        </w:tc>
        <w:tc>
          <w:tcPr>
            <w:tcW w:w="1166" w:type="dxa"/>
            <w:tcMar>
              <w:left w:w="28" w:type="dxa"/>
              <w:right w:w="28" w:type="dxa"/>
            </w:tcMar>
            <w:vAlign w:val="center"/>
          </w:tcPr>
          <w:p>
            <w:pPr>
              <w:pStyle w:val="43"/>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kern w:val="2"/>
                <w:szCs w:val="21"/>
              </w:rPr>
              <w:t>⑤</w:t>
            </w:r>
            <w:r>
              <w:rPr>
                <w:rFonts w:ascii="Times New Roman"/>
                <w:snapToGrid w:val="0"/>
                <w:spacing w:val="-16"/>
                <w:kern w:val="21"/>
                <w:szCs w:val="21"/>
              </w:rPr>
              <w:fldChar w:fldCharType="end"/>
            </w:r>
          </w:p>
        </w:tc>
        <w:tc>
          <w:tcPr>
            <w:tcW w:w="1617" w:type="dxa"/>
            <w:tcMar>
              <w:left w:w="28" w:type="dxa"/>
              <w:right w:w="28" w:type="dxa"/>
            </w:tcMar>
            <w:vAlign w:val="center"/>
          </w:tcPr>
          <w:p>
            <w:pPr>
              <w:pStyle w:val="43"/>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43"/>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kern w:val="2"/>
                <w:szCs w:val="21"/>
              </w:rPr>
              <w:t>⑥</w:t>
            </w:r>
            <w:r>
              <w:rPr>
                <w:rFonts w:ascii="Times New Roman"/>
                <w:snapToGrid w:val="0"/>
                <w:spacing w:val="-16"/>
                <w:kern w:val="21"/>
                <w:szCs w:val="21"/>
              </w:rPr>
              <w:fldChar w:fldCharType="end"/>
            </w:r>
          </w:p>
        </w:tc>
        <w:tc>
          <w:tcPr>
            <w:tcW w:w="1710" w:type="dxa"/>
            <w:tcMar>
              <w:left w:w="28" w:type="dxa"/>
              <w:right w:w="28" w:type="dxa"/>
            </w:tcMar>
            <w:vAlign w:val="center"/>
          </w:tcPr>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43"/>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废气</w:t>
            </w:r>
          </w:p>
        </w:tc>
        <w:tc>
          <w:tcPr>
            <w:tcW w:w="2581" w:type="dxa"/>
            <w:vAlign w:val="center"/>
          </w:tcPr>
          <w:p>
            <w:pPr>
              <w:widowControl/>
              <w:adjustRightInd w:val="0"/>
              <w:snapToGrid w:val="0"/>
              <w:spacing w:line="300" w:lineRule="exact"/>
              <w:ind w:left="-105" w:leftChars="-50" w:right="-105" w:rightChars="-50"/>
              <w:jc w:val="center"/>
              <w:textAlignment w:val="baseline"/>
              <w:rPr>
                <w:snapToGrid w:val="0"/>
                <w:kern w:val="21"/>
                <w:szCs w:val="21"/>
              </w:rPr>
            </w:pPr>
            <w:r>
              <w:rPr>
                <w:szCs w:val="21"/>
              </w:rPr>
              <w:t>颗粒</w:t>
            </w:r>
            <w:r>
              <w:rPr>
                <w:bCs/>
                <w:kern w:val="0"/>
                <w:szCs w:val="21"/>
              </w:rPr>
              <w:t>物</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13549</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13549</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13549</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widowControl/>
              <w:snapToGrid w:val="0"/>
              <w:spacing w:line="300" w:lineRule="exact"/>
              <w:jc w:val="center"/>
              <w:textAlignment w:val="baseline"/>
              <w:rPr>
                <w:snapToGrid w:val="0"/>
                <w:kern w:val="21"/>
                <w:szCs w:val="21"/>
              </w:rPr>
            </w:pPr>
            <w:r>
              <w:rPr>
                <w:kern w:val="0"/>
              </w:rPr>
              <w:t>非甲烷总烃</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003429</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0.003429</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003429</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widowControl/>
              <w:snapToGrid w:val="0"/>
              <w:spacing w:line="300" w:lineRule="exact"/>
              <w:jc w:val="center"/>
              <w:textAlignment w:val="baseline"/>
              <w:rPr>
                <w:snapToGrid w:val="0"/>
                <w:kern w:val="21"/>
                <w:szCs w:val="21"/>
              </w:rPr>
            </w:pPr>
            <w:r>
              <w:rPr>
                <w:rFonts w:hint="eastAsia"/>
                <w:snapToGrid w:val="0"/>
                <w:kern w:val="21"/>
                <w:szCs w:val="21"/>
              </w:rPr>
              <w:t>SO</w:t>
            </w:r>
            <w:r>
              <w:rPr>
                <w:rFonts w:hint="eastAsia"/>
                <w:snapToGrid w:val="0"/>
                <w:kern w:val="21"/>
                <w:szCs w:val="21"/>
                <w:vertAlign w:val="subscript"/>
              </w:rPr>
              <w:t>2</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0684</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0684</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0684</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widowControl/>
              <w:snapToGrid w:val="0"/>
              <w:spacing w:line="300" w:lineRule="exact"/>
              <w:jc w:val="center"/>
              <w:textAlignment w:val="baseline"/>
              <w:rPr>
                <w:snapToGrid w:val="0"/>
                <w:kern w:val="21"/>
                <w:szCs w:val="21"/>
              </w:rPr>
            </w:pPr>
            <w:r>
              <w:rPr>
                <w:rFonts w:hint="eastAsia"/>
                <w:snapToGrid w:val="0"/>
                <w:kern w:val="21"/>
                <w:szCs w:val="21"/>
              </w:rPr>
              <w:t>NO</w:t>
            </w:r>
            <w:r>
              <w:rPr>
                <w:rFonts w:hint="eastAsia"/>
                <w:snapToGrid w:val="0"/>
                <w:kern w:val="21"/>
                <w:szCs w:val="21"/>
                <w:vertAlign w:val="subscript"/>
              </w:rPr>
              <w:t>X</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15989</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15989</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15989</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废水</w:t>
            </w: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COD</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0.216t/a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0.216t/a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+0.216t/a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BOD</w:t>
            </w:r>
            <w:r>
              <w:rPr>
                <w:rFonts w:hint="eastAsia" w:ascii="Times New Roman"/>
                <w:snapToGrid w:val="0"/>
                <w:kern w:val="21"/>
                <w:szCs w:val="21"/>
                <w:vertAlign w:val="subscript"/>
              </w:rPr>
              <w:t>5</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氨氮</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0.017t/a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0.017t/a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SS</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总磷</w:t>
            </w:r>
          </w:p>
        </w:tc>
        <w:tc>
          <w:tcPr>
            <w:tcW w:w="1079" w:type="dxa"/>
            <w:vAlign w:val="center"/>
          </w:tcPr>
          <w:p>
            <w:pPr>
              <w:jc w:val="center"/>
              <w:rPr>
                <w:snapToGrid w:val="0"/>
                <w:kern w:val="21"/>
                <w:szCs w:val="21"/>
              </w:rPr>
            </w:pPr>
            <w:r>
              <w:rPr>
                <w:snapToGrid w:val="0"/>
                <w:kern w:val="21"/>
                <w:szCs w:val="21"/>
              </w:rPr>
              <w:t>/</w:t>
            </w:r>
          </w:p>
        </w:tc>
        <w:tc>
          <w:tcPr>
            <w:tcW w:w="1112" w:type="dxa"/>
            <w:vAlign w:val="center"/>
          </w:tcPr>
          <w:p>
            <w:pPr>
              <w:jc w:val="center"/>
              <w:rPr>
                <w:snapToGrid w:val="0"/>
                <w:kern w:val="21"/>
                <w:szCs w:val="21"/>
              </w:rPr>
            </w:pPr>
            <w:r>
              <w:rPr>
                <w:snapToGrid w:val="0"/>
                <w:kern w:val="21"/>
                <w:szCs w:val="21"/>
              </w:rPr>
              <w:t>/</w:t>
            </w:r>
          </w:p>
        </w:tc>
        <w:tc>
          <w:tcPr>
            <w:tcW w:w="1529" w:type="dxa"/>
            <w:vAlign w:val="center"/>
          </w:tcPr>
          <w:p>
            <w:pPr>
              <w:jc w:val="center"/>
              <w:rPr>
                <w:snapToGrid w:val="0"/>
                <w:kern w:val="21"/>
                <w:szCs w:val="21"/>
              </w:rPr>
            </w:pPr>
            <w:r>
              <w:rPr>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0.0068t/a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0.0068t/a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+0.0068t/a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总氮</w:t>
            </w:r>
          </w:p>
        </w:tc>
        <w:tc>
          <w:tcPr>
            <w:tcW w:w="1079" w:type="dxa"/>
            <w:vAlign w:val="center"/>
          </w:tcPr>
          <w:p>
            <w:pPr>
              <w:jc w:val="center"/>
              <w:rPr>
                <w:snapToGrid w:val="0"/>
                <w:kern w:val="21"/>
                <w:szCs w:val="21"/>
              </w:rPr>
            </w:pPr>
            <w:r>
              <w:rPr>
                <w:snapToGrid w:val="0"/>
                <w:kern w:val="21"/>
                <w:szCs w:val="21"/>
              </w:rPr>
              <w:t>/</w:t>
            </w:r>
          </w:p>
        </w:tc>
        <w:tc>
          <w:tcPr>
            <w:tcW w:w="1112" w:type="dxa"/>
            <w:vAlign w:val="center"/>
          </w:tcPr>
          <w:p>
            <w:pPr>
              <w:jc w:val="center"/>
              <w:rPr>
                <w:snapToGrid w:val="0"/>
                <w:kern w:val="21"/>
                <w:szCs w:val="21"/>
              </w:rPr>
            </w:pPr>
            <w:r>
              <w:rPr>
                <w:snapToGrid w:val="0"/>
                <w:kern w:val="21"/>
                <w:szCs w:val="21"/>
              </w:rPr>
              <w:t>/</w:t>
            </w:r>
          </w:p>
        </w:tc>
        <w:tc>
          <w:tcPr>
            <w:tcW w:w="1529" w:type="dxa"/>
            <w:vAlign w:val="center"/>
          </w:tcPr>
          <w:p>
            <w:pPr>
              <w:jc w:val="center"/>
              <w:rPr>
                <w:snapToGrid w:val="0"/>
                <w:kern w:val="21"/>
                <w:szCs w:val="21"/>
              </w:rPr>
            </w:pPr>
            <w:r>
              <w:rPr>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0.0198t/a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0.0198t/a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+0.0198t/a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一般工业</w:t>
            </w:r>
          </w:p>
          <w:p>
            <w:pPr>
              <w:pStyle w:val="43"/>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2581"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边角料</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20</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20</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r>
              <w:rPr>
                <w:rFonts w:hint="eastAsia" w:ascii="Times New Roman"/>
                <w:snapToGrid w:val="0"/>
                <w:kern w:val="21"/>
                <w:szCs w:val="21"/>
              </w:rPr>
              <w:t>20</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机械加工</w:t>
            </w:r>
            <w:r>
              <w:rPr>
                <w:rFonts w:hint="eastAsia" w:ascii="Times New Roman"/>
                <w:snapToGrid w:val="0"/>
                <w:kern w:val="21"/>
                <w:szCs w:val="21"/>
              </w:rPr>
              <w:t>下角料</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10.6</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10.6</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r>
              <w:rPr>
                <w:rFonts w:hint="eastAsia" w:ascii="Times New Roman"/>
                <w:snapToGrid w:val="0"/>
                <w:kern w:val="21"/>
                <w:szCs w:val="21"/>
              </w:rPr>
              <w:t>10.6</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废焊渣</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1.2</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1.2</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r>
              <w:rPr>
                <w:rFonts w:hint="eastAsia" w:ascii="Times New Roman"/>
                <w:snapToGrid w:val="0"/>
                <w:kern w:val="21"/>
                <w:szCs w:val="21"/>
              </w:rPr>
              <w:t>1.2</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废塑粉包装袋</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1</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tabs>
                <w:tab w:val="left" w:pos="6593"/>
              </w:tabs>
              <w:adjustRightInd w:val="0"/>
              <w:snapToGrid w:val="0"/>
              <w:jc w:val="center"/>
              <w:rPr>
                <w:snapToGrid w:val="0"/>
                <w:kern w:val="21"/>
                <w:szCs w:val="21"/>
              </w:rPr>
            </w:pPr>
            <w:r>
              <w:rPr>
                <w:rFonts w:hint="eastAsia"/>
                <w:snapToGrid w:val="0"/>
                <w:kern w:val="21"/>
                <w:szCs w:val="21"/>
              </w:rPr>
              <w:t>焊接工序布袋收集除尘灰</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0.03496</w:t>
            </w:r>
            <w:r>
              <w:rPr>
                <w:rFonts w:ascii="Times New Roman"/>
                <w:snapToGrid w:val="0"/>
                <w:kern w:val="21"/>
                <w:szCs w:val="21"/>
              </w:rPr>
              <w:t>t/a</w:t>
            </w:r>
          </w:p>
        </w:tc>
        <w:tc>
          <w:tcPr>
            <w:tcW w:w="1166" w:type="dxa"/>
            <w:vAlign w:val="center"/>
          </w:tcPr>
          <w:p>
            <w:pPr>
              <w:jc w:val="center"/>
              <w:rPr>
                <w:snapToGrid w:val="0"/>
                <w:kern w:val="21"/>
                <w:szCs w:val="21"/>
              </w:rPr>
            </w:pPr>
            <w:r>
              <w:rPr>
                <w:rFonts w:hint="eastAsia"/>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0.03496</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+0.03496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tabs>
                <w:tab w:val="left" w:pos="6593"/>
              </w:tabs>
              <w:adjustRightInd w:val="0"/>
              <w:snapToGrid w:val="0"/>
              <w:jc w:val="center"/>
              <w:rPr>
                <w:snapToGrid w:val="0"/>
                <w:kern w:val="21"/>
                <w:szCs w:val="21"/>
              </w:rPr>
            </w:pPr>
            <w:r>
              <w:rPr>
                <w:szCs w:val="21"/>
                <w:u w:color="000000"/>
              </w:rPr>
              <w:t>切割</w:t>
            </w:r>
            <w:r>
              <w:rPr>
                <w:rFonts w:hint="eastAsia"/>
                <w:szCs w:val="21"/>
                <w:u w:color="000000"/>
              </w:rPr>
              <w:t>工序布袋收集</w:t>
            </w:r>
            <w:r>
              <w:rPr>
                <w:szCs w:val="21"/>
                <w:u w:color="000000"/>
              </w:rPr>
              <w:t>除尘灰</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0.243</w:t>
            </w:r>
            <w:r>
              <w:rPr>
                <w:rFonts w:ascii="Times New Roman"/>
                <w:snapToGrid w:val="0"/>
                <w:kern w:val="21"/>
                <w:szCs w:val="21"/>
              </w:rPr>
              <w:t>t/a</w:t>
            </w:r>
          </w:p>
        </w:tc>
        <w:tc>
          <w:tcPr>
            <w:tcW w:w="1166" w:type="dxa"/>
            <w:vAlign w:val="center"/>
          </w:tcPr>
          <w:p>
            <w:pPr>
              <w:jc w:val="center"/>
              <w:rPr>
                <w:snapToGrid w:val="0"/>
                <w:kern w:val="21"/>
                <w:szCs w:val="21"/>
              </w:rPr>
            </w:pPr>
            <w:r>
              <w:rPr>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0.243</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+0.243</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tabs>
                <w:tab w:val="left" w:pos="6593"/>
              </w:tabs>
              <w:adjustRightInd w:val="0"/>
              <w:snapToGrid w:val="0"/>
              <w:jc w:val="center"/>
              <w:rPr>
                <w:szCs w:val="21"/>
                <w:u w:color="000000"/>
              </w:rPr>
            </w:pPr>
            <w:r>
              <w:rPr>
                <w:rFonts w:hint="eastAsia"/>
                <w:szCs w:val="21"/>
                <w:u w:color="000000"/>
              </w:rPr>
              <w:t>喷涂工序各除尘器收集塑粉</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7.054</w:t>
            </w:r>
            <w:r>
              <w:rPr>
                <w:rFonts w:ascii="Times New Roman"/>
                <w:snapToGrid w:val="0"/>
                <w:kern w:val="21"/>
                <w:szCs w:val="21"/>
              </w:rPr>
              <w:t>t/a</w:t>
            </w:r>
          </w:p>
        </w:tc>
        <w:tc>
          <w:tcPr>
            <w:tcW w:w="1166" w:type="dxa"/>
            <w:vAlign w:val="center"/>
          </w:tcPr>
          <w:p>
            <w:pPr>
              <w:jc w:val="center"/>
              <w:rPr>
                <w:snapToGrid w:val="0"/>
                <w:kern w:val="21"/>
                <w:szCs w:val="21"/>
              </w:rPr>
            </w:pPr>
            <w:r>
              <w:rPr>
                <w:rFonts w:hint="eastAsia"/>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7.054</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+7.054</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tabs>
                <w:tab w:val="left" w:pos="6593"/>
              </w:tabs>
              <w:adjustRightInd w:val="0"/>
              <w:snapToGrid w:val="0"/>
              <w:jc w:val="center"/>
              <w:rPr>
                <w:snapToGrid w:val="0"/>
                <w:kern w:val="21"/>
                <w:szCs w:val="21"/>
              </w:rPr>
            </w:pPr>
            <w:r>
              <w:rPr>
                <w:rFonts w:hint="eastAsia"/>
                <w:snapToGrid w:val="0"/>
                <w:kern w:val="21"/>
                <w:szCs w:val="21"/>
              </w:rPr>
              <w:t>废滤筒</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0.04t/a</w:t>
            </w:r>
          </w:p>
        </w:tc>
        <w:tc>
          <w:tcPr>
            <w:tcW w:w="1166" w:type="dxa"/>
            <w:vAlign w:val="center"/>
          </w:tcPr>
          <w:p>
            <w:pPr>
              <w:jc w:val="center"/>
              <w:rPr>
                <w:snapToGrid w:val="0"/>
                <w:kern w:val="21"/>
                <w:szCs w:val="21"/>
              </w:rPr>
            </w:pPr>
            <w:r>
              <w:rPr>
                <w:rFonts w:hint="eastAsia"/>
                <w:snapToGrid w:val="0"/>
                <w:kern w:val="21"/>
                <w:szCs w:val="21"/>
              </w:rPr>
              <w:t>/</w:t>
            </w:r>
          </w:p>
        </w:tc>
        <w:tc>
          <w:tcPr>
            <w:tcW w:w="1617" w:type="dxa"/>
            <w:vAlign w:val="center"/>
          </w:tcPr>
          <w:p>
            <w:pPr>
              <w:jc w:val="center"/>
              <w:rPr>
                <w:snapToGrid w:val="0"/>
                <w:kern w:val="21"/>
                <w:szCs w:val="21"/>
              </w:rPr>
            </w:pPr>
            <w:r>
              <w:rPr>
                <w:rFonts w:hint="eastAsia"/>
                <w:snapToGrid w:val="0"/>
                <w:kern w:val="21"/>
                <w:szCs w:val="21"/>
              </w:rPr>
              <w:t>0.04t/a</w:t>
            </w:r>
          </w:p>
        </w:tc>
        <w:tc>
          <w:tcPr>
            <w:tcW w:w="1710" w:type="dxa"/>
            <w:vAlign w:val="center"/>
          </w:tcPr>
          <w:p>
            <w:pPr>
              <w:jc w:val="center"/>
              <w:rPr>
                <w:snapToGrid w:val="0"/>
                <w:kern w:val="21"/>
                <w:szCs w:val="21"/>
              </w:rPr>
            </w:pPr>
            <w:r>
              <w:rPr>
                <w:rFonts w:hint="eastAsia"/>
                <w:snapToGrid w:val="0"/>
                <w:kern w:val="21"/>
                <w:szCs w:val="21"/>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2581" w:type="dxa"/>
            <w:vAlign w:val="center"/>
          </w:tcPr>
          <w:p>
            <w:pPr>
              <w:tabs>
                <w:tab w:val="left" w:pos="6593"/>
              </w:tabs>
              <w:adjustRightInd w:val="0"/>
              <w:snapToGrid w:val="0"/>
              <w:jc w:val="center"/>
              <w:rPr>
                <w:snapToGrid w:val="0"/>
                <w:kern w:val="21"/>
                <w:szCs w:val="21"/>
              </w:rPr>
            </w:pPr>
            <w:r>
              <w:rPr>
                <w:rFonts w:hint="eastAsia"/>
                <w:szCs w:val="21"/>
                <w:u w:color="000000"/>
              </w:rPr>
              <w:t>废催化剂</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0.1t/a（0.3t/3a）</w:t>
            </w:r>
          </w:p>
        </w:tc>
        <w:tc>
          <w:tcPr>
            <w:tcW w:w="1166" w:type="dxa"/>
            <w:vAlign w:val="center"/>
          </w:tcPr>
          <w:p>
            <w:pPr>
              <w:jc w:val="center"/>
              <w:rPr>
                <w:snapToGrid w:val="0"/>
                <w:kern w:val="21"/>
                <w:szCs w:val="21"/>
              </w:rPr>
            </w:pPr>
            <w:r>
              <w:rPr>
                <w:rFonts w:hint="eastAsia"/>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0.1t/a（0.3t/3a）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+0.1t/a（0.3t/3a）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snapToGrid w:val="0"/>
                <w:kern w:val="21"/>
                <w:szCs w:val="21"/>
              </w:rPr>
              <w:t>废机油</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0.12</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0.1</w:t>
            </w:r>
            <w:r>
              <w:rPr>
                <w:rFonts w:hint="eastAsia" w:ascii="Times New Roman"/>
                <w:snapToGrid w:val="0"/>
                <w:kern w:val="21"/>
                <w:szCs w:val="21"/>
              </w:rPr>
              <w:t>2</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+0.1</w:t>
            </w:r>
            <w:r>
              <w:rPr>
                <w:rFonts w:hint="eastAsia" w:ascii="Times New Roman"/>
                <w:snapToGrid w:val="0"/>
                <w:kern w:val="21"/>
                <w:szCs w:val="21"/>
              </w:rPr>
              <w:t>2</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snapToGrid w:val="0"/>
                <w:kern w:val="21"/>
                <w:szCs w:val="21"/>
              </w:rPr>
              <w:t>废机油桶</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3</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3</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3</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snapToGrid w:val="0"/>
                <w:kern w:val="21"/>
                <w:szCs w:val="21"/>
              </w:rPr>
              <w:t>废</w:t>
            </w:r>
            <w:r>
              <w:rPr>
                <w:rFonts w:hint="eastAsia"/>
                <w:snapToGrid w:val="0"/>
                <w:kern w:val="21"/>
                <w:szCs w:val="21"/>
              </w:rPr>
              <w:t>过滤棉</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0.01</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r>
              <w:rPr>
                <w:rFonts w:hint="eastAsia" w:ascii="Times New Roman"/>
                <w:snapToGrid w:val="0"/>
                <w:kern w:val="21"/>
                <w:szCs w:val="21"/>
              </w:rPr>
              <w:t>0.01</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rFonts w:hint="eastAsia"/>
                <w:snapToGrid w:val="0"/>
                <w:kern w:val="21"/>
                <w:szCs w:val="21"/>
              </w:rPr>
              <w:t>废活性炭</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w:t>
            </w:r>
            <w:r>
              <w:rPr>
                <w:rFonts w:ascii="Times New Roman"/>
                <w:snapToGrid w:val="0"/>
                <w:kern w:val="21"/>
                <w:szCs w:val="21"/>
              </w:rPr>
              <w:t>t/a</w:t>
            </w:r>
            <w:r>
              <w:rPr>
                <w:rFonts w:hint="eastAsia" w:ascii="Times New Roman"/>
                <w:snapToGrid w:val="0"/>
                <w:kern w:val="21"/>
                <w:szCs w:val="21"/>
              </w:rPr>
              <w:t>（0.4t/2a）</w:t>
            </w:r>
          </w:p>
        </w:tc>
        <w:tc>
          <w:tcPr>
            <w:tcW w:w="1166"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w:t>
            </w:r>
            <w:r>
              <w:rPr>
                <w:rFonts w:ascii="Times New Roman"/>
                <w:snapToGrid w:val="0"/>
                <w:kern w:val="21"/>
                <w:szCs w:val="21"/>
              </w:rPr>
              <w:t>t/a</w:t>
            </w:r>
            <w:r>
              <w:rPr>
                <w:rFonts w:hint="eastAsia" w:ascii="Times New Roman"/>
                <w:snapToGrid w:val="0"/>
                <w:kern w:val="21"/>
                <w:szCs w:val="21"/>
              </w:rPr>
              <w:t>（0.4t/2a）</w:t>
            </w:r>
          </w:p>
        </w:tc>
        <w:tc>
          <w:tcPr>
            <w:tcW w:w="1710" w:type="dxa"/>
            <w:vAlign w:val="center"/>
          </w:tcPr>
          <w:p>
            <w:pPr>
              <w:pStyle w:val="43"/>
              <w:spacing w:beforeLines="0" w:afterLines="0" w:line="240" w:lineRule="auto"/>
              <w:rPr>
                <w:rFonts w:ascii="Times New Roman"/>
                <w:snapToGrid w:val="0"/>
                <w:kern w:val="21"/>
                <w:szCs w:val="21"/>
              </w:rPr>
            </w:pPr>
            <w:r>
              <w:rPr>
                <w:rFonts w:hint="eastAsia" w:ascii="Times New Roman"/>
                <w:snapToGrid w:val="0"/>
                <w:kern w:val="21"/>
                <w:szCs w:val="21"/>
              </w:rPr>
              <w:t>0.2</w:t>
            </w:r>
            <w:r>
              <w:rPr>
                <w:rFonts w:ascii="Times New Roman"/>
                <w:snapToGrid w:val="0"/>
                <w:kern w:val="21"/>
                <w:szCs w:val="21"/>
              </w:rPr>
              <w:t>t/a</w:t>
            </w:r>
            <w:r>
              <w:rPr>
                <w:rFonts w:hint="eastAsia" w:ascii="Times New Roman"/>
                <w:snapToGrid w:val="0"/>
                <w:kern w:val="21"/>
                <w:szCs w:val="21"/>
              </w:rPr>
              <w:t>（0.4t/2a）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snapToGrid w:val="0"/>
                <w:kern w:val="21"/>
                <w:szCs w:val="21"/>
              </w:rPr>
              <w:t>废切削液</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4</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4</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4</w:t>
            </w:r>
            <w:r>
              <w:rPr>
                <w:rFonts w:ascii="Times New Roman"/>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304" w:type="dxa"/>
            <w:vMerge w:val="continue"/>
            <w:vAlign w:val="center"/>
          </w:tcPr>
          <w:p>
            <w:pPr>
              <w:pStyle w:val="43"/>
              <w:spacing w:beforeLines="0" w:afterLines="0" w:line="240" w:lineRule="auto"/>
              <w:rPr>
                <w:rFonts w:ascii="Times New Roman"/>
                <w:snapToGrid w:val="0"/>
                <w:kern w:val="21"/>
                <w:szCs w:val="21"/>
              </w:rPr>
            </w:pPr>
          </w:p>
        </w:tc>
        <w:tc>
          <w:tcPr>
            <w:tcW w:w="2581" w:type="dxa"/>
            <w:vAlign w:val="center"/>
          </w:tcPr>
          <w:p>
            <w:pPr>
              <w:jc w:val="center"/>
              <w:rPr>
                <w:snapToGrid w:val="0"/>
                <w:kern w:val="21"/>
                <w:szCs w:val="21"/>
              </w:rPr>
            </w:pPr>
            <w:r>
              <w:rPr>
                <w:snapToGrid w:val="0"/>
                <w:kern w:val="21"/>
                <w:szCs w:val="21"/>
              </w:rPr>
              <w:t>废切削液桶</w:t>
            </w:r>
          </w:p>
        </w:tc>
        <w:tc>
          <w:tcPr>
            <w:tcW w:w="107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112"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529"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84"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5</w:t>
            </w:r>
            <w:r>
              <w:rPr>
                <w:rFonts w:ascii="Times New Roman"/>
                <w:snapToGrid w:val="0"/>
                <w:kern w:val="21"/>
                <w:szCs w:val="21"/>
              </w:rPr>
              <w:t>t/a</w:t>
            </w:r>
          </w:p>
        </w:tc>
        <w:tc>
          <w:tcPr>
            <w:tcW w:w="1166"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17"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5</w:t>
            </w:r>
            <w:r>
              <w:rPr>
                <w:rFonts w:ascii="Times New Roman"/>
                <w:snapToGrid w:val="0"/>
                <w:kern w:val="21"/>
                <w:szCs w:val="21"/>
              </w:rPr>
              <w:t>t/a</w:t>
            </w:r>
          </w:p>
        </w:tc>
        <w:tc>
          <w:tcPr>
            <w:tcW w:w="1710" w:type="dxa"/>
            <w:vAlign w:val="center"/>
          </w:tcPr>
          <w:p>
            <w:pPr>
              <w:pStyle w:val="43"/>
              <w:spacing w:beforeLines="0" w:afterLines="0" w:line="240" w:lineRule="auto"/>
              <w:rPr>
                <w:rFonts w:ascii="Times New Roman"/>
                <w:snapToGrid w:val="0"/>
                <w:kern w:val="21"/>
                <w:szCs w:val="21"/>
              </w:rPr>
            </w:pPr>
            <w:r>
              <w:rPr>
                <w:rFonts w:ascii="Times New Roman"/>
                <w:snapToGrid w:val="0"/>
                <w:kern w:val="21"/>
                <w:szCs w:val="21"/>
              </w:rPr>
              <w:t>+0.0</w:t>
            </w:r>
            <w:r>
              <w:rPr>
                <w:rFonts w:hint="eastAsia" w:ascii="Times New Roman"/>
                <w:snapToGrid w:val="0"/>
                <w:kern w:val="21"/>
                <w:szCs w:val="21"/>
              </w:rPr>
              <w:t>5</w:t>
            </w:r>
            <w:r>
              <w:rPr>
                <w:rFonts w:ascii="Times New Roman"/>
                <w:snapToGrid w:val="0"/>
                <w:kern w:val="21"/>
                <w:szCs w:val="21"/>
              </w:rPr>
              <w:t>t/a</w:t>
            </w:r>
          </w:p>
        </w:tc>
      </w:tr>
    </w:tbl>
    <w:p>
      <w:pPr>
        <w:pStyle w:val="43"/>
        <w:spacing w:beforeLines="0" w:afterLines="0" w:line="240" w:lineRule="auto"/>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CA4A63-89D0-44E3-91D4-0EE8FF1794F4}"/>
  </w:font>
  <w:font w:name="黑体">
    <w:panose1 w:val="02010609060101010101"/>
    <w:charset w:val="86"/>
    <w:family w:val="auto"/>
    <w:pitch w:val="default"/>
    <w:sig w:usb0="800002BF" w:usb1="38CF7CFA" w:usb2="00000016" w:usb3="00000000" w:csb0="00040001" w:csb1="00000000"/>
    <w:embedRegular r:id="rId2" w:fontKey="{438AD405-0A0F-4E46-83DB-51EFDA28EA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7506A65-D53B-473E-A9C7-0FE85AB640BF}"/>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4" w:fontKey="{E196D3D6-C4A1-45D3-AA77-8D4D90BE23F4}"/>
  </w:font>
  <w:font w:name="方正小标宋_GBK">
    <w:panose1 w:val="02000000000000000000"/>
    <w:charset w:val="86"/>
    <w:family w:val="auto"/>
    <w:pitch w:val="default"/>
    <w:sig w:usb0="A00002BF" w:usb1="38CF7CFA" w:usb2="00082016" w:usb3="00000000" w:csb0="00040001" w:csb1="00000000"/>
    <w:embedRegular r:id="rId5" w:fontKey="{BC0BF1C7-4073-4C18-BBA2-DE88F8696304}"/>
  </w:font>
  <w:font w:name="楷体_GB2312">
    <w:altName w:val="楷体"/>
    <w:panose1 w:val="00000000000000000000"/>
    <w:charset w:val="86"/>
    <w:family w:val="modern"/>
    <w:pitch w:val="default"/>
    <w:sig w:usb0="00000000" w:usb1="00000000" w:usb2="00000000" w:usb3="00000000" w:csb0="00040000" w:csb1="00000000"/>
    <w:embedRegular r:id="rId6" w:fontKey="{352469C0-F6D8-42A3-9262-CCD47979A2FE}"/>
  </w:font>
  <w:font w:name="华文仿宋">
    <w:panose1 w:val="02010600040101010101"/>
    <w:charset w:val="86"/>
    <w:family w:val="auto"/>
    <w:pitch w:val="default"/>
    <w:sig w:usb0="00000287" w:usb1="080F0000" w:usb2="00000000" w:usb3="00000000" w:csb0="0004009F" w:csb1="DFD70000"/>
    <w:embedRegular r:id="rId7" w:fontKey="{44B2C6DD-184F-4A86-962F-FF76FB17DEEA}"/>
  </w:font>
  <w:font w:name="仿宋">
    <w:panose1 w:val="02010609060101010101"/>
    <w:charset w:val="86"/>
    <w:family w:val="modern"/>
    <w:pitch w:val="default"/>
    <w:sig w:usb0="800002BF" w:usb1="38CF7CFA" w:usb2="00000016" w:usb3="00000000" w:csb0="00040001" w:csb1="00000000"/>
    <w:embedRegular r:id="rId8" w:fontKey="{6DD53A00-7E9B-4D00-9B7A-49733D4FCECB}"/>
  </w:font>
  <w:font w:name="Wingdings 2">
    <w:panose1 w:val="05020102010507070707"/>
    <w:charset w:val="02"/>
    <w:family w:val="roman"/>
    <w:pitch w:val="default"/>
    <w:sig w:usb0="00000000" w:usb1="00000000" w:usb2="00000000" w:usb3="00000000" w:csb0="80000000" w:csb1="00000000"/>
    <w:embedRegular r:id="rId9" w:fontKey="{B60EC309-8088-4028-9EBF-53939366F0AC}"/>
  </w:font>
  <w:font w:name="FZSSK--GBK1-0">
    <w:altName w:val="宋体"/>
    <w:panose1 w:val="00000000000000000000"/>
    <w:charset w:val="86"/>
    <w:family w:val="auto"/>
    <w:pitch w:val="default"/>
    <w:sig w:usb0="00000000" w:usb1="00000000" w:usb2="00000000" w:usb3="00000000" w:csb0="00040000" w:csb1="00000000"/>
    <w:embedRegular r:id="rId10" w:fontKey="{E6BBCC2F-0035-46CD-A6D1-C763011EC7C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7"/>
      </w:rPr>
    </w:pPr>
    <w:r>
      <w:fldChar w:fldCharType="begin"/>
    </w:r>
    <w:r>
      <w:rPr>
        <w:rStyle w:val="27"/>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86</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87</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93</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F0248"/>
    <w:multiLevelType w:val="singleLevel"/>
    <w:tmpl w:val="A94F0248"/>
    <w:lvl w:ilvl="0" w:tentative="0">
      <w:start w:val="3"/>
      <w:numFmt w:val="decimal"/>
      <w:suff w:val="nothing"/>
      <w:lvlText w:val="（%1）"/>
      <w:lvlJc w:val="left"/>
    </w:lvl>
  </w:abstractNum>
  <w:abstractNum w:abstractNumId="1">
    <w:nsid w:val="C6F57A32"/>
    <w:multiLevelType w:val="singleLevel"/>
    <w:tmpl w:val="C6F57A32"/>
    <w:lvl w:ilvl="0" w:tentative="0">
      <w:start w:val="1"/>
      <w:numFmt w:val="decimal"/>
      <w:suff w:val="nothing"/>
      <w:lvlText w:val="（%1）"/>
      <w:lvlJc w:val="left"/>
    </w:lvl>
  </w:abstractNum>
  <w:abstractNum w:abstractNumId="2">
    <w:nsid w:val="CAA50F28"/>
    <w:multiLevelType w:val="singleLevel"/>
    <w:tmpl w:val="CAA50F28"/>
    <w:lvl w:ilvl="0" w:tentative="0">
      <w:start w:val="1"/>
      <w:numFmt w:val="decimal"/>
      <w:suff w:val="nothing"/>
      <w:lvlText w:val="（%1）"/>
      <w:lvlJc w:val="left"/>
    </w:lvl>
  </w:abstractNum>
  <w:abstractNum w:abstractNumId="3">
    <w:nsid w:val="2375B82F"/>
    <w:multiLevelType w:val="singleLevel"/>
    <w:tmpl w:val="2375B82F"/>
    <w:lvl w:ilvl="0" w:tentative="0">
      <w:start w:val="4"/>
      <w:numFmt w:val="decimal"/>
      <w:suff w:val="nothing"/>
      <w:lvlText w:val="%1、"/>
      <w:lvlJc w:val="left"/>
    </w:lvl>
  </w:abstractNum>
  <w:abstractNum w:abstractNumId="4">
    <w:nsid w:val="2E762555"/>
    <w:multiLevelType w:val="singleLevel"/>
    <w:tmpl w:val="2E762555"/>
    <w:lvl w:ilvl="0" w:tentative="0">
      <w:start w:val="1"/>
      <w:numFmt w:val="decimal"/>
      <w:suff w:val="nothing"/>
      <w:lvlText w:val="（%1）"/>
      <w:lvlJc w:val="left"/>
    </w:lvl>
  </w:abstractNum>
  <w:abstractNum w:abstractNumId="5">
    <w:nsid w:val="4540C299"/>
    <w:multiLevelType w:val="singleLevel"/>
    <w:tmpl w:val="4540C299"/>
    <w:lvl w:ilvl="0" w:tentative="0">
      <w:start w:val="1"/>
      <w:numFmt w:val="decimal"/>
      <w:suff w:val="nothing"/>
      <w:lvlText w:val="（%1）"/>
      <w:lvlJc w:val="left"/>
    </w:lvl>
  </w:abstractNum>
  <w:abstractNum w:abstractNumId="6">
    <w:nsid w:val="5B6374FB"/>
    <w:multiLevelType w:val="singleLevel"/>
    <w:tmpl w:val="5B6374FB"/>
    <w:lvl w:ilvl="0" w:tentative="0">
      <w:start w:val="1"/>
      <w:numFmt w:val="decimal"/>
      <w:suff w:val="nothing"/>
      <w:lvlText w:val="%1、"/>
      <w:lvlJc w:val="left"/>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VjMDMwMmJkZWU1YzBmMDgxMjhkMDQxMjdkYjczYTEifQ=="/>
  </w:docVars>
  <w:rsids>
    <w:rsidRoot w:val="00172A27"/>
    <w:rsid w:val="00001B06"/>
    <w:rsid w:val="000060B3"/>
    <w:rsid w:val="00007AA1"/>
    <w:rsid w:val="00016C0A"/>
    <w:rsid w:val="0001721C"/>
    <w:rsid w:val="00020CB7"/>
    <w:rsid w:val="00021C08"/>
    <w:rsid w:val="00032DBD"/>
    <w:rsid w:val="0004364B"/>
    <w:rsid w:val="00050E60"/>
    <w:rsid w:val="00053E70"/>
    <w:rsid w:val="00055641"/>
    <w:rsid w:val="00057235"/>
    <w:rsid w:val="00061B1F"/>
    <w:rsid w:val="00067A1E"/>
    <w:rsid w:val="000733C4"/>
    <w:rsid w:val="00073534"/>
    <w:rsid w:val="00074783"/>
    <w:rsid w:val="0007488B"/>
    <w:rsid w:val="00076710"/>
    <w:rsid w:val="00076E2D"/>
    <w:rsid w:val="0008070B"/>
    <w:rsid w:val="000810AC"/>
    <w:rsid w:val="00081A02"/>
    <w:rsid w:val="00082231"/>
    <w:rsid w:val="00085188"/>
    <w:rsid w:val="000864C7"/>
    <w:rsid w:val="00087EA2"/>
    <w:rsid w:val="00092D38"/>
    <w:rsid w:val="0009377B"/>
    <w:rsid w:val="00096245"/>
    <w:rsid w:val="000A20C9"/>
    <w:rsid w:val="000B058F"/>
    <w:rsid w:val="000B1FBC"/>
    <w:rsid w:val="000B4467"/>
    <w:rsid w:val="000B4DB9"/>
    <w:rsid w:val="000C09AC"/>
    <w:rsid w:val="000C767F"/>
    <w:rsid w:val="000D04C3"/>
    <w:rsid w:val="000D346D"/>
    <w:rsid w:val="000D5A44"/>
    <w:rsid w:val="000E3ED2"/>
    <w:rsid w:val="000F00BA"/>
    <w:rsid w:val="000F02A0"/>
    <w:rsid w:val="000F27D0"/>
    <w:rsid w:val="000F3BCA"/>
    <w:rsid w:val="000F5115"/>
    <w:rsid w:val="000F7576"/>
    <w:rsid w:val="00111DA7"/>
    <w:rsid w:val="00127813"/>
    <w:rsid w:val="00131F42"/>
    <w:rsid w:val="00133763"/>
    <w:rsid w:val="001357F1"/>
    <w:rsid w:val="00140FA8"/>
    <w:rsid w:val="00142107"/>
    <w:rsid w:val="00142FEB"/>
    <w:rsid w:val="001433A4"/>
    <w:rsid w:val="00143A2D"/>
    <w:rsid w:val="00145A41"/>
    <w:rsid w:val="00150DFE"/>
    <w:rsid w:val="00151675"/>
    <w:rsid w:val="00157435"/>
    <w:rsid w:val="00157B47"/>
    <w:rsid w:val="00160358"/>
    <w:rsid w:val="001672F9"/>
    <w:rsid w:val="00172A27"/>
    <w:rsid w:val="0017426A"/>
    <w:rsid w:val="00175035"/>
    <w:rsid w:val="0017504D"/>
    <w:rsid w:val="0017671A"/>
    <w:rsid w:val="00177422"/>
    <w:rsid w:val="00181B7A"/>
    <w:rsid w:val="00182CBD"/>
    <w:rsid w:val="00184590"/>
    <w:rsid w:val="00186DD6"/>
    <w:rsid w:val="001870D1"/>
    <w:rsid w:val="0018781E"/>
    <w:rsid w:val="00191450"/>
    <w:rsid w:val="0019262D"/>
    <w:rsid w:val="001A1B35"/>
    <w:rsid w:val="001A48A2"/>
    <w:rsid w:val="001A6F61"/>
    <w:rsid w:val="001B6861"/>
    <w:rsid w:val="001B72B8"/>
    <w:rsid w:val="001C69B3"/>
    <w:rsid w:val="001D444B"/>
    <w:rsid w:val="001D5595"/>
    <w:rsid w:val="001D7874"/>
    <w:rsid w:val="001D7F22"/>
    <w:rsid w:val="001E4AFE"/>
    <w:rsid w:val="001F0F17"/>
    <w:rsid w:val="001F3347"/>
    <w:rsid w:val="001F69E4"/>
    <w:rsid w:val="00204E18"/>
    <w:rsid w:val="002125B4"/>
    <w:rsid w:val="002155B8"/>
    <w:rsid w:val="00217406"/>
    <w:rsid w:val="00224839"/>
    <w:rsid w:val="002248FA"/>
    <w:rsid w:val="002249B2"/>
    <w:rsid w:val="00226574"/>
    <w:rsid w:val="002278EC"/>
    <w:rsid w:val="0023280E"/>
    <w:rsid w:val="00236DE9"/>
    <w:rsid w:val="002377D1"/>
    <w:rsid w:val="002422FE"/>
    <w:rsid w:val="002506BC"/>
    <w:rsid w:val="00251D44"/>
    <w:rsid w:val="00254173"/>
    <w:rsid w:val="00254345"/>
    <w:rsid w:val="00260504"/>
    <w:rsid w:val="00264557"/>
    <w:rsid w:val="00264BFA"/>
    <w:rsid w:val="002805AB"/>
    <w:rsid w:val="002831D3"/>
    <w:rsid w:val="002841FB"/>
    <w:rsid w:val="00284204"/>
    <w:rsid w:val="00284D1E"/>
    <w:rsid w:val="00286D9E"/>
    <w:rsid w:val="0029074E"/>
    <w:rsid w:val="00291773"/>
    <w:rsid w:val="00291C90"/>
    <w:rsid w:val="002A0B7F"/>
    <w:rsid w:val="002A168C"/>
    <w:rsid w:val="002A1ED1"/>
    <w:rsid w:val="002A1FFA"/>
    <w:rsid w:val="002A3DC7"/>
    <w:rsid w:val="002B268A"/>
    <w:rsid w:val="002B49E2"/>
    <w:rsid w:val="002B7B00"/>
    <w:rsid w:val="002B7C44"/>
    <w:rsid w:val="002B7D24"/>
    <w:rsid w:val="002C2B17"/>
    <w:rsid w:val="002C583E"/>
    <w:rsid w:val="002D143B"/>
    <w:rsid w:val="002D3DD0"/>
    <w:rsid w:val="002D7969"/>
    <w:rsid w:val="002E025D"/>
    <w:rsid w:val="002E1F3A"/>
    <w:rsid w:val="002E298A"/>
    <w:rsid w:val="00300CB8"/>
    <w:rsid w:val="00301978"/>
    <w:rsid w:val="0030332C"/>
    <w:rsid w:val="003051C2"/>
    <w:rsid w:val="00310333"/>
    <w:rsid w:val="00312296"/>
    <w:rsid w:val="00314F0E"/>
    <w:rsid w:val="003162CB"/>
    <w:rsid w:val="00321D8E"/>
    <w:rsid w:val="00325928"/>
    <w:rsid w:val="00331393"/>
    <w:rsid w:val="00332863"/>
    <w:rsid w:val="0033684D"/>
    <w:rsid w:val="00337B42"/>
    <w:rsid w:val="003419BA"/>
    <w:rsid w:val="00341B42"/>
    <w:rsid w:val="0034348F"/>
    <w:rsid w:val="0034524D"/>
    <w:rsid w:val="00351608"/>
    <w:rsid w:val="0035334C"/>
    <w:rsid w:val="00356653"/>
    <w:rsid w:val="0035743F"/>
    <w:rsid w:val="00357BE2"/>
    <w:rsid w:val="0036170C"/>
    <w:rsid w:val="00363A2C"/>
    <w:rsid w:val="00366E0F"/>
    <w:rsid w:val="00372CB4"/>
    <w:rsid w:val="003754F7"/>
    <w:rsid w:val="00381A72"/>
    <w:rsid w:val="00384676"/>
    <w:rsid w:val="00390857"/>
    <w:rsid w:val="0039256A"/>
    <w:rsid w:val="00397E7A"/>
    <w:rsid w:val="003A236D"/>
    <w:rsid w:val="003A4BF3"/>
    <w:rsid w:val="003B420D"/>
    <w:rsid w:val="003C02A6"/>
    <w:rsid w:val="003C1C40"/>
    <w:rsid w:val="003C3AE2"/>
    <w:rsid w:val="003C401F"/>
    <w:rsid w:val="003C6C16"/>
    <w:rsid w:val="003C77B2"/>
    <w:rsid w:val="003D3809"/>
    <w:rsid w:val="003D794D"/>
    <w:rsid w:val="003E3058"/>
    <w:rsid w:val="003E6DB4"/>
    <w:rsid w:val="003E76A9"/>
    <w:rsid w:val="003F0809"/>
    <w:rsid w:val="003F100E"/>
    <w:rsid w:val="003F36C7"/>
    <w:rsid w:val="003F6A8C"/>
    <w:rsid w:val="003F755C"/>
    <w:rsid w:val="0040524B"/>
    <w:rsid w:val="00406F01"/>
    <w:rsid w:val="00415B6F"/>
    <w:rsid w:val="0041620A"/>
    <w:rsid w:val="00416D50"/>
    <w:rsid w:val="00416FD5"/>
    <w:rsid w:val="00417772"/>
    <w:rsid w:val="00420E6A"/>
    <w:rsid w:val="00425A9E"/>
    <w:rsid w:val="00426D6B"/>
    <w:rsid w:val="00427F4D"/>
    <w:rsid w:val="00431E6C"/>
    <w:rsid w:val="00433CE7"/>
    <w:rsid w:val="0043771D"/>
    <w:rsid w:val="00443860"/>
    <w:rsid w:val="00451ABA"/>
    <w:rsid w:val="00452738"/>
    <w:rsid w:val="0045381D"/>
    <w:rsid w:val="00456091"/>
    <w:rsid w:val="00460017"/>
    <w:rsid w:val="00466321"/>
    <w:rsid w:val="0048295F"/>
    <w:rsid w:val="00484B9B"/>
    <w:rsid w:val="00484C37"/>
    <w:rsid w:val="004855F6"/>
    <w:rsid w:val="0048661E"/>
    <w:rsid w:val="00492636"/>
    <w:rsid w:val="00494670"/>
    <w:rsid w:val="004A14D3"/>
    <w:rsid w:val="004A3823"/>
    <w:rsid w:val="004A3E54"/>
    <w:rsid w:val="004B327E"/>
    <w:rsid w:val="004B55A3"/>
    <w:rsid w:val="004B55ED"/>
    <w:rsid w:val="004B5D36"/>
    <w:rsid w:val="004B6DF3"/>
    <w:rsid w:val="004C0F1E"/>
    <w:rsid w:val="004C6548"/>
    <w:rsid w:val="004D1675"/>
    <w:rsid w:val="004D48AB"/>
    <w:rsid w:val="004E1F77"/>
    <w:rsid w:val="004E6946"/>
    <w:rsid w:val="004F0D13"/>
    <w:rsid w:val="004F1AD8"/>
    <w:rsid w:val="005039CB"/>
    <w:rsid w:val="0050558F"/>
    <w:rsid w:val="00506286"/>
    <w:rsid w:val="00510813"/>
    <w:rsid w:val="00511527"/>
    <w:rsid w:val="00511990"/>
    <w:rsid w:val="00511DE0"/>
    <w:rsid w:val="00514870"/>
    <w:rsid w:val="00514B9B"/>
    <w:rsid w:val="005171CE"/>
    <w:rsid w:val="00517F02"/>
    <w:rsid w:val="00524303"/>
    <w:rsid w:val="005258A2"/>
    <w:rsid w:val="00531B4C"/>
    <w:rsid w:val="00533307"/>
    <w:rsid w:val="00536D76"/>
    <w:rsid w:val="005401AE"/>
    <w:rsid w:val="00541088"/>
    <w:rsid w:val="00542E07"/>
    <w:rsid w:val="00544CA3"/>
    <w:rsid w:val="00545424"/>
    <w:rsid w:val="005540B5"/>
    <w:rsid w:val="00554A7B"/>
    <w:rsid w:val="0055572C"/>
    <w:rsid w:val="0055721D"/>
    <w:rsid w:val="0056106A"/>
    <w:rsid w:val="00563B5E"/>
    <w:rsid w:val="00564F96"/>
    <w:rsid w:val="005720AE"/>
    <w:rsid w:val="0057262B"/>
    <w:rsid w:val="00577306"/>
    <w:rsid w:val="0059227A"/>
    <w:rsid w:val="00592901"/>
    <w:rsid w:val="005936CC"/>
    <w:rsid w:val="00594D77"/>
    <w:rsid w:val="005969E4"/>
    <w:rsid w:val="005A06B7"/>
    <w:rsid w:val="005A1759"/>
    <w:rsid w:val="005A6730"/>
    <w:rsid w:val="005A68A7"/>
    <w:rsid w:val="005A70A2"/>
    <w:rsid w:val="005B1C9F"/>
    <w:rsid w:val="005B66B5"/>
    <w:rsid w:val="005D36AB"/>
    <w:rsid w:val="005E6398"/>
    <w:rsid w:val="005F18F8"/>
    <w:rsid w:val="005F1A76"/>
    <w:rsid w:val="00604CBE"/>
    <w:rsid w:val="006065A1"/>
    <w:rsid w:val="00610829"/>
    <w:rsid w:val="00611BC0"/>
    <w:rsid w:val="0061247A"/>
    <w:rsid w:val="00617CC3"/>
    <w:rsid w:val="006266EC"/>
    <w:rsid w:val="00627B4D"/>
    <w:rsid w:val="00630617"/>
    <w:rsid w:val="00631CCE"/>
    <w:rsid w:val="006377A6"/>
    <w:rsid w:val="00637A3D"/>
    <w:rsid w:val="006411EF"/>
    <w:rsid w:val="00643643"/>
    <w:rsid w:val="00667073"/>
    <w:rsid w:val="00670510"/>
    <w:rsid w:val="006741BE"/>
    <w:rsid w:val="006746D1"/>
    <w:rsid w:val="006748B8"/>
    <w:rsid w:val="006757E0"/>
    <w:rsid w:val="006775C3"/>
    <w:rsid w:val="006834DC"/>
    <w:rsid w:val="0069290A"/>
    <w:rsid w:val="0069361E"/>
    <w:rsid w:val="00696CCA"/>
    <w:rsid w:val="00696F9C"/>
    <w:rsid w:val="0069775A"/>
    <w:rsid w:val="00697813"/>
    <w:rsid w:val="006A3EE8"/>
    <w:rsid w:val="006A47F6"/>
    <w:rsid w:val="006A72BF"/>
    <w:rsid w:val="006A7758"/>
    <w:rsid w:val="006B03F2"/>
    <w:rsid w:val="006B22A3"/>
    <w:rsid w:val="006B37DC"/>
    <w:rsid w:val="006B4F68"/>
    <w:rsid w:val="006B5198"/>
    <w:rsid w:val="006C0592"/>
    <w:rsid w:val="006C272E"/>
    <w:rsid w:val="006C5479"/>
    <w:rsid w:val="006D13B5"/>
    <w:rsid w:val="006E12FF"/>
    <w:rsid w:val="006E607E"/>
    <w:rsid w:val="006E6A52"/>
    <w:rsid w:val="006F016D"/>
    <w:rsid w:val="006F320A"/>
    <w:rsid w:val="006F3BFA"/>
    <w:rsid w:val="006F75BE"/>
    <w:rsid w:val="0070000F"/>
    <w:rsid w:val="00703932"/>
    <w:rsid w:val="00706C5D"/>
    <w:rsid w:val="00731C0A"/>
    <w:rsid w:val="00732602"/>
    <w:rsid w:val="00732922"/>
    <w:rsid w:val="007401D8"/>
    <w:rsid w:val="0074328D"/>
    <w:rsid w:val="0075162E"/>
    <w:rsid w:val="00751C7F"/>
    <w:rsid w:val="00753396"/>
    <w:rsid w:val="00754034"/>
    <w:rsid w:val="00756556"/>
    <w:rsid w:val="007618C4"/>
    <w:rsid w:val="00764027"/>
    <w:rsid w:val="00767980"/>
    <w:rsid w:val="00770A00"/>
    <w:rsid w:val="00770B19"/>
    <w:rsid w:val="0077463F"/>
    <w:rsid w:val="0077632D"/>
    <w:rsid w:val="00781D50"/>
    <w:rsid w:val="007836EA"/>
    <w:rsid w:val="00784CDA"/>
    <w:rsid w:val="007906C4"/>
    <w:rsid w:val="007940EA"/>
    <w:rsid w:val="0079565F"/>
    <w:rsid w:val="007967E8"/>
    <w:rsid w:val="00797368"/>
    <w:rsid w:val="00797A34"/>
    <w:rsid w:val="007A212A"/>
    <w:rsid w:val="007A2170"/>
    <w:rsid w:val="007A22BF"/>
    <w:rsid w:val="007A3323"/>
    <w:rsid w:val="007B72B8"/>
    <w:rsid w:val="007B7A58"/>
    <w:rsid w:val="007C1BB8"/>
    <w:rsid w:val="007C21B5"/>
    <w:rsid w:val="007C55BC"/>
    <w:rsid w:val="007C7743"/>
    <w:rsid w:val="007D0AE8"/>
    <w:rsid w:val="007D2125"/>
    <w:rsid w:val="007D393F"/>
    <w:rsid w:val="007E4BD2"/>
    <w:rsid w:val="007F6599"/>
    <w:rsid w:val="007F76A9"/>
    <w:rsid w:val="00801393"/>
    <w:rsid w:val="00802F88"/>
    <w:rsid w:val="008070DB"/>
    <w:rsid w:val="00810F8C"/>
    <w:rsid w:val="0081293E"/>
    <w:rsid w:val="00815465"/>
    <w:rsid w:val="00815E8E"/>
    <w:rsid w:val="00817E9A"/>
    <w:rsid w:val="00827E3B"/>
    <w:rsid w:val="008306BD"/>
    <w:rsid w:val="00831A4D"/>
    <w:rsid w:val="00831A80"/>
    <w:rsid w:val="00833743"/>
    <w:rsid w:val="008340A4"/>
    <w:rsid w:val="008512A6"/>
    <w:rsid w:val="0086497D"/>
    <w:rsid w:val="0087135F"/>
    <w:rsid w:val="00872D94"/>
    <w:rsid w:val="00880364"/>
    <w:rsid w:val="00885968"/>
    <w:rsid w:val="00891592"/>
    <w:rsid w:val="00891E9E"/>
    <w:rsid w:val="008940D6"/>
    <w:rsid w:val="00895EBA"/>
    <w:rsid w:val="008A2F68"/>
    <w:rsid w:val="008A5FF5"/>
    <w:rsid w:val="008B033B"/>
    <w:rsid w:val="008B4FA6"/>
    <w:rsid w:val="008B5282"/>
    <w:rsid w:val="008B7C17"/>
    <w:rsid w:val="008C2D01"/>
    <w:rsid w:val="008C40E6"/>
    <w:rsid w:val="008C7639"/>
    <w:rsid w:val="008D0F7A"/>
    <w:rsid w:val="008D1543"/>
    <w:rsid w:val="008D3BB1"/>
    <w:rsid w:val="008D660F"/>
    <w:rsid w:val="008D68E4"/>
    <w:rsid w:val="008E0506"/>
    <w:rsid w:val="008E0CFF"/>
    <w:rsid w:val="008E5D6B"/>
    <w:rsid w:val="008E76F0"/>
    <w:rsid w:val="008E7F46"/>
    <w:rsid w:val="008F15FE"/>
    <w:rsid w:val="008F2D29"/>
    <w:rsid w:val="008F2D92"/>
    <w:rsid w:val="008F4542"/>
    <w:rsid w:val="008F5187"/>
    <w:rsid w:val="008F60D8"/>
    <w:rsid w:val="00901AFA"/>
    <w:rsid w:val="00902727"/>
    <w:rsid w:val="0090312B"/>
    <w:rsid w:val="009045A3"/>
    <w:rsid w:val="00911540"/>
    <w:rsid w:val="00911A7C"/>
    <w:rsid w:val="009126B9"/>
    <w:rsid w:val="0091293B"/>
    <w:rsid w:val="0091736D"/>
    <w:rsid w:val="00922E85"/>
    <w:rsid w:val="0093037A"/>
    <w:rsid w:val="00930B99"/>
    <w:rsid w:val="0094154D"/>
    <w:rsid w:val="0095155F"/>
    <w:rsid w:val="00952C0C"/>
    <w:rsid w:val="00953416"/>
    <w:rsid w:val="00953FF8"/>
    <w:rsid w:val="00954429"/>
    <w:rsid w:val="009563CE"/>
    <w:rsid w:val="009566BD"/>
    <w:rsid w:val="00960D01"/>
    <w:rsid w:val="00962AB4"/>
    <w:rsid w:val="00972155"/>
    <w:rsid w:val="0097588B"/>
    <w:rsid w:val="00976328"/>
    <w:rsid w:val="0097680D"/>
    <w:rsid w:val="00982438"/>
    <w:rsid w:val="009828C4"/>
    <w:rsid w:val="0098404C"/>
    <w:rsid w:val="00985283"/>
    <w:rsid w:val="00986C3D"/>
    <w:rsid w:val="00991148"/>
    <w:rsid w:val="0099274F"/>
    <w:rsid w:val="00994E19"/>
    <w:rsid w:val="00995992"/>
    <w:rsid w:val="00996A89"/>
    <w:rsid w:val="00996B4B"/>
    <w:rsid w:val="009A03E5"/>
    <w:rsid w:val="009A0F3B"/>
    <w:rsid w:val="009A1BB4"/>
    <w:rsid w:val="009A2628"/>
    <w:rsid w:val="009A3200"/>
    <w:rsid w:val="009A5B45"/>
    <w:rsid w:val="009B0897"/>
    <w:rsid w:val="009B1351"/>
    <w:rsid w:val="009B3475"/>
    <w:rsid w:val="009B7BD9"/>
    <w:rsid w:val="009C7DD5"/>
    <w:rsid w:val="009D5B6A"/>
    <w:rsid w:val="009D6B25"/>
    <w:rsid w:val="009D7128"/>
    <w:rsid w:val="009E227D"/>
    <w:rsid w:val="009E45F0"/>
    <w:rsid w:val="009E5019"/>
    <w:rsid w:val="009E6E2A"/>
    <w:rsid w:val="009E7D08"/>
    <w:rsid w:val="00A023C6"/>
    <w:rsid w:val="00A04F1B"/>
    <w:rsid w:val="00A0501B"/>
    <w:rsid w:val="00A14947"/>
    <w:rsid w:val="00A23542"/>
    <w:rsid w:val="00A23805"/>
    <w:rsid w:val="00A32A83"/>
    <w:rsid w:val="00A36080"/>
    <w:rsid w:val="00A368DB"/>
    <w:rsid w:val="00A423AA"/>
    <w:rsid w:val="00A438D8"/>
    <w:rsid w:val="00A47760"/>
    <w:rsid w:val="00A47BC6"/>
    <w:rsid w:val="00A53EC6"/>
    <w:rsid w:val="00A55C0F"/>
    <w:rsid w:val="00A84A67"/>
    <w:rsid w:val="00A861F9"/>
    <w:rsid w:val="00A8713F"/>
    <w:rsid w:val="00A90BA1"/>
    <w:rsid w:val="00A97A9A"/>
    <w:rsid w:val="00AA0671"/>
    <w:rsid w:val="00AA1FF7"/>
    <w:rsid w:val="00AA2531"/>
    <w:rsid w:val="00AA3B7D"/>
    <w:rsid w:val="00AB1E09"/>
    <w:rsid w:val="00AB5330"/>
    <w:rsid w:val="00AB7747"/>
    <w:rsid w:val="00AC14CE"/>
    <w:rsid w:val="00AC2A56"/>
    <w:rsid w:val="00AC730C"/>
    <w:rsid w:val="00AD055E"/>
    <w:rsid w:val="00AD47A7"/>
    <w:rsid w:val="00AD65F0"/>
    <w:rsid w:val="00AD76B6"/>
    <w:rsid w:val="00AE0366"/>
    <w:rsid w:val="00AF0CBF"/>
    <w:rsid w:val="00AF257F"/>
    <w:rsid w:val="00AF33CF"/>
    <w:rsid w:val="00AF3C81"/>
    <w:rsid w:val="00AF4D50"/>
    <w:rsid w:val="00AF6179"/>
    <w:rsid w:val="00B126A6"/>
    <w:rsid w:val="00B1295A"/>
    <w:rsid w:val="00B158FF"/>
    <w:rsid w:val="00B20A45"/>
    <w:rsid w:val="00B21CA4"/>
    <w:rsid w:val="00B22C5C"/>
    <w:rsid w:val="00B24F30"/>
    <w:rsid w:val="00B25024"/>
    <w:rsid w:val="00B31ABF"/>
    <w:rsid w:val="00B33BE3"/>
    <w:rsid w:val="00B3535D"/>
    <w:rsid w:val="00B37A62"/>
    <w:rsid w:val="00B4201F"/>
    <w:rsid w:val="00B44DFE"/>
    <w:rsid w:val="00B452DB"/>
    <w:rsid w:val="00B53B5D"/>
    <w:rsid w:val="00B54553"/>
    <w:rsid w:val="00B6055E"/>
    <w:rsid w:val="00B6317D"/>
    <w:rsid w:val="00B678DE"/>
    <w:rsid w:val="00B74123"/>
    <w:rsid w:val="00B7723F"/>
    <w:rsid w:val="00B777ED"/>
    <w:rsid w:val="00B80534"/>
    <w:rsid w:val="00B8433C"/>
    <w:rsid w:val="00B87491"/>
    <w:rsid w:val="00BA29E9"/>
    <w:rsid w:val="00BA7142"/>
    <w:rsid w:val="00BB1CAC"/>
    <w:rsid w:val="00BB237C"/>
    <w:rsid w:val="00BB41A3"/>
    <w:rsid w:val="00BC32DC"/>
    <w:rsid w:val="00BC35B6"/>
    <w:rsid w:val="00BC42E3"/>
    <w:rsid w:val="00BD1B51"/>
    <w:rsid w:val="00BD4596"/>
    <w:rsid w:val="00BE1405"/>
    <w:rsid w:val="00BE312D"/>
    <w:rsid w:val="00BE405C"/>
    <w:rsid w:val="00BE7797"/>
    <w:rsid w:val="00BF1C20"/>
    <w:rsid w:val="00C00E43"/>
    <w:rsid w:val="00C10578"/>
    <w:rsid w:val="00C135BC"/>
    <w:rsid w:val="00C15C95"/>
    <w:rsid w:val="00C2596A"/>
    <w:rsid w:val="00C27537"/>
    <w:rsid w:val="00C328FE"/>
    <w:rsid w:val="00C33507"/>
    <w:rsid w:val="00C43F8C"/>
    <w:rsid w:val="00C4409D"/>
    <w:rsid w:val="00C44E72"/>
    <w:rsid w:val="00C45A06"/>
    <w:rsid w:val="00C46643"/>
    <w:rsid w:val="00C47E5B"/>
    <w:rsid w:val="00C56A2D"/>
    <w:rsid w:val="00C61E4B"/>
    <w:rsid w:val="00C637BA"/>
    <w:rsid w:val="00C64BFF"/>
    <w:rsid w:val="00C67BD0"/>
    <w:rsid w:val="00C704E9"/>
    <w:rsid w:val="00C763C9"/>
    <w:rsid w:val="00C80057"/>
    <w:rsid w:val="00C80D06"/>
    <w:rsid w:val="00C82232"/>
    <w:rsid w:val="00C82913"/>
    <w:rsid w:val="00C867F4"/>
    <w:rsid w:val="00C87F68"/>
    <w:rsid w:val="00C949BB"/>
    <w:rsid w:val="00C972B1"/>
    <w:rsid w:val="00CA01E1"/>
    <w:rsid w:val="00CA2CCE"/>
    <w:rsid w:val="00CA43FD"/>
    <w:rsid w:val="00CA6B2A"/>
    <w:rsid w:val="00CA7EF8"/>
    <w:rsid w:val="00CB55A8"/>
    <w:rsid w:val="00CC1782"/>
    <w:rsid w:val="00CC32F8"/>
    <w:rsid w:val="00CC489B"/>
    <w:rsid w:val="00CD0AE6"/>
    <w:rsid w:val="00CD2BCD"/>
    <w:rsid w:val="00CD3345"/>
    <w:rsid w:val="00CD3A4C"/>
    <w:rsid w:val="00CD45DD"/>
    <w:rsid w:val="00CE10E9"/>
    <w:rsid w:val="00CE2910"/>
    <w:rsid w:val="00CE5393"/>
    <w:rsid w:val="00CF36BE"/>
    <w:rsid w:val="00CF4A83"/>
    <w:rsid w:val="00CF6000"/>
    <w:rsid w:val="00CF6C05"/>
    <w:rsid w:val="00CF6D42"/>
    <w:rsid w:val="00D003F3"/>
    <w:rsid w:val="00D00620"/>
    <w:rsid w:val="00D0364F"/>
    <w:rsid w:val="00D04D7B"/>
    <w:rsid w:val="00D06834"/>
    <w:rsid w:val="00D076D7"/>
    <w:rsid w:val="00D107FE"/>
    <w:rsid w:val="00D11366"/>
    <w:rsid w:val="00D22C61"/>
    <w:rsid w:val="00D2552E"/>
    <w:rsid w:val="00D308ED"/>
    <w:rsid w:val="00D36D86"/>
    <w:rsid w:val="00D4144C"/>
    <w:rsid w:val="00D428AA"/>
    <w:rsid w:val="00D44126"/>
    <w:rsid w:val="00D465C0"/>
    <w:rsid w:val="00D50A34"/>
    <w:rsid w:val="00D515AE"/>
    <w:rsid w:val="00D52791"/>
    <w:rsid w:val="00D53EFA"/>
    <w:rsid w:val="00D552F3"/>
    <w:rsid w:val="00D6122F"/>
    <w:rsid w:val="00D76CA2"/>
    <w:rsid w:val="00D847B3"/>
    <w:rsid w:val="00D94A7C"/>
    <w:rsid w:val="00D94AE8"/>
    <w:rsid w:val="00D95896"/>
    <w:rsid w:val="00DB2983"/>
    <w:rsid w:val="00DC1257"/>
    <w:rsid w:val="00DC1B1B"/>
    <w:rsid w:val="00DC3DC0"/>
    <w:rsid w:val="00DC5B2B"/>
    <w:rsid w:val="00DD318D"/>
    <w:rsid w:val="00DD3498"/>
    <w:rsid w:val="00DD5E22"/>
    <w:rsid w:val="00DE2D58"/>
    <w:rsid w:val="00DE7A9E"/>
    <w:rsid w:val="00DF2E12"/>
    <w:rsid w:val="00DF34E3"/>
    <w:rsid w:val="00DF514A"/>
    <w:rsid w:val="00DF6690"/>
    <w:rsid w:val="00DF6804"/>
    <w:rsid w:val="00E02CCC"/>
    <w:rsid w:val="00E0358D"/>
    <w:rsid w:val="00E04323"/>
    <w:rsid w:val="00E070A2"/>
    <w:rsid w:val="00E121A8"/>
    <w:rsid w:val="00E25D0F"/>
    <w:rsid w:val="00E2656A"/>
    <w:rsid w:val="00E27F56"/>
    <w:rsid w:val="00E33EB6"/>
    <w:rsid w:val="00E3549F"/>
    <w:rsid w:val="00E35E2A"/>
    <w:rsid w:val="00E412D0"/>
    <w:rsid w:val="00E429F7"/>
    <w:rsid w:val="00E56322"/>
    <w:rsid w:val="00E60982"/>
    <w:rsid w:val="00E6296C"/>
    <w:rsid w:val="00E62C62"/>
    <w:rsid w:val="00E6464F"/>
    <w:rsid w:val="00E654C1"/>
    <w:rsid w:val="00E65D97"/>
    <w:rsid w:val="00E72A5A"/>
    <w:rsid w:val="00E73286"/>
    <w:rsid w:val="00E73354"/>
    <w:rsid w:val="00E7391C"/>
    <w:rsid w:val="00E81B97"/>
    <w:rsid w:val="00E903FC"/>
    <w:rsid w:val="00E9242D"/>
    <w:rsid w:val="00EA666E"/>
    <w:rsid w:val="00EB4012"/>
    <w:rsid w:val="00EB5255"/>
    <w:rsid w:val="00EB5C47"/>
    <w:rsid w:val="00ED0639"/>
    <w:rsid w:val="00EF4755"/>
    <w:rsid w:val="00EF7135"/>
    <w:rsid w:val="00F0142D"/>
    <w:rsid w:val="00F027DB"/>
    <w:rsid w:val="00F04427"/>
    <w:rsid w:val="00F14A7A"/>
    <w:rsid w:val="00F21781"/>
    <w:rsid w:val="00F21DFE"/>
    <w:rsid w:val="00F22985"/>
    <w:rsid w:val="00F3383E"/>
    <w:rsid w:val="00F4255B"/>
    <w:rsid w:val="00F465A7"/>
    <w:rsid w:val="00F50B7C"/>
    <w:rsid w:val="00F52968"/>
    <w:rsid w:val="00F550E6"/>
    <w:rsid w:val="00F73870"/>
    <w:rsid w:val="00F74345"/>
    <w:rsid w:val="00F747CB"/>
    <w:rsid w:val="00F7730C"/>
    <w:rsid w:val="00F80A0A"/>
    <w:rsid w:val="00F82B19"/>
    <w:rsid w:val="00F832D1"/>
    <w:rsid w:val="00F83805"/>
    <w:rsid w:val="00F85642"/>
    <w:rsid w:val="00F85CB8"/>
    <w:rsid w:val="00F9212D"/>
    <w:rsid w:val="00F965DA"/>
    <w:rsid w:val="00FA406A"/>
    <w:rsid w:val="00FB11B8"/>
    <w:rsid w:val="00FB503A"/>
    <w:rsid w:val="00FB516C"/>
    <w:rsid w:val="00FB6547"/>
    <w:rsid w:val="00FC091A"/>
    <w:rsid w:val="00FC1BD1"/>
    <w:rsid w:val="00FD0236"/>
    <w:rsid w:val="00FD18F4"/>
    <w:rsid w:val="00FD54DB"/>
    <w:rsid w:val="00FD619F"/>
    <w:rsid w:val="00FE7122"/>
    <w:rsid w:val="00FF1DAE"/>
    <w:rsid w:val="01290F7E"/>
    <w:rsid w:val="015D1E09"/>
    <w:rsid w:val="0185242B"/>
    <w:rsid w:val="01B76EDE"/>
    <w:rsid w:val="01BE648F"/>
    <w:rsid w:val="021B2252"/>
    <w:rsid w:val="02697903"/>
    <w:rsid w:val="02722296"/>
    <w:rsid w:val="029A7D90"/>
    <w:rsid w:val="02CD1F13"/>
    <w:rsid w:val="02F96569"/>
    <w:rsid w:val="030C49AB"/>
    <w:rsid w:val="03EA7B21"/>
    <w:rsid w:val="040F499F"/>
    <w:rsid w:val="042A75C7"/>
    <w:rsid w:val="04E853C8"/>
    <w:rsid w:val="05765E49"/>
    <w:rsid w:val="05966181"/>
    <w:rsid w:val="05F83EAE"/>
    <w:rsid w:val="063E7D85"/>
    <w:rsid w:val="066A7E79"/>
    <w:rsid w:val="06B778F9"/>
    <w:rsid w:val="07293586"/>
    <w:rsid w:val="07295285"/>
    <w:rsid w:val="074309F6"/>
    <w:rsid w:val="07636392"/>
    <w:rsid w:val="07770C56"/>
    <w:rsid w:val="07B62D54"/>
    <w:rsid w:val="07E709D1"/>
    <w:rsid w:val="089108F9"/>
    <w:rsid w:val="092217DD"/>
    <w:rsid w:val="093A7294"/>
    <w:rsid w:val="094573BE"/>
    <w:rsid w:val="09787140"/>
    <w:rsid w:val="09EE280F"/>
    <w:rsid w:val="09F66418"/>
    <w:rsid w:val="0A263993"/>
    <w:rsid w:val="0A2D3AC2"/>
    <w:rsid w:val="0AA755DF"/>
    <w:rsid w:val="0B120D44"/>
    <w:rsid w:val="0B5331D2"/>
    <w:rsid w:val="0BD27BF6"/>
    <w:rsid w:val="0C3B3C7D"/>
    <w:rsid w:val="0CAB2EAE"/>
    <w:rsid w:val="0D0C151C"/>
    <w:rsid w:val="0D621C7D"/>
    <w:rsid w:val="0D714081"/>
    <w:rsid w:val="0D8B04E8"/>
    <w:rsid w:val="0E4B63E2"/>
    <w:rsid w:val="0E73034D"/>
    <w:rsid w:val="0E876A36"/>
    <w:rsid w:val="0EBD3FDC"/>
    <w:rsid w:val="0EC978A8"/>
    <w:rsid w:val="0F13775A"/>
    <w:rsid w:val="0F1D0482"/>
    <w:rsid w:val="0F5F45FE"/>
    <w:rsid w:val="0F9A112B"/>
    <w:rsid w:val="0FEE64A8"/>
    <w:rsid w:val="0FFD3483"/>
    <w:rsid w:val="100E1475"/>
    <w:rsid w:val="103F60AD"/>
    <w:rsid w:val="106D2F64"/>
    <w:rsid w:val="107E1E94"/>
    <w:rsid w:val="10B63710"/>
    <w:rsid w:val="10BC6BD1"/>
    <w:rsid w:val="10F10820"/>
    <w:rsid w:val="111C2F7A"/>
    <w:rsid w:val="112076B2"/>
    <w:rsid w:val="113427EC"/>
    <w:rsid w:val="11665CA1"/>
    <w:rsid w:val="11691D27"/>
    <w:rsid w:val="118934A9"/>
    <w:rsid w:val="1232080B"/>
    <w:rsid w:val="127D37FE"/>
    <w:rsid w:val="12AA6AF4"/>
    <w:rsid w:val="13355144"/>
    <w:rsid w:val="13951726"/>
    <w:rsid w:val="13CC37C4"/>
    <w:rsid w:val="14170A73"/>
    <w:rsid w:val="14396509"/>
    <w:rsid w:val="148F527B"/>
    <w:rsid w:val="14DD2C3C"/>
    <w:rsid w:val="153E0A4F"/>
    <w:rsid w:val="15847D07"/>
    <w:rsid w:val="16087E1D"/>
    <w:rsid w:val="16321775"/>
    <w:rsid w:val="16761CCA"/>
    <w:rsid w:val="16F72C63"/>
    <w:rsid w:val="16F75269"/>
    <w:rsid w:val="17701D14"/>
    <w:rsid w:val="17735226"/>
    <w:rsid w:val="17ED5A4B"/>
    <w:rsid w:val="18410C06"/>
    <w:rsid w:val="189F624C"/>
    <w:rsid w:val="19C80B7D"/>
    <w:rsid w:val="19D35C0A"/>
    <w:rsid w:val="1A1C66C0"/>
    <w:rsid w:val="1A42393B"/>
    <w:rsid w:val="1A446483"/>
    <w:rsid w:val="1A6940BC"/>
    <w:rsid w:val="1AAD45DE"/>
    <w:rsid w:val="1AD77A0E"/>
    <w:rsid w:val="1B046F80"/>
    <w:rsid w:val="1B3267B5"/>
    <w:rsid w:val="1B40161D"/>
    <w:rsid w:val="1B441859"/>
    <w:rsid w:val="1B6606B1"/>
    <w:rsid w:val="1BED3AE2"/>
    <w:rsid w:val="1BF540D8"/>
    <w:rsid w:val="1C194D1E"/>
    <w:rsid w:val="1C5E7925"/>
    <w:rsid w:val="1CFD070F"/>
    <w:rsid w:val="1D3E15EC"/>
    <w:rsid w:val="1D5F6196"/>
    <w:rsid w:val="1D6132A5"/>
    <w:rsid w:val="1D8E56D5"/>
    <w:rsid w:val="1DE43C0B"/>
    <w:rsid w:val="1E0C344A"/>
    <w:rsid w:val="1E6E2AC4"/>
    <w:rsid w:val="1E7A43DA"/>
    <w:rsid w:val="1E816D1C"/>
    <w:rsid w:val="1EA2303A"/>
    <w:rsid w:val="1EB54137"/>
    <w:rsid w:val="1ED37D1E"/>
    <w:rsid w:val="1EFB2CE8"/>
    <w:rsid w:val="1F8F24E0"/>
    <w:rsid w:val="1FAE241B"/>
    <w:rsid w:val="1FE7539E"/>
    <w:rsid w:val="202028DF"/>
    <w:rsid w:val="20671BE0"/>
    <w:rsid w:val="20963CB8"/>
    <w:rsid w:val="20A81A1B"/>
    <w:rsid w:val="20B07FB6"/>
    <w:rsid w:val="20B646FB"/>
    <w:rsid w:val="20B866A1"/>
    <w:rsid w:val="21273C77"/>
    <w:rsid w:val="213B74B1"/>
    <w:rsid w:val="214E596A"/>
    <w:rsid w:val="215A2310"/>
    <w:rsid w:val="217A1FEA"/>
    <w:rsid w:val="217B36BE"/>
    <w:rsid w:val="21C2532E"/>
    <w:rsid w:val="21DE318A"/>
    <w:rsid w:val="21EF5B80"/>
    <w:rsid w:val="22576990"/>
    <w:rsid w:val="22F47480"/>
    <w:rsid w:val="2328341F"/>
    <w:rsid w:val="23325281"/>
    <w:rsid w:val="23C93AFC"/>
    <w:rsid w:val="23DE1C48"/>
    <w:rsid w:val="240210CD"/>
    <w:rsid w:val="240C5A47"/>
    <w:rsid w:val="24891732"/>
    <w:rsid w:val="24AE64B3"/>
    <w:rsid w:val="24BF09F7"/>
    <w:rsid w:val="24E11918"/>
    <w:rsid w:val="252D53FE"/>
    <w:rsid w:val="255F6432"/>
    <w:rsid w:val="25EC2D81"/>
    <w:rsid w:val="27566580"/>
    <w:rsid w:val="277057A2"/>
    <w:rsid w:val="27A661E0"/>
    <w:rsid w:val="27EB3ACE"/>
    <w:rsid w:val="28272E95"/>
    <w:rsid w:val="28C861F3"/>
    <w:rsid w:val="29206EB8"/>
    <w:rsid w:val="29595666"/>
    <w:rsid w:val="29874881"/>
    <w:rsid w:val="29BE6A9C"/>
    <w:rsid w:val="29CF56C8"/>
    <w:rsid w:val="29E325E0"/>
    <w:rsid w:val="2A1D5B9B"/>
    <w:rsid w:val="2A452503"/>
    <w:rsid w:val="2A8F7D7E"/>
    <w:rsid w:val="2ABC578F"/>
    <w:rsid w:val="2AFA5928"/>
    <w:rsid w:val="2BA053A0"/>
    <w:rsid w:val="2BA936A8"/>
    <w:rsid w:val="2BB76B25"/>
    <w:rsid w:val="2BDF043E"/>
    <w:rsid w:val="2BE0340E"/>
    <w:rsid w:val="2BF5199F"/>
    <w:rsid w:val="2C315A5A"/>
    <w:rsid w:val="2C4B1C25"/>
    <w:rsid w:val="2C7702EF"/>
    <w:rsid w:val="2C9123C0"/>
    <w:rsid w:val="2CC95809"/>
    <w:rsid w:val="2D9E56F5"/>
    <w:rsid w:val="2DB326AE"/>
    <w:rsid w:val="2E2713F2"/>
    <w:rsid w:val="2E667F96"/>
    <w:rsid w:val="2E8226AB"/>
    <w:rsid w:val="2EAB7E6F"/>
    <w:rsid w:val="2EEA36D1"/>
    <w:rsid w:val="2F4F4390"/>
    <w:rsid w:val="2FA762BE"/>
    <w:rsid w:val="2FD065E6"/>
    <w:rsid w:val="2FD96870"/>
    <w:rsid w:val="2FEC2C1E"/>
    <w:rsid w:val="301679D6"/>
    <w:rsid w:val="30580BC9"/>
    <w:rsid w:val="31123726"/>
    <w:rsid w:val="311D58A1"/>
    <w:rsid w:val="311E2ED7"/>
    <w:rsid w:val="315619EE"/>
    <w:rsid w:val="315C449C"/>
    <w:rsid w:val="31B82709"/>
    <w:rsid w:val="31D05482"/>
    <w:rsid w:val="32400B34"/>
    <w:rsid w:val="329E6876"/>
    <w:rsid w:val="333015F2"/>
    <w:rsid w:val="334B6320"/>
    <w:rsid w:val="335E5FAF"/>
    <w:rsid w:val="336D4F4E"/>
    <w:rsid w:val="33D02BD6"/>
    <w:rsid w:val="33D934D4"/>
    <w:rsid w:val="33FE2F6A"/>
    <w:rsid w:val="340E07E5"/>
    <w:rsid w:val="34235BF7"/>
    <w:rsid w:val="344A041F"/>
    <w:rsid w:val="34913F0F"/>
    <w:rsid w:val="358C5FA8"/>
    <w:rsid w:val="35C15DF1"/>
    <w:rsid w:val="36074A7F"/>
    <w:rsid w:val="366E3164"/>
    <w:rsid w:val="36923549"/>
    <w:rsid w:val="36A93DAE"/>
    <w:rsid w:val="36B75FBF"/>
    <w:rsid w:val="36BD0C45"/>
    <w:rsid w:val="36BD52C1"/>
    <w:rsid w:val="36E91A1C"/>
    <w:rsid w:val="370B2959"/>
    <w:rsid w:val="37643EED"/>
    <w:rsid w:val="37657A4D"/>
    <w:rsid w:val="37E00298"/>
    <w:rsid w:val="38B302F9"/>
    <w:rsid w:val="38EF7B50"/>
    <w:rsid w:val="38F12CD3"/>
    <w:rsid w:val="38F94775"/>
    <w:rsid w:val="3905700A"/>
    <w:rsid w:val="392971ED"/>
    <w:rsid w:val="39325651"/>
    <w:rsid w:val="396E7837"/>
    <w:rsid w:val="397359E6"/>
    <w:rsid w:val="3A58309F"/>
    <w:rsid w:val="3A872856"/>
    <w:rsid w:val="3ACA28EB"/>
    <w:rsid w:val="3B3763D1"/>
    <w:rsid w:val="3BFE4396"/>
    <w:rsid w:val="3C171775"/>
    <w:rsid w:val="3C2F6E1E"/>
    <w:rsid w:val="3C4F64BA"/>
    <w:rsid w:val="3CC0503C"/>
    <w:rsid w:val="3CDA245A"/>
    <w:rsid w:val="3D086111"/>
    <w:rsid w:val="3D1E06B7"/>
    <w:rsid w:val="3E1727FA"/>
    <w:rsid w:val="3E3B3504"/>
    <w:rsid w:val="3E4D56DB"/>
    <w:rsid w:val="3E810EE1"/>
    <w:rsid w:val="3EDA0523"/>
    <w:rsid w:val="400E46BD"/>
    <w:rsid w:val="406437F0"/>
    <w:rsid w:val="407A6407"/>
    <w:rsid w:val="4177481D"/>
    <w:rsid w:val="41B04679"/>
    <w:rsid w:val="4200449D"/>
    <w:rsid w:val="423A3BCC"/>
    <w:rsid w:val="424E57D2"/>
    <w:rsid w:val="42B26C49"/>
    <w:rsid w:val="433A6FE6"/>
    <w:rsid w:val="43480868"/>
    <w:rsid w:val="4350713C"/>
    <w:rsid w:val="436653E0"/>
    <w:rsid w:val="43C4431A"/>
    <w:rsid w:val="44032C9E"/>
    <w:rsid w:val="447B5A19"/>
    <w:rsid w:val="44B951CC"/>
    <w:rsid w:val="44CD14E0"/>
    <w:rsid w:val="44F20B0B"/>
    <w:rsid w:val="44F70F41"/>
    <w:rsid w:val="452E5F4C"/>
    <w:rsid w:val="45612018"/>
    <w:rsid w:val="45812061"/>
    <w:rsid w:val="458946E9"/>
    <w:rsid w:val="45A47C0E"/>
    <w:rsid w:val="45C338F2"/>
    <w:rsid w:val="45CE7308"/>
    <w:rsid w:val="460617B3"/>
    <w:rsid w:val="462C6AA4"/>
    <w:rsid w:val="46577FD6"/>
    <w:rsid w:val="46590092"/>
    <w:rsid w:val="46D955A7"/>
    <w:rsid w:val="46E57CF2"/>
    <w:rsid w:val="46F56910"/>
    <w:rsid w:val="47133957"/>
    <w:rsid w:val="472D02BC"/>
    <w:rsid w:val="473531B0"/>
    <w:rsid w:val="47A07E0C"/>
    <w:rsid w:val="47AF7A13"/>
    <w:rsid w:val="4855226F"/>
    <w:rsid w:val="4870272E"/>
    <w:rsid w:val="48FA3612"/>
    <w:rsid w:val="49712713"/>
    <w:rsid w:val="49902543"/>
    <w:rsid w:val="49DC7715"/>
    <w:rsid w:val="4A023139"/>
    <w:rsid w:val="4A0F13CF"/>
    <w:rsid w:val="4A7B576F"/>
    <w:rsid w:val="4AF561A9"/>
    <w:rsid w:val="4B2C6678"/>
    <w:rsid w:val="4C0924EA"/>
    <w:rsid w:val="4C4A0649"/>
    <w:rsid w:val="4C5E67F3"/>
    <w:rsid w:val="4C7E5ECA"/>
    <w:rsid w:val="4C876AA5"/>
    <w:rsid w:val="4C9C18BE"/>
    <w:rsid w:val="4CD92A3A"/>
    <w:rsid w:val="4D0E00FB"/>
    <w:rsid w:val="4D176606"/>
    <w:rsid w:val="4DEC4FB0"/>
    <w:rsid w:val="4E075D8A"/>
    <w:rsid w:val="4E21448E"/>
    <w:rsid w:val="4E69752F"/>
    <w:rsid w:val="4EC00FAD"/>
    <w:rsid w:val="4EFD40E4"/>
    <w:rsid w:val="4F6B5292"/>
    <w:rsid w:val="4F9843DC"/>
    <w:rsid w:val="4FC62A8C"/>
    <w:rsid w:val="4FE20F0D"/>
    <w:rsid w:val="4FE37C4D"/>
    <w:rsid w:val="4FE51552"/>
    <w:rsid w:val="500217B1"/>
    <w:rsid w:val="50504C4B"/>
    <w:rsid w:val="509C6E7C"/>
    <w:rsid w:val="51294BF4"/>
    <w:rsid w:val="5162104E"/>
    <w:rsid w:val="51720BFF"/>
    <w:rsid w:val="51992F6B"/>
    <w:rsid w:val="51DD6B87"/>
    <w:rsid w:val="52667895"/>
    <w:rsid w:val="53932491"/>
    <w:rsid w:val="53A039CC"/>
    <w:rsid w:val="53A1505A"/>
    <w:rsid w:val="53B06626"/>
    <w:rsid w:val="54063E08"/>
    <w:rsid w:val="543437E8"/>
    <w:rsid w:val="54A37B89"/>
    <w:rsid w:val="54B716A8"/>
    <w:rsid w:val="54BA7621"/>
    <w:rsid w:val="54CE2006"/>
    <w:rsid w:val="54D004EE"/>
    <w:rsid w:val="54F73313"/>
    <w:rsid w:val="54F80955"/>
    <w:rsid w:val="55286C33"/>
    <w:rsid w:val="553B0B0C"/>
    <w:rsid w:val="555170A7"/>
    <w:rsid w:val="556B50BB"/>
    <w:rsid w:val="5587536D"/>
    <w:rsid w:val="559B174B"/>
    <w:rsid w:val="55CE0CF4"/>
    <w:rsid w:val="56063D3C"/>
    <w:rsid w:val="56333F78"/>
    <w:rsid w:val="56B22A9C"/>
    <w:rsid w:val="56EE0016"/>
    <w:rsid w:val="57094BD8"/>
    <w:rsid w:val="5712670D"/>
    <w:rsid w:val="57AD17BD"/>
    <w:rsid w:val="57B72A76"/>
    <w:rsid w:val="57C3426C"/>
    <w:rsid w:val="57CE1F93"/>
    <w:rsid w:val="582E1916"/>
    <w:rsid w:val="583354EA"/>
    <w:rsid w:val="58817104"/>
    <w:rsid w:val="588743D1"/>
    <w:rsid w:val="5887701A"/>
    <w:rsid w:val="58BA4B17"/>
    <w:rsid w:val="59547E3A"/>
    <w:rsid w:val="59BD6539"/>
    <w:rsid w:val="59C0439F"/>
    <w:rsid w:val="5A900278"/>
    <w:rsid w:val="5ABE2233"/>
    <w:rsid w:val="5B187C68"/>
    <w:rsid w:val="5B242EC8"/>
    <w:rsid w:val="5BDF5D95"/>
    <w:rsid w:val="5BF553BB"/>
    <w:rsid w:val="5BFE7528"/>
    <w:rsid w:val="5C036F81"/>
    <w:rsid w:val="5C215944"/>
    <w:rsid w:val="5C891B7C"/>
    <w:rsid w:val="5D2A0377"/>
    <w:rsid w:val="5DEF4810"/>
    <w:rsid w:val="5E2467F1"/>
    <w:rsid w:val="5E6F1DAD"/>
    <w:rsid w:val="5EAA588E"/>
    <w:rsid w:val="5F1A2B43"/>
    <w:rsid w:val="5FB837BB"/>
    <w:rsid w:val="60445E43"/>
    <w:rsid w:val="60CC405A"/>
    <w:rsid w:val="60EB2E67"/>
    <w:rsid w:val="60FF30D2"/>
    <w:rsid w:val="616924BA"/>
    <w:rsid w:val="616C7DA3"/>
    <w:rsid w:val="61E215D8"/>
    <w:rsid w:val="621B3775"/>
    <w:rsid w:val="62364782"/>
    <w:rsid w:val="625D3476"/>
    <w:rsid w:val="62886FC8"/>
    <w:rsid w:val="62E0626E"/>
    <w:rsid w:val="638F7CF9"/>
    <w:rsid w:val="6394356A"/>
    <w:rsid w:val="63C61B2C"/>
    <w:rsid w:val="63D40BE9"/>
    <w:rsid w:val="64102431"/>
    <w:rsid w:val="641E588A"/>
    <w:rsid w:val="642466C8"/>
    <w:rsid w:val="64373C6C"/>
    <w:rsid w:val="644B1292"/>
    <w:rsid w:val="64A5243A"/>
    <w:rsid w:val="64A60BDA"/>
    <w:rsid w:val="64B12405"/>
    <w:rsid w:val="64F531DE"/>
    <w:rsid w:val="65373578"/>
    <w:rsid w:val="66B37969"/>
    <w:rsid w:val="671F124A"/>
    <w:rsid w:val="673C3507"/>
    <w:rsid w:val="677A33C6"/>
    <w:rsid w:val="678E3EFA"/>
    <w:rsid w:val="681F6961"/>
    <w:rsid w:val="68610A2F"/>
    <w:rsid w:val="68805514"/>
    <w:rsid w:val="68AC17CD"/>
    <w:rsid w:val="69316E2F"/>
    <w:rsid w:val="693B2229"/>
    <w:rsid w:val="694E2071"/>
    <w:rsid w:val="69766163"/>
    <w:rsid w:val="697A3B33"/>
    <w:rsid w:val="69852663"/>
    <w:rsid w:val="6992275D"/>
    <w:rsid w:val="699E19A5"/>
    <w:rsid w:val="69D44760"/>
    <w:rsid w:val="69FE736E"/>
    <w:rsid w:val="6A4145EE"/>
    <w:rsid w:val="6A520EC7"/>
    <w:rsid w:val="6A960A40"/>
    <w:rsid w:val="6AE30E78"/>
    <w:rsid w:val="6AF87E20"/>
    <w:rsid w:val="6B322639"/>
    <w:rsid w:val="6B5C54EC"/>
    <w:rsid w:val="6BB10683"/>
    <w:rsid w:val="6C4B6B68"/>
    <w:rsid w:val="6C636C38"/>
    <w:rsid w:val="6CE25566"/>
    <w:rsid w:val="6D37112F"/>
    <w:rsid w:val="6DB34098"/>
    <w:rsid w:val="6DB545B6"/>
    <w:rsid w:val="6DC3086B"/>
    <w:rsid w:val="6DDE781F"/>
    <w:rsid w:val="6DE02FB4"/>
    <w:rsid w:val="6E217CEB"/>
    <w:rsid w:val="6E444051"/>
    <w:rsid w:val="6E514CED"/>
    <w:rsid w:val="6EB563D5"/>
    <w:rsid w:val="6ED92677"/>
    <w:rsid w:val="6F225983"/>
    <w:rsid w:val="6FFC5590"/>
    <w:rsid w:val="704B27B4"/>
    <w:rsid w:val="706D1DD0"/>
    <w:rsid w:val="70856B87"/>
    <w:rsid w:val="70A86382"/>
    <w:rsid w:val="70D527EE"/>
    <w:rsid w:val="715B5300"/>
    <w:rsid w:val="71AC7E39"/>
    <w:rsid w:val="71D27F8A"/>
    <w:rsid w:val="721571DA"/>
    <w:rsid w:val="72553024"/>
    <w:rsid w:val="72850298"/>
    <w:rsid w:val="72A83E12"/>
    <w:rsid w:val="73122968"/>
    <w:rsid w:val="731F5D5E"/>
    <w:rsid w:val="73C51AD5"/>
    <w:rsid w:val="73CE3214"/>
    <w:rsid w:val="741E793C"/>
    <w:rsid w:val="74541597"/>
    <w:rsid w:val="745E3944"/>
    <w:rsid w:val="75702BB1"/>
    <w:rsid w:val="75B8053F"/>
    <w:rsid w:val="75F11691"/>
    <w:rsid w:val="7635099D"/>
    <w:rsid w:val="773504DF"/>
    <w:rsid w:val="77762421"/>
    <w:rsid w:val="77B56B1F"/>
    <w:rsid w:val="77D1266C"/>
    <w:rsid w:val="780F09F4"/>
    <w:rsid w:val="78A90480"/>
    <w:rsid w:val="78BA7011"/>
    <w:rsid w:val="78C9177A"/>
    <w:rsid w:val="79CD65C2"/>
    <w:rsid w:val="7A364017"/>
    <w:rsid w:val="7A446DBB"/>
    <w:rsid w:val="7A8265E1"/>
    <w:rsid w:val="7AA22ECF"/>
    <w:rsid w:val="7AAC6667"/>
    <w:rsid w:val="7ADC0095"/>
    <w:rsid w:val="7B686D42"/>
    <w:rsid w:val="7B841746"/>
    <w:rsid w:val="7B92174B"/>
    <w:rsid w:val="7C586344"/>
    <w:rsid w:val="7C6C5AC7"/>
    <w:rsid w:val="7C8C6845"/>
    <w:rsid w:val="7CC6544B"/>
    <w:rsid w:val="7CEC5AE4"/>
    <w:rsid w:val="7D0239FF"/>
    <w:rsid w:val="7D0D0FF0"/>
    <w:rsid w:val="7D20309F"/>
    <w:rsid w:val="7D5E40CD"/>
    <w:rsid w:val="7DBE70D6"/>
    <w:rsid w:val="7DC720AD"/>
    <w:rsid w:val="7DCD56F2"/>
    <w:rsid w:val="7E1B2842"/>
    <w:rsid w:val="7E1E566F"/>
    <w:rsid w:val="7F001CE7"/>
    <w:rsid w:val="7F6F47AA"/>
    <w:rsid w:val="7F8C3039"/>
    <w:rsid w:val="7FE47E50"/>
    <w:rsid w:val="7FFA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4"/>
    <w:basedOn w:val="1"/>
    <w:next w:val="1"/>
    <w:link w:val="29"/>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locked/>
    <w:uiPriority w:val="0"/>
    <w:pPr>
      <w:spacing w:line="360" w:lineRule="auto"/>
      <w:ind w:firstLine="420"/>
    </w:pPr>
    <w:rPr>
      <w:sz w:val="24"/>
    </w:rPr>
  </w:style>
  <w:style w:type="paragraph" w:styleId="3">
    <w:name w:val="Plain Text"/>
    <w:basedOn w:val="1"/>
    <w:qFormat/>
    <w:locked/>
    <w:uiPriority w:val="0"/>
    <w:rPr>
      <w:rFonts w:ascii="宋体" w:hAnsi="Courier New"/>
    </w:rPr>
  </w:style>
  <w:style w:type="paragraph" w:styleId="6">
    <w:name w:val="Note Heading"/>
    <w:basedOn w:val="1"/>
    <w:next w:val="1"/>
    <w:qFormat/>
    <w:locked/>
    <w:uiPriority w:val="0"/>
    <w:pPr>
      <w:jc w:val="center"/>
    </w:pPr>
    <w:rPr>
      <w:rFonts w:ascii="宋体"/>
      <w:szCs w:val="20"/>
    </w:rPr>
  </w:style>
  <w:style w:type="paragraph" w:styleId="7">
    <w:name w:val="annotation text"/>
    <w:basedOn w:val="1"/>
    <w:link w:val="30"/>
    <w:semiHidden/>
    <w:qFormat/>
    <w:uiPriority w:val="0"/>
    <w:pPr>
      <w:jc w:val="left"/>
    </w:pPr>
    <w:rPr>
      <w:kern w:val="0"/>
      <w:sz w:val="24"/>
      <w:szCs w:val="20"/>
    </w:rPr>
  </w:style>
  <w:style w:type="paragraph" w:styleId="8">
    <w:name w:val="Body Text"/>
    <w:basedOn w:val="1"/>
    <w:link w:val="31"/>
    <w:qFormat/>
    <w:uiPriority w:val="0"/>
    <w:pPr>
      <w:widowControl/>
      <w:snapToGrid w:val="0"/>
      <w:spacing w:before="60" w:after="160" w:line="259" w:lineRule="auto"/>
      <w:ind w:right="113"/>
    </w:pPr>
    <w:rPr>
      <w:kern w:val="0"/>
      <w:sz w:val="18"/>
      <w:szCs w:val="20"/>
    </w:rPr>
  </w:style>
  <w:style w:type="paragraph" w:styleId="9">
    <w:name w:val="Body Text Indent"/>
    <w:basedOn w:val="1"/>
    <w:link w:val="32"/>
    <w:qFormat/>
    <w:uiPriority w:val="0"/>
    <w:pPr>
      <w:spacing w:after="120"/>
      <w:ind w:left="420" w:leftChars="200"/>
    </w:pPr>
    <w:rPr>
      <w:kern w:val="0"/>
      <w:sz w:val="24"/>
      <w:szCs w:val="20"/>
    </w:rPr>
  </w:style>
  <w:style w:type="paragraph" w:styleId="10">
    <w:name w:val="Block Text"/>
    <w:basedOn w:val="1"/>
    <w:next w:val="1"/>
    <w:qFormat/>
    <w:locked/>
    <w:uiPriority w:val="0"/>
    <w:pPr>
      <w:ind w:left="113" w:right="113" w:firstLine="555"/>
      <w:jc w:val="left"/>
    </w:pPr>
    <w:rPr>
      <w:sz w:val="28"/>
      <w:szCs w:val="20"/>
    </w:rPr>
  </w:style>
  <w:style w:type="paragraph" w:styleId="11">
    <w:name w:val="Date"/>
    <w:basedOn w:val="1"/>
    <w:next w:val="1"/>
    <w:link w:val="33"/>
    <w:qFormat/>
    <w:uiPriority w:val="0"/>
    <w:pPr>
      <w:ind w:left="100" w:leftChars="2500"/>
    </w:pPr>
    <w:rPr>
      <w:kern w:val="0"/>
      <w:sz w:val="24"/>
      <w:szCs w:val="20"/>
    </w:rPr>
  </w:style>
  <w:style w:type="paragraph" w:styleId="12">
    <w:name w:val="Balloon Text"/>
    <w:basedOn w:val="1"/>
    <w:link w:val="34"/>
    <w:semiHidden/>
    <w:qFormat/>
    <w:uiPriority w:val="0"/>
    <w:rPr>
      <w:kern w:val="0"/>
      <w:sz w:val="18"/>
      <w:szCs w:val="20"/>
    </w:rPr>
  </w:style>
  <w:style w:type="paragraph" w:styleId="13">
    <w:name w:val="footer"/>
    <w:basedOn w:val="1"/>
    <w:link w:val="35"/>
    <w:qFormat/>
    <w:uiPriority w:val="99"/>
    <w:pPr>
      <w:tabs>
        <w:tab w:val="center" w:pos="4153"/>
        <w:tab w:val="right" w:pos="8306"/>
      </w:tabs>
      <w:snapToGrid w:val="0"/>
      <w:jc w:val="left"/>
    </w:pPr>
    <w:rPr>
      <w:kern w:val="0"/>
      <w:sz w:val="18"/>
      <w:szCs w:val="20"/>
    </w:rPr>
  </w:style>
  <w:style w:type="paragraph" w:styleId="14">
    <w:name w:val="header"/>
    <w:basedOn w:val="1"/>
    <w:link w:val="36"/>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Body Text Indent 3"/>
    <w:basedOn w:val="1"/>
    <w:qFormat/>
    <w:locked/>
    <w:uiPriority w:val="0"/>
    <w:pPr>
      <w:ind w:firstLine="549" w:firstLineChars="200"/>
    </w:pPr>
    <w:rPr>
      <w:rFonts w:ascii="宋体" w:hAnsi="宋体"/>
      <w:kern w:val="0"/>
      <w:sz w:val="28"/>
    </w:rPr>
  </w:style>
  <w:style w:type="paragraph" w:styleId="16">
    <w:name w:val="toc 2"/>
    <w:basedOn w:val="1"/>
    <w:next w:val="1"/>
    <w:qFormat/>
    <w:locked/>
    <w:uiPriority w:val="39"/>
    <w:pPr>
      <w:tabs>
        <w:tab w:val="right" w:leader="dot" w:pos="9344"/>
      </w:tabs>
      <w:spacing w:line="160" w:lineRule="atLeast"/>
      <w:ind w:left="560" w:leftChars="200" w:firstLine="480" w:firstLineChars="200"/>
      <w:jc w:val="center"/>
    </w:pPr>
    <w:rPr>
      <w:rFonts w:ascii="宋体" w:hAnsi="宋体"/>
      <w:sz w:val="24"/>
      <w:szCs w:val="22"/>
    </w:rPr>
  </w:style>
  <w:style w:type="paragraph" w:styleId="17">
    <w:name w:val="Normal (Web)"/>
    <w:basedOn w:val="1"/>
    <w:link w:val="37"/>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7"/>
    <w:next w:val="7"/>
    <w:link w:val="38"/>
    <w:semiHidden/>
    <w:qFormat/>
    <w:uiPriority w:val="0"/>
    <w:rPr>
      <w:b/>
    </w:rPr>
  </w:style>
  <w:style w:type="paragraph" w:styleId="19">
    <w:name w:val="Body Text First Indent"/>
    <w:basedOn w:val="8"/>
    <w:qFormat/>
    <w:locked/>
    <w:uiPriority w:val="0"/>
    <w:pPr>
      <w:ind w:firstLine="420" w:firstLineChars="100"/>
    </w:pPr>
    <w:rPr>
      <w:szCs w:val="24"/>
    </w:rPr>
  </w:style>
  <w:style w:type="paragraph" w:styleId="20">
    <w:name w:val="Body Text First Indent 2"/>
    <w:basedOn w:val="9"/>
    <w:next w:val="21"/>
    <w:unhideWhenUsed/>
    <w:qFormat/>
    <w:locked/>
    <w:uiPriority w:val="99"/>
    <w:pPr>
      <w:ind w:firstLine="420" w:firstLineChars="200"/>
    </w:pPr>
  </w:style>
  <w:style w:type="paragraph" w:customStyle="1" w:styleId="21">
    <w:name w:val="Default"/>
    <w:basedOn w:val="22"/>
    <w:next w:val="23"/>
    <w:qFormat/>
    <w:uiPriority w:val="0"/>
    <w:pPr>
      <w:autoSpaceDE w:val="0"/>
      <w:autoSpaceDN w:val="0"/>
    </w:pPr>
    <w:rPr>
      <w:rFonts w:ascii="Arial" w:hAnsi="Arial" w:cs="Arial"/>
      <w:color w:val="000000"/>
      <w:sz w:val="24"/>
      <w:szCs w:val="24"/>
    </w:rPr>
  </w:style>
  <w:style w:type="paragraph" w:customStyle="1" w:styleId="22">
    <w:name w:val="纯文本1"/>
    <w:basedOn w:val="1"/>
    <w:next w:val="1"/>
    <w:qFormat/>
    <w:uiPriority w:val="0"/>
    <w:pPr>
      <w:adjustRightInd w:val="0"/>
    </w:pPr>
    <w:rPr>
      <w:rFonts w:ascii="宋体" w:hAnsi="Courier New"/>
      <w:szCs w:val="20"/>
    </w:rPr>
  </w:style>
  <w:style w:type="paragraph" w:customStyle="1" w:styleId="2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locked/>
    <w:uiPriority w:val="0"/>
  </w:style>
  <w:style w:type="character" w:styleId="28">
    <w:name w:val="annotation reference"/>
    <w:semiHidden/>
    <w:qFormat/>
    <w:uiPriority w:val="0"/>
    <w:rPr>
      <w:sz w:val="21"/>
    </w:rPr>
  </w:style>
  <w:style w:type="character" w:customStyle="1" w:styleId="29">
    <w:name w:val="标题 4 字符"/>
    <w:link w:val="5"/>
    <w:semiHidden/>
    <w:qFormat/>
    <w:uiPriority w:val="0"/>
    <w:rPr>
      <w:rFonts w:ascii="等线 Light" w:hAnsi="等线 Light" w:eastAsia="等线 Light" w:cs="Times New Roman"/>
      <w:b/>
      <w:bCs/>
      <w:kern w:val="2"/>
      <w:sz w:val="28"/>
      <w:szCs w:val="28"/>
    </w:rPr>
  </w:style>
  <w:style w:type="character" w:customStyle="1" w:styleId="30">
    <w:name w:val="批注文字 字符"/>
    <w:link w:val="7"/>
    <w:qFormat/>
    <w:locked/>
    <w:uiPriority w:val="0"/>
    <w:rPr>
      <w:rFonts w:ascii="Times New Roman" w:hAnsi="Times New Roman" w:eastAsia="宋体"/>
      <w:sz w:val="24"/>
    </w:rPr>
  </w:style>
  <w:style w:type="character" w:customStyle="1" w:styleId="31">
    <w:name w:val="正文文本 字符"/>
    <w:link w:val="8"/>
    <w:qFormat/>
    <w:locked/>
    <w:uiPriority w:val="0"/>
    <w:rPr>
      <w:sz w:val="18"/>
    </w:rPr>
  </w:style>
  <w:style w:type="character" w:customStyle="1" w:styleId="32">
    <w:name w:val="正文文本缩进 字符"/>
    <w:link w:val="9"/>
    <w:semiHidden/>
    <w:qFormat/>
    <w:locked/>
    <w:uiPriority w:val="0"/>
    <w:rPr>
      <w:rFonts w:ascii="Times New Roman" w:hAnsi="Times New Roman" w:eastAsia="宋体"/>
      <w:sz w:val="24"/>
    </w:rPr>
  </w:style>
  <w:style w:type="character" w:customStyle="1" w:styleId="33">
    <w:name w:val="日期 字符1"/>
    <w:link w:val="11"/>
    <w:qFormat/>
    <w:locked/>
    <w:uiPriority w:val="0"/>
    <w:rPr>
      <w:rFonts w:ascii="Times New Roman" w:hAnsi="Times New Roman" w:eastAsia="宋体"/>
      <w:sz w:val="24"/>
    </w:rPr>
  </w:style>
  <w:style w:type="character" w:customStyle="1" w:styleId="34">
    <w:name w:val="批注框文本 字符"/>
    <w:link w:val="12"/>
    <w:semiHidden/>
    <w:qFormat/>
    <w:locked/>
    <w:uiPriority w:val="0"/>
    <w:rPr>
      <w:rFonts w:ascii="Times New Roman" w:hAnsi="Times New Roman" w:eastAsia="宋体"/>
      <w:sz w:val="18"/>
    </w:rPr>
  </w:style>
  <w:style w:type="character" w:customStyle="1" w:styleId="35">
    <w:name w:val="页脚 字符1"/>
    <w:link w:val="13"/>
    <w:qFormat/>
    <w:locked/>
    <w:uiPriority w:val="99"/>
    <w:rPr>
      <w:sz w:val="18"/>
    </w:rPr>
  </w:style>
  <w:style w:type="character" w:customStyle="1" w:styleId="36">
    <w:name w:val="页眉 字符"/>
    <w:link w:val="14"/>
    <w:qFormat/>
    <w:locked/>
    <w:uiPriority w:val="0"/>
    <w:rPr>
      <w:sz w:val="18"/>
    </w:rPr>
  </w:style>
  <w:style w:type="character" w:customStyle="1" w:styleId="37">
    <w:name w:val="普通(网站) 字符"/>
    <w:link w:val="17"/>
    <w:qFormat/>
    <w:locked/>
    <w:uiPriority w:val="0"/>
    <w:rPr>
      <w:rFonts w:ascii="宋体" w:hAnsi="宋体" w:eastAsia="宋体"/>
      <w:sz w:val="24"/>
    </w:rPr>
  </w:style>
  <w:style w:type="character" w:customStyle="1" w:styleId="38">
    <w:name w:val="批注主题 字符"/>
    <w:link w:val="18"/>
    <w:semiHidden/>
    <w:qFormat/>
    <w:locked/>
    <w:uiPriority w:val="0"/>
    <w:rPr>
      <w:rFonts w:ascii="Times New Roman" w:hAnsi="Times New Roman" w:eastAsia="宋体"/>
      <w:b/>
      <w:kern w:val="2"/>
      <w:sz w:val="24"/>
    </w:rPr>
  </w:style>
  <w:style w:type="paragraph" w:customStyle="1" w:styleId="39">
    <w:name w:val="样式 正文文本 + 首行缩进:  2 字符"/>
    <w:basedOn w:val="8"/>
    <w:qFormat/>
    <w:uiPriority w:val="0"/>
    <w:pPr>
      <w:spacing w:line="480" w:lineRule="exact"/>
      <w:ind w:firstLine="480" w:firstLineChars="200"/>
    </w:pPr>
    <w:rPr>
      <w:rFonts w:ascii="宋体" w:hAnsi="宋体" w:cs="宋体"/>
      <w:sz w:val="24"/>
    </w:rPr>
  </w:style>
  <w:style w:type="character" w:customStyle="1" w:styleId="40">
    <w:name w:val="日期 字符"/>
    <w:semiHidden/>
    <w:qFormat/>
    <w:uiPriority w:val="0"/>
    <w:rPr>
      <w:rFonts w:ascii="Times New Roman" w:hAnsi="Times New Roman" w:eastAsia="宋体"/>
      <w:sz w:val="24"/>
    </w:rPr>
  </w:style>
  <w:style w:type="character" w:customStyle="1" w:styleId="41">
    <w:name w:val="页脚 字符"/>
    <w:qFormat/>
    <w:uiPriority w:val="99"/>
  </w:style>
  <w:style w:type="character" w:customStyle="1" w:styleId="42">
    <w:name w:val="表格 Char"/>
    <w:link w:val="43"/>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kern w:val="0"/>
      <w:szCs w:val="20"/>
    </w:rPr>
  </w:style>
  <w:style w:type="character" w:customStyle="1" w:styleId="44">
    <w:name w:val="批注文字 字符1"/>
    <w:semiHidden/>
    <w:qFormat/>
    <w:uiPriority w:val="0"/>
    <w:rPr>
      <w:rFonts w:ascii="Times New Roman" w:hAnsi="Times New Roman" w:eastAsia="宋体"/>
      <w:sz w:val="24"/>
    </w:rPr>
  </w:style>
  <w:style w:type="character" w:customStyle="1" w:styleId="45">
    <w:name w:val="正文文本 字符1"/>
    <w:semiHidden/>
    <w:qFormat/>
    <w:uiPriority w:val="0"/>
    <w:rPr>
      <w:rFonts w:ascii="Times New Roman" w:hAnsi="Times New Roman" w:eastAsia="宋体"/>
      <w:sz w:val="24"/>
    </w:rPr>
  </w:style>
  <w:style w:type="character" w:styleId="46">
    <w:name w:val="Placeholder Text"/>
    <w:semiHidden/>
    <w:qFormat/>
    <w:uiPriority w:val="99"/>
    <w:rPr>
      <w:color w:val="808080"/>
    </w:rPr>
  </w:style>
  <w:style w:type="paragraph" w:customStyle="1" w:styleId="47">
    <w:name w:val="Table Paragraph"/>
    <w:basedOn w:val="1"/>
    <w:qFormat/>
    <w:uiPriority w:val="0"/>
    <w:pPr>
      <w:widowControl/>
      <w:jc w:val="left"/>
    </w:pPr>
    <w:rPr>
      <w:rFonts w:ascii="Calibri" w:hAnsi="Calibri" w:cs="宋体"/>
      <w:kern w:val="0"/>
      <w:sz w:val="22"/>
      <w:szCs w:val="22"/>
    </w:rPr>
  </w:style>
  <w:style w:type="paragraph" w:customStyle="1" w:styleId="48">
    <w:name w:val="正文正"/>
    <w:basedOn w:val="1"/>
    <w:qFormat/>
    <w:uiPriority w:val="0"/>
    <w:pPr>
      <w:ind w:firstLine="560" w:firstLineChars="200"/>
    </w:pPr>
    <w:rPr>
      <w:sz w:val="28"/>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标题111"/>
    <w:basedOn w:val="1"/>
    <w:qFormat/>
    <w:uiPriority w:val="0"/>
    <w:pPr>
      <w:spacing w:line="480" w:lineRule="exact"/>
    </w:pPr>
    <w:rPr>
      <w:b/>
      <w:sz w:val="24"/>
    </w:rPr>
  </w:style>
  <w:style w:type="paragraph" w:customStyle="1" w:styleId="51">
    <w:name w:val="武正文"/>
    <w:basedOn w:val="1"/>
    <w:qFormat/>
    <w:uiPriority w:val="0"/>
    <w:pPr>
      <w:adjustRightInd w:val="0"/>
      <w:snapToGrid w:val="0"/>
      <w:spacing w:line="360" w:lineRule="auto"/>
      <w:ind w:firstLine="200" w:firstLineChars="200"/>
    </w:pPr>
    <w:rPr>
      <w:rFonts w:hAnsi="宋体"/>
      <w:color w:val="000000"/>
      <w:sz w:val="24"/>
    </w:rPr>
  </w:style>
  <w:style w:type="paragraph" w:styleId="52">
    <w:name w:val="List Paragraph"/>
    <w:basedOn w:val="1"/>
    <w:qFormat/>
    <w:uiPriority w:val="34"/>
    <w:pPr>
      <w:ind w:firstLine="420" w:firstLineChars="200"/>
    </w:pPr>
  </w:style>
  <w:style w:type="paragraph" w:customStyle="1" w:styleId="53">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54">
    <w:name w:val="A-表格文字"/>
    <w:basedOn w:val="1"/>
    <w:next w:val="1"/>
    <w:qFormat/>
    <w:uiPriority w:val="0"/>
    <w:pPr>
      <w:autoSpaceDE w:val="0"/>
      <w:autoSpaceDN w:val="0"/>
      <w:adjustRightInd w:val="0"/>
      <w:jc w:val="center"/>
      <w:textAlignment w:val="center"/>
    </w:pPr>
    <w:rPr>
      <w:kern w:val="0"/>
      <w:szCs w:val="21"/>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57">
    <w:name w:val="三级标题"/>
    <w:basedOn w:val="1"/>
    <w:next w:val="1"/>
    <w:qFormat/>
    <w:uiPriority w:val="0"/>
    <w:pPr>
      <w:spacing w:line="360" w:lineRule="auto"/>
    </w:pPr>
    <w:rPr>
      <w:sz w:val="24"/>
    </w:rPr>
  </w:style>
  <w:style w:type="paragraph" w:customStyle="1" w:styleId="58">
    <w:name w:val="长江报告表正文"/>
    <w:basedOn w:val="59"/>
    <w:link w:val="60"/>
    <w:qFormat/>
    <w:uiPriority w:val="0"/>
    <w:pPr>
      <w:spacing w:line="480" w:lineRule="atLeast"/>
      <w:ind w:firstLine="200" w:firstLineChars="200"/>
    </w:pPr>
    <w:rPr>
      <w:sz w:val="24"/>
      <w:szCs w:val="22"/>
    </w:rPr>
  </w:style>
  <w:style w:type="paragraph" w:styleId="59">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60">
    <w:name w:val="长江报告表正文 字符"/>
    <w:link w:val="58"/>
    <w:qFormat/>
    <w:uiPriority w:val="0"/>
    <w:rPr>
      <w:kern w:val="2"/>
      <w:sz w:val="24"/>
      <w:szCs w:val="22"/>
    </w:rPr>
  </w:style>
  <w:style w:type="paragraph" w:customStyle="1" w:styleId="61">
    <w:name w:val="样式 样式 样式 四号 左侧:  1.53 厘米 + 首行缩进:  2 字符 + 居中 左侧:  2 字符 首行缩进:  2..."/>
    <w:basedOn w:val="1"/>
    <w:qFormat/>
    <w:uiPriority w:val="0"/>
    <w:pPr>
      <w:adjustRightInd w:val="0"/>
      <w:ind w:left="200" w:leftChars="200"/>
      <w:jc w:val="center"/>
    </w:pPr>
    <w:rPr>
      <w:w w:val="90"/>
      <w:sz w:val="28"/>
      <w:szCs w:val="20"/>
    </w:rPr>
  </w:style>
  <w:style w:type="paragraph" w:customStyle="1" w:styleId="62">
    <w:name w:val="书正文"/>
    <w:basedOn w:val="1"/>
    <w:qFormat/>
    <w:uiPriority w:val="0"/>
    <w:pPr>
      <w:spacing w:line="500" w:lineRule="exact"/>
      <w:ind w:firstLine="640" w:firstLineChars="200"/>
    </w:pPr>
  </w:style>
  <w:style w:type="paragraph" w:customStyle="1" w:styleId="63">
    <w:name w:val="TOC 31"/>
    <w:basedOn w:val="1"/>
    <w:next w:val="1"/>
    <w:qFormat/>
    <w:uiPriority w:val="0"/>
    <w:pPr>
      <w:ind w:left="420"/>
    </w:pPr>
    <w:rPr>
      <w:i/>
    </w:rPr>
  </w:style>
  <w:style w:type="paragraph" w:customStyle="1" w:styleId="64">
    <w:name w:val="样式 样式 四号 左侧:  1.53 厘米 + 首行缩进:  2 字符"/>
    <w:basedOn w:val="65"/>
    <w:qFormat/>
    <w:uiPriority w:val="0"/>
    <w:pPr>
      <w:ind w:left="200" w:leftChars="200"/>
    </w:pPr>
    <w:rPr>
      <w:szCs w:val="20"/>
    </w:rPr>
  </w:style>
  <w:style w:type="paragraph" w:customStyle="1" w:styleId="65">
    <w:name w:val="样式 四号 左侧:  1.53 厘米"/>
    <w:basedOn w:val="1"/>
    <w:qFormat/>
    <w:uiPriority w:val="0"/>
    <w:pPr>
      <w:adjustRightInd w:val="0"/>
    </w:pPr>
    <w:rPr>
      <w:w w:val="90"/>
      <w:sz w:val="28"/>
      <w:szCs w:val="28"/>
    </w:rPr>
  </w:style>
  <w:style w:type="paragraph" w:customStyle="1" w:styleId="66">
    <w:name w:val="正文 首行缩进:  2 字符"/>
    <w:basedOn w:val="1"/>
    <w:semiHidden/>
    <w:qFormat/>
    <w:uiPriority w:val="0"/>
    <w:pPr>
      <w:spacing w:line="520" w:lineRule="exact"/>
      <w:ind w:firstLine="480" w:firstLineChars="200"/>
    </w:pPr>
    <w:rPr>
      <w:kern w:val="44"/>
      <w:sz w:val="24"/>
      <w:szCs w:val="20"/>
    </w:rPr>
  </w:style>
  <w:style w:type="paragraph" w:customStyle="1" w:styleId="67">
    <w:name w:val="Table caption|1"/>
    <w:basedOn w:val="1"/>
    <w:qFormat/>
    <w:uiPriority w:val="0"/>
    <w:rPr>
      <w:rFonts w:ascii="宋体" w:hAnsi="宋体" w:cs="宋体"/>
      <w:sz w:val="20"/>
      <w:szCs w:val="20"/>
      <w:lang w:val="zh-TW" w:eastAsia="zh-TW" w:bidi="zh-TW"/>
    </w:rPr>
  </w:style>
  <w:style w:type="paragraph" w:customStyle="1" w:styleId="68">
    <w:name w:val="2-表格"/>
    <w:basedOn w:val="1"/>
    <w:qFormat/>
    <w:uiPriority w:val="0"/>
    <w:pPr>
      <w:widowControl/>
      <w:jc w:val="center"/>
    </w:pPr>
  </w:style>
  <w:style w:type="paragraph" w:customStyle="1" w:styleId="69">
    <w:name w:val="表格文字"/>
    <w:basedOn w:val="1"/>
    <w:next w:val="1"/>
    <w:qFormat/>
    <w:uiPriority w:val="0"/>
    <w:pPr>
      <w:spacing w:before="30" w:beforeLines="30" w:after="30" w:afterLines="30"/>
      <w:jc w:val="center"/>
    </w:pPr>
    <w:rPr>
      <w:spacing w:val="10"/>
      <w:kern w:val="0"/>
      <w:szCs w:val="21"/>
    </w:rPr>
  </w:style>
  <w:style w:type="paragraph" w:customStyle="1" w:styleId="7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kern w:val="0"/>
      <w:sz w:val="24"/>
    </w:rPr>
  </w:style>
  <w:style w:type="paragraph" w:customStyle="1" w:styleId="71">
    <w:name w:val="_Style 1"/>
    <w:qFormat/>
    <w:uiPriority w:val="99"/>
    <w:pPr>
      <w:widowControl w:val="0"/>
      <w:jc w:val="both"/>
    </w:pPr>
    <w:rPr>
      <w:rFonts w:ascii="宋体" w:hAnsi="Times New Roman" w:eastAsia="宋体" w:cs="宋体"/>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http://www.anquan.com.cn/tubiao/image/huanj/HP005.jpg" TargetMode="Externa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http://www.anquan.com.cn/tubiao/image/huanj/HP007.jpg" TargetMode="External"/><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http://www.anquan.com.cn/tubiao/image/huanj/HP003.jpg" TargetMode="External"/><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95</Pages>
  <Words>64049</Words>
  <Characters>73072</Characters>
  <Lines>605</Lines>
  <Paragraphs>170</Paragraphs>
  <TotalTime>2516</TotalTime>
  <ScaleCrop>false</ScaleCrop>
  <LinksUpToDate>false</LinksUpToDate>
  <CharactersWithSpaces>73403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2023-02-10T08:03:00Z</dcterms:created>
  <dc:creator>lhj</dc:creator>
  <cp:lastModifiedBy>WPS_15081238448</cp:lastModifiedBy>
  <cp:lastPrinted>2023-07-13T03:26:00Z</cp:lastPrinted>
  <dcterms:modified xsi:type="dcterms:W3CDTF">2023-11-28T06:05:09Z</dcterms:modified>
  <dc:title>附件2</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480DB53640DE40FAA82B3DE78237CF8C</vt:lpwstr>
  </property>
</Properties>
</file>