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4"/>
        <w:rPr>
          <w:rFonts w:ascii="宋体" w:hAnsi="宋体"/>
        </w:rPr>
      </w:pPr>
      <w:bookmarkStart w:id="0" w:name="SectionMark0"/>
      <w:bookmarkStart w:id="1" w:name="SectionMark1"/>
      <w:r>
        <w:rPr>
          <w:rFonts w:ascii="宋体" w:hAnsi="宋体"/>
        </w:rPr>
        <w:pict>
          <v:line id="Line 6" o:spid="_x0000_s1026" o:spt="20" style="position:absolute;left:0pt;margin-left:5.25pt;margin-top:124.8pt;height:0pt;width:482pt;z-index:25166438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9YUEwIAACoEAAAOAAAAZHJzL2Uyb0RvYy54bWysU8GO2yAQvVfqPyDuie3U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">
            <v:path arrowok="t"/>
            <v:fill focussize="0,0"/>
            <v:stroke weight="1pt" color="#800008"/>
            <v:imagedata o:title=""/>
            <o:lock v:ext="edit"/>
          </v:line>
        </w:pict>
      </w:r>
      <w:r>
        <w:rPr>
          <w:rFonts w:ascii="宋体" w:hAnsi="宋体"/>
        </w:rPr>
        <w:pict>
          <v:line id="Line 7" o:spid="_x0000_s1075" o:spt="20" style="position:absolute;left:0pt;margin-left:0pt;margin-top:700pt;height:0pt;width:482pt;z-index:25166540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">
            <v:path arrowok="t"/>
            <v:fill focussize="0,0"/>
            <v:stroke weight="1pt" color="#800008"/>
            <v:imagedata o:title=""/>
            <o:lock v:ext="edit"/>
          </v:line>
        </w:pict>
      </w:r>
      <w:r>
        <w:rPr>
          <w:rFonts w:ascii="宋体" w:hAnsi="宋体"/>
        </w:rPr>
        <w:pict>
          <v:shape id="fmFrame6" o:spid="_x0000_s1074" o:spt="202" type="#_x0000_t202" style="position:absolute;left:0pt;margin-left:322.9pt;margin-top:674.3pt;height:24.6pt;width:159pt;mso-position-horizontal-relative:margin;mso-position-vertical-relative:margin;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n7eAIAAP4E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">
            <v:path/>
            <v:fill focussize="0,0"/>
            <v:stroke on="f" joinstyle="miter"/>
            <v:imagedata o:title=""/>
            <o:lock v:ext="edit"/>
            <v:textbox inset="0mm,0mm,0mm,0mm">
              <w:txbxContent>
                <w:p>
                  <w:pPr>
                    <w:pStyle w:val="117"/>
                    <w:wordWrap w:val="0"/>
                  </w:pPr>
                  <w:r>
                    <w:rPr>
                      <w:rFonts w:hint="eastAsia"/>
                    </w:rPr>
                    <w:t>201</w:t>
                  </w:r>
                  <w:r>
                    <w:rPr>
                      <w:rFonts w:hint="eastAsia"/>
                      <w:lang w:val="en-US" w:eastAsia="zh-CN"/>
                    </w:rPr>
                    <w:t>9</w:t>
                  </w:r>
                  <w:r>
                    <w:rPr>
                      <w:rFonts w:hint="eastAsia"/>
                    </w:rPr>
                    <w:t>年</w:t>
                  </w:r>
                  <w:r>
                    <w:rPr>
                      <w:rFonts w:hint="eastAsia"/>
                      <w:lang w:val="en-US" w:eastAsia="zh-CN"/>
                    </w:rPr>
                    <w:t>03</w:t>
                  </w:r>
                  <w:r>
                    <w:rPr>
                      <w:rFonts w:hint="eastAsia"/>
                    </w:rPr>
                    <w:t>月01日实施</w:t>
                  </w:r>
                </w:p>
              </w:txbxContent>
            </v:textbox>
            <w10:anchorlock/>
          </v:shape>
        </w:pict>
      </w:r>
      <w:r>
        <w:rPr>
          <w:rFonts w:ascii="宋体" w:hAnsi="宋体"/>
        </w:rPr>
        <w:pict>
          <v:shape id="fmFrame5" o:spid="_x0000_s1027" o:spt="202" type="#_x0000_t202" style="position:absolute;left:0pt;margin-left:0pt;margin-top:674.3pt;height:24.6pt;width:159pt;mso-position-horizontal-relative:margin;mso-position-vertical-relative:margin;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TNtFZHoCAAAFBQAA&#10;DgAAAAAAAAAAAAAAAAAuAgAAZHJzL2Uyb0RvYy54bWxQSwECLQAUAAYACAAAACEArojLxN4AAAAK&#10;AQAADwAAAAAAAAAAAAAAAADUBAAAZHJzL2Rvd25yZXYueG1sUEsFBgAAAAAEAAQA8wAAAN8FAAAA&#10;AA==&#10;">
            <v:path/>
            <v:fill focussize="0,0"/>
            <v:stroke on="f" joinstyle="miter"/>
            <v:imagedata o:title=""/>
            <o:lock v:ext="edit"/>
            <v:textbox inset="0mm,0mm,0mm,0mm">
              <w:txbxContent>
                <w:p>
                  <w:pPr>
                    <w:pStyle w:val="106"/>
                  </w:pPr>
                  <w:r>
                    <w:rPr>
                      <w:rFonts w:hint="eastAsia"/>
                    </w:rPr>
                    <w:t>201</w:t>
                  </w:r>
                  <w:r>
                    <w:rPr>
                      <w:rFonts w:hint="eastAsia"/>
                      <w:lang w:val="en-US" w:eastAsia="zh-CN"/>
                    </w:rPr>
                    <w:t>9</w:t>
                  </w:r>
                  <w:r>
                    <w:rPr>
                      <w:rFonts w:hint="eastAsia"/>
                    </w:rPr>
                    <w:t>年</w:t>
                  </w:r>
                  <w:r>
                    <w:rPr>
                      <w:rFonts w:hint="eastAsia"/>
                      <w:lang w:val="en-US" w:eastAsia="zh-CN"/>
                    </w:rPr>
                    <w:t>03</w:t>
                  </w:r>
                  <w:r>
                    <w:rPr>
                      <w:rFonts w:hint="eastAsia"/>
                    </w:rPr>
                    <w:t>月01日发布</w:t>
                  </w:r>
                </w:p>
              </w:txbxContent>
            </v:textbox>
            <w10:anchorlock/>
          </v:shape>
        </w:pict>
      </w:r>
      <w:r>
        <w:rPr>
          <w:rFonts w:ascii="宋体" w:hAnsi="宋体"/>
        </w:rPr>
        <w:pict>
          <v:shape id="fmFrame4" o:spid="_x0000_s1028" o:spt="202" type="#_x0000_t202" style="position:absolute;left:0pt;margin-left:21pt;margin-top:286.25pt;height:58.4pt;width:421.3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">
            <v:path/>
            <v:fill focussize="0,0"/>
            <v:stroke on="f" joinstyle="miter"/>
            <v:imagedata o:title=""/>
            <o:lock v:ext="edit"/>
            <v:textbox inset="0mm,0mm,0mm,0mm">
              <w:txbxContent>
                <w:p>
                  <w:pPr>
                    <w:pStyle w:val="87"/>
                    <w:rPr>
                      <w:rFonts w:ascii="宋体" w:hAnsi="宋体" w:eastAsia="宋体"/>
                      <w:b/>
                      <w:sz w:val="84"/>
                      <w:szCs w:val="84"/>
                    </w:rPr>
                  </w:pPr>
                  <w:r>
                    <w:rPr>
                      <w:rFonts w:hint="eastAsia" w:ascii="宋体" w:hAnsi="宋体" w:eastAsia="宋体"/>
                      <w:b/>
                      <w:sz w:val="84"/>
                      <w:szCs w:val="84"/>
                    </w:rPr>
                    <w:t>管理手册</w:t>
                  </w:r>
                </w:p>
              </w:txbxContent>
            </v:textbox>
            <w10:anchorlock/>
          </v:shape>
        </w:pict>
      </w:r>
      <w:r>
        <w:rPr>
          <w:rFonts w:ascii="宋体" w:hAnsi="宋体"/>
        </w:rPr>
        <w:pict>
          <v:shape id="fmFrame2" o:spid="_x0000_s1029" o:spt="202" type="#_x0000_t202" style="position:absolute;left:0pt;margin-left:127.8pt;margin-top:78pt;height:46.8pt;width:354.1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">
            <v:path/>
            <v:fill focussize="0,0"/>
            <v:stroke on="f" joinstyle="miter"/>
            <v:imagedata o:title=""/>
            <o:lock v:ext="edit"/>
            <v:textbox inset="0mm,0mm,0mm,0mm">
              <w:txbxContent>
                <w:p>
                  <w:pPr>
                    <w:pStyle w:val="129"/>
                    <w:spacing w:before="156" w:after="156"/>
                    <w:rPr>
                      <w:sz w:val="44"/>
                      <w:szCs w:val="44"/>
                    </w:rPr>
                  </w:pPr>
                  <w:r>
                    <w:rPr>
                      <w:rFonts w:hint="eastAsia"/>
                      <w:sz w:val="44"/>
                      <w:szCs w:val="44"/>
                      <w:lang w:eastAsia="zh-CN"/>
                    </w:rPr>
                    <w:t>青岛中科动力</w:t>
                  </w:r>
                  <w:r>
                    <w:rPr>
                      <w:rFonts w:hint="eastAsia"/>
                      <w:sz w:val="44"/>
                      <w:szCs w:val="44"/>
                    </w:rPr>
                    <w:t>有限公司</w:t>
                  </w:r>
                </w:p>
                <w:p>
                  <w:pPr>
                    <w:rPr>
                      <w:sz w:val="44"/>
                      <w:szCs w:val="44"/>
                    </w:rPr>
                  </w:pPr>
                </w:p>
              </w:txbxContent>
            </v:textbox>
            <w10:anchorlock/>
          </v:shape>
        </w:pict>
      </w:r>
    </w:p>
    <w:p>
      <w:pPr>
        <w:rPr>
          <w:rFonts w:hint="default" w:ascii="宋体" w:hAnsi="宋体" w:eastAsia="宋体"/>
          <w:lang w:val="en-US" w:eastAsia="zh-CN"/>
        </w:rPr>
      </w:pPr>
      <w:r>
        <w:rPr>
          <w:rFonts w:hint="eastAsia" w:ascii="宋体" w:hAnsi="宋体"/>
          <w:lang w:val="en-US" w:eastAsia="zh-CN"/>
        </w:rPr>
        <w:t xml:space="preserve">                           </w:t>
      </w:r>
    </w:p>
    <w:p>
      <w:pPr>
        <w:rPr>
          <w:rFonts w:ascii="宋体" w:hAnsi="宋体"/>
        </w:rPr>
      </w:pPr>
    </w:p>
    <w:p>
      <w:pPr>
        <w:rPr>
          <w:rFonts w:ascii="宋体" w:hAnsi="宋体"/>
        </w:rPr>
      </w:pPr>
    </w:p>
    <w:p>
      <w:pPr>
        <w:rPr>
          <w:rFonts w:ascii="宋体" w:hAnsi="宋体"/>
        </w:rPr>
      </w:pPr>
      <w:r>
        <w:rPr>
          <w:rFonts w:ascii="宋体" w:hAnsi="宋体"/>
        </w:rPr>
        <w:drawing>
          <wp:inline distT="0" distB="0" distL="114300" distR="114300">
            <wp:extent cx="1502410" cy="610235"/>
            <wp:effectExtent l="0" t="0" r="2540" b="18415"/>
            <wp:docPr id="1" name="图片 1" descr="中科动力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科动力图标"/>
                    <pic:cNvPicPr>
                      <a:picLocks noChangeAspect="1"/>
                    </pic:cNvPicPr>
                  </pic:nvPicPr>
                  <pic:blipFill>
                    <a:blip r:embed="rId5"/>
                    <a:stretch>
                      <a:fillRect/>
                    </a:stretch>
                  </pic:blipFill>
                  <pic:spPr>
                    <a:xfrm>
                      <a:off x="0" y="0"/>
                      <a:ext cx="1502410" cy="610235"/>
                    </a:xfrm>
                    <a:prstGeom prst="rect">
                      <a:avLst/>
                    </a:prstGeom>
                  </pic:spPr>
                </pic:pic>
              </a:graphicData>
            </a:graphic>
          </wp:inline>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bookmarkStart w:id="5" w:name="_GoBack"/>
      <w:bookmarkEnd w:id="5"/>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1000" w:lineRule="exact"/>
        <w:rPr>
          <w:rFonts w:hint="eastAsia" w:ascii="宋体" w:hAnsi="宋体" w:eastAsia="宋体"/>
          <w:sz w:val="32"/>
          <w:szCs w:val="32"/>
          <w:lang w:eastAsia="zh-CN"/>
        </w:rPr>
      </w:pPr>
      <w:r>
        <w:rPr>
          <w:rFonts w:hint="eastAsia" w:ascii="宋体" w:hAnsi="宋体"/>
        </w:rPr>
        <w:t xml:space="preserve">                </w:t>
      </w:r>
      <w:r>
        <w:rPr>
          <w:rFonts w:hint="eastAsia" w:ascii="宋体" w:hAnsi="宋体"/>
          <w:sz w:val="32"/>
          <w:szCs w:val="32"/>
        </w:rPr>
        <w:t>编制：</w:t>
      </w:r>
      <w:r>
        <w:rPr>
          <w:rFonts w:hint="eastAsia" w:ascii="宋体" w:hAnsi="宋体"/>
          <w:sz w:val="32"/>
          <w:szCs w:val="32"/>
          <w:lang w:eastAsia="zh-CN"/>
        </w:rPr>
        <w:t>苏亮</w:t>
      </w:r>
      <w:r>
        <w:rPr>
          <w:rFonts w:hint="eastAsia" w:ascii="宋体" w:hAnsi="宋体"/>
          <w:sz w:val="32"/>
          <w:szCs w:val="32"/>
        </w:rPr>
        <w:t xml:space="preserve">    审核：</w:t>
      </w:r>
      <w:r>
        <w:rPr>
          <w:rFonts w:hint="eastAsia" w:ascii="宋体" w:hAnsi="宋体"/>
          <w:sz w:val="32"/>
          <w:szCs w:val="32"/>
          <w:lang w:eastAsia="zh-CN"/>
        </w:rPr>
        <w:t>陈恒峰</w:t>
      </w: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批准：</w:t>
      </w:r>
      <w:r>
        <w:rPr>
          <w:rFonts w:hint="eastAsia" w:ascii="宋体" w:hAnsi="宋体"/>
          <w:sz w:val="32"/>
          <w:szCs w:val="32"/>
          <w:lang w:eastAsia="zh-CN"/>
        </w:rPr>
        <w:t>王旭</w:t>
      </w:r>
    </w:p>
    <w:p>
      <w:pPr>
        <w:spacing w:line="800" w:lineRule="exact"/>
        <w:ind w:firstLine="2420" w:firstLineChars="550"/>
        <w:rPr>
          <w:rFonts w:ascii="宋体" w:hAnsi="宋体"/>
          <w:sz w:val="44"/>
          <w:szCs w:val="44"/>
        </w:rPr>
      </w:pPr>
    </w:p>
    <w:p>
      <w:pPr>
        <w:rPr>
          <w:rFonts w:ascii="宋体" w:hAnsi="宋体"/>
        </w:rPr>
      </w:pPr>
    </w:p>
    <w:p>
      <w:pPr>
        <w:rPr>
          <w:rFonts w:ascii="宋体" w:hAnsi="宋体"/>
        </w:rPr>
        <w:sectPr>
          <w:footerReference r:id="rId3" w:type="default"/>
          <w:pgSz w:w="11907" w:h="16839"/>
          <w:pgMar w:top="567" w:right="1134" w:bottom="1361" w:left="1134" w:header="0" w:footer="567" w:gutter="0"/>
          <w:pgNumType w:start="1"/>
          <w:cols w:space="720" w:num="1"/>
          <w:titlePg/>
          <w:docGrid w:type="lines" w:linePitch="312" w:charSpace="0"/>
        </w:sectPr>
      </w:pPr>
    </w:p>
    <w:bookmarkEnd w:id="0"/>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质量管理手册及方针发布实施令</w:t>
      </w:r>
    </w:p>
    <w:p>
      <w:pPr>
        <w:spacing w:line="360" w:lineRule="auto"/>
        <w:jc w:val="center"/>
        <w:rPr>
          <w:rFonts w:ascii="宋体" w:hAnsi="宋体"/>
          <w:b/>
          <w:sz w:val="32"/>
          <w:szCs w:val="32"/>
        </w:rPr>
      </w:pPr>
    </w:p>
    <w:p>
      <w:pPr>
        <w:pStyle w:val="69"/>
        <w:spacing w:line="360" w:lineRule="auto"/>
        <w:ind w:firstLine="560"/>
        <w:rPr>
          <w:rFonts w:hAnsi="宋体"/>
          <w:sz w:val="28"/>
          <w:szCs w:val="28"/>
        </w:rPr>
      </w:pPr>
      <w:r>
        <w:rPr>
          <w:rFonts w:hint="eastAsia" w:hAnsi="宋体"/>
          <w:sz w:val="28"/>
          <w:szCs w:val="28"/>
          <w:lang w:eastAsia="zh-CN"/>
        </w:rPr>
        <w:t>青岛中科动力有限公司</w:t>
      </w:r>
      <w:r>
        <w:rPr>
          <w:rFonts w:hint="eastAsia" w:hAnsi="宋体"/>
          <w:sz w:val="28"/>
          <w:szCs w:val="28"/>
        </w:rPr>
        <w:t>依据GB/T 19001—2016（</w:t>
      </w:r>
      <w:r>
        <w:rPr>
          <w:rFonts w:hAnsi="宋体"/>
          <w:sz w:val="28"/>
          <w:szCs w:val="28"/>
        </w:rPr>
        <w:t>ISO 900</w:t>
      </w:r>
      <w:r>
        <w:rPr>
          <w:rFonts w:hint="eastAsia" w:hAnsi="宋体"/>
          <w:sz w:val="28"/>
          <w:szCs w:val="28"/>
        </w:rPr>
        <w:t>1：2015）《质量管理体系  要求》、结合组织实际，编制《管理手册》。</w:t>
      </w:r>
    </w:p>
    <w:p>
      <w:pPr>
        <w:pStyle w:val="69"/>
        <w:spacing w:line="360" w:lineRule="auto"/>
        <w:ind w:firstLine="560"/>
        <w:rPr>
          <w:rFonts w:hAnsi="宋体"/>
          <w:sz w:val="28"/>
          <w:szCs w:val="28"/>
        </w:rPr>
      </w:pPr>
      <w:r>
        <w:rPr>
          <w:rFonts w:hint="eastAsia" w:hAnsi="宋体"/>
          <w:sz w:val="28"/>
          <w:szCs w:val="28"/>
        </w:rPr>
        <w:t>本手册描述了组织</w:t>
      </w:r>
      <w:r>
        <w:rPr>
          <w:rFonts w:hint="eastAsia" w:hAnsi="宋体"/>
          <w:sz w:val="28"/>
          <w:szCs w:val="28"/>
          <w:lang w:eastAsia="zh-CN"/>
        </w:rPr>
        <w:t>质量管理体系</w:t>
      </w:r>
      <w:r>
        <w:rPr>
          <w:rFonts w:hint="eastAsia" w:hAnsi="宋体"/>
          <w:sz w:val="28"/>
          <w:szCs w:val="28"/>
        </w:rPr>
        <w:t>的范围，阐述了方针、目标，明确了组织机构和相关人员的管理职责和权限，强调了质量是公司的生命</w:t>
      </w:r>
      <w:r>
        <w:rPr>
          <w:rFonts w:hint="eastAsia" w:hAnsi="宋体"/>
          <w:sz w:val="28"/>
          <w:szCs w:val="28"/>
          <w:lang w:eastAsia="zh-CN"/>
        </w:rPr>
        <w:t>，</w:t>
      </w:r>
      <w:r>
        <w:rPr>
          <w:rFonts w:hint="eastAsia" w:hAnsi="宋体"/>
          <w:sz w:val="28"/>
          <w:szCs w:val="28"/>
        </w:rPr>
        <w:t>力求持续改进，以适应相关方需求，为顾客提供满意的产品和服务，保持企业的活力。</w:t>
      </w:r>
    </w:p>
    <w:p>
      <w:pPr>
        <w:ind w:firstLine="570"/>
        <w:rPr>
          <w:rFonts w:ascii="宋体" w:hAnsi="宋体"/>
          <w:sz w:val="28"/>
          <w:szCs w:val="28"/>
        </w:rPr>
      </w:pPr>
      <w:r>
        <w:rPr>
          <w:rFonts w:hint="eastAsia" w:hAnsi="宋体"/>
          <w:sz w:val="28"/>
          <w:szCs w:val="28"/>
        </w:rPr>
        <w:t>公司制定以下</w:t>
      </w:r>
      <w:r>
        <w:rPr>
          <w:rFonts w:hint="eastAsia" w:ascii="宋体" w:hAnsi="宋体"/>
          <w:sz w:val="28"/>
          <w:szCs w:val="28"/>
        </w:rPr>
        <w:t>质量方针：</w:t>
      </w:r>
    </w:p>
    <w:p>
      <w:pPr>
        <w:ind w:firstLine="570"/>
        <w:rPr>
          <w:rFonts w:hAnsi="宋体"/>
          <w:b/>
          <w:sz w:val="28"/>
          <w:szCs w:val="28"/>
        </w:rPr>
      </w:pPr>
      <w:r>
        <w:rPr>
          <w:rFonts w:hint="eastAsia" w:hAnsi="宋体"/>
          <w:b/>
          <w:sz w:val="28"/>
          <w:szCs w:val="28"/>
        </w:rPr>
        <w:t>顾客至上，关注细节，优质高效，超越需求；</w:t>
      </w:r>
    </w:p>
    <w:p>
      <w:pPr>
        <w:ind w:firstLine="570"/>
        <w:rPr>
          <w:rFonts w:hAnsi="宋体"/>
          <w:b/>
          <w:sz w:val="28"/>
          <w:szCs w:val="28"/>
        </w:rPr>
      </w:pPr>
      <w:r>
        <w:rPr>
          <w:rFonts w:hint="eastAsia" w:hAnsi="宋体"/>
          <w:b/>
          <w:sz w:val="28"/>
          <w:szCs w:val="28"/>
        </w:rPr>
        <w:t>环保领先，节能降耗，预防污染，回归自然；</w:t>
      </w:r>
    </w:p>
    <w:p>
      <w:pPr>
        <w:ind w:firstLine="570"/>
        <w:rPr>
          <w:rFonts w:hAnsi="宋体"/>
          <w:b/>
          <w:sz w:val="28"/>
          <w:szCs w:val="28"/>
        </w:rPr>
      </w:pPr>
      <w:r>
        <w:rPr>
          <w:rFonts w:hint="eastAsia" w:hAnsi="宋体"/>
          <w:b/>
          <w:sz w:val="28"/>
          <w:szCs w:val="28"/>
        </w:rPr>
        <w:t>安全第一，严控隐患，减少风险，保障健康；</w:t>
      </w:r>
    </w:p>
    <w:p>
      <w:pPr>
        <w:ind w:firstLine="570"/>
        <w:rPr>
          <w:rFonts w:hAnsi="宋体"/>
          <w:b/>
          <w:sz w:val="28"/>
          <w:szCs w:val="28"/>
        </w:rPr>
      </w:pPr>
      <w:r>
        <w:rPr>
          <w:rFonts w:hint="eastAsia" w:hAnsi="宋体"/>
          <w:b/>
          <w:sz w:val="28"/>
          <w:szCs w:val="28"/>
        </w:rPr>
        <w:t>全员参与，遵守法规，预防为主，持续改进。</w:t>
      </w:r>
    </w:p>
    <w:p>
      <w:pPr>
        <w:pStyle w:val="69"/>
        <w:spacing w:line="360" w:lineRule="auto"/>
        <w:ind w:firstLine="560"/>
        <w:rPr>
          <w:rFonts w:hAnsi="宋体"/>
          <w:sz w:val="28"/>
          <w:szCs w:val="28"/>
        </w:rPr>
      </w:pPr>
      <w:r>
        <w:rPr>
          <w:rFonts w:hint="eastAsia" w:hAnsi="宋体"/>
          <w:sz w:val="28"/>
          <w:szCs w:val="28"/>
        </w:rPr>
        <w:t>本手册是公司进行</w:t>
      </w:r>
      <w:r>
        <w:rPr>
          <w:rFonts w:hint="eastAsia" w:hAnsi="宋体"/>
          <w:sz w:val="28"/>
          <w:szCs w:val="28"/>
          <w:lang w:eastAsia="zh-CN"/>
        </w:rPr>
        <w:t>质量</w:t>
      </w:r>
      <w:r>
        <w:rPr>
          <w:rFonts w:hint="eastAsia" w:hAnsi="宋体"/>
          <w:sz w:val="28"/>
          <w:szCs w:val="28"/>
        </w:rPr>
        <w:t>管理的准则，也是公司对所有相关方的承诺。公司全体员工自手册实施之日起必须遵照执行。</w:t>
      </w:r>
    </w:p>
    <w:p>
      <w:pPr>
        <w:jc w:val="center"/>
        <w:rPr>
          <w:rFonts w:ascii="宋体" w:hAnsi="宋体"/>
          <w:sz w:val="28"/>
        </w:rPr>
      </w:pPr>
    </w:p>
    <w:p>
      <w:pPr>
        <w:jc w:val="center"/>
        <w:rPr>
          <w:rFonts w:hint="eastAsia" w:ascii="宋体" w:hAnsi="宋体" w:eastAsia="宋体"/>
          <w:sz w:val="28"/>
          <w:szCs w:val="28"/>
          <w:lang w:eastAsia="zh-CN"/>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总经理：</w:t>
      </w:r>
      <w:r>
        <w:rPr>
          <w:rFonts w:hint="eastAsia" w:ascii="宋体" w:hAnsi="宋体"/>
          <w:sz w:val="28"/>
          <w:szCs w:val="28"/>
          <w:lang w:eastAsia="zh-CN"/>
        </w:rPr>
        <w:t>王旭</w:t>
      </w:r>
    </w:p>
    <w:p>
      <w:pPr>
        <w:ind w:right="420" w:firstLine="570"/>
        <w:jc w:val="right"/>
        <w:rPr>
          <w:rFonts w:ascii="宋体" w:hAnsi="宋体"/>
          <w:sz w:val="28"/>
          <w:szCs w:val="28"/>
        </w:rPr>
      </w:pPr>
      <w:r>
        <w:rPr>
          <w:rFonts w:hint="eastAsia"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03</w:t>
      </w:r>
      <w:r>
        <w:rPr>
          <w:rFonts w:hint="eastAsia" w:ascii="宋体" w:hAnsi="宋体"/>
          <w:sz w:val="28"/>
          <w:szCs w:val="28"/>
        </w:rPr>
        <w:t>月</w:t>
      </w:r>
      <w:r>
        <w:rPr>
          <w:rFonts w:hint="eastAsia" w:ascii="宋体" w:hAnsi="宋体"/>
          <w:sz w:val="28"/>
          <w:szCs w:val="28"/>
          <w:lang w:val="en-US" w:eastAsia="zh-CN"/>
        </w:rPr>
        <w:t>01</w:t>
      </w:r>
      <w:r>
        <w:rPr>
          <w:rFonts w:hint="eastAsia" w:ascii="宋体" w:hAnsi="宋体"/>
          <w:sz w:val="28"/>
          <w:szCs w:val="28"/>
        </w:rPr>
        <w:t>日</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管理者代表任命书</w:t>
      </w:r>
    </w:p>
    <w:p>
      <w:pPr>
        <w:spacing w:line="360" w:lineRule="auto"/>
        <w:ind w:firstLine="1470" w:firstLineChars="700"/>
        <w:rPr>
          <w:rFonts w:ascii="宋体" w:hAnsi="宋体"/>
          <w:szCs w:val="21"/>
        </w:rPr>
      </w:pPr>
    </w:p>
    <w:p>
      <w:pPr>
        <w:spacing w:line="360" w:lineRule="auto"/>
        <w:ind w:firstLine="570"/>
        <w:rPr>
          <w:rFonts w:ascii="宋体" w:hAnsi="宋体"/>
          <w:sz w:val="28"/>
          <w:szCs w:val="28"/>
        </w:rPr>
      </w:pPr>
      <w:r>
        <w:rPr>
          <w:rFonts w:hint="eastAsia" w:ascii="宋体" w:hAnsi="宋体"/>
          <w:sz w:val="28"/>
          <w:szCs w:val="28"/>
        </w:rPr>
        <w:t>为贯彻GB/T 19001—2016（</w:t>
      </w:r>
      <w:r>
        <w:rPr>
          <w:rFonts w:ascii="宋体" w:hAnsi="宋体"/>
          <w:sz w:val="28"/>
          <w:szCs w:val="28"/>
        </w:rPr>
        <w:t>ISO 900</w:t>
      </w:r>
      <w:r>
        <w:rPr>
          <w:rFonts w:hint="eastAsia" w:ascii="宋体" w:hAnsi="宋体"/>
          <w:sz w:val="28"/>
          <w:szCs w:val="28"/>
        </w:rPr>
        <w:t>1：2015）《质量管理体系  要求》国家标准，加强对</w:t>
      </w:r>
      <w:r>
        <w:rPr>
          <w:rFonts w:hint="eastAsia" w:ascii="宋体" w:hAnsi="宋体"/>
          <w:sz w:val="28"/>
          <w:szCs w:val="28"/>
          <w:lang w:eastAsia="zh-CN"/>
        </w:rPr>
        <w:t>质量</w:t>
      </w:r>
      <w:r>
        <w:rPr>
          <w:rFonts w:hint="eastAsia" w:ascii="宋体" w:hAnsi="宋体"/>
          <w:sz w:val="28"/>
          <w:szCs w:val="28"/>
        </w:rPr>
        <w:t>管理体系运行的领导，特任命副总经理陈恒峰为我公司的管理者代表。</w:t>
      </w:r>
    </w:p>
    <w:p>
      <w:pPr>
        <w:spacing w:line="360" w:lineRule="auto"/>
        <w:ind w:firstLine="560" w:firstLineChars="200"/>
        <w:rPr>
          <w:rFonts w:ascii="宋体" w:hAnsi="宋体"/>
          <w:sz w:val="28"/>
          <w:szCs w:val="28"/>
        </w:rPr>
      </w:pPr>
      <w:r>
        <w:rPr>
          <w:rFonts w:hint="eastAsia" w:ascii="宋体" w:hAnsi="宋体"/>
          <w:sz w:val="28"/>
          <w:szCs w:val="28"/>
        </w:rPr>
        <w:t>其职责是：</w:t>
      </w:r>
    </w:p>
    <w:p>
      <w:pPr>
        <w:numPr>
          <w:ilvl w:val="0"/>
          <w:numId w:val="1"/>
        </w:numPr>
        <w:tabs>
          <w:tab w:val="left" w:pos="1080"/>
        </w:tabs>
        <w:spacing w:line="360" w:lineRule="auto"/>
        <w:ind w:left="720" w:hanging="180"/>
        <w:rPr>
          <w:rFonts w:ascii="宋体" w:hAnsi="宋体"/>
          <w:sz w:val="28"/>
          <w:szCs w:val="28"/>
        </w:rPr>
      </w:pPr>
      <w:r>
        <w:rPr>
          <w:rFonts w:hint="eastAsia" w:ascii="宋体" w:hAnsi="宋体"/>
          <w:sz w:val="28"/>
          <w:szCs w:val="28"/>
        </w:rPr>
        <w:t>确保</w:t>
      </w:r>
      <w:r>
        <w:rPr>
          <w:rFonts w:hint="eastAsia" w:ascii="宋体" w:hAnsi="宋体"/>
          <w:sz w:val="28"/>
          <w:szCs w:val="28"/>
          <w:lang w:eastAsia="zh-CN"/>
        </w:rPr>
        <w:t>质量</w:t>
      </w:r>
      <w:r>
        <w:rPr>
          <w:rFonts w:hint="eastAsia" w:ascii="宋体" w:hAnsi="宋体"/>
          <w:sz w:val="28"/>
          <w:szCs w:val="28"/>
        </w:rPr>
        <w:t>管理体系所需的过程得到建立、实施和保持；</w:t>
      </w:r>
    </w:p>
    <w:p>
      <w:pPr>
        <w:numPr>
          <w:ilvl w:val="0"/>
          <w:numId w:val="1"/>
        </w:numPr>
        <w:tabs>
          <w:tab w:val="left" w:pos="1080"/>
        </w:tabs>
        <w:spacing w:line="360" w:lineRule="auto"/>
        <w:ind w:left="720" w:hanging="180"/>
        <w:rPr>
          <w:rFonts w:ascii="宋体" w:hAnsi="宋体"/>
          <w:sz w:val="28"/>
          <w:szCs w:val="28"/>
        </w:rPr>
      </w:pPr>
      <w:r>
        <w:rPr>
          <w:rFonts w:hint="eastAsia" w:ascii="宋体" w:hAnsi="宋体"/>
          <w:sz w:val="28"/>
          <w:szCs w:val="28"/>
        </w:rPr>
        <w:t>报告</w:t>
      </w:r>
      <w:r>
        <w:rPr>
          <w:rFonts w:hint="eastAsia" w:ascii="宋体" w:hAnsi="宋体"/>
          <w:sz w:val="28"/>
          <w:szCs w:val="28"/>
          <w:lang w:eastAsia="zh-CN"/>
        </w:rPr>
        <w:t>质量</w:t>
      </w:r>
      <w:r>
        <w:rPr>
          <w:rFonts w:hint="eastAsia" w:ascii="宋体" w:hAnsi="宋体"/>
          <w:sz w:val="28"/>
          <w:szCs w:val="28"/>
        </w:rPr>
        <w:t>管理体系的业绩和任何改进的需求；</w:t>
      </w:r>
    </w:p>
    <w:p>
      <w:pPr>
        <w:numPr>
          <w:ilvl w:val="0"/>
          <w:numId w:val="1"/>
        </w:numPr>
        <w:tabs>
          <w:tab w:val="left" w:pos="1080"/>
        </w:tabs>
        <w:spacing w:line="360" w:lineRule="auto"/>
        <w:ind w:left="720" w:hanging="180"/>
        <w:rPr>
          <w:rFonts w:ascii="宋体" w:hAnsi="宋体"/>
          <w:sz w:val="28"/>
          <w:szCs w:val="28"/>
        </w:rPr>
      </w:pPr>
      <w:r>
        <w:rPr>
          <w:rFonts w:hint="eastAsia" w:ascii="宋体" w:hAnsi="宋体"/>
          <w:sz w:val="28"/>
          <w:szCs w:val="28"/>
        </w:rPr>
        <w:t>确保在公司内部提高满足顾客及相关方要求的意识；</w:t>
      </w:r>
    </w:p>
    <w:p>
      <w:pPr>
        <w:numPr>
          <w:ilvl w:val="0"/>
          <w:numId w:val="1"/>
        </w:numPr>
        <w:tabs>
          <w:tab w:val="left" w:pos="1080"/>
        </w:tabs>
        <w:spacing w:line="360" w:lineRule="auto"/>
        <w:ind w:left="720" w:hanging="180"/>
        <w:rPr>
          <w:rFonts w:ascii="宋体" w:hAnsi="宋体"/>
          <w:sz w:val="28"/>
          <w:szCs w:val="28"/>
        </w:rPr>
      </w:pPr>
      <w:r>
        <w:rPr>
          <w:rFonts w:hint="eastAsia" w:ascii="宋体" w:hAnsi="宋体"/>
          <w:sz w:val="28"/>
          <w:szCs w:val="28"/>
        </w:rPr>
        <w:t>代表公司就</w:t>
      </w:r>
      <w:r>
        <w:rPr>
          <w:rFonts w:hint="eastAsia" w:ascii="宋体" w:hAnsi="宋体"/>
          <w:sz w:val="28"/>
          <w:szCs w:val="28"/>
          <w:lang w:eastAsia="zh-CN"/>
        </w:rPr>
        <w:t>质量</w:t>
      </w:r>
      <w:r>
        <w:rPr>
          <w:rFonts w:hint="eastAsia" w:ascii="宋体" w:hAnsi="宋体"/>
          <w:sz w:val="28"/>
          <w:szCs w:val="28"/>
        </w:rPr>
        <w:t>管理体系有关事宜与外部联络。</w:t>
      </w:r>
    </w:p>
    <w:p>
      <w:pPr>
        <w:spacing w:line="360" w:lineRule="auto"/>
        <w:ind w:firstLine="560" w:firstLineChars="200"/>
        <w:rPr>
          <w:rFonts w:ascii="宋体" w:hAnsi="宋体"/>
          <w:sz w:val="28"/>
          <w:szCs w:val="28"/>
        </w:rPr>
      </w:pPr>
      <w:r>
        <w:rPr>
          <w:rFonts w:hint="eastAsia" w:ascii="宋体" w:hAnsi="宋体"/>
          <w:sz w:val="28"/>
          <w:szCs w:val="28"/>
        </w:rPr>
        <w:t>望公司全体员工服从协调，共同履行</w:t>
      </w:r>
      <w:r>
        <w:rPr>
          <w:rFonts w:hint="eastAsia" w:ascii="宋体" w:hAnsi="宋体"/>
          <w:sz w:val="28"/>
          <w:szCs w:val="28"/>
          <w:lang w:eastAsia="zh-CN"/>
        </w:rPr>
        <w:t>质量</w:t>
      </w:r>
      <w:r>
        <w:rPr>
          <w:rFonts w:hint="eastAsia" w:ascii="宋体" w:hAnsi="宋体"/>
          <w:sz w:val="28"/>
          <w:szCs w:val="28"/>
        </w:rPr>
        <w:t>管理体系职能，确保</w:t>
      </w:r>
      <w:r>
        <w:rPr>
          <w:rFonts w:hint="eastAsia" w:ascii="宋体" w:hAnsi="宋体"/>
          <w:sz w:val="28"/>
          <w:szCs w:val="28"/>
          <w:lang w:eastAsia="zh-CN"/>
        </w:rPr>
        <w:t>质量</w:t>
      </w:r>
      <w:r>
        <w:rPr>
          <w:rFonts w:hint="eastAsia" w:ascii="宋体" w:hAnsi="宋体"/>
          <w:sz w:val="28"/>
          <w:szCs w:val="28"/>
        </w:rPr>
        <w:t>管理体系的持续有效运行。</w:t>
      </w:r>
    </w:p>
    <w:p>
      <w:pPr>
        <w:spacing w:line="360" w:lineRule="auto"/>
        <w:ind w:left="435" w:leftChars="207" w:firstLine="3790" w:firstLineChars="1805"/>
        <w:rPr>
          <w:rFonts w:ascii="宋体" w:hAnsi="宋体"/>
          <w:szCs w:val="21"/>
        </w:rPr>
      </w:pPr>
    </w:p>
    <w:p>
      <w:pPr>
        <w:spacing w:line="360" w:lineRule="auto"/>
        <w:ind w:left="435" w:leftChars="207" w:firstLine="4883" w:firstLineChars="1744"/>
        <w:rPr>
          <w:rFonts w:ascii="宋体" w:hAnsi="宋体"/>
          <w:sz w:val="28"/>
          <w:szCs w:val="28"/>
        </w:rPr>
      </w:pPr>
    </w:p>
    <w:p>
      <w:pPr>
        <w:spacing w:line="360" w:lineRule="auto"/>
        <w:ind w:left="435" w:leftChars="207" w:firstLine="4883" w:firstLineChars="1744"/>
        <w:rPr>
          <w:rFonts w:hint="eastAsia" w:ascii="宋体" w:hAnsi="宋体" w:eastAsia="宋体"/>
          <w:sz w:val="28"/>
          <w:szCs w:val="28"/>
          <w:lang w:eastAsia="zh-CN"/>
        </w:rPr>
      </w:pPr>
      <w:r>
        <w:rPr>
          <w:rFonts w:hint="eastAsia" w:ascii="宋体" w:hAnsi="宋体"/>
          <w:sz w:val="28"/>
          <w:szCs w:val="28"/>
        </w:rPr>
        <w:t xml:space="preserve"> 总经理：</w:t>
      </w:r>
      <w:r>
        <w:rPr>
          <w:rFonts w:hint="eastAsia" w:ascii="宋体" w:hAnsi="宋体"/>
          <w:sz w:val="28"/>
          <w:szCs w:val="28"/>
          <w:lang w:eastAsia="zh-CN"/>
        </w:rPr>
        <w:t>王旭</w:t>
      </w:r>
    </w:p>
    <w:p>
      <w:pPr>
        <w:ind w:firstLine="5460" w:firstLineChars="1950"/>
        <w:rPr>
          <w:rFonts w:ascii="宋体" w:hAnsi="宋体"/>
          <w:sz w:val="28"/>
          <w:szCs w:val="28"/>
        </w:rPr>
      </w:pPr>
      <w:r>
        <w:rPr>
          <w:rFonts w:hint="eastAsia"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03</w:t>
      </w:r>
      <w:r>
        <w:rPr>
          <w:rFonts w:hint="eastAsia" w:ascii="宋体" w:hAnsi="宋体"/>
          <w:sz w:val="28"/>
          <w:szCs w:val="28"/>
        </w:rPr>
        <w:t>月</w:t>
      </w:r>
      <w:r>
        <w:rPr>
          <w:rFonts w:hint="eastAsia" w:ascii="宋体" w:hAnsi="宋体"/>
          <w:sz w:val="28"/>
          <w:szCs w:val="28"/>
          <w:lang w:val="en-US" w:eastAsia="zh-CN"/>
        </w:rPr>
        <w:t>01</w:t>
      </w:r>
      <w:r>
        <w:rPr>
          <w:rFonts w:hint="eastAsia" w:ascii="宋体" w:hAnsi="宋体"/>
          <w:sz w:val="28"/>
          <w:szCs w:val="28"/>
        </w:rPr>
        <w:t>日</w:t>
      </w:r>
    </w:p>
    <w:bookmarkEnd w:id="1"/>
    <w:p>
      <w:pPr>
        <w:spacing w:line="360" w:lineRule="auto"/>
        <w:jc w:val="center"/>
        <w:rPr>
          <w:rFonts w:ascii="宋体" w:hAnsi="宋体"/>
        </w:rPr>
      </w:pPr>
      <w:bookmarkStart w:id="2" w:name="SectionMark2"/>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pStyle w:val="127"/>
        <w:spacing w:before="156" w:after="156" w:line="400" w:lineRule="exact"/>
        <w:jc w:val="both"/>
        <w:rPr>
          <w:rFonts w:ascii="宋体" w:hAnsi="宋体" w:eastAsia="宋体"/>
          <w:b/>
          <w:sz w:val="32"/>
          <w:szCs w:val="32"/>
        </w:rPr>
      </w:pPr>
    </w:p>
    <w:p>
      <w:pPr>
        <w:pStyle w:val="127"/>
        <w:spacing w:before="156" w:after="156" w:line="400" w:lineRule="exact"/>
        <w:jc w:val="center"/>
        <w:rPr>
          <w:rFonts w:ascii="宋体" w:hAnsi="宋体" w:eastAsia="宋体"/>
          <w:b/>
          <w:sz w:val="32"/>
          <w:szCs w:val="32"/>
        </w:rPr>
      </w:pPr>
      <w:r>
        <w:rPr>
          <w:rFonts w:hint="eastAsia" w:ascii="宋体" w:hAnsi="宋体" w:eastAsia="宋体"/>
          <w:b/>
          <w:sz w:val="32"/>
          <w:szCs w:val="32"/>
        </w:rPr>
        <w:t>第一部分 质量管理体系</w:t>
      </w:r>
    </w:p>
    <w:p>
      <w:pPr>
        <w:pStyle w:val="127"/>
        <w:spacing w:before="156" w:after="156"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1范围</w:t>
      </w:r>
    </w:p>
    <w:p>
      <w:pPr>
        <w:pStyle w:val="127"/>
        <w:spacing w:before="156" w:after="156"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本部分依据GB/T19001—2016（</w:t>
      </w:r>
      <w:r>
        <w:rPr>
          <w:rFonts w:asciiTheme="minorEastAsia" w:hAnsiTheme="minorEastAsia" w:eastAsiaTheme="minorEastAsia"/>
          <w:sz w:val="24"/>
          <w:szCs w:val="24"/>
        </w:rPr>
        <w:t>idt ISO 900</w:t>
      </w:r>
      <w:r>
        <w:rPr>
          <w:rFonts w:hint="eastAsia" w:asciiTheme="minorEastAsia" w:hAnsiTheme="minorEastAsia" w:eastAsiaTheme="minorEastAsia"/>
          <w:sz w:val="24"/>
          <w:szCs w:val="24"/>
        </w:rPr>
        <w:t>1：2015）《质量管理体系  要求》，结合公司的实际情况编制。手册规定了管理方针和目标，通过阐述、贯彻管理体系要求，证实</w:t>
      </w:r>
      <w:r>
        <w:rPr>
          <w:rFonts w:hint="eastAsia" w:asciiTheme="minorEastAsia" w:hAnsiTheme="minorEastAsia" w:eastAsiaTheme="minorEastAsia"/>
          <w:sz w:val="24"/>
          <w:szCs w:val="24"/>
          <w:lang w:eastAsia="zh-CN"/>
        </w:rPr>
        <w:t>青岛中科动力有限公司</w:t>
      </w:r>
      <w:r>
        <w:rPr>
          <w:rFonts w:hint="eastAsia" w:asciiTheme="minorEastAsia" w:hAnsiTheme="minorEastAsia" w:eastAsiaTheme="minorEastAsia"/>
          <w:sz w:val="24"/>
          <w:szCs w:val="24"/>
        </w:rPr>
        <w:t>在其经营领域“</w:t>
      </w:r>
      <w:r>
        <w:rPr>
          <w:rFonts w:hint="eastAsia" w:asciiTheme="minorEastAsia" w:hAnsiTheme="minorEastAsia" w:eastAsiaTheme="minorEastAsia"/>
          <w:color w:val="auto"/>
          <w:sz w:val="24"/>
          <w:szCs w:val="24"/>
          <w:lang w:eastAsia="zh-CN"/>
        </w:rPr>
        <w:t>轨道交通牵引系统、智慧高效驱动系统、发电机、电动机、变频器、控制器的研发、制造与销售</w:t>
      </w:r>
      <w:r>
        <w:rPr>
          <w:rFonts w:hint="eastAsia" w:asciiTheme="minorEastAsia" w:hAnsiTheme="minorEastAsia" w:eastAsiaTheme="minorEastAsia"/>
          <w:sz w:val="24"/>
          <w:szCs w:val="24"/>
        </w:rPr>
        <w:t>”：</w:t>
      </w:r>
    </w:p>
    <w:p>
      <w:pPr>
        <w:pStyle w:val="69"/>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a)具有稳定地提供满足顾客要求及适用法律法规要求的产品和服务的能力；</w:t>
      </w:r>
    </w:p>
    <w:p>
      <w:pPr>
        <w:pStyle w:val="69"/>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b)通过体系的有效应用，包括体系持续改进的过程，以及保证符合顾客和适用的法律法规要求，旨在增强顾客满意。</w:t>
      </w:r>
    </w:p>
    <w:bookmarkEnd w:id="2"/>
    <w:p>
      <w:pPr>
        <w:pStyle w:val="127"/>
        <w:spacing w:before="156" w:after="156" w:line="360" w:lineRule="auto"/>
        <w:jc w:val="left"/>
        <w:rPr>
          <w:rFonts w:asciiTheme="minorEastAsia" w:hAnsiTheme="minorEastAsia" w:eastAsiaTheme="minorEastAsia"/>
          <w:b/>
          <w:sz w:val="24"/>
          <w:szCs w:val="24"/>
        </w:rPr>
      </w:pPr>
      <w:bookmarkStart w:id="3" w:name="SectionMark4"/>
      <w:r>
        <w:rPr>
          <w:rFonts w:hint="eastAsia" w:asciiTheme="minorEastAsia" w:hAnsiTheme="minorEastAsia" w:eastAsiaTheme="minorEastAsia"/>
          <w:b/>
          <w:sz w:val="24"/>
          <w:szCs w:val="24"/>
        </w:rPr>
        <w:t>2引用标准</w:t>
      </w:r>
    </w:p>
    <w:p>
      <w:pPr>
        <w:pStyle w:val="68"/>
        <w:spacing w:line="360" w:lineRule="auto"/>
        <w:ind w:firstLine="420"/>
        <w:rPr>
          <w:rFonts w:asciiTheme="minorEastAsia" w:hAnsiTheme="minorEastAsia" w:eastAsiaTheme="minorEastAsia"/>
          <w:b/>
          <w:sz w:val="24"/>
          <w:szCs w:val="24"/>
        </w:rPr>
      </w:pPr>
      <w:r>
        <w:rPr>
          <w:rFonts w:hint="eastAsia" w:asciiTheme="minorEastAsia" w:hAnsiTheme="minorEastAsia" w:eastAsiaTheme="minorEastAsia"/>
          <w:sz w:val="24"/>
          <w:szCs w:val="24"/>
        </w:rPr>
        <w:t>本部分引用以下标准：GB/T19001—2016  质量管理体系  要求，其他标准的引用在相关文件中注明。</w:t>
      </w:r>
    </w:p>
    <w:p>
      <w:pPr>
        <w:pStyle w:val="127"/>
        <w:spacing w:before="156" w:after="156"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3术语和定义</w:t>
      </w:r>
    </w:p>
    <w:p>
      <w:pPr>
        <w:pStyle w:val="69"/>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本部分采用GB/T19000—2016的界定的术语和定义，组织自定术语在相关的文件中做出定义</w:t>
      </w:r>
      <w:bookmarkStart w:id="4" w:name="_Toc89854784"/>
      <w:r>
        <w:rPr>
          <w:rFonts w:hint="eastAsia" w:asciiTheme="minorEastAsia" w:hAnsiTheme="minorEastAsia" w:eastAsiaTheme="minorEastAsia"/>
          <w:sz w:val="24"/>
          <w:szCs w:val="24"/>
        </w:rPr>
        <w:t>。</w:t>
      </w:r>
    </w:p>
    <w:p>
      <w:pPr>
        <w:pStyle w:val="127"/>
        <w:spacing w:before="156" w:after="156"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4、</w:t>
      </w:r>
      <w:bookmarkEnd w:id="4"/>
      <w:r>
        <w:rPr>
          <w:rFonts w:hint="eastAsia" w:asciiTheme="minorEastAsia" w:hAnsiTheme="minorEastAsia" w:eastAsiaTheme="minorEastAsia"/>
          <w:b/>
          <w:sz w:val="24"/>
          <w:szCs w:val="24"/>
        </w:rPr>
        <w:t>组织环境</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4.1 组织及其背景环境</w:t>
      </w:r>
    </w:p>
    <w:p>
      <w:pPr>
        <w:pStyle w:val="69"/>
        <w:spacing w:line="360" w:lineRule="auto"/>
        <w:ind w:firstLine="465"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青岛中科动力有限公司</w:t>
      </w:r>
      <w:r>
        <w:rPr>
          <w:rFonts w:asciiTheme="minorEastAsia" w:hAnsiTheme="minorEastAsia" w:eastAsiaTheme="minorEastAsia"/>
          <w:color w:val="auto"/>
          <w:sz w:val="24"/>
          <w:szCs w:val="24"/>
        </w:rPr>
        <w:t>是由国家工商总局批准设立的投资控股型企业，注册资金1</w:t>
      </w:r>
      <w:r>
        <w:rPr>
          <w:rFonts w:hint="eastAsia" w:asciiTheme="minorEastAsia" w:hAnsiTheme="minorEastAsia" w:eastAsiaTheme="minorEastAsia"/>
          <w:color w:val="auto"/>
          <w:sz w:val="24"/>
          <w:szCs w:val="24"/>
          <w:lang w:val="en-US" w:eastAsia="zh-CN"/>
        </w:rPr>
        <w:t>000</w:t>
      </w:r>
      <w:r>
        <w:rPr>
          <w:rFonts w:hint="eastAsia" w:asciiTheme="minorEastAsia" w:hAnsiTheme="minorEastAsia" w:eastAsiaTheme="minorEastAsia"/>
          <w:color w:val="auto"/>
          <w:sz w:val="24"/>
          <w:szCs w:val="24"/>
          <w:lang w:eastAsia="zh-CN"/>
        </w:rPr>
        <w:t>万</w:t>
      </w:r>
      <w:r>
        <w:rPr>
          <w:rFonts w:asciiTheme="minorEastAsia" w:hAnsiTheme="minorEastAsia" w:eastAsiaTheme="minorEastAsia"/>
          <w:color w:val="auto"/>
          <w:sz w:val="24"/>
          <w:szCs w:val="24"/>
        </w:rPr>
        <w:t>元人民币，</w:t>
      </w:r>
      <w:r>
        <w:rPr>
          <w:rFonts w:hint="eastAsia" w:asciiTheme="minorEastAsia" w:hAnsiTheme="minorEastAsia" w:eastAsiaTheme="minorEastAsia"/>
          <w:color w:val="auto"/>
          <w:sz w:val="24"/>
          <w:szCs w:val="24"/>
        </w:rPr>
        <w:t>组织注册地址为中国青岛高新技术产业开发区新业路18号。</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行政人事部依据</w:t>
      </w:r>
      <w:r>
        <w:rPr>
          <w:rFonts w:asciiTheme="minorEastAsia" w:hAnsiTheme="minorEastAsia" w:eastAsiaTheme="minorEastAsia"/>
          <w:sz w:val="24"/>
          <w:szCs w:val="24"/>
        </w:rPr>
        <w:t>SP-QES2-RS-02</w:t>
      </w:r>
      <w:r>
        <w:rPr>
          <w:rFonts w:hint="eastAsia" w:asciiTheme="minorEastAsia" w:hAnsiTheme="minorEastAsia" w:eastAsiaTheme="minorEastAsia"/>
          <w:sz w:val="24"/>
          <w:szCs w:val="24"/>
        </w:rPr>
        <w:t>《组织环境信息识别与SWOT分析程序》，负责组织收集、监视和评审与实现公司宗旨和战略相关的内外部信息，信息包括但不限于：</w:t>
      </w:r>
    </w:p>
    <w:p>
      <w:pPr>
        <w:pStyle w:val="69"/>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a) 可能对组织的目标造成影响的变更和趋势；</w:t>
      </w:r>
    </w:p>
    <w:p>
      <w:pPr>
        <w:pStyle w:val="69"/>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b) 与相关方的关系，以及相关方的理念、价值观；</w:t>
      </w:r>
    </w:p>
    <w:p>
      <w:pPr>
        <w:pStyle w:val="69"/>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c) 组织管理、战略优先、内部政策和承诺；</w:t>
      </w:r>
    </w:p>
    <w:p>
      <w:pPr>
        <w:pStyle w:val="69"/>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d) 资源的获得和优先供给、技术变更。</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4.2 理解相关方的需求和期望</w:t>
      </w:r>
    </w:p>
    <w:p>
      <w:pPr>
        <w:pStyle w:val="69"/>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行政人事部依据</w:t>
      </w:r>
      <w:r>
        <w:rPr>
          <w:rFonts w:asciiTheme="minorEastAsia" w:hAnsiTheme="minorEastAsia" w:eastAsiaTheme="minorEastAsia"/>
          <w:sz w:val="24"/>
          <w:szCs w:val="24"/>
        </w:rPr>
        <w:t>SP-QES2-RS-03</w:t>
      </w:r>
      <w:r>
        <w:rPr>
          <w:rFonts w:hint="eastAsia" w:asciiTheme="minorEastAsia" w:hAnsiTheme="minorEastAsia" w:eastAsiaTheme="minorEastAsia"/>
          <w:sz w:val="24"/>
          <w:szCs w:val="24"/>
        </w:rPr>
        <w:t>《相关方要求信息控制程序》，组织收集相关方及其要求，对相关信息进行监视和评审，相关方包括但不限于：</w:t>
      </w:r>
    </w:p>
    <w:p>
      <w:pPr>
        <w:pStyle w:val="69"/>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a) 客户及潜在客户；</w:t>
      </w:r>
    </w:p>
    <w:p>
      <w:pPr>
        <w:pStyle w:val="69"/>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c) 供应链中的供方、分销商、零售商及其他；</w:t>
      </w:r>
    </w:p>
    <w:p>
      <w:pPr>
        <w:pStyle w:val="69"/>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d) 政府机构；</w:t>
      </w:r>
    </w:p>
    <w:p>
      <w:pPr>
        <w:pStyle w:val="69"/>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e) 其他。</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4.3 质量管理体系范围</w:t>
      </w:r>
    </w:p>
    <w:p>
      <w:pPr>
        <w:pStyle w:val="69"/>
        <w:spacing w:line="360" w:lineRule="auto"/>
        <w:ind w:firstLine="465" w:firstLineChars="0"/>
        <w:rPr>
          <w:rFonts w:asciiTheme="minorEastAsia" w:hAnsiTheme="minorEastAsia" w:eastAsiaTheme="minorEastAsia"/>
          <w:sz w:val="24"/>
          <w:szCs w:val="24"/>
        </w:rPr>
      </w:pPr>
      <w:r>
        <w:rPr>
          <w:rFonts w:hint="eastAsia" w:asciiTheme="minorEastAsia" w:hAnsiTheme="minorEastAsia" w:eastAsiaTheme="minorEastAsia"/>
          <w:color w:val="auto"/>
          <w:sz w:val="24"/>
          <w:szCs w:val="24"/>
        </w:rPr>
        <w:t>本体系应用于公司在“</w:t>
      </w:r>
      <w:r>
        <w:rPr>
          <w:rFonts w:hint="eastAsia" w:asciiTheme="minorEastAsia" w:hAnsiTheme="minorEastAsia" w:eastAsiaTheme="minorEastAsia"/>
          <w:color w:val="auto"/>
          <w:sz w:val="24"/>
          <w:szCs w:val="24"/>
          <w:lang w:eastAsia="zh-CN"/>
        </w:rPr>
        <w:t>轨道交通牵引系统、智慧高效驱动系统、发电机、电动机、变频器、控制器的研发、制造与销售</w:t>
      </w:r>
      <w:r>
        <w:rPr>
          <w:rFonts w:hint="eastAsia" w:asciiTheme="minorEastAsia" w:hAnsiTheme="minorEastAsia" w:eastAsiaTheme="minorEastAsia"/>
          <w:color w:val="auto"/>
          <w:sz w:val="24"/>
          <w:szCs w:val="24"/>
        </w:rPr>
        <w:t>”领域的经营活动，</w:t>
      </w:r>
      <w:r>
        <w:rPr>
          <w:rFonts w:hint="eastAsia" w:asciiTheme="minorEastAsia" w:hAnsiTheme="minorEastAsia" w:eastAsiaTheme="minorEastAsia"/>
          <w:sz w:val="24"/>
          <w:szCs w:val="24"/>
        </w:rPr>
        <w:t>组织注册地址为中国青岛高新技术产业开发区新业路18号。</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4.4 质量管理体系及过程</w:t>
      </w:r>
    </w:p>
    <w:p>
      <w:pPr>
        <w:pStyle w:val="31"/>
        <w:widowControl/>
        <w:shd w:val="clear" w:color="auto" w:fill="FFFFFF"/>
        <w:spacing w:beforeAutospacing="0" w:afterAutospacing="0" w:line="360" w:lineRule="auto"/>
        <w:ind w:firstLine="480"/>
        <w:rPr>
          <w:rFonts w:asciiTheme="minorEastAsia" w:hAnsiTheme="minorEastAsia" w:eastAsiaTheme="minorEastAsia"/>
        </w:rPr>
      </w:pPr>
      <w:r>
        <w:rPr>
          <w:rFonts w:hint="eastAsia" w:asciiTheme="minorEastAsia" w:hAnsiTheme="minorEastAsia" w:eastAsiaTheme="minorEastAsia"/>
        </w:rPr>
        <w:t>公司依据GB/T 19001—2016《质量管理体系要求》编制《管理手册》，建立、实施、保持和持续改进质量管理体系。</w:t>
      </w:r>
    </w:p>
    <w:p>
      <w:pPr>
        <w:pStyle w:val="31"/>
        <w:widowControl/>
        <w:shd w:val="clear" w:color="auto" w:fill="FFFFFF"/>
        <w:spacing w:beforeAutospacing="0" w:afterAutospacing="0" w:line="360" w:lineRule="auto"/>
        <w:ind w:firstLine="480"/>
        <w:rPr>
          <w:rFonts w:asciiTheme="minorEastAsia" w:hAnsiTheme="minorEastAsia" w:eastAsiaTheme="minorEastAsia"/>
        </w:rPr>
      </w:pPr>
      <w:r>
        <w:rPr>
          <w:rFonts w:hint="eastAsia" w:asciiTheme="minorEastAsia" w:hAnsiTheme="minorEastAsia" w:eastAsiaTheme="minorEastAsia"/>
        </w:rPr>
        <w:t>依据</w:t>
      </w:r>
      <w:r>
        <w:rPr>
          <w:rFonts w:asciiTheme="minorEastAsia" w:hAnsiTheme="minorEastAsia" w:eastAsiaTheme="minorEastAsia"/>
        </w:rPr>
        <w:t>SP-QES2-ZG-01</w:t>
      </w:r>
      <w:r>
        <w:rPr>
          <w:rFonts w:hint="eastAsia" w:asciiTheme="minorEastAsia" w:hAnsiTheme="minorEastAsia" w:eastAsiaTheme="minorEastAsia"/>
        </w:rPr>
        <w:t>《过程识别、分析和绩效评价控制程序》，由总经理主持，采用过程方法，通过采用PDCA循环以及始终基于风险的思维，对过程和整个体系进行管理。质管部组织各部门策划</w:t>
      </w:r>
      <w:r>
        <w:rPr>
          <w:rFonts w:asciiTheme="minorEastAsia" w:hAnsiTheme="minorEastAsia" w:eastAsiaTheme="minorEastAsia"/>
        </w:rPr>
        <w:t>SP-QES4-ZG-01</w:t>
      </w:r>
      <w:r>
        <w:rPr>
          <w:rFonts w:hint="eastAsia" w:asciiTheme="minorEastAsia" w:hAnsiTheme="minorEastAsia" w:eastAsiaTheme="minorEastAsia"/>
        </w:rPr>
        <w:t>《管理体系职责分配表》，汇编</w:t>
      </w:r>
      <w:r>
        <w:rPr>
          <w:rFonts w:asciiTheme="minorEastAsia" w:hAnsiTheme="minorEastAsia" w:eastAsiaTheme="minorEastAsia"/>
        </w:rPr>
        <w:t>SP-QES4-ZG-02</w:t>
      </w:r>
      <w:r>
        <w:rPr>
          <w:rFonts w:hint="eastAsia" w:asciiTheme="minorEastAsia" w:hAnsiTheme="minorEastAsia" w:eastAsiaTheme="minorEastAsia"/>
        </w:rPr>
        <w:t>《组织过程清单》，各责任部门对所负责的业务按照过程方法进行过程识别与分析，编制程序文件。</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 领导作用</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5.1 领导作用与承诺</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5.1.1 总则</w:t>
      </w:r>
    </w:p>
    <w:p>
      <w:pPr>
        <w:pStyle w:val="69"/>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总经理通过以下方面证实其对质量管理体系的领导作用与承诺：</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a) 组织管理评审，确保质量方针和质量目标得到建立，并与组织的战略方向保持一致；</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b) 通过内部宣贯，确保质量方针在组织内得到理解和实施，传达有效的质量管理以及满足质量管理体系、产品和服务要求的重要性；</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c) 通过策划及评审，确保质量管理体系要求纳入组织的业务运作，并应用过程方法进行过程管理；</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d) 通过管理评审，确保质量管理体系所需资源的获得；</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e) 通过体系策划，确保质量管理体系实现预期的输出；</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f) 通过广泛采用多种形式的合理化建议收集工作，如改进，提案，技术创新提案等方式，吸纳、指导和支持员工参与对质量管理体系的有效性作出贡献，并辅以激励政策；</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g) 通过组织架构设定和岗位授权，支持其他的管理者在其负责的领域证实其领导作用。</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5.1.2 以顾客为关注焦点</w:t>
      </w:r>
    </w:p>
    <w:p>
      <w:pPr>
        <w:pStyle w:val="69"/>
        <w:spacing w:line="360" w:lineRule="auto"/>
        <w:ind w:left="479" w:leftChars="228"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总经理通过以下方面，证实其针对以顾客为关注焦点的领导作用和承诺：    </w:t>
      </w:r>
    </w:p>
    <w:p>
      <w:pPr>
        <w:pStyle w:val="69"/>
        <w:spacing w:line="360" w:lineRule="auto"/>
        <w:ind w:left="479" w:leftChars="228"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a) 确定、理解并持续地满足顾客要求以及适用的法律法规要求；</w:t>
      </w:r>
    </w:p>
    <w:p>
      <w:pPr>
        <w:pStyle w:val="69"/>
        <w:spacing w:line="360" w:lineRule="auto"/>
        <w:ind w:left="479" w:leftChars="228"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b) 确定和应对风险和机遇，这些风险和机遇可能影响产品和服务合格以及增强顾客满意的能力；</w:t>
      </w:r>
    </w:p>
    <w:p>
      <w:pPr>
        <w:pStyle w:val="69"/>
        <w:spacing w:line="360" w:lineRule="auto"/>
        <w:ind w:left="479" w:leftChars="228"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c）始终致力于增强顾客满意。</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5.2 质量方针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总经理拟定《</w:t>
      </w:r>
      <w:r>
        <w:rPr>
          <w:rFonts w:hint="eastAsia" w:asciiTheme="minorEastAsia" w:hAnsiTheme="minorEastAsia" w:eastAsiaTheme="minorEastAsia"/>
          <w:kern w:val="0"/>
          <w:sz w:val="24"/>
          <w:lang w:eastAsia="zh-CN"/>
        </w:rPr>
        <w:t>质量</w:t>
      </w:r>
      <w:r>
        <w:rPr>
          <w:rFonts w:hint="eastAsia" w:asciiTheme="minorEastAsia" w:hAnsiTheme="minorEastAsia" w:eastAsiaTheme="minorEastAsia"/>
          <w:kern w:val="0"/>
          <w:sz w:val="24"/>
        </w:rPr>
        <w:t>管理手册及方针发布实施令》，确定以下</w:t>
      </w:r>
      <w:r>
        <w:rPr>
          <w:rFonts w:hint="eastAsia" w:asciiTheme="minorEastAsia" w:hAnsiTheme="minorEastAsia" w:eastAsiaTheme="minorEastAsia"/>
          <w:sz w:val="24"/>
          <w:lang w:eastAsia="zh-CN"/>
        </w:rPr>
        <w:t>质量</w:t>
      </w:r>
      <w:r>
        <w:rPr>
          <w:rFonts w:hint="eastAsia" w:asciiTheme="minorEastAsia" w:hAnsiTheme="minorEastAsia" w:eastAsiaTheme="minorEastAsia"/>
          <w:sz w:val="24"/>
        </w:rPr>
        <w:t>方针：</w:t>
      </w:r>
    </w:p>
    <w:p>
      <w:pPr>
        <w:pStyle w:val="69"/>
        <w:spacing w:line="360" w:lineRule="auto"/>
        <w:ind w:left="479" w:leftChars="228"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顾客至上，关注细节，优质高效，超越需求；</w:t>
      </w:r>
    </w:p>
    <w:p>
      <w:pPr>
        <w:pStyle w:val="69"/>
        <w:spacing w:line="360" w:lineRule="auto"/>
        <w:ind w:firstLine="46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环保领先，节能降耗，预防污染，回归自然；</w:t>
      </w:r>
    </w:p>
    <w:p>
      <w:pPr>
        <w:pStyle w:val="69"/>
        <w:spacing w:line="360" w:lineRule="auto"/>
        <w:ind w:left="479" w:leftChars="228"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安全第一，严控隐患，减少风险，保障健康；</w:t>
      </w:r>
    </w:p>
    <w:p>
      <w:pPr>
        <w:pStyle w:val="69"/>
        <w:spacing w:line="360" w:lineRule="auto"/>
        <w:ind w:left="479" w:leftChars="228"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全员参与，遵守法规，预防为主，持续改进。</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质量方针的变更需通过总经理办公会拟定草案，管理评审表决通过。评审过程应考虑：</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a) 变更的目的及其潜在后果；</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b) 质量管理体系的完整性；</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c) 资源的获得；</w:t>
      </w:r>
    </w:p>
    <w:p>
      <w:pPr>
        <w:pStyle w:val="69"/>
        <w:spacing w:line="360" w:lineRule="auto"/>
        <w:ind w:firstLine="46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d) 职责和权限的分配与再分配。</w:t>
      </w:r>
    </w:p>
    <w:p>
      <w:pPr>
        <w:pStyle w:val="69"/>
        <w:spacing w:line="360" w:lineRule="auto"/>
        <w:ind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5.3 组织内的角色、职责和权限</w:t>
      </w:r>
    </w:p>
    <w:p>
      <w:pPr>
        <w:pStyle w:val="69"/>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为贯彻执行质量管理体系要求，公司组织机构策划见《组织机构图》，相关角色的职责、权限的策划，见《部门、岗位职责说明书》。</w:t>
      </w:r>
    </w:p>
    <w:p>
      <w:pPr>
        <w:pStyle w:val="69"/>
        <w:spacing w:line="360" w:lineRule="auto"/>
        <w:ind w:firstLine="46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总经理负责确保组织内相关的职责、权限得到分配、沟通和理解。总经理对质量管理体系的有效性负责，体现为：</w:t>
      </w:r>
    </w:p>
    <w:p>
      <w:pPr>
        <w:pStyle w:val="69"/>
        <w:spacing w:line="360" w:lineRule="auto"/>
        <w:ind w:firstLine="46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a) 确保质量管理体系符合本标准的要求；</w:t>
      </w:r>
    </w:p>
    <w:p>
      <w:pPr>
        <w:pStyle w:val="69"/>
        <w:spacing w:line="360" w:lineRule="auto"/>
        <w:ind w:firstLine="46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b) 确保过程相互作用并产生期望的结果；</w:t>
      </w:r>
    </w:p>
    <w:p>
      <w:pPr>
        <w:pStyle w:val="69"/>
        <w:spacing w:line="360" w:lineRule="auto"/>
        <w:ind w:firstLine="46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c) 确保获悉质量管理体系的绩效和任何改进的需求；</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d) 确保在整个组织内提高满足顾客要求的意识。</w:t>
      </w:r>
      <w:bookmarkEnd w:id="3"/>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各角色分工以组织机构设置和部门、岗位职责说明书的形式体现，相关的变更需通过总经理办公会表决通过，并在管理评审中对组织职责与权限进行评审，评审过程应考虑：</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a) 变更的目的及其潜在后果；</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b) 质量管理体系的完整性；</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c) 资源的获得；</w:t>
      </w:r>
    </w:p>
    <w:p>
      <w:pPr>
        <w:pStyle w:val="69"/>
        <w:spacing w:line="360" w:lineRule="auto"/>
        <w:ind w:firstLine="46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d) 职责和权限的分配与再分配。</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6 策划</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6.1 应对风险和机会的措施</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SP-QES2-RS-02</w:t>
      </w:r>
      <w:r>
        <w:rPr>
          <w:rFonts w:hint="eastAsia" w:asciiTheme="minorEastAsia" w:hAnsiTheme="minorEastAsia" w:eastAsiaTheme="minorEastAsia"/>
          <w:sz w:val="24"/>
          <w:szCs w:val="24"/>
        </w:rPr>
        <w:t>《组织环境信息识别与SWOT分析程序》和</w:t>
      </w:r>
      <w:r>
        <w:rPr>
          <w:rFonts w:asciiTheme="minorEastAsia" w:hAnsiTheme="minorEastAsia" w:eastAsiaTheme="minorEastAsia"/>
          <w:sz w:val="24"/>
          <w:szCs w:val="24"/>
        </w:rPr>
        <w:t>SP-QES2-RS-03</w:t>
      </w:r>
      <w:r>
        <w:rPr>
          <w:rFonts w:hint="eastAsia" w:asciiTheme="minorEastAsia" w:hAnsiTheme="minorEastAsia" w:eastAsiaTheme="minorEastAsia"/>
          <w:sz w:val="24"/>
          <w:szCs w:val="24"/>
        </w:rPr>
        <w:t>《相关方要求信息控制程序》，行政人事部组织收集、监视和评审与实现公司宗旨和战略相关的内外部信息，对相关方及其要求，收集并对相关信息进行监视和评审，编制</w:t>
      </w:r>
      <w:r>
        <w:rPr>
          <w:rFonts w:asciiTheme="minorEastAsia" w:hAnsiTheme="minorEastAsia" w:eastAsiaTheme="minorEastAsia"/>
          <w:sz w:val="24"/>
          <w:szCs w:val="24"/>
        </w:rPr>
        <w:t>SP-QES4-RS-19</w:t>
      </w:r>
      <w:r>
        <w:rPr>
          <w:rFonts w:hint="eastAsia" w:asciiTheme="minorEastAsia" w:hAnsiTheme="minorEastAsia" w:eastAsiaTheme="minorEastAsia"/>
          <w:sz w:val="24"/>
          <w:szCs w:val="24"/>
        </w:rPr>
        <w:t>《组织SWOT分析表》，总经理主持管理评审，制定应对风险、机会的措施，并通过内部审核、管理评审等形式对所制定措施的实施情况和有效性进行监视和评价。</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6.2 质量目标和实现计划</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总经理组织在质量管理体系所需的相关职能、层次和过程上建立质量目标。依据</w:t>
      </w:r>
      <w:r>
        <w:rPr>
          <w:rFonts w:asciiTheme="minorEastAsia" w:hAnsiTheme="minorEastAsia" w:eastAsiaTheme="minorEastAsia"/>
          <w:sz w:val="24"/>
          <w:szCs w:val="24"/>
        </w:rPr>
        <w:t>SP-QES2-ZG-01</w:t>
      </w:r>
      <w:r>
        <w:rPr>
          <w:rFonts w:hint="eastAsia" w:asciiTheme="minorEastAsia" w:hAnsiTheme="minorEastAsia" w:eastAsiaTheme="minorEastAsia"/>
          <w:sz w:val="24"/>
          <w:szCs w:val="24"/>
        </w:rPr>
        <w:t>《过程识别、分析和绩效评价控制程序》，年度质量目标的策划活动于前一年12月策划，经管理评审决议通过后，当年第1月度发布当年度质量目标。</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质管部负责每月收集各部门质量目标完成情况，以质量例会形式发布，检查，分析质量目标完成情况，未完成目标绩效的单位须制定纠正措施。对质量目标的变更需求，责任单位可通过报告形式提出，经过程相关部门评议，管理者代表审核，总经理批准后更新。</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6.3 变更的策划</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当组织结构、产品结构、资源发生重大改变与调整，以及相关的法律法规、标准及其它要求发生变更等情况时，应依据</w:t>
      </w:r>
      <w:r>
        <w:rPr>
          <w:rFonts w:asciiTheme="minorEastAsia" w:hAnsiTheme="minorEastAsia" w:eastAsiaTheme="minorEastAsia"/>
          <w:sz w:val="24"/>
          <w:szCs w:val="24"/>
        </w:rPr>
        <w:t>SP-QES2-ZG-08</w:t>
      </w:r>
      <w:r>
        <w:rPr>
          <w:rFonts w:hint="eastAsia" w:asciiTheme="minorEastAsia" w:hAnsiTheme="minorEastAsia" w:eastAsiaTheme="minorEastAsia"/>
          <w:sz w:val="24"/>
          <w:szCs w:val="24"/>
        </w:rPr>
        <w:t>《管理评审控制程序》，策划并实施质量管理体系的变更。</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7 支持</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7.1 资源</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为建立、实施、保持和持续改进质量管理体系，行政人事部、安技设备部、资料室等部门负责组织人员、基础设施及监视测量设施以及知识管理等方面的资源支持。</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SP-QES2-RS-01</w:t>
      </w:r>
      <w:r>
        <w:rPr>
          <w:rFonts w:hint="eastAsia" w:asciiTheme="minorEastAsia" w:hAnsiTheme="minorEastAsia" w:eastAsiaTheme="minorEastAsia"/>
          <w:sz w:val="24"/>
          <w:szCs w:val="24"/>
        </w:rPr>
        <w:t>《人力资源控制程序》，由行政人事部组织确定并配备所需的人员，相关角色的职责、权限的策划，见《部门、岗位职责说明书》。</w:t>
      </w:r>
    </w:p>
    <w:p>
      <w:pPr>
        <w:pStyle w:val="69"/>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依据</w:t>
      </w:r>
      <w:r>
        <w:rPr>
          <w:rFonts w:asciiTheme="minorEastAsia" w:hAnsiTheme="minorEastAsia" w:eastAsiaTheme="minorEastAsia"/>
          <w:sz w:val="24"/>
          <w:szCs w:val="24"/>
        </w:rPr>
        <w:t>SP-QES2-SB-01</w:t>
      </w:r>
      <w:r>
        <w:rPr>
          <w:rFonts w:hint="eastAsia" w:asciiTheme="minorEastAsia" w:hAnsiTheme="minorEastAsia" w:eastAsiaTheme="minorEastAsia"/>
          <w:sz w:val="24"/>
          <w:szCs w:val="24"/>
        </w:rPr>
        <w:t>《基础设施、设备资源控制程序》，由安技设备部组织确定并配备所需的基础设施、设备。</w:t>
      </w:r>
    </w:p>
    <w:p>
      <w:pPr>
        <w:pStyle w:val="69"/>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依据</w:t>
      </w:r>
      <w:r>
        <w:rPr>
          <w:rFonts w:asciiTheme="minorEastAsia" w:hAnsiTheme="minorEastAsia" w:eastAsiaTheme="minorEastAsia"/>
          <w:sz w:val="24"/>
          <w:szCs w:val="24"/>
        </w:rPr>
        <w:t>SP-QES2-SB-03</w:t>
      </w:r>
      <w:r>
        <w:rPr>
          <w:rFonts w:hint="eastAsia" w:asciiTheme="minorEastAsia" w:hAnsiTheme="minorEastAsia" w:eastAsiaTheme="minorEastAsia"/>
          <w:sz w:val="24"/>
          <w:szCs w:val="24"/>
        </w:rPr>
        <w:t>《监视和测量设备控制程序》，由安技设备部组织确定并配备所需的监视和测量设备。当发现监视和测量设备不符合预期用途时，质管部组织确定以往测量结果的有效性，必要时采取适当措施。</w:t>
      </w:r>
    </w:p>
    <w:p>
      <w:pPr>
        <w:pStyle w:val="69"/>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依据</w:t>
      </w:r>
      <w:r>
        <w:rPr>
          <w:rFonts w:asciiTheme="minorEastAsia" w:hAnsiTheme="minorEastAsia" w:eastAsiaTheme="minorEastAsia"/>
          <w:sz w:val="24"/>
          <w:szCs w:val="24"/>
        </w:rPr>
        <w:t>SP-QES3-GY-08</w:t>
      </w:r>
      <w:r>
        <w:rPr>
          <w:rFonts w:hint="eastAsia" w:asciiTheme="minorEastAsia" w:hAnsiTheme="minorEastAsia" w:eastAsiaTheme="minorEastAsia"/>
          <w:sz w:val="24"/>
          <w:szCs w:val="24"/>
        </w:rPr>
        <w:t>《车间环境管理规定》，由工艺部负责组织行政人事部、安技设备部、生产售后管理部、仓库、质管部等部门确定、提供生产过程所需环境，对环境温度、湿度进行监测和控制。</w:t>
      </w:r>
    </w:p>
    <w:p>
      <w:pPr>
        <w:pStyle w:val="69"/>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SP-QES2-ZG-03</w:t>
      </w:r>
      <w:r>
        <w:rPr>
          <w:rFonts w:hint="eastAsia" w:asciiTheme="minorEastAsia" w:hAnsiTheme="minorEastAsia" w:eastAsiaTheme="minorEastAsia"/>
          <w:sz w:val="24"/>
          <w:szCs w:val="24"/>
        </w:rPr>
        <w:t>《知识管理控制程序》，由资料室负责组织公司内知识的更新、保持和获取,以及知识获取渠道的维护。</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7.2 能力</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SP-QES2-RS-01</w:t>
      </w:r>
      <w:r>
        <w:rPr>
          <w:rFonts w:hint="eastAsia" w:asciiTheme="minorEastAsia" w:hAnsiTheme="minorEastAsia" w:eastAsiaTheme="minorEastAsia"/>
          <w:sz w:val="24"/>
          <w:szCs w:val="24"/>
        </w:rPr>
        <w:t>《人力资源控制程序》，由行政人事部按照岗位能力需求组织确定并配备所需的人员，并依据</w:t>
      </w:r>
      <w:r>
        <w:rPr>
          <w:rFonts w:asciiTheme="minorEastAsia" w:hAnsiTheme="minorEastAsia" w:eastAsiaTheme="minorEastAsia"/>
          <w:sz w:val="24"/>
          <w:szCs w:val="24"/>
        </w:rPr>
        <w:t>SP-QES3-RS-01</w:t>
      </w:r>
      <w:r>
        <w:rPr>
          <w:rFonts w:hint="eastAsia" w:asciiTheme="minorEastAsia" w:hAnsiTheme="minorEastAsia" w:eastAsiaTheme="minorEastAsia"/>
          <w:sz w:val="24"/>
          <w:szCs w:val="24"/>
        </w:rPr>
        <w:t>《招聘管理规定》、</w:t>
      </w:r>
      <w:r>
        <w:rPr>
          <w:rFonts w:asciiTheme="minorEastAsia" w:hAnsiTheme="minorEastAsia" w:eastAsiaTheme="minorEastAsia"/>
          <w:sz w:val="24"/>
          <w:szCs w:val="24"/>
        </w:rPr>
        <w:t>SP-QES3-RS-02</w:t>
      </w:r>
      <w:r>
        <w:rPr>
          <w:rFonts w:hint="eastAsia" w:asciiTheme="minorEastAsia" w:hAnsiTheme="minorEastAsia" w:eastAsiaTheme="minorEastAsia"/>
          <w:sz w:val="24"/>
          <w:szCs w:val="24"/>
        </w:rPr>
        <w:t>《培训管理规定》和</w:t>
      </w:r>
      <w:r>
        <w:rPr>
          <w:rFonts w:asciiTheme="minorEastAsia" w:hAnsiTheme="minorEastAsia" w:eastAsiaTheme="minorEastAsia"/>
          <w:sz w:val="24"/>
          <w:szCs w:val="24"/>
        </w:rPr>
        <w:t>SP-QES3-RS-03</w:t>
      </w:r>
      <w:r>
        <w:rPr>
          <w:rFonts w:hint="eastAsia" w:asciiTheme="minorEastAsia" w:hAnsiTheme="minorEastAsia" w:eastAsiaTheme="minorEastAsia"/>
          <w:sz w:val="24"/>
          <w:szCs w:val="24"/>
        </w:rPr>
        <w:t>《特种作业人员管理规定》实施内部、外部招聘和培训活动。</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7.3 意识</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通过组织内部培训宣贯、宣传展示等活动，确保质量方针在公司内周知；通过产品质量评议、质量例会、例行巡检等形式确保工作人员了解质量管理体系要求，以及不符合质量管理体系造成的后果；通过质量管理体系的持续运行保证各部门工作人员掌握过程方法、过程质量目标以及持续改进质量管理体系。</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7.4 沟通</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SP-QES2-ZG-01</w:t>
      </w:r>
      <w:r>
        <w:rPr>
          <w:rFonts w:hint="eastAsia" w:asciiTheme="minorEastAsia" w:hAnsiTheme="minorEastAsia" w:eastAsiaTheme="minorEastAsia"/>
          <w:sz w:val="24"/>
          <w:szCs w:val="24"/>
        </w:rPr>
        <w:t>《过程识别、分析和绩效评价控制程序》确定相关过程的沟通方法时机、内容及形式，各程序文件针对特定沟通内容的策划表单格式，未策划为特定表单格式的沟通可采用</w:t>
      </w:r>
      <w:r>
        <w:rPr>
          <w:rFonts w:asciiTheme="minorEastAsia" w:hAnsiTheme="minorEastAsia" w:eastAsiaTheme="minorEastAsia"/>
          <w:sz w:val="24"/>
          <w:szCs w:val="24"/>
        </w:rPr>
        <w:t>SP-QES4-ZG-26</w:t>
      </w:r>
      <w:r>
        <w:rPr>
          <w:rFonts w:hint="eastAsia" w:asciiTheme="minorEastAsia" w:hAnsiTheme="minorEastAsia" w:eastAsiaTheme="minorEastAsia"/>
          <w:sz w:val="24"/>
          <w:szCs w:val="24"/>
        </w:rPr>
        <w:t>《信息联络单》格式进行文件沟通，以及组织会议形式，形成会议纪要的形式进行沟通等。</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7.5 成文信息</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资料室依据</w:t>
      </w:r>
      <w:r>
        <w:rPr>
          <w:rFonts w:asciiTheme="minorEastAsia" w:hAnsiTheme="minorEastAsia" w:eastAsiaTheme="minorEastAsia"/>
          <w:sz w:val="24"/>
          <w:szCs w:val="24"/>
        </w:rPr>
        <w:t>SP-QES2-ZG-02</w:t>
      </w:r>
      <w:r>
        <w:rPr>
          <w:rFonts w:hint="eastAsia" w:asciiTheme="minorEastAsia" w:hAnsiTheme="minorEastAsia" w:eastAsiaTheme="minorEastAsia"/>
          <w:sz w:val="24"/>
          <w:szCs w:val="24"/>
        </w:rPr>
        <w:t>《文件和记录控制程序》组织对成文信息的管理，包括文件的创建、更新、分发、保管以及作废管理等。</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 运行</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8.1 运行的策划和控制</w:t>
      </w:r>
    </w:p>
    <w:p>
      <w:pPr>
        <w:pStyle w:val="69"/>
        <w:spacing w:line="360" w:lineRule="auto"/>
        <w:ind w:firstLine="49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为确保满足产品和服务提供的要求，公司策划S</w:t>
      </w:r>
      <w:r>
        <w:rPr>
          <w:rFonts w:asciiTheme="minorEastAsia" w:hAnsiTheme="minorEastAsia" w:eastAsiaTheme="minorEastAsia"/>
          <w:sz w:val="24"/>
          <w:szCs w:val="24"/>
        </w:rPr>
        <w:t>P-QES2-XS-01</w:t>
      </w:r>
      <w:r>
        <w:rPr>
          <w:rFonts w:hint="eastAsia" w:asciiTheme="minorEastAsia" w:hAnsiTheme="minorEastAsia" w:eastAsiaTheme="minorEastAsia"/>
          <w:sz w:val="24"/>
          <w:szCs w:val="24"/>
        </w:rPr>
        <w:t>《与顾客有关的过程控制程序》、</w:t>
      </w:r>
      <w:r>
        <w:rPr>
          <w:rFonts w:asciiTheme="minorEastAsia" w:hAnsiTheme="minorEastAsia" w:eastAsiaTheme="minorEastAsia"/>
          <w:sz w:val="24"/>
          <w:szCs w:val="24"/>
        </w:rPr>
        <w:t>SP-QES2-YF-01</w:t>
      </w:r>
      <w:r>
        <w:rPr>
          <w:rFonts w:hint="eastAsia" w:asciiTheme="minorEastAsia" w:hAnsiTheme="minorEastAsia" w:eastAsiaTheme="minorEastAsia"/>
          <w:sz w:val="24"/>
          <w:szCs w:val="24"/>
        </w:rPr>
        <w:t>《产品设计和开发控制程序》、</w:t>
      </w:r>
      <w:r>
        <w:rPr>
          <w:rFonts w:asciiTheme="minorEastAsia" w:hAnsiTheme="minorEastAsia" w:eastAsiaTheme="minorEastAsia"/>
          <w:sz w:val="24"/>
          <w:szCs w:val="24"/>
        </w:rPr>
        <w:t>SP-QES2-GY-01</w:t>
      </w:r>
      <w:r>
        <w:rPr>
          <w:rFonts w:hint="eastAsia" w:asciiTheme="minorEastAsia" w:hAnsiTheme="minorEastAsia" w:eastAsiaTheme="minorEastAsia"/>
          <w:sz w:val="24"/>
          <w:szCs w:val="24"/>
        </w:rPr>
        <w:t>《工艺设计和开发控制程序》、</w:t>
      </w:r>
      <w:r>
        <w:rPr>
          <w:rFonts w:asciiTheme="minorEastAsia" w:hAnsiTheme="minorEastAsia" w:eastAsiaTheme="minorEastAsia"/>
          <w:sz w:val="24"/>
          <w:szCs w:val="24"/>
        </w:rPr>
        <w:t>SP-QES2-WZ-01</w:t>
      </w:r>
      <w:r>
        <w:rPr>
          <w:rFonts w:hint="eastAsia" w:asciiTheme="minorEastAsia" w:hAnsiTheme="minorEastAsia" w:eastAsiaTheme="minorEastAsia"/>
          <w:sz w:val="24"/>
          <w:szCs w:val="24"/>
        </w:rPr>
        <w:t>《采购控制程序》、</w:t>
      </w:r>
      <w:r>
        <w:rPr>
          <w:rFonts w:asciiTheme="minorEastAsia" w:hAnsiTheme="minorEastAsia" w:eastAsiaTheme="minorEastAsia"/>
          <w:sz w:val="24"/>
          <w:szCs w:val="24"/>
        </w:rPr>
        <w:t>SP-QES2-SC-01</w:t>
      </w:r>
      <w:r>
        <w:rPr>
          <w:rFonts w:hint="eastAsia" w:asciiTheme="minorEastAsia" w:hAnsiTheme="minorEastAsia" w:eastAsiaTheme="minorEastAsia"/>
          <w:sz w:val="24"/>
          <w:szCs w:val="24"/>
        </w:rPr>
        <w:t>《生产过程控制程序》、</w:t>
      </w:r>
      <w:r>
        <w:rPr>
          <w:rFonts w:asciiTheme="minorEastAsia" w:hAnsiTheme="minorEastAsia" w:eastAsiaTheme="minorEastAsia"/>
          <w:sz w:val="24"/>
          <w:szCs w:val="24"/>
        </w:rPr>
        <w:t>SP-QES2-SC-02</w:t>
      </w:r>
      <w:r>
        <w:rPr>
          <w:rFonts w:hint="eastAsia" w:asciiTheme="minorEastAsia" w:hAnsiTheme="minorEastAsia" w:eastAsiaTheme="minorEastAsia"/>
          <w:sz w:val="24"/>
          <w:szCs w:val="24"/>
        </w:rPr>
        <w:t>《售后服务过程控制程序》等程序对内外部提供的产品和服务实施控制。</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8.2 产品和服务的要求</w:t>
      </w:r>
    </w:p>
    <w:p>
      <w:pPr>
        <w:pStyle w:val="69"/>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依据S</w:t>
      </w:r>
      <w:r>
        <w:rPr>
          <w:rFonts w:asciiTheme="minorEastAsia" w:hAnsiTheme="minorEastAsia" w:eastAsiaTheme="minorEastAsia"/>
          <w:sz w:val="24"/>
          <w:szCs w:val="24"/>
        </w:rPr>
        <w:t>P-QES2-XS-01</w:t>
      </w:r>
      <w:r>
        <w:rPr>
          <w:rFonts w:hint="eastAsia" w:asciiTheme="minorEastAsia" w:hAnsiTheme="minorEastAsia" w:eastAsiaTheme="minorEastAsia"/>
          <w:sz w:val="24"/>
          <w:szCs w:val="24"/>
        </w:rPr>
        <w:t>《与顾客有关的过程控制程序》，市场部负责与顾客沟通，确定产品和服务的要求，并组织对要求的评审。对产品和服务要求的变更需求，需组织重新评审。</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8.3 产品和服务的设计和开发</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SP-QES2-YF-01</w:t>
      </w:r>
      <w:r>
        <w:rPr>
          <w:rFonts w:hint="eastAsia" w:asciiTheme="minorEastAsia" w:hAnsiTheme="minorEastAsia" w:eastAsiaTheme="minorEastAsia"/>
          <w:sz w:val="24"/>
          <w:szCs w:val="24"/>
        </w:rPr>
        <w:t>《产品设计和开发控制程序》，研发中心负责组织产品设计和开发活动；依据</w:t>
      </w:r>
      <w:r>
        <w:rPr>
          <w:rFonts w:asciiTheme="minorEastAsia" w:hAnsiTheme="minorEastAsia" w:eastAsiaTheme="minorEastAsia"/>
          <w:sz w:val="24"/>
          <w:szCs w:val="24"/>
        </w:rPr>
        <w:t>SP-QES2-GY-01</w:t>
      </w:r>
      <w:r>
        <w:rPr>
          <w:rFonts w:hint="eastAsia" w:asciiTheme="minorEastAsia" w:hAnsiTheme="minorEastAsia" w:eastAsiaTheme="minorEastAsia"/>
          <w:sz w:val="24"/>
          <w:szCs w:val="24"/>
        </w:rPr>
        <w:t>《工艺设计和开发控制程序》，工艺部负责组织策划工艺实现方案。设计和开发的策划、输入、控制、输出及更改控制按照相应程序执行。</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针对设计开发阶段的风险控制，按照</w:t>
      </w:r>
      <w:r>
        <w:rPr>
          <w:rFonts w:asciiTheme="minorEastAsia" w:hAnsiTheme="minorEastAsia" w:eastAsiaTheme="minorEastAsia"/>
          <w:sz w:val="24"/>
          <w:szCs w:val="24"/>
        </w:rPr>
        <w:t>SP-QES2-YF-03</w:t>
      </w:r>
      <w:r>
        <w:rPr>
          <w:rFonts w:hint="eastAsia" w:asciiTheme="minorEastAsia" w:hAnsiTheme="minorEastAsia" w:eastAsiaTheme="minorEastAsia"/>
          <w:sz w:val="24"/>
          <w:szCs w:val="24"/>
        </w:rPr>
        <w:t>《DFMEA控制程序》和</w:t>
      </w:r>
      <w:r>
        <w:rPr>
          <w:rFonts w:asciiTheme="minorEastAsia" w:hAnsiTheme="minorEastAsia" w:eastAsiaTheme="minorEastAsia"/>
          <w:sz w:val="24"/>
          <w:szCs w:val="24"/>
        </w:rPr>
        <w:t>SP-QES3-GY-07</w:t>
      </w:r>
      <w:r>
        <w:rPr>
          <w:rFonts w:hint="eastAsia" w:asciiTheme="minorEastAsia" w:hAnsiTheme="minorEastAsia" w:eastAsiaTheme="minorEastAsia"/>
          <w:sz w:val="24"/>
          <w:szCs w:val="24"/>
        </w:rPr>
        <w:t>《PFMEA管理规定》执行。</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8.4 外部提供的过程、产品和服务的控制</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依据</w:t>
      </w:r>
      <w:r>
        <w:rPr>
          <w:rFonts w:asciiTheme="minorEastAsia" w:hAnsiTheme="minorEastAsia" w:eastAsiaTheme="minorEastAsia"/>
          <w:kern w:val="0"/>
          <w:sz w:val="24"/>
        </w:rPr>
        <w:t>SP-QES2-WZ-01</w:t>
      </w:r>
      <w:r>
        <w:rPr>
          <w:rFonts w:hint="eastAsia" w:asciiTheme="minorEastAsia" w:hAnsiTheme="minorEastAsia" w:eastAsiaTheme="minorEastAsia"/>
          <w:kern w:val="0"/>
          <w:sz w:val="24"/>
        </w:rPr>
        <w:t>《采购控制程序》以及</w:t>
      </w:r>
      <w:r>
        <w:rPr>
          <w:rFonts w:asciiTheme="minorEastAsia" w:hAnsiTheme="minorEastAsia" w:eastAsiaTheme="minorEastAsia"/>
          <w:kern w:val="0"/>
          <w:sz w:val="24"/>
        </w:rPr>
        <w:t>SP-QES3-WZ-01</w:t>
      </w:r>
      <w:r>
        <w:rPr>
          <w:rFonts w:hint="eastAsia" w:asciiTheme="minorEastAsia" w:hAnsiTheme="minorEastAsia" w:eastAsiaTheme="minorEastAsia"/>
          <w:kern w:val="0"/>
          <w:sz w:val="24"/>
        </w:rPr>
        <w:t>《合格供方管理规定》，由物资部负责组织实施对外部供方的沟通、选择、认定和评价。</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对外部供方提供的图纸信息，参照</w:t>
      </w:r>
      <w:r>
        <w:rPr>
          <w:rFonts w:asciiTheme="minorEastAsia" w:hAnsiTheme="minorEastAsia" w:eastAsiaTheme="minorEastAsia"/>
          <w:kern w:val="0"/>
          <w:sz w:val="24"/>
        </w:rPr>
        <w:t>SP-QES2-ZG-02</w:t>
      </w:r>
      <w:r>
        <w:rPr>
          <w:rFonts w:hint="eastAsia" w:asciiTheme="minorEastAsia" w:hAnsiTheme="minorEastAsia" w:eastAsiaTheme="minorEastAsia"/>
          <w:kern w:val="0"/>
          <w:sz w:val="24"/>
        </w:rPr>
        <w:t>《文件和记录控制程序》，由物资部提请外发文件申请，按程序要求发放文件至外部供方及接收确认。其他技术信息如协议、技术联系函等由研发中心负责和外部供方沟通。</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对外部供方提供首件认定应按照</w:t>
      </w:r>
      <w:r>
        <w:rPr>
          <w:rFonts w:asciiTheme="minorEastAsia" w:hAnsiTheme="minorEastAsia" w:eastAsiaTheme="minorEastAsia"/>
          <w:kern w:val="0"/>
          <w:sz w:val="24"/>
        </w:rPr>
        <w:t>SP-QES2-YF-02</w:t>
      </w:r>
      <w:r>
        <w:rPr>
          <w:rFonts w:hint="eastAsia" w:asciiTheme="minorEastAsia" w:hAnsiTheme="minorEastAsia" w:eastAsiaTheme="minorEastAsia"/>
          <w:kern w:val="0"/>
          <w:sz w:val="24"/>
        </w:rPr>
        <w:t>《首件评审控制程序》执行。依据</w:t>
      </w:r>
      <w:r>
        <w:rPr>
          <w:rFonts w:asciiTheme="minorEastAsia" w:hAnsiTheme="minorEastAsia" w:eastAsiaTheme="minorEastAsia"/>
          <w:sz w:val="24"/>
        </w:rPr>
        <w:t>SP-QES2-ZG-04</w:t>
      </w:r>
      <w:r>
        <w:rPr>
          <w:rFonts w:hint="eastAsia" w:asciiTheme="minorEastAsia" w:hAnsiTheme="minorEastAsia" w:eastAsiaTheme="minorEastAsia"/>
          <w:kern w:val="0"/>
          <w:sz w:val="24"/>
        </w:rPr>
        <w:t>《</w:t>
      </w:r>
      <w:r>
        <w:rPr>
          <w:rFonts w:hint="eastAsia" w:asciiTheme="minorEastAsia" w:hAnsiTheme="minorEastAsia" w:eastAsiaTheme="minorEastAsia"/>
          <w:sz w:val="24"/>
        </w:rPr>
        <w:t>产品的监视和测量控制程序</w:t>
      </w:r>
      <w:r>
        <w:rPr>
          <w:rFonts w:hint="eastAsia" w:asciiTheme="minorEastAsia" w:hAnsiTheme="minorEastAsia" w:eastAsiaTheme="minorEastAsia"/>
          <w:kern w:val="0"/>
          <w:sz w:val="24"/>
        </w:rPr>
        <w:t>》，由质管部组织对外部</w:t>
      </w:r>
      <w:r>
        <w:rPr>
          <w:rFonts w:hint="eastAsia" w:asciiTheme="minorEastAsia" w:hAnsiTheme="minorEastAsia" w:eastAsiaTheme="minorEastAsia"/>
          <w:sz w:val="24"/>
        </w:rPr>
        <w:t>提供的过程、产品进行监视和测量</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8.5 生产和服务的提供</w:t>
      </w:r>
    </w:p>
    <w:p>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8.5.1 生产和服务提供的控制</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SP-QES2-SC-01</w:t>
      </w:r>
      <w:r>
        <w:rPr>
          <w:rFonts w:hint="eastAsia" w:asciiTheme="minorEastAsia" w:hAnsiTheme="minorEastAsia" w:eastAsiaTheme="minorEastAsia"/>
          <w:sz w:val="24"/>
          <w:szCs w:val="24"/>
        </w:rPr>
        <w:t>《生产过程控制程序》，由生产售后管理部组织各生产车间实施生产活动，并进行生产要素的控制，包括人员上岗资格确认，设备状态，物料状态，作业标准文件控制，环境要求确认，检测方法及设备确认等。</w:t>
      </w:r>
    </w:p>
    <w:p>
      <w:pPr>
        <w:pStyle w:val="69"/>
        <w:spacing w:line="360" w:lineRule="auto"/>
        <w:ind w:firstLine="556" w:firstLineChars="232"/>
        <w:rPr>
          <w:rFonts w:asciiTheme="minorEastAsia" w:hAnsiTheme="minorEastAsia" w:eastAsiaTheme="minorEastAsia"/>
          <w:sz w:val="24"/>
          <w:szCs w:val="24"/>
        </w:rPr>
      </w:pPr>
      <w:r>
        <w:rPr>
          <w:rFonts w:hint="eastAsia" w:asciiTheme="minorEastAsia" w:hAnsiTheme="minorEastAsia" w:eastAsiaTheme="minorEastAsia"/>
          <w:sz w:val="24"/>
          <w:szCs w:val="24"/>
        </w:rPr>
        <w:t>生产要素确认工作相关要求应符合</w:t>
      </w:r>
      <w:r>
        <w:rPr>
          <w:rFonts w:asciiTheme="minorEastAsia" w:hAnsiTheme="minorEastAsia" w:eastAsiaTheme="minorEastAsia"/>
          <w:sz w:val="24"/>
          <w:szCs w:val="24"/>
        </w:rPr>
        <w:t>SP-QES3-RS-02</w:t>
      </w:r>
      <w:r>
        <w:rPr>
          <w:rFonts w:hint="eastAsia" w:asciiTheme="minorEastAsia" w:hAnsiTheme="minorEastAsia" w:eastAsiaTheme="minorEastAsia"/>
          <w:sz w:val="24"/>
          <w:szCs w:val="24"/>
        </w:rPr>
        <w:t>《培训管理规定》、</w:t>
      </w:r>
      <w:r>
        <w:rPr>
          <w:rFonts w:asciiTheme="minorEastAsia" w:hAnsiTheme="minorEastAsia" w:eastAsiaTheme="minorEastAsia"/>
          <w:sz w:val="24"/>
          <w:szCs w:val="24"/>
        </w:rPr>
        <w:t>SP-QES3-RS-03</w:t>
      </w:r>
      <w:r>
        <w:rPr>
          <w:rFonts w:hint="eastAsia" w:asciiTheme="minorEastAsia" w:hAnsiTheme="minorEastAsia" w:eastAsiaTheme="minorEastAsia"/>
          <w:sz w:val="24"/>
          <w:szCs w:val="24"/>
        </w:rPr>
        <w:t>《特种作业人员管理规定》、</w:t>
      </w:r>
      <w:r>
        <w:rPr>
          <w:rFonts w:asciiTheme="minorEastAsia" w:hAnsiTheme="minorEastAsia" w:eastAsiaTheme="minorEastAsia"/>
          <w:sz w:val="24"/>
          <w:szCs w:val="24"/>
        </w:rPr>
        <w:t>SP-QES2-SB-01</w:t>
      </w:r>
      <w:r>
        <w:rPr>
          <w:rFonts w:hint="eastAsia" w:asciiTheme="minorEastAsia" w:hAnsiTheme="minorEastAsia" w:eastAsiaTheme="minorEastAsia"/>
          <w:sz w:val="24"/>
          <w:szCs w:val="24"/>
        </w:rPr>
        <w:t>《基础设施、设备资源控制程序》、</w:t>
      </w:r>
      <w:r>
        <w:rPr>
          <w:rFonts w:asciiTheme="minorEastAsia" w:hAnsiTheme="minorEastAsia" w:eastAsiaTheme="minorEastAsia"/>
          <w:sz w:val="24"/>
          <w:szCs w:val="24"/>
        </w:rPr>
        <w:t>SP-QES2-SB-03</w:t>
      </w:r>
      <w:r>
        <w:rPr>
          <w:rFonts w:hint="eastAsia" w:asciiTheme="minorEastAsia" w:hAnsiTheme="minorEastAsia" w:eastAsiaTheme="minorEastAsia"/>
          <w:sz w:val="24"/>
          <w:szCs w:val="24"/>
        </w:rPr>
        <w:t>《监视和测量设备控制程序》、</w:t>
      </w:r>
      <w:r>
        <w:rPr>
          <w:rFonts w:asciiTheme="minorEastAsia" w:hAnsiTheme="minorEastAsia" w:eastAsiaTheme="minorEastAsia"/>
          <w:sz w:val="24"/>
          <w:szCs w:val="24"/>
        </w:rPr>
        <w:t>SP-QES2-GY-02</w:t>
      </w:r>
      <w:r>
        <w:rPr>
          <w:rFonts w:hint="eastAsia" w:asciiTheme="minorEastAsia" w:hAnsiTheme="minorEastAsia" w:eastAsiaTheme="minorEastAsia"/>
          <w:sz w:val="24"/>
          <w:szCs w:val="24"/>
        </w:rPr>
        <w:t>《生产工艺过程控制程序》、</w:t>
      </w:r>
      <w:r>
        <w:rPr>
          <w:rFonts w:asciiTheme="minorEastAsia" w:hAnsiTheme="minorEastAsia" w:eastAsiaTheme="minorEastAsia"/>
          <w:sz w:val="24"/>
          <w:szCs w:val="24"/>
        </w:rPr>
        <w:t>SP-QES2-YF-02</w:t>
      </w:r>
      <w:r>
        <w:rPr>
          <w:rFonts w:hint="eastAsia" w:asciiTheme="minorEastAsia" w:hAnsiTheme="minorEastAsia" w:eastAsiaTheme="minorEastAsia"/>
          <w:sz w:val="24"/>
          <w:szCs w:val="24"/>
        </w:rPr>
        <w:t>《首件评审控制程序》、</w:t>
      </w:r>
      <w:r>
        <w:rPr>
          <w:rFonts w:asciiTheme="minorEastAsia" w:hAnsiTheme="minorEastAsia" w:eastAsiaTheme="minorEastAsia"/>
          <w:sz w:val="24"/>
          <w:szCs w:val="24"/>
        </w:rPr>
        <w:t>SP-QES3-GY-01</w:t>
      </w:r>
      <w:r>
        <w:rPr>
          <w:rFonts w:hint="eastAsia" w:asciiTheme="minorEastAsia" w:hAnsiTheme="minorEastAsia" w:eastAsiaTheme="minorEastAsia"/>
          <w:sz w:val="24"/>
          <w:szCs w:val="24"/>
        </w:rPr>
        <w:t>《工艺纪律管理规定》、</w:t>
      </w:r>
      <w:r>
        <w:rPr>
          <w:rFonts w:asciiTheme="minorEastAsia" w:hAnsiTheme="minorEastAsia" w:eastAsiaTheme="minorEastAsia"/>
          <w:sz w:val="24"/>
          <w:szCs w:val="24"/>
        </w:rPr>
        <w:t>SP-QES3-GY-08</w:t>
      </w:r>
      <w:r>
        <w:rPr>
          <w:rFonts w:hint="eastAsia" w:asciiTheme="minorEastAsia" w:hAnsiTheme="minorEastAsia" w:eastAsiaTheme="minorEastAsia"/>
          <w:sz w:val="24"/>
          <w:szCs w:val="24"/>
        </w:rPr>
        <w:t>《车间环境管理规定》、</w:t>
      </w:r>
      <w:r>
        <w:rPr>
          <w:rFonts w:asciiTheme="minorEastAsia" w:hAnsiTheme="minorEastAsia" w:eastAsiaTheme="minorEastAsia"/>
          <w:sz w:val="24"/>
          <w:szCs w:val="24"/>
        </w:rPr>
        <w:t>SP-QES2-ZG-04</w:t>
      </w:r>
      <w:r>
        <w:rPr>
          <w:rFonts w:hint="eastAsia" w:asciiTheme="minorEastAsia" w:hAnsiTheme="minorEastAsia" w:eastAsiaTheme="minorEastAsia"/>
          <w:sz w:val="24"/>
          <w:szCs w:val="24"/>
        </w:rPr>
        <w:t>《产品的监视和测量控制程序》及</w:t>
      </w:r>
      <w:r>
        <w:rPr>
          <w:rFonts w:asciiTheme="minorEastAsia" w:hAnsiTheme="minorEastAsia" w:eastAsiaTheme="minorEastAsia"/>
          <w:sz w:val="24"/>
          <w:szCs w:val="24"/>
        </w:rPr>
        <w:t>SP-QES3-GY-09</w:t>
      </w:r>
      <w:r>
        <w:rPr>
          <w:rFonts w:hint="eastAsia" w:asciiTheme="minorEastAsia" w:hAnsiTheme="minorEastAsia" w:eastAsiaTheme="minorEastAsia"/>
          <w:sz w:val="24"/>
          <w:szCs w:val="24"/>
        </w:rPr>
        <w:t>《关重、特殊过程管理规定》等相关文件要求。</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8.5.2 标识和可追溯性</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生产过程中与产品质量判定情况相关的标识（如区分待检品、合格品、待处理品等）由质管部负责组织，在生产车间及仓库区域内实施实物质量状态管理和区域标识管理。</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质管部负责产品质量可追溯性的管理策划，资料室负责质量文件记录与保存，安技设备部负责ERP管理系统记录的安全维护。</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8.5.3 顾客或外部供方财产</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市场部负责顾客财产的管理，包括识别、登记以及管理维护等。物资部负责外部供方财产的管理活动。</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8.5.4 防护</w:t>
      </w:r>
    </w:p>
    <w:p>
      <w:pPr>
        <w:pStyle w:val="69"/>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SP-QES3-GY-06</w:t>
      </w:r>
      <w:r>
        <w:rPr>
          <w:rFonts w:hint="eastAsia" w:asciiTheme="minorEastAsia" w:hAnsiTheme="minorEastAsia" w:eastAsiaTheme="minorEastAsia"/>
          <w:sz w:val="24"/>
          <w:szCs w:val="24"/>
        </w:rPr>
        <w:t>《产品防护管理规定》，由工艺部负责产品防护相关活动的策划及组织。</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8.5.5 交付后活动</w:t>
      </w:r>
    </w:p>
    <w:p>
      <w:pPr>
        <w:pStyle w:val="69"/>
        <w:spacing w:line="360" w:lineRule="auto"/>
        <w:ind w:firstLine="436" w:firstLineChars="182"/>
        <w:rPr>
          <w:rFonts w:asciiTheme="minorEastAsia" w:hAnsiTheme="minorEastAsia" w:eastAsiaTheme="minorEastAsia"/>
          <w:sz w:val="24"/>
          <w:szCs w:val="24"/>
        </w:rPr>
      </w:pPr>
      <w:r>
        <w:rPr>
          <w:rFonts w:hint="eastAsia" w:asciiTheme="minorEastAsia" w:hAnsiTheme="minorEastAsia" w:eastAsiaTheme="minorEastAsia"/>
          <w:sz w:val="24"/>
          <w:szCs w:val="24"/>
        </w:rPr>
        <w:t>在产品交付后，按照合同约定提供售后服务，遵照</w:t>
      </w:r>
      <w:r>
        <w:rPr>
          <w:rFonts w:asciiTheme="minorEastAsia" w:hAnsiTheme="minorEastAsia" w:eastAsiaTheme="minorEastAsia"/>
          <w:sz w:val="24"/>
          <w:szCs w:val="24"/>
        </w:rPr>
        <w:t>SP-QES2-SC-02</w:t>
      </w:r>
      <w:r>
        <w:rPr>
          <w:rFonts w:hint="eastAsia" w:asciiTheme="minorEastAsia" w:hAnsiTheme="minorEastAsia" w:eastAsiaTheme="minorEastAsia"/>
          <w:sz w:val="24"/>
          <w:szCs w:val="24"/>
        </w:rPr>
        <w:t>《售后服务过程控制程序》执行。</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8.5.6 更改控制</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针对生产和服务提供的更改，应依据</w:t>
      </w:r>
      <w:r>
        <w:rPr>
          <w:rFonts w:asciiTheme="minorEastAsia" w:hAnsiTheme="minorEastAsia" w:eastAsiaTheme="minorEastAsia"/>
          <w:sz w:val="24"/>
          <w:szCs w:val="24"/>
        </w:rPr>
        <w:t>SP-QES2-YF-01</w:t>
      </w:r>
      <w:r>
        <w:rPr>
          <w:rFonts w:hint="eastAsia" w:asciiTheme="minorEastAsia" w:hAnsiTheme="minorEastAsia" w:eastAsiaTheme="minorEastAsia"/>
          <w:sz w:val="24"/>
          <w:szCs w:val="24"/>
        </w:rPr>
        <w:t>《产品设计和开发控制程序》和</w:t>
      </w:r>
      <w:r>
        <w:rPr>
          <w:rFonts w:asciiTheme="minorEastAsia" w:hAnsiTheme="minorEastAsia" w:eastAsiaTheme="minorEastAsia"/>
          <w:sz w:val="24"/>
          <w:szCs w:val="24"/>
        </w:rPr>
        <w:t>SP-QES2-GY-02</w:t>
      </w:r>
      <w:r>
        <w:rPr>
          <w:rFonts w:hint="eastAsia" w:asciiTheme="minorEastAsia" w:hAnsiTheme="minorEastAsia" w:eastAsiaTheme="minorEastAsia"/>
          <w:sz w:val="24"/>
          <w:szCs w:val="24"/>
        </w:rPr>
        <w:t>《生产工艺过程控制程序》实施相关评审和控制。</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8.6 产品和服务的放行</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SP-QES2-ZG-04</w:t>
      </w:r>
      <w:r>
        <w:rPr>
          <w:rFonts w:hint="eastAsia" w:asciiTheme="minorEastAsia" w:hAnsiTheme="minorEastAsia" w:eastAsiaTheme="minorEastAsia"/>
          <w:sz w:val="24"/>
          <w:szCs w:val="24"/>
        </w:rPr>
        <w:t>《产品的监视和测量控制程序》，通过车间、质管部对产品的测量活动，证明产品满足策划检测项点对应技术指标要求后，由生产车间、质管部确认产品可放行至下一环节，并保留相关记录，如完工单、交检卡、出厂检验记录、试验报告等。</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8.7 不合格输出的控制</w:t>
      </w:r>
    </w:p>
    <w:p>
      <w:pPr>
        <w:pStyle w:val="69"/>
        <w:spacing w:line="360" w:lineRule="auto"/>
        <w:ind w:firstLine="434" w:firstLineChars="181"/>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SP-QES2-ZG-05</w:t>
      </w:r>
      <w:r>
        <w:rPr>
          <w:rFonts w:hint="eastAsia" w:asciiTheme="minorEastAsia" w:hAnsiTheme="minorEastAsia" w:eastAsiaTheme="minorEastAsia"/>
          <w:sz w:val="24"/>
          <w:szCs w:val="24"/>
        </w:rPr>
        <w:t>《不合格品控制程序》，由质管部组织对不合格输出实施控制，以防止非预期的使用或交付，包括标识与隔离。评议确认处置方案，并保留相关评议及处置结果的文件信息。</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9 绩效评价</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9.1 监视、测量、分析和评价</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SP-QES2-ZG-04</w:t>
      </w:r>
      <w:r>
        <w:rPr>
          <w:rFonts w:hint="eastAsia" w:asciiTheme="minorEastAsia" w:hAnsiTheme="minorEastAsia" w:eastAsiaTheme="minorEastAsia"/>
          <w:sz w:val="24"/>
          <w:szCs w:val="24"/>
        </w:rPr>
        <w:t>《产品的监视和测量控制程序》，由质管部组织对产品的监视和测量活动，并依据</w:t>
      </w:r>
      <w:r>
        <w:rPr>
          <w:rFonts w:asciiTheme="minorEastAsia" w:hAnsiTheme="minorEastAsia" w:eastAsiaTheme="minorEastAsia"/>
          <w:sz w:val="24"/>
          <w:szCs w:val="24"/>
        </w:rPr>
        <w:t>SP-QES2-ZG-06</w:t>
      </w:r>
      <w:r>
        <w:rPr>
          <w:rFonts w:hint="eastAsia" w:asciiTheme="minorEastAsia" w:hAnsiTheme="minorEastAsia" w:eastAsiaTheme="minorEastAsia"/>
          <w:sz w:val="24"/>
          <w:szCs w:val="24"/>
        </w:rPr>
        <w:t>《数据统计、分析和评价控制程序》实施产品质量相关的分析与评价。</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SP-QES2-ZG-01</w:t>
      </w:r>
      <w:r>
        <w:rPr>
          <w:rFonts w:hint="eastAsia" w:asciiTheme="minorEastAsia" w:hAnsiTheme="minorEastAsia" w:eastAsiaTheme="minorEastAsia"/>
          <w:sz w:val="24"/>
          <w:szCs w:val="24"/>
        </w:rPr>
        <w:t>《过程识别、分析和绩效评价控制程序》，由质管部组织按照过程划分对质量管理体系的技校和有效性进行评价。</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依据S</w:t>
      </w:r>
      <w:r>
        <w:rPr>
          <w:rFonts w:asciiTheme="minorEastAsia" w:hAnsiTheme="minorEastAsia" w:eastAsiaTheme="minorEastAsia"/>
          <w:sz w:val="24"/>
          <w:szCs w:val="24"/>
        </w:rPr>
        <w:t>P-QES2-XS-01</w:t>
      </w:r>
      <w:r>
        <w:rPr>
          <w:rFonts w:hint="eastAsia" w:asciiTheme="minorEastAsia" w:hAnsiTheme="minorEastAsia" w:eastAsiaTheme="minorEastAsia"/>
          <w:sz w:val="24"/>
          <w:szCs w:val="24"/>
        </w:rPr>
        <w:t>《与顾客有关的过程控制程序》，由市场部负责组织调查顾客满意度。</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9.2 内部审核</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SP-QES2-ZG-07</w:t>
      </w:r>
      <w:r>
        <w:rPr>
          <w:rFonts w:hint="eastAsia" w:asciiTheme="minorEastAsia" w:hAnsiTheme="minorEastAsia" w:eastAsiaTheme="minorEastAsia"/>
          <w:sz w:val="24"/>
          <w:szCs w:val="24"/>
        </w:rPr>
        <w:t>《内部管理体系审核控制程序》，由管理者代表主持，质管部组织内部审核相关活动。并依据</w:t>
      </w:r>
      <w:r>
        <w:rPr>
          <w:rFonts w:asciiTheme="minorEastAsia" w:hAnsiTheme="minorEastAsia" w:eastAsiaTheme="minorEastAsia"/>
          <w:sz w:val="24"/>
          <w:szCs w:val="24"/>
        </w:rPr>
        <w:t>SP-QES2-ZG-09</w:t>
      </w:r>
      <w:r>
        <w:rPr>
          <w:rFonts w:hint="eastAsia" w:asciiTheme="minorEastAsia" w:hAnsiTheme="minorEastAsia" w:eastAsiaTheme="minorEastAsia"/>
          <w:sz w:val="24"/>
          <w:szCs w:val="24"/>
        </w:rPr>
        <w:t>《纠正措施控制程序》对审核发现的不符合项开展纠正活动。</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9.3 管理评审</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SP-QES2-ZG-08</w:t>
      </w:r>
      <w:r>
        <w:rPr>
          <w:rFonts w:hint="eastAsia" w:asciiTheme="minorEastAsia" w:hAnsiTheme="minorEastAsia" w:eastAsiaTheme="minorEastAsia"/>
          <w:sz w:val="24"/>
          <w:szCs w:val="24"/>
        </w:rPr>
        <w:t>《管理评审控制程序》，管理评审由公司总经理负责主持，各部门管理者及关键岗位人员参加。由质管部组织做好与管理评审有关的各项准备工作。</w:t>
      </w:r>
      <w:r>
        <w:rPr>
          <w:rFonts w:asciiTheme="minorEastAsia" w:hAnsiTheme="minorEastAsia" w:eastAsiaTheme="minorEastAsia"/>
          <w:sz w:val="24"/>
          <w:szCs w:val="24"/>
        </w:rPr>
        <w:t xml:space="preserve"> </w:t>
      </w:r>
    </w:p>
    <w:p>
      <w:pPr>
        <w:pStyle w:val="69"/>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参加管理评审会的人员应按管理评审计划的安排，对所提交的报告／资料进行逐项的分析并就以下内容进行评审：</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a)方针是否适宜，方针实现程度如何，是否需要更新目标和指标、管理方案；</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b)现有危险源辨识、风险评价和风险控制过程是否适宜，风险的现有水平和现行控制措施是否有效；</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c)现有环境因素识别和评价是否适宜，现行环境控制措施是否有效；</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d)过程控制情况如何(包括过程是否受控，某些过程是否需要改善或优化)；</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e)产品质量状况如何(有无重大质量问题)；</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f)环境、职业健康安全绩效趋势；</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g)事故和事件的调查处理情况；</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h)纠正和预防措施实施情况；</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i)顾客的满意度、与顾客沟通的情况、顾客投诉处理的情况以及顾客反馈的其他信息；</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j)相关方(顾客)的投诉、建议及其要求；</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k)法规和其他要求符合性状况如何；</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l)资源是否配置得当，能否满足实现方针和目标的要求；</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m)组织结构、管理职能是否合适和协调，活动及其相应文件是否需要修正；</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n)上次管理评审以来所进行的内部审核和外部审核的结果及其有效性；</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o)管理体系适应环境变化的应变能力；</w:t>
      </w:r>
    </w:p>
    <w:p>
      <w:pPr>
        <w:pStyle w:val="109"/>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p)需要改善的建议。</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10 改进</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10.1 总则</w:t>
      </w:r>
    </w:p>
    <w:p>
      <w:pPr>
        <w:pStyle w:val="69"/>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公司通过策划</w:t>
      </w:r>
      <w:r>
        <w:rPr>
          <w:rFonts w:asciiTheme="minorEastAsia" w:hAnsiTheme="minorEastAsia" w:eastAsiaTheme="minorEastAsia"/>
          <w:sz w:val="24"/>
          <w:szCs w:val="24"/>
        </w:rPr>
        <w:t>SP-QES2-ZG-10</w:t>
      </w:r>
      <w:r>
        <w:rPr>
          <w:rFonts w:hint="eastAsia" w:asciiTheme="minorEastAsia" w:hAnsiTheme="minorEastAsia" w:eastAsiaTheme="minorEastAsia"/>
          <w:sz w:val="24"/>
          <w:szCs w:val="24"/>
        </w:rPr>
        <w:t>《改进控制程序》、</w:t>
      </w:r>
      <w:r>
        <w:rPr>
          <w:rFonts w:asciiTheme="minorEastAsia" w:hAnsiTheme="minorEastAsia" w:eastAsiaTheme="minorEastAsia"/>
          <w:sz w:val="24"/>
          <w:szCs w:val="24"/>
        </w:rPr>
        <w:t>SP-QES2-ZG-09</w:t>
      </w:r>
      <w:r>
        <w:rPr>
          <w:rFonts w:hint="eastAsia" w:asciiTheme="minorEastAsia" w:hAnsiTheme="minorEastAsia" w:eastAsiaTheme="minorEastAsia"/>
          <w:sz w:val="24"/>
          <w:szCs w:val="24"/>
        </w:rPr>
        <w:t>《纠正措施控制程序》、</w:t>
      </w:r>
      <w:r>
        <w:rPr>
          <w:rFonts w:asciiTheme="minorEastAsia" w:hAnsiTheme="minorEastAsia" w:eastAsiaTheme="minorEastAsia"/>
          <w:sz w:val="24"/>
          <w:szCs w:val="24"/>
        </w:rPr>
        <w:t>SP-QES2-RS-02</w:t>
      </w:r>
      <w:r>
        <w:rPr>
          <w:rFonts w:hint="eastAsia" w:asciiTheme="minorEastAsia" w:hAnsiTheme="minorEastAsia" w:eastAsiaTheme="minorEastAsia"/>
          <w:sz w:val="24"/>
          <w:szCs w:val="24"/>
        </w:rPr>
        <w:t>《组织环境信息识别与SWOT分析程序》以及</w:t>
      </w:r>
      <w:r>
        <w:rPr>
          <w:rFonts w:asciiTheme="minorEastAsia" w:hAnsiTheme="minorEastAsia" w:eastAsiaTheme="minorEastAsia"/>
          <w:sz w:val="24"/>
          <w:szCs w:val="24"/>
        </w:rPr>
        <w:t>SP-QES2-ZG-01</w:t>
      </w:r>
      <w:r>
        <w:rPr>
          <w:rFonts w:hint="eastAsia" w:asciiTheme="minorEastAsia" w:hAnsiTheme="minorEastAsia" w:eastAsiaTheme="minorEastAsia"/>
          <w:sz w:val="24"/>
          <w:szCs w:val="24"/>
        </w:rPr>
        <w:t>《过程识别、分析和绩效评价控制程序》等确定和选择改进的机会，采取必要的措施以满足顾客要求和增强顾客满意度。</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10.2 不合格和纠正措施</w:t>
      </w:r>
    </w:p>
    <w:p>
      <w:pPr>
        <w:pStyle w:val="69"/>
        <w:spacing w:line="360" w:lineRule="auto"/>
        <w:ind w:firstLine="48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SP-QES2-ZG-05</w:t>
      </w:r>
      <w:r>
        <w:rPr>
          <w:rFonts w:hint="eastAsia" w:asciiTheme="minorEastAsia" w:hAnsiTheme="minorEastAsia" w:eastAsiaTheme="minorEastAsia"/>
          <w:sz w:val="24"/>
          <w:szCs w:val="24"/>
        </w:rPr>
        <w:t>《不合格品控制程序》，由质管部组织对不合格输出实施控制，并依据</w:t>
      </w:r>
      <w:r>
        <w:rPr>
          <w:rFonts w:asciiTheme="minorEastAsia" w:hAnsiTheme="minorEastAsia" w:eastAsiaTheme="minorEastAsia"/>
          <w:sz w:val="24"/>
          <w:szCs w:val="24"/>
        </w:rPr>
        <w:t>SP-QES2-ZG-09</w:t>
      </w:r>
      <w:r>
        <w:rPr>
          <w:rFonts w:hint="eastAsia" w:asciiTheme="minorEastAsia" w:hAnsiTheme="minorEastAsia" w:eastAsiaTheme="minorEastAsia"/>
          <w:sz w:val="24"/>
          <w:szCs w:val="24"/>
        </w:rPr>
        <w:t>《纠正措施控制程序》对发现的不符合项开展纠正活动。</w:t>
      </w:r>
    </w:p>
    <w:p>
      <w:pPr>
        <w:pStyle w:val="69"/>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10.3 持续改进</w:t>
      </w:r>
    </w:p>
    <w:p>
      <w:pPr>
        <w:pStyle w:val="69"/>
        <w:spacing w:line="360" w:lineRule="auto"/>
        <w:ind w:firstLine="480"/>
        <w:rPr>
          <w:rFonts w:asciiTheme="minorEastAsia" w:hAnsiTheme="minorEastAsia" w:eastAsiaTheme="minorEastAsia"/>
          <w:color w:val="000000"/>
          <w:kern w:val="2"/>
          <w:sz w:val="24"/>
          <w:szCs w:val="24"/>
        </w:rPr>
      </w:pPr>
      <w:r>
        <w:rPr>
          <w:rFonts w:hint="eastAsia" w:asciiTheme="minorEastAsia" w:hAnsiTheme="minorEastAsia" w:eastAsiaTheme="minorEastAsia"/>
          <w:sz w:val="24"/>
          <w:szCs w:val="24"/>
        </w:rPr>
        <w:t>依据</w:t>
      </w:r>
      <w:r>
        <w:rPr>
          <w:rFonts w:asciiTheme="minorEastAsia" w:hAnsiTheme="minorEastAsia" w:eastAsiaTheme="minorEastAsia"/>
          <w:sz w:val="24"/>
          <w:szCs w:val="24"/>
        </w:rPr>
        <w:t>SP-QES2-ZG-10</w:t>
      </w:r>
      <w:r>
        <w:rPr>
          <w:rFonts w:hint="eastAsia" w:asciiTheme="minorEastAsia" w:hAnsiTheme="minorEastAsia" w:eastAsiaTheme="minorEastAsia"/>
          <w:sz w:val="24"/>
          <w:szCs w:val="24"/>
        </w:rPr>
        <w:t>《改进控制程序》，由质管部组织持续改进活动的开展。</w:t>
      </w:r>
      <w:r>
        <w:rPr>
          <w:rFonts w:hint="eastAsia" w:asciiTheme="minorEastAsia" w:hAnsiTheme="minorEastAsia" w:eastAsiaTheme="minorEastAsia"/>
          <w:color w:val="000000"/>
          <w:kern w:val="2"/>
          <w:sz w:val="24"/>
          <w:szCs w:val="24"/>
        </w:rPr>
        <w:t>在实施改进过程中，各职能部门应根据公司实际的生产状况，利用相关的改进技术和方法来进行持续改进作业。</w:t>
      </w:r>
    </w:p>
    <w:p>
      <w:pPr>
        <w:pStyle w:val="69"/>
        <w:spacing w:line="360" w:lineRule="auto"/>
        <w:ind w:firstLine="480"/>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szCs w:val="24"/>
        </w:rPr>
        <w:t>包括：</w:t>
      </w:r>
    </w:p>
    <w:p>
      <w:pPr>
        <w:pStyle w:val="69"/>
        <w:spacing w:line="360" w:lineRule="auto"/>
        <w:ind w:firstLine="480"/>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szCs w:val="24"/>
        </w:rPr>
        <w:t xml:space="preserve">a）质量管理工具（如QC新旧七工具、六西格玛管理技术等）；  </w:t>
      </w:r>
    </w:p>
    <w:p>
      <w:pPr>
        <w:pStyle w:val="69"/>
        <w:spacing w:line="360" w:lineRule="auto"/>
        <w:ind w:firstLine="480"/>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szCs w:val="24"/>
        </w:rPr>
        <w:t>b）生产精益管理方法（如甘特图、PROJECT等）；</w:t>
      </w:r>
    </w:p>
    <w:p>
      <w:pPr>
        <w:pStyle w:val="69"/>
        <w:spacing w:line="360" w:lineRule="auto"/>
        <w:ind w:firstLine="480"/>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szCs w:val="24"/>
        </w:rPr>
        <w:t>c）仓库管理方法(如配送路径优化、仓库使用率优化等)；</w:t>
      </w:r>
    </w:p>
    <w:p>
      <w:pPr>
        <w:pStyle w:val="69"/>
        <w:spacing w:line="360" w:lineRule="auto"/>
        <w:ind w:firstLine="480"/>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szCs w:val="24"/>
        </w:rPr>
        <w:t>d）财务管理方法（如管理会计方法等）；</w:t>
      </w:r>
    </w:p>
    <w:p>
      <w:pPr>
        <w:pStyle w:val="69"/>
        <w:spacing w:line="360" w:lineRule="auto"/>
        <w:ind w:firstLine="480"/>
        <w:rPr>
          <w:rFonts w:asciiTheme="minorEastAsia" w:hAnsiTheme="minorEastAsia" w:eastAsiaTheme="minorEastAsia"/>
          <w:color w:val="000000"/>
          <w:kern w:val="2"/>
          <w:sz w:val="24"/>
          <w:szCs w:val="24"/>
        </w:rPr>
      </w:pPr>
      <w:r>
        <w:rPr>
          <w:rFonts w:hint="eastAsia" w:asciiTheme="minorEastAsia" w:hAnsiTheme="minorEastAsia" w:eastAsiaTheme="minorEastAsia"/>
          <w:color w:val="000000"/>
          <w:kern w:val="2"/>
          <w:sz w:val="24"/>
          <w:szCs w:val="24"/>
        </w:rPr>
        <w:t>g）其它方法等。</w:t>
      </w:r>
    </w:p>
    <w:p>
      <w:pPr>
        <w:pStyle w:val="69"/>
        <w:spacing w:line="400" w:lineRule="exact"/>
        <w:ind w:firstLine="480"/>
        <w:rPr>
          <w:rFonts w:asciiTheme="minorEastAsia" w:hAnsiTheme="minorEastAsia" w:eastAsiaTheme="minorEastAsia"/>
          <w:color w:val="000000"/>
          <w:kern w:val="2"/>
          <w:sz w:val="24"/>
          <w:szCs w:val="24"/>
          <w:u w:val="single"/>
        </w:rPr>
      </w:pPr>
      <w:r>
        <w:rPr>
          <w:rFonts w:hint="eastAsia" w:asciiTheme="minorEastAsia" w:hAnsiTheme="minorEastAsia" w:eastAsiaTheme="minorEastAsia"/>
          <w:color w:val="000000"/>
          <w:kern w:val="2"/>
          <w:sz w:val="24"/>
          <w:szCs w:val="24"/>
        </w:rPr>
        <w:t xml:space="preserve">       </w:t>
      </w:r>
      <w:r>
        <w:rPr>
          <w:rFonts w:hint="eastAsia" w:asciiTheme="minorEastAsia" w:hAnsiTheme="minorEastAsia" w:eastAsiaTheme="minorEastAsia"/>
          <w:color w:val="000000"/>
          <w:kern w:val="2"/>
          <w:sz w:val="24"/>
          <w:szCs w:val="24"/>
          <w:u w:val="single"/>
        </w:rPr>
        <w:t xml:space="preserve">                                                     </w:t>
      </w:r>
    </w:p>
    <w:p>
      <w:pPr>
        <w:pStyle w:val="69"/>
        <w:spacing w:line="400" w:lineRule="exact"/>
        <w:ind w:firstLine="480"/>
        <w:rPr>
          <w:rFonts w:asciiTheme="minorEastAsia" w:hAnsiTheme="minorEastAsia" w:eastAsiaTheme="minorEastAsia"/>
          <w:color w:val="000000"/>
          <w:kern w:val="2"/>
          <w:sz w:val="24"/>
          <w:szCs w:val="24"/>
        </w:rPr>
      </w:pPr>
    </w:p>
    <w:p>
      <w:pPr>
        <w:pStyle w:val="69"/>
        <w:spacing w:line="360" w:lineRule="auto"/>
        <w:ind w:firstLine="0" w:firstLineChars="0"/>
        <w:rPr>
          <w:rFonts w:asciiTheme="minorEastAsia" w:hAnsiTheme="minorEastAsia" w:eastAsiaTheme="minorEastAsia"/>
          <w:sz w:val="24"/>
          <w:szCs w:val="24"/>
        </w:rPr>
      </w:pPr>
    </w:p>
    <w:sectPr>
      <w:pgSz w:w="11906" w:h="16838"/>
      <w:pgMar w:top="1134" w:right="1134" w:bottom="1134" w:left="1701"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94969"/>
      <w:docPartObj>
        <w:docPartGallery w:val="autotext"/>
      </w:docPartObj>
    </w:sdtPr>
    <w:sdtContent>
      <w:p>
        <w:pPr>
          <w:pStyle w:val="25"/>
        </w:pPr>
        <w:r>
          <w:fldChar w:fldCharType="begin"/>
        </w:r>
        <w:r>
          <w:instrText xml:space="preserve"> PAGE   \* MERGEFORMAT </w:instrText>
        </w:r>
        <w:r>
          <w:fldChar w:fldCharType="separate"/>
        </w:r>
        <w:r>
          <w:rPr>
            <w:lang w:val="zh-CN"/>
          </w:rPr>
          <w:t>3</w:t>
        </w:r>
        <w:r>
          <w:rPr>
            <w:lang w:val="zh-CN"/>
          </w:rP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862"/>
        </w:tabs>
        <w:ind w:left="862" w:hanging="72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34FE"/>
    <w:rsid w:val="00003E8F"/>
    <w:rsid w:val="00010DB9"/>
    <w:rsid w:val="00011FEC"/>
    <w:rsid w:val="00047B5E"/>
    <w:rsid w:val="00056DFF"/>
    <w:rsid w:val="000B31E9"/>
    <w:rsid w:val="000B7075"/>
    <w:rsid w:val="000C1158"/>
    <w:rsid w:val="000C719B"/>
    <w:rsid w:val="000D3A19"/>
    <w:rsid w:val="000F3FC5"/>
    <w:rsid w:val="00101FF1"/>
    <w:rsid w:val="0010658F"/>
    <w:rsid w:val="00131D3A"/>
    <w:rsid w:val="0016355F"/>
    <w:rsid w:val="00167504"/>
    <w:rsid w:val="001677E4"/>
    <w:rsid w:val="00172B1A"/>
    <w:rsid w:val="00176A2A"/>
    <w:rsid w:val="00181313"/>
    <w:rsid w:val="001872F3"/>
    <w:rsid w:val="001C0A02"/>
    <w:rsid w:val="001C3C83"/>
    <w:rsid w:val="001D1AA2"/>
    <w:rsid w:val="001D7F5E"/>
    <w:rsid w:val="001E3557"/>
    <w:rsid w:val="00204635"/>
    <w:rsid w:val="002101D0"/>
    <w:rsid w:val="002214D0"/>
    <w:rsid w:val="00227C37"/>
    <w:rsid w:val="002322F4"/>
    <w:rsid w:val="00233053"/>
    <w:rsid w:val="00250649"/>
    <w:rsid w:val="0027308D"/>
    <w:rsid w:val="002C15D1"/>
    <w:rsid w:val="002D3880"/>
    <w:rsid w:val="002E6E00"/>
    <w:rsid w:val="002F27E4"/>
    <w:rsid w:val="003129BC"/>
    <w:rsid w:val="003218A6"/>
    <w:rsid w:val="00346BC8"/>
    <w:rsid w:val="003648E3"/>
    <w:rsid w:val="003B5666"/>
    <w:rsid w:val="003B5D6B"/>
    <w:rsid w:val="003C55AB"/>
    <w:rsid w:val="003E04C2"/>
    <w:rsid w:val="003F0ABF"/>
    <w:rsid w:val="0040313A"/>
    <w:rsid w:val="004248B2"/>
    <w:rsid w:val="00432074"/>
    <w:rsid w:val="0043571E"/>
    <w:rsid w:val="00444032"/>
    <w:rsid w:val="0046360C"/>
    <w:rsid w:val="00472269"/>
    <w:rsid w:val="00476952"/>
    <w:rsid w:val="00484CCB"/>
    <w:rsid w:val="0049059C"/>
    <w:rsid w:val="00495692"/>
    <w:rsid w:val="004A3ABC"/>
    <w:rsid w:val="004A5B86"/>
    <w:rsid w:val="004B34FE"/>
    <w:rsid w:val="004C0C2C"/>
    <w:rsid w:val="004D3B07"/>
    <w:rsid w:val="004E0DAC"/>
    <w:rsid w:val="004F5B6F"/>
    <w:rsid w:val="00512E01"/>
    <w:rsid w:val="005526D9"/>
    <w:rsid w:val="0056314E"/>
    <w:rsid w:val="00570F19"/>
    <w:rsid w:val="0058230A"/>
    <w:rsid w:val="005827CE"/>
    <w:rsid w:val="005900F1"/>
    <w:rsid w:val="005B2AC7"/>
    <w:rsid w:val="0060729B"/>
    <w:rsid w:val="00613A61"/>
    <w:rsid w:val="00616A1B"/>
    <w:rsid w:val="00627A6E"/>
    <w:rsid w:val="00633E1C"/>
    <w:rsid w:val="006410EB"/>
    <w:rsid w:val="00652F76"/>
    <w:rsid w:val="0065401F"/>
    <w:rsid w:val="00682D70"/>
    <w:rsid w:val="006D5912"/>
    <w:rsid w:val="006E3750"/>
    <w:rsid w:val="006E4F50"/>
    <w:rsid w:val="006F1BC6"/>
    <w:rsid w:val="006F33D7"/>
    <w:rsid w:val="00702DFF"/>
    <w:rsid w:val="007262BE"/>
    <w:rsid w:val="0073205D"/>
    <w:rsid w:val="007B40F0"/>
    <w:rsid w:val="007B5EDA"/>
    <w:rsid w:val="007D66C3"/>
    <w:rsid w:val="007D7CED"/>
    <w:rsid w:val="007E7549"/>
    <w:rsid w:val="007E7F83"/>
    <w:rsid w:val="0080675B"/>
    <w:rsid w:val="00832077"/>
    <w:rsid w:val="00854C97"/>
    <w:rsid w:val="00862F25"/>
    <w:rsid w:val="00877289"/>
    <w:rsid w:val="0088529B"/>
    <w:rsid w:val="00885913"/>
    <w:rsid w:val="008942B9"/>
    <w:rsid w:val="00894408"/>
    <w:rsid w:val="008A7451"/>
    <w:rsid w:val="008B2C74"/>
    <w:rsid w:val="008D383F"/>
    <w:rsid w:val="008D3C97"/>
    <w:rsid w:val="008E4309"/>
    <w:rsid w:val="008E738F"/>
    <w:rsid w:val="00914190"/>
    <w:rsid w:val="0093489F"/>
    <w:rsid w:val="009353F8"/>
    <w:rsid w:val="00935CA5"/>
    <w:rsid w:val="009434F6"/>
    <w:rsid w:val="009437BC"/>
    <w:rsid w:val="00944143"/>
    <w:rsid w:val="009869D3"/>
    <w:rsid w:val="00987E0F"/>
    <w:rsid w:val="00997F62"/>
    <w:rsid w:val="009A6C97"/>
    <w:rsid w:val="009A7718"/>
    <w:rsid w:val="009D6528"/>
    <w:rsid w:val="009E4860"/>
    <w:rsid w:val="009E5187"/>
    <w:rsid w:val="00A02D55"/>
    <w:rsid w:val="00A26A2F"/>
    <w:rsid w:val="00A400A3"/>
    <w:rsid w:val="00A82D62"/>
    <w:rsid w:val="00A9194C"/>
    <w:rsid w:val="00A9309E"/>
    <w:rsid w:val="00AE25E2"/>
    <w:rsid w:val="00B22196"/>
    <w:rsid w:val="00B42321"/>
    <w:rsid w:val="00B51A1D"/>
    <w:rsid w:val="00B56053"/>
    <w:rsid w:val="00B56A74"/>
    <w:rsid w:val="00B61FA6"/>
    <w:rsid w:val="00B62362"/>
    <w:rsid w:val="00B66610"/>
    <w:rsid w:val="00B71448"/>
    <w:rsid w:val="00B76B18"/>
    <w:rsid w:val="00B90C37"/>
    <w:rsid w:val="00BA2699"/>
    <w:rsid w:val="00BC1C46"/>
    <w:rsid w:val="00BF3856"/>
    <w:rsid w:val="00C00F8B"/>
    <w:rsid w:val="00C10DFA"/>
    <w:rsid w:val="00C17D1B"/>
    <w:rsid w:val="00C2104C"/>
    <w:rsid w:val="00C24ADD"/>
    <w:rsid w:val="00C41F39"/>
    <w:rsid w:val="00C442B6"/>
    <w:rsid w:val="00C523FE"/>
    <w:rsid w:val="00C7091A"/>
    <w:rsid w:val="00CD04A3"/>
    <w:rsid w:val="00D01E24"/>
    <w:rsid w:val="00D21DE0"/>
    <w:rsid w:val="00D40211"/>
    <w:rsid w:val="00D40313"/>
    <w:rsid w:val="00D47002"/>
    <w:rsid w:val="00D60F98"/>
    <w:rsid w:val="00D618C7"/>
    <w:rsid w:val="00D716EC"/>
    <w:rsid w:val="00D8015C"/>
    <w:rsid w:val="00D83AD9"/>
    <w:rsid w:val="00D90AF5"/>
    <w:rsid w:val="00DA03F2"/>
    <w:rsid w:val="00DC7DEB"/>
    <w:rsid w:val="00DE5659"/>
    <w:rsid w:val="00DE5B16"/>
    <w:rsid w:val="00E1309D"/>
    <w:rsid w:val="00E25951"/>
    <w:rsid w:val="00E30CDE"/>
    <w:rsid w:val="00E46150"/>
    <w:rsid w:val="00E810D9"/>
    <w:rsid w:val="00E85898"/>
    <w:rsid w:val="00E9545A"/>
    <w:rsid w:val="00EA6683"/>
    <w:rsid w:val="00EE29FC"/>
    <w:rsid w:val="00EE6023"/>
    <w:rsid w:val="00F01727"/>
    <w:rsid w:val="00F16257"/>
    <w:rsid w:val="00F2743D"/>
    <w:rsid w:val="00F312F7"/>
    <w:rsid w:val="00F40523"/>
    <w:rsid w:val="00F52826"/>
    <w:rsid w:val="00F562C6"/>
    <w:rsid w:val="00F71852"/>
    <w:rsid w:val="00F71E60"/>
    <w:rsid w:val="00F9606F"/>
    <w:rsid w:val="00F97044"/>
    <w:rsid w:val="00FC7D41"/>
    <w:rsid w:val="00FE74D4"/>
    <w:rsid w:val="1CA81959"/>
    <w:rsid w:val="3AE328AC"/>
    <w:rsid w:val="5AC77DA3"/>
    <w:rsid w:val="778702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2"/>
    <w:next w:val="1"/>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0"/>
  </w:style>
  <w:style w:type="paragraph" w:styleId="16">
    <w:name w:val="toc 2"/>
    <w:basedOn w:val="17"/>
    <w:next w:val="1"/>
    <w:qFormat/>
    <w:uiPriority w:val="0"/>
  </w:style>
  <w:style w:type="paragraph" w:styleId="17">
    <w:name w:val="toc 1"/>
    <w:next w:val="1"/>
    <w:qFormat/>
    <w:uiPriority w:val="0"/>
    <w:pPr>
      <w:jc w:val="both"/>
    </w:pPr>
    <w:rPr>
      <w:rFonts w:ascii="宋体" w:hAnsi="Times New Roman" w:eastAsia="宋体" w:cs="Times New Roman"/>
      <w:sz w:val="21"/>
      <w:lang w:val="en-US" w:eastAsia="zh-CN" w:bidi="ar-SA"/>
    </w:rPr>
  </w:style>
  <w:style w:type="paragraph" w:styleId="18">
    <w:name w:val="Body Text"/>
    <w:basedOn w:val="1"/>
    <w:link w:val="92"/>
    <w:qFormat/>
    <w:uiPriority w:val="0"/>
    <w:pPr>
      <w:spacing w:after="120"/>
    </w:pPr>
  </w:style>
  <w:style w:type="paragraph" w:styleId="19">
    <w:name w:val="Body Text Indent"/>
    <w:basedOn w:val="1"/>
    <w:link w:val="79"/>
    <w:qFormat/>
    <w:uiPriority w:val="0"/>
    <w:pPr>
      <w:ind w:firstLine="420"/>
    </w:pPr>
    <w:rPr>
      <w:sz w:val="28"/>
      <w:szCs w:val="20"/>
    </w:rPr>
  </w:style>
  <w:style w:type="paragraph" w:styleId="20">
    <w:name w:val="HTML Address"/>
    <w:basedOn w:val="1"/>
    <w:link w:val="88"/>
    <w:qFormat/>
    <w:uiPriority w:val="0"/>
    <w:rPr>
      <w:i/>
      <w:iCs/>
    </w:rPr>
  </w:style>
  <w:style w:type="paragraph" w:styleId="21">
    <w:name w:val="toc 8"/>
    <w:basedOn w:val="11"/>
    <w:next w:val="1"/>
    <w:qFormat/>
    <w:uiPriority w:val="0"/>
  </w:style>
  <w:style w:type="paragraph" w:styleId="22">
    <w:name w:val="Date"/>
    <w:basedOn w:val="1"/>
    <w:next w:val="1"/>
    <w:link w:val="76"/>
    <w:qFormat/>
    <w:uiPriority w:val="0"/>
    <w:pPr>
      <w:ind w:left="100" w:leftChars="2500"/>
    </w:pPr>
    <w:rPr>
      <w:rFonts w:ascii="宋体" w:hAnsi="宋体"/>
      <w:sz w:val="28"/>
    </w:rPr>
  </w:style>
  <w:style w:type="paragraph" w:styleId="23">
    <w:name w:val="Body Text Indent 2"/>
    <w:basedOn w:val="1"/>
    <w:link w:val="132"/>
    <w:semiHidden/>
    <w:unhideWhenUsed/>
    <w:qFormat/>
    <w:uiPriority w:val="99"/>
    <w:pPr>
      <w:spacing w:after="120" w:line="480" w:lineRule="auto"/>
      <w:ind w:left="420" w:leftChars="200"/>
    </w:pPr>
  </w:style>
  <w:style w:type="paragraph" w:styleId="24">
    <w:name w:val="Balloon Text"/>
    <w:basedOn w:val="1"/>
    <w:link w:val="131"/>
    <w:semiHidden/>
    <w:unhideWhenUsed/>
    <w:qFormat/>
    <w:uiPriority w:val="99"/>
    <w:rPr>
      <w:sz w:val="18"/>
      <w:szCs w:val="18"/>
    </w:rPr>
  </w:style>
  <w:style w:type="paragraph" w:styleId="25">
    <w:name w:val="footer"/>
    <w:basedOn w:val="1"/>
    <w:link w:val="90"/>
    <w:uiPriority w:val="99"/>
    <w:pPr>
      <w:tabs>
        <w:tab w:val="center" w:pos="4153"/>
        <w:tab w:val="right" w:pos="8306"/>
      </w:tabs>
      <w:snapToGrid w:val="0"/>
      <w:ind w:right="210" w:rightChars="100"/>
      <w:jc w:val="right"/>
    </w:pPr>
    <w:rPr>
      <w:sz w:val="18"/>
      <w:szCs w:val="18"/>
    </w:rPr>
  </w:style>
  <w:style w:type="paragraph" w:styleId="26">
    <w:name w:val="header"/>
    <w:basedOn w:val="1"/>
    <w:link w:val="72"/>
    <w:uiPriority w:val="99"/>
    <w:pPr>
      <w:pBdr>
        <w:bottom w:val="single" w:color="auto" w:sz="6" w:space="1"/>
      </w:pBdr>
      <w:tabs>
        <w:tab w:val="center" w:pos="4153"/>
        <w:tab w:val="right" w:pos="8306"/>
      </w:tabs>
      <w:snapToGrid w:val="0"/>
    </w:pPr>
    <w:rPr>
      <w:rFonts w:ascii="宋体" w:hAnsi="宋体"/>
      <w:kern w:val="0"/>
      <w:sz w:val="28"/>
      <w:szCs w:val="28"/>
    </w:rPr>
  </w:style>
  <w:style w:type="paragraph" w:styleId="27">
    <w:name w:val="footnote text"/>
    <w:basedOn w:val="1"/>
    <w:link w:val="91"/>
    <w:qFormat/>
    <w:uiPriority w:val="0"/>
    <w:pPr>
      <w:snapToGrid w:val="0"/>
      <w:jc w:val="left"/>
    </w:pPr>
    <w:rPr>
      <w:sz w:val="18"/>
      <w:szCs w:val="18"/>
    </w:rPr>
  </w:style>
  <w:style w:type="paragraph" w:styleId="28">
    <w:name w:val="toc 9"/>
    <w:basedOn w:val="21"/>
    <w:next w:val="1"/>
    <w:qFormat/>
    <w:uiPriority w:val="0"/>
  </w:style>
  <w:style w:type="paragraph" w:styleId="29">
    <w:name w:val="Body Text 2"/>
    <w:basedOn w:val="1"/>
    <w:link w:val="85"/>
    <w:qFormat/>
    <w:uiPriority w:val="0"/>
    <w:pPr>
      <w:spacing w:after="120" w:line="480" w:lineRule="auto"/>
    </w:pPr>
  </w:style>
  <w:style w:type="paragraph" w:styleId="30">
    <w:name w:val="HTML Preformatted"/>
    <w:basedOn w:val="1"/>
    <w:link w:val="89"/>
    <w:uiPriority w:val="0"/>
    <w:rPr>
      <w:rFonts w:ascii="Courier New" w:hAnsi="Courier New" w:cs="Courier New"/>
      <w:sz w:val="20"/>
      <w:szCs w:val="20"/>
    </w:rPr>
  </w:style>
  <w:style w:type="paragraph" w:styleId="31">
    <w:name w:val="Normal (Web)"/>
    <w:basedOn w:val="1"/>
    <w:qFormat/>
    <w:uiPriority w:val="0"/>
    <w:pPr>
      <w:spacing w:beforeAutospacing="1" w:afterAutospacing="1"/>
      <w:jc w:val="left"/>
    </w:pPr>
    <w:rPr>
      <w:rFonts w:ascii="Calibri" w:hAnsi="Calibri"/>
      <w:kern w:val="0"/>
      <w:sz w:val="24"/>
    </w:rPr>
  </w:style>
  <w:style w:type="paragraph" w:styleId="32">
    <w:name w:val="Title"/>
    <w:basedOn w:val="1"/>
    <w:link w:val="84"/>
    <w:qFormat/>
    <w:uiPriority w:val="0"/>
    <w:pPr>
      <w:spacing w:before="240" w:after="60"/>
      <w:jc w:val="center"/>
      <w:outlineLvl w:val="0"/>
    </w:pPr>
    <w:rPr>
      <w:rFonts w:ascii="Arial" w:hAnsi="Arial" w:cs="Arial"/>
      <w:b/>
      <w:bCs/>
      <w:sz w:val="32"/>
      <w:szCs w:val="32"/>
    </w:rPr>
  </w:style>
  <w:style w:type="table" w:styleId="34">
    <w:name w:val="Table Grid"/>
    <w:basedOn w:val="33"/>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6">
    <w:name w:val="Strong"/>
    <w:qFormat/>
    <w:uiPriority w:val="0"/>
    <w:rPr>
      <w:b/>
      <w:bCs/>
    </w:rPr>
  </w:style>
  <w:style w:type="character" w:styleId="37">
    <w:name w:val="page number"/>
    <w:qFormat/>
    <w:uiPriority w:val="0"/>
    <w:rPr>
      <w:rFonts w:ascii="Times New Roman" w:hAnsi="Times New Roman" w:eastAsia="宋体"/>
      <w:sz w:val="18"/>
    </w:rPr>
  </w:style>
  <w:style w:type="character" w:styleId="38">
    <w:name w:val="FollowedHyperlink"/>
    <w:uiPriority w:val="0"/>
    <w:rPr>
      <w:color w:val="800080"/>
      <w:u w:val="single"/>
    </w:rPr>
  </w:style>
  <w:style w:type="character" w:styleId="39">
    <w:name w:val="HTML Definition"/>
    <w:qFormat/>
    <w:uiPriority w:val="0"/>
    <w:rPr>
      <w:i/>
      <w:iCs/>
    </w:rPr>
  </w:style>
  <w:style w:type="character" w:styleId="40">
    <w:name w:val="HTML Typewriter"/>
    <w:qFormat/>
    <w:uiPriority w:val="0"/>
    <w:rPr>
      <w:rFonts w:ascii="Courier New" w:hAnsi="Courier New"/>
      <w:sz w:val="20"/>
      <w:szCs w:val="20"/>
    </w:rPr>
  </w:style>
  <w:style w:type="character" w:styleId="41">
    <w:name w:val="HTML Acronym"/>
    <w:basedOn w:val="35"/>
    <w:uiPriority w:val="0"/>
  </w:style>
  <w:style w:type="character" w:styleId="42">
    <w:name w:val="HTML Variable"/>
    <w:qFormat/>
    <w:uiPriority w:val="0"/>
    <w:rPr>
      <w:i/>
      <w:iCs/>
    </w:rPr>
  </w:style>
  <w:style w:type="character" w:styleId="43">
    <w:name w:val="Hyperlink"/>
    <w:qFormat/>
    <w:uiPriority w:val="0"/>
    <w:rPr>
      <w:rFonts w:ascii="Times New Roman" w:hAnsi="Times New Roman" w:eastAsia="宋体"/>
      <w:color w:val="auto"/>
      <w:spacing w:val="0"/>
      <w:w w:val="100"/>
      <w:position w:val="0"/>
      <w:sz w:val="21"/>
      <w:u w:val="none"/>
      <w:vertAlign w:val="baseline"/>
    </w:rPr>
  </w:style>
  <w:style w:type="character" w:styleId="44">
    <w:name w:val="HTML Code"/>
    <w:qFormat/>
    <w:uiPriority w:val="0"/>
    <w:rPr>
      <w:rFonts w:ascii="Courier New" w:hAnsi="Courier New"/>
      <w:sz w:val="20"/>
      <w:szCs w:val="20"/>
    </w:rPr>
  </w:style>
  <w:style w:type="character" w:styleId="45">
    <w:name w:val="HTML Cite"/>
    <w:uiPriority w:val="0"/>
    <w:rPr>
      <w:i/>
      <w:iCs/>
    </w:rPr>
  </w:style>
  <w:style w:type="character" w:styleId="46">
    <w:name w:val="footnote reference"/>
    <w:uiPriority w:val="0"/>
    <w:rPr>
      <w:vertAlign w:val="superscript"/>
    </w:rPr>
  </w:style>
  <w:style w:type="character" w:styleId="47">
    <w:name w:val="HTML Keyboard"/>
    <w:qFormat/>
    <w:uiPriority w:val="0"/>
    <w:rPr>
      <w:rFonts w:ascii="Courier New" w:hAnsi="Courier New"/>
      <w:sz w:val="20"/>
      <w:szCs w:val="20"/>
    </w:rPr>
  </w:style>
  <w:style w:type="character" w:styleId="48">
    <w:name w:val="HTML Sample"/>
    <w:qFormat/>
    <w:uiPriority w:val="0"/>
    <w:rPr>
      <w:rFonts w:ascii="Courier New" w:hAnsi="Courier New"/>
    </w:rPr>
  </w:style>
  <w:style w:type="character" w:customStyle="1" w:styleId="49">
    <w:name w:val="标题 1 Char"/>
    <w:basedOn w:val="35"/>
    <w:link w:val="2"/>
    <w:qFormat/>
    <w:uiPriority w:val="0"/>
    <w:rPr>
      <w:rFonts w:ascii="Times New Roman" w:hAnsi="Times New Roman"/>
      <w:b/>
      <w:bCs/>
      <w:kern w:val="44"/>
      <w:sz w:val="44"/>
      <w:szCs w:val="44"/>
    </w:rPr>
  </w:style>
  <w:style w:type="character" w:customStyle="1" w:styleId="50">
    <w:name w:val="标题 2 Char"/>
    <w:basedOn w:val="35"/>
    <w:link w:val="3"/>
    <w:qFormat/>
    <w:uiPriority w:val="0"/>
    <w:rPr>
      <w:rFonts w:ascii="Arial" w:hAnsi="Arial" w:eastAsia="黑体"/>
      <w:b/>
      <w:bCs/>
      <w:kern w:val="2"/>
      <w:sz w:val="32"/>
      <w:szCs w:val="32"/>
    </w:rPr>
  </w:style>
  <w:style w:type="character" w:customStyle="1" w:styleId="51">
    <w:name w:val="标题 3 Char"/>
    <w:basedOn w:val="35"/>
    <w:link w:val="4"/>
    <w:uiPriority w:val="0"/>
    <w:rPr>
      <w:rFonts w:ascii="Times New Roman" w:hAnsi="Times New Roman"/>
      <w:b/>
      <w:bCs/>
      <w:kern w:val="2"/>
      <w:sz w:val="32"/>
      <w:szCs w:val="32"/>
    </w:rPr>
  </w:style>
  <w:style w:type="character" w:customStyle="1" w:styleId="52">
    <w:name w:val="标题 4 Char"/>
    <w:basedOn w:val="35"/>
    <w:link w:val="5"/>
    <w:qFormat/>
    <w:uiPriority w:val="0"/>
    <w:rPr>
      <w:rFonts w:ascii="Arial" w:hAnsi="Arial" w:eastAsia="黑体"/>
      <w:b/>
      <w:bCs/>
      <w:kern w:val="2"/>
      <w:sz w:val="28"/>
      <w:szCs w:val="28"/>
    </w:rPr>
  </w:style>
  <w:style w:type="character" w:customStyle="1" w:styleId="53">
    <w:name w:val="标题 5 Char"/>
    <w:basedOn w:val="35"/>
    <w:link w:val="6"/>
    <w:uiPriority w:val="0"/>
    <w:rPr>
      <w:rFonts w:ascii="Times New Roman" w:hAnsi="Times New Roman"/>
      <w:b/>
      <w:bCs/>
      <w:kern w:val="2"/>
      <w:sz w:val="28"/>
      <w:szCs w:val="28"/>
    </w:rPr>
  </w:style>
  <w:style w:type="character" w:customStyle="1" w:styleId="54">
    <w:name w:val="标题 6 Char"/>
    <w:basedOn w:val="35"/>
    <w:link w:val="7"/>
    <w:uiPriority w:val="0"/>
    <w:rPr>
      <w:rFonts w:ascii="Arial" w:hAnsi="Arial" w:eastAsia="黑体"/>
      <w:b/>
      <w:bCs/>
      <w:kern w:val="2"/>
      <w:sz w:val="24"/>
      <w:szCs w:val="24"/>
    </w:rPr>
  </w:style>
  <w:style w:type="character" w:customStyle="1" w:styleId="55">
    <w:name w:val="标题 7 Char"/>
    <w:basedOn w:val="35"/>
    <w:link w:val="8"/>
    <w:uiPriority w:val="0"/>
    <w:rPr>
      <w:rFonts w:ascii="Times New Roman" w:hAnsi="Times New Roman"/>
      <w:b/>
      <w:bCs/>
      <w:kern w:val="2"/>
      <w:sz w:val="24"/>
      <w:szCs w:val="24"/>
    </w:rPr>
  </w:style>
  <w:style w:type="character" w:customStyle="1" w:styleId="56">
    <w:name w:val="标题 8 Char"/>
    <w:basedOn w:val="35"/>
    <w:link w:val="9"/>
    <w:qFormat/>
    <w:uiPriority w:val="0"/>
    <w:rPr>
      <w:rFonts w:ascii="Arial" w:hAnsi="Arial" w:eastAsia="黑体"/>
      <w:kern w:val="2"/>
      <w:sz w:val="24"/>
      <w:szCs w:val="24"/>
    </w:rPr>
  </w:style>
  <w:style w:type="character" w:customStyle="1" w:styleId="57">
    <w:name w:val="标题 9 Char"/>
    <w:basedOn w:val="35"/>
    <w:link w:val="10"/>
    <w:qFormat/>
    <w:uiPriority w:val="0"/>
    <w:rPr>
      <w:rFonts w:ascii="Arial" w:hAnsi="Arial" w:eastAsia="黑体"/>
      <w:kern w:val="2"/>
      <w:sz w:val="21"/>
      <w:szCs w:val="21"/>
    </w:rPr>
  </w:style>
  <w:style w:type="character" w:customStyle="1" w:styleId="58">
    <w:name w:val="emailstyle49"/>
    <w:qFormat/>
    <w:uiPriority w:val="0"/>
    <w:rPr>
      <w:rFonts w:ascii="Arial" w:hAnsi="Arial" w:eastAsia="宋体" w:cs="Arial"/>
      <w:color w:val="auto"/>
      <w:sz w:val="20"/>
    </w:rPr>
  </w:style>
  <w:style w:type="character" w:customStyle="1" w:styleId="59">
    <w:name w:val="样式1 Char Char"/>
    <w:link w:val="60"/>
    <w:qFormat/>
    <w:uiPriority w:val="0"/>
    <w:rPr>
      <w:rFonts w:ascii="宋体" w:hAnsi="宋体"/>
      <w:sz w:val="24"/>
      <w:szCs w:val="24"/>
    </w:rPr>
  </w:style>
  <w:style w:type="paragraph" w:customStyle="1" w:styleId="60">
    <w:name w:val="样式1"/>
    <w:basedOn w:val="1"/>
    <w:link w:val="59"/>
    <w:qFormat/>
    <w:uiPriority w:val="0"/>
    <w:pPr>
      <w:jc w:val="center"/>
    </w:pPr>
    <w:rPr>
      <w:rFonts w:ascii="宋体" w:hAnsi="宋体"/>
      <w:kern w:val="0"/>
      <w:sz w:val="24"/>
    </w:rPr>
  </w:style>
  <w:style w:type="character" w:customStyle="1" w:styleId="61">
    <w:name w:val="个人撰写风格"/>
    <w:qFormat/>
    <w:uiPriority w:val="0"/>
    <w:rPr>
      <w:rFonts w:ascii="Arial" w:hAnsi="Arial" w:eastAsia="宋体" w:cs="Arial"/>
      <w:color w:val="auto"/>
      <w:sz w:val="20"/>
    </w:rPr>
  </w:style>
  <w:style w:type="character" w:customStyle="1" w:styleId="62">
    <w:name w:val="emailstyle50"/>
    <w:uiPriority w:val="0"/>
    <w:rPr>
      <w:rFonts w:ascii="Arial" w:hAnsi="Arial" w:eastAsia="宋体" w:cs="Arial"/>
      <w:color w:val="auto"/>
      <w:sz w:val="20"/>
    </w:rPr>
  </w:style>
  <w:style w:type="character" w:customStyle="1" w:styleId="63">
    <w:name w:val="个人答复风格"/>
    <w:uiPriority w:val="0"/>
    <w:rPr>
      <w:rFonts w:ascii="Arial" w:hAnsi="Arial" w:eastAsia="宋体" w:cs="Arial"/>
      <w:color w:val="auto"/>
      <w:sz w:val="20"/>
    </w:rPr>
  </w:style>
  <w:style w:type="character" w:customStyle="1" w:styleId="64">
    <w:name w:val="发布"/>
    <w:uiPriority w:val="0"/>
    <w:rPr>
      <w:rFonts w:ascii="黑体" w:eastAsia="黑体"/>
      <w:spacing w:val="22"/>
      <w:w w:val="100"/>
      <w:position w:val="3"/>
      <w:sz w:val="28"/>
    </w:rPr>
  </w:style>
  <w:style w:type="paragraph" w:customStyle="1" w:styleId="65">
    <w:name w:val="列项◆（三级）"/>
    <w:qFormat/>
    <w:uiPriority w:val="0"/>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6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二级条标题"/>
    <w:basedOn w:val="68"/>
    <w:next w:val="69"/>
    <w:uiPriority w:val="0"/>
    <w:pPr>
      <w:outlineLvl w:val="3"/>
    </w:pPr>
  </w:style>
  <w:style w:type="paragraph" w:customStyle="1" w:styleId="68">
    <w:name w:val="一级条标题"/>
    <w:next w:val="69"/>
    <w:qFormat/>
    <w:uiPriority w:val="0"/>
    <w:pPr>
      <w:outlineLvl w:val="2"/>
    </w:pPr>
    <w:rPr>
      <w:rFonts w:ascii="Times New Roman" w:hAnsi="Times New Roman" w:eastAsia="黑体" w:cs="Times New Roman"/>
      <w:sz w:val="21"/>
      <w:lang w:val="en-US" w:eastAsia="zh-CN" w:bidi="ar-SA"/>
    </w:rPr>
  </w:style>
  <w:style w:type="paragraph" w:customStyle="1" w:styleId="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0">
    <w:name w:val="示例"/>
    <w:next w:val="69"/>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71">
    <w:name w:val="附录标识"/>
    <w:basedOn w:val="66"/>
    <w:uiPriority w:val="0"/>
    <w:pPr>
      <w:tabs>
        <w:tab w:val="left" w:pos="6405"/>
      </w:tabs>
      <w:spacing w:after="200"/>
    </w:pPr>
    <w:rPr>
      <w:sz w:val="21"/>
    </w:rPr>
  </w:style>
  <w:style w:type="character" w:customStyle="1" w:styleId="72">
    <w:name w:val="页眉 Char"/>
    <w:basedOn w:val="35"/>
    <w:link w:val="26"/>
    <w:qFormat/>
    <w:uiPriority w:val="99"/>
    <w:rPr>
      <w:rFonts w:ascii="宋体" w:hAnsi="宋体"/>
      <w:sz w:val="28"/>
      <w:szCs w:val="28"/>
    </w:rPr>
  </w:style>
  <w:style w:type="paragraph" w:customStyle="1" w:styleId="73">
    <w:name w:val="五级条标题"/>
    <w:basedOn w:val="74"/>
    <w:next w:val="69"/>
    <w:qFormat/>
    <w:uiPriority w:val="0"/>
    <w:pPr>
      <w:outlineLvl w:val="6"/>
    </w:pPr>
  </w:style>
  <w:style w:type="paragraph" w:customStyle="1" w:styleId="74">
    <w:name w:val="四级条标题"/>
    <w:basedOn w:val="75"/>
    <w:next w:val="69"/>
    <w:qFormat/>
    <w:uiPriority w:val="0"/>
    <w:pPr>
      <w:outlineLvl w:val="5"/>
    </w:pPr>
  </w:style>
  <w:style w:type="paragraph" w:customStyle="1" w:styleId="75">
    <w:name w:val="三级条标题"/>
    <w:basedOn w:val="67"/>
    <w:next w:val="69"/>
    <w:qFormat/>
    <w:uiPriority w:val="0"/>
    <w:pPr>
      <w:outlineLvl w:val="4"/>
    </w:pPr>
  </w:style>
  <w:style w:type="character" w:customStyle="1" w:styleId="76">
    <w:name w:val="日期 Char"/>
    <w:basedOn w:val="35"/>
    <w:link w:val="22"/>
    <w:qFormat/>
    <w:uiPriority w:val="0"/>
    <w:rPr>
      <w:rFonts w:ascii="宋体" w:hAnsi="宋体"/>
      <w:kern w:val="2"/>
      <w:sz w:val="28"/>
      <w:szCs w:val="24"/>
    </w:rPr>
  </w:style>
  <w:style w:type="paragraph" w:customStyle="1" w:styleId="77">
    <w:name w:val="封面标准号2"/>
    <w:basedOn w:val="78"/>
    <w:qFormat/>
    <w:uiPriority w:val="0"/>
    <w:pPr>
      <w:adjustRightInd w:val="0"/>
      <w:spacing w:before="357" w:line="280" w:lineRule="exact"/>
    </w:p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79">
    <w:name w:val="正文文本缩进 Char"/>
    <w:basedOn w:val="35"/>
    <w:link w:val="19"/>
    <w:uiPriority w:val="0"/>
    <w:rPr>
      <w:rFonts w:ascii="Times New Roman" w:hAnsi="Times New Roman"/>
      <w:kern w:val="2"/>
      <w:sz w:val="28"/>
    </w:rPr>
  </w:style>
  <w:style w:type="paragraph" w:customStyle="1" w:styleId="80">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81">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82">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3">
    <w:name w:val="附录章标题"/>
    <w:next w:val="6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84">
    <w:name w:val="标题 Char"/>
    <w:basedOn w:val="35"/>
    <w:link w:val="32"/>
    <w:qFormat/>
    <w:uiPriority w:val="0"/>
    <w:rPr>
      <w:rFonts w:ascii="Arial" w:hAnsi="Arial" w:cs="Arial"/>
      <w:b/>
      <w:bCs/>
      <w:kern w:val="2"/>
      <w:sz w:val="32"/>
      <w:szCs w:val="32"/>
    </w:rPr>
  </w:style>
  <w:style w:type="character" w:customStyle="1" w:styleId="85">
    <w:name w:val="正文文本 2 Char"/>
    <w:basedOn w:val="35"/>
    <w:link w:val="29"/>
    <w:qFormat/>
    <w:uiPriority w:val="0"/>
    <w:rPr>
      <w:rFonts w:ascii="Times New Roman" w:hAnsi="Times New Roman"/>
      <w:kern w:val="2"/>
      <w:sz w:val="21"/>
      <w:szCs w:val="24"/>
    </w:rPr>
  </w:style>
  <w:style w:type="paragraph" w:customStyle="1" w:styleId="86">
    <w:name w:val="附录一级条标题"/>
    <w:basedOn w:val="83"/>
    <w:next w:val="69"/>
    <w:qFormat/>
    <w:uiPriority w:val="0"/>
    <w:pPr>
      <w:autoSpaceDN w:val="0"/>
      <w:spacing w:beforeLines="0" w:afterLines="0"/>
      <w:outlineLvl w:val="2"/>
    </w:pPr>
  </w:style>
  <w:style w:type="paragraph" w:customStyle="1" w:styleId="8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88">
    <w:name w:val="HTML 地址 Char"/>
    <w:basedOn w:val="35"/>
    <w:link w:val="20"/>
    <w:qFormat/>
    <w:uiPriority w:val="0"/>
    <w:rPr>
      <w:rFonts w:ascii="Times New Roman" w:hAnsi="Times New Roman"/>
      <w:i/>
      <w:iCs/>
      <w:kern w:val="2"/>
      <w:sz w:val="21"/>
      <w:szCs w:val="24"/>
    </w:rPr>
  </w:style>
  <w:style w:type="character" w:customStyle="1" w:styleId="89">
    <w:name w:val="HTML 预设格式 Char"/>
    <w:basedOn w:val="35"/>
    <w:link w:val="30"/>
    <w:qFormat/>
    <w:uiPriority w:val="0"/>
    <w:rPr>
      <w:rFonts w:ascii="Courier New" w:hAnsi="Courier New" w:cs="Courier New"/>
      <w:kern w:val="2"/>
    </w:rPr>
  </w:style>
  <w:style w:type="character" w:customStyle="1" w:styleId="90">
    <w:name w:val="页脚 Char"/>
    <w:basedOn w:val="35"/>
    <w:link w:val="25"/>
    <w:qFormat/>
    <w:uiPriority w:val="99"/>
    <w:rPr>
      <w:rFonts w:ascii="Times New Roman" w:hAnsi="Times New Roman"/>
      <w:kern w:val="2"/>
      <w:sz w:val="18"/>
      <w:szCs w:val="18"/>
    </w:rPr>
  </w:style>
  <w:style w:type="character" w:customStyle="1" w:styleId="91">
    <w:name w:val="脚注文本 Char"/>
    <w:basedOn w:val="35"/>
    <w:link w:val="27"/>
    <w:uiPriority w:val="0"/>
    <w:rPr>
      <w:rFonts w:ascii="Times New Roman" w:hAnsi="Times New Roman"/>
      <w:kern w:val="2"/>
      <w:sz w:val="18"/>
      <w:szCs w:val="18"/>
    </w:rPr>
  </w:style>
  <w:style w:type="character" w:customStyle="1" w:styleId="92">
    <w:name w:val="正文文本 Char"/>
    <w:basedOn w:val="35"/>
    <w:link w:val="18"/>
    <w:uiPriority w:val="0"/>
    <w:rPr>
      <w:rFonts w:ascii="Times New Roman" w:hAnsi="Times New Roman"/>
      <w:kern w:val="2"/>
      <w:sz w:val="21"/>
      <w:szCs w:val="24"/>
    </w:rPr>
  </w:style>
  <w:style w:type="paragraph" w:customStyle="1" w:styleId="9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4">
    <w:name w:val="附录四级条标题"/>
    <w:basedOn w:val="95"/>
    <w:next w:val="69"/>
    <w:qFormat/>
    <w:uiPriority w:val="0"/>
    <w:pPr>
      <w:outlineLvl w:val="5"/>
    </w:pPr>
  </w:style>
  <w:style w:type="paragraph" w:customStyle="1" w:styleId="95">
    <w:name w:val="附录三级条标题"/>
    <w:basedOn w:val="96"/>
    <w:next w:val="69"/>
    <w:qFormat/>
    <w:uiPriority w:val="0"/>
    <w:pPr>
      <w:outlineLvl w:val="4"/>
    </w:pPr>
  </w:style>
  <w:style w:type="paragraph" w:customStyle="1" w:styleId="96">
    <w:name w:val="附录二级条标题"/>
    <w:basedOn w:val="86"/>
    <w:next w:val="69"/>
    <w:qFormat/>
    <w:uiPriority w:val="0"/>
    <w:pPr>
      <w:outlineLvl w:val="3"/>
    </w:pPr>
  </w:style>
  <w:style w:type="paragraph" w:customStyle="1" w:styleId="97">
    <w:name w:val="附录图标题"/>
    <w:next w:val="69"/>
    <w:qFormat/>
    <w:uiPriority w:val="0"/>
    <w:pPr>
      <w:tabs>
        <w:tab w:val="left" w:pos="360"/>
      </w:tabs>
      <w:jc w:val="center"/>
    </w:pPr>
    <w:rPr>
      <w:rFonts w:ascii="黑体" w:hAnsi="Times New Roman" w:eastAsia="黑体" w:cs="Times New Roman"/>
      <w:sz w:val="21"/>
      <w:lang w:val="en-US" w:eastAsia="zh-CN" w:bidi="ar-SA"/>
    </w:rPr>
  </w:style>
  <w:style w:type="paragraph" w:customStyle="1" w:styleId="98">
    <w:name w:val="目次、标准名称标题"/>
    <w:basedOn w:val="66"/>
    <w:next w:val="69"/>
    <w:qFormat/>
    <w:uiPriority w:val="0"/>
    <w:pPr>
      <w:spacing w:line="460" w:lineRule="exact"/>
    </w:pPr>
  </w:style>
  <w:style w:type="paragraph" w:customStyle="1" w:styleId="99">
    <w:name w:val="正文表标题"/>
    <w:next w:val="69"/>
    <w:qFormat/>
    <w:uiPriority w:val="0"/>
    <w:pPr>
      <w:jc w:val="center"/>
    </w:pPr>
    <w:rPr>
      <w:rFonts w:ascii="黑体" w:hAnsi="Times New Roman" w:eastAsia="黑体" w:cs="Times New Roman"/>
      <w:sz w:val="21"/>
      <w:lang w:val="en-US" w:eastAsia="zh-CN" w:bidi="ar-SA"/>
    </w:rPr>
  </w:style>
  <w:style w:type="paragraph" w:customStyle="1" w:styleId="100">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1">
    <w:name w:val="其他发布部门"/>
    <w:basedOn w:val="102"/>
    <w:qFormat/>
    <w:uiPriority w:val="0"/>
    <w:pPr>
      <w:spacing w:line="0" w:lineRule="atLeast"/>
    </w:pPr>
    <w:rPr>
      <w:rFonts w:ascii="黑体" w:eastAsia="黑体"/>
      <w:b w:val="0"/>
    </w:rPr>
  </w:style>
  <w:style w:type="paragraph" w:customStyle="1" w:styleId="102">
    <w:name w:val="发布部门"/>
    <w:next w:val="69"/>
    <w:qFormat/>
    <w:uiPriority w:val="0"/>
    <w:pPr>
      <w:jc w:val="center"/>
    </w:pPr>
    <w:rPr>
      <w:rFonts w:ascii="宋体" w:hAnsi="Times New Roman" w:eastAsia="宋体" w:cs="Times New Roman"/>
      <w:b/>
      <w:spacing w:val="20"/>
      <w:w w:val="135"/>
      <w:sz w:val="36"/>
      <w:lang w:val="en-US" w:eastAsia="zh-CN" w:bidi="ar-SA"/>
    </w:rPr>
  </w:style>
  <w:style w:type="paragraph" w:customStyle="1" w:styleId="103">
    <w:name w:val="附录五级条标题"/>
    <w:basedOn w:val="94"/>
    <w:next w:val="69"/>
    <w:qFormat/>
    <w:uiPriority w:val="0"/>
    <w:pPr>
      <w:outlineLvl w:val="6"/>
    </w:pPr>
  </w:style>
  <w:style w:type="paragraph" w:customStyle="1" w:styleId="104">
    <w:name w:val="条文脚注"/>
    <w:basedOn w:val="27"/>
    <w:qFormat/>
    <w:uiPriority w:val="0"/>
    <w:pPr>
      <w:ind w:left="780" w:leftChars="200" w:hanging="360" w:hangingChars="200"/>
      <w:jc w:val="both"/>
    </w:pPr>
    <w:rPr>
      <w:rFonts w:ascii="宋体"/>
    </w:rPr>
  </w:style>
  <w:style w:type="paragraph" w:customStyle="1" w:styleId="10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6">
    <w:name w:val="发布日期"/>
    <w:qFormat/>
    <w:uiPriority w:val="0"/>
    <w:rPr>
      <w:rFonts w:ascii="Times New Roman" w:hAnsi="Times New Roman" w:eastAsia="黑体" w:cs="Times New Roman"/>
      <w:sz w:val="28"/>
      <w:lang w:val="en-US" w:eastAsia="zh-CN" w:bidi="ar-SA"/>
    </w:rPr>
  </w:style>
  <w:style w:type="paragraph" w:customStyle="1" w:styleId="10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9">
    <w:name w:val="列项●（二级）"/>
    <w:qFormat/>
    <w:uiPriority w:val="0"/>
    <w:pPr>
      <w:tabs>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1">
    <w:name w:val="注："/>
    <w:next w:val="69"/>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1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3">
    <w:name w:val="参考文献、索引标题"/>
    <w:basedOn w:val="66"/>
    <w:next w:val="1"/>
    <w:qFormat/>
    <w:uiPriority w:val="0"/>
    <w:pPr>
      <w:spacing w:after="200"/>
    </w:pPr>
    <w:rPr>
      <w:sz w:val="21"/>
    </w:rPr>
  </w:style>
  <w:style w:type="paragraph" w:customStyle="1" w:styleId="114">
    <w:name w:val="封面正文"/>
    <w:qFormat/>
    <w:uiPriority w:val="0"/>
    <w:pPr>
      <w:jc w:val="both"/>
    </w:pPr>
    <w:rPr>
      <w:rFonts w:ascii="Times New Roman" w:hAnsi="Times New Roman" w:eastAsia="宋体" w:cs="Times New Roman"/>
      <w:lang w:val="en-US" w:eastAsia="zh-CN" w:bidi="ar-SA"/>
    </w:rPr>
  </w:style>
  <w:style w:type="paragraph" w:customStyle="1" w:styleId="115">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16">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7">
    <w:name w:val="实施日期"/>
    <w:basedOn w:val="106"/>
    <w:qFormat/>
    <w:uiPriority w:val="0"/>
    <w:pPr>
      <w:jc w:val="right"/>
    </w:pPr>
  </w:style>
  <w:style w:type="paragraph" w:customStyle="1" w:styleId="118">
    <w:name w:val="图表脚注"/>
    <w:next w:val="69"/>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9">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20">
    <w:name w:val="Char Char Char"/>
    <w:basedOn w:val="1"/>
    <w:qFormat/>
    <w:uiPriority w:val="0"/>
    <w:rPr>
      <w:sz w:val="28"/>
    </w:rPr>
  </w:style>
  <w:style w:type="paragraph" w:customStyle="1" w:styleId="121">
    <w:name w:val="标准书眉一"/>
    <w:qFormat/>
    <w:uiPriority w:val="0"/>
    <w:pPr>
      <w:jc w:val="both"/>
    </w:pPr>
    <w:rPr>
      <w:rFonts w:ascii="Times New Roman" w:hAnsi="Times New Roman" w:eastAsia="宋体" w:cs="Times New Roman"/>
      <w:lang w:val="en-US" w:eastAsia="zh-CN" w:bidi="ar-SA"/>
    </w:rPr>
  </w:style>
  <w:style w:type="paragraph" w:customStyle="1" w:styleId="1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3">
    <w:name w:val="封面标准代替信息"/>
    <w:basedOn w:val="77"/>
    <w:qFormat/>
    <w:uiPriority w:val="0"/>
    <w:pPr>
      <w:spacing w:before="57"/>
    </w:pPr>
    <w:rPr>
      <w:rFonts w:ascii="宋体"/>
      <w:sz w:val="21"/>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标准书眉_偶数页"/>
    <w:basedOn w:val="100"/>
    <w:next w:val="1"/>
    <w:qFormat/>
    <w:uiPriority w:val="0"/>
    <w:pPr>
      <w:jc w:val="left"/>
    </w:pPr>
  </w:style>
  <w:style w:type="paragraph" w:customStyle="1" w:styleId="126">
    <w:name w:val="附录表标题"/>
    <w:next w:val="69"/>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127">
    <w:name w:val="章标题"/>
    <w:next w:val="69"/>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2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30">
    <w:name w:val="正文图标题"/>
    <w:next w:val="69"/>
    <w:qFormat/>
    <w:uiPriority w:val="0"/>
    <w:pPr>
      <w:jc w:val="center"/>
    </w:pPr>
    <w:rPr>
      <w:rFonts w:ascii="黑体" w:hAnsi="Times New Roman" w:eastAsia="黑体" w:cs="Times New Roman"/>
      <w:sz w:val="21"/>
      <w:lang w:val="en-US" w:eastAsia="zh-CN" w:bidi="ar-SA"/>
    </w:rPr>
  </w:style>
  <w:style w:type="character" w:customStyle="1" w:styleId="131">
    <w:name w:val="批注框文本 Char"/>
    <w:basedOn w:val="35"/>
    <w:link w:val="24"/>
    <w:semiHidden/>
    <w:qFormat/>
    <w:uiPriority w:val="99"/>
    <w:rPr>
      <w:rFonts w:ascii="Times New Roman" w:hAnsi="Times New Roman"/>
      <w:kern w:val="2"/>
      <w:sz w:val="18"/>
      <w:szCs w:val="18"/>
    </w:rPr>
  </w:style>
  <w:style w:type="character" w:customStyle="1" w:styleId="132">
    <w:name w:val="正文文本缩进 2 Char"/>
    <w:basedOn w:val="35"/>
    <w:link w:val="23"/>
    <w:semiHidden/>
    <w:qFormat/>
    <w:uiPriority w:val="99"/>
    <w:rPr>
      <w:rFonts w:ascii="Times New Roman" w:hAnsi="Times New Roman"/>
      <w:kern w:val="2"/>
      <w:sz w:val="21"/>
      <w:szCs w:val="24"/>
    </w:rPr>
  </w:style>
  <w:style w:type="paragraph" w:customStyle="1" w:styleId="133">
    <w:name w:val="Char1"/>
    <w:basedOn w:val="1"/>
    <w:qFormat/>
    <w:uiPriority w:val="0"/>
    <w:pPr>
      <w:widowControl/>
      <w:tabs>
        <w:tab w:val="left" w:pos="5460"/>
      </w:tabs>
      <w:adjustRightInd w:val="0"/>
      <w:snapToGrid w:val="0"/>
      <w:spacing w:after="160" w:line="300" w:lineRule="auto"/>
      <w:ind w:left="5041"/>
      <w:jc w:val="center"/>
    </w:pPr>
    <w:rPr>
      <w:rFonts w:ascii="Verdana" w:hAnsi="Verdana"/>
      <w:kern w:val="0"/>
      <w:sz w:val="28"/>
      <w:szCs w:val="28"/>
      <w:lang w:eastAsia="en-US"/>
    </w:rPr>
  </w:style>
  <w:style w:type="paragraph" w:styleId="1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75"/>
    <customShpInfo spid="_x0000_s1074"/>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26</Pages>
  <Words>2720</Words>
  <Characters>15505</Characters>
  <Lines>129</Lines>
  <Paragraphs>36</Paragraphs>
  <TotalTime>2</TotalTime>
  <ScaleCrop>false</ScaleCrop>
  <LinksUpToDate>false</LinksUpToDate>
  <CharactersWithSpaces>18189</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2017-06-16T23:45:00Z</dcterms:created>
  <dc:creator>常天田</dc:creator>
  <cp:lastModifiedBy>Fuhh</cp:lastModifiedBy>
  <cp:lastPrinted>2018-02-26T07:53:00Z</cp:lastPrinted>
  <dcterms:modified xsi:type="dcterms:W3CDTF">2019-09-20T03:11:27Z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