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6"/>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pPr>
              <w:spacing w:line="320" w:lineRule="exact"/>
              <w:jc w:val="center"/>
              <w:rPr>
                <w:rFonts w:ascii="宋体" w:hAnsi="宋体" w:cs="华文仿宋"/>
                <w:szCs w:val="21"/>
              </w:rPr>
            </w:pPr>
            <w:bookmarkStart w:id="0" w:name="企业名称"/>
            <w:r>
              <w:rPr>
                <w:rFonts w:ascii="宋体" w:hAnsi="宋体" w:cs="华文仿宋"/>
                <w:szCs w:val="21"/>
              </w:rPr>
              <w:t>运城鑫工科技有限公司</w:t>
            </w:r>
            <w:bookmarkEnd w:id="0"/>
          </w:p>
        </w:tc>
        <w:tc>
          <w:tcPr>
            <w:tcW w:w="1123" w:type="dxa"/>
            <w:gridSpan w:val="2"/>
            <w:noWrap/>
            <w:vAlign w:val="center"/>
          </w:tcPr>
          <w:p>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pPr>
              <w:spacing w:line="320" w:lineRule="exact"/>
              <w:jc w:val="left"/>
              <w:rPr>
                <w:rFonts w:ascii="宋体" w:hAnsi="宋体" w:cs="华文仿宋"/>
                <w:szCs w:val="21"/>
              </w:rPr>
            </w:pPr>
            <w:bookmarkStart w:id="1" w:name="合同编号"/>
            <w:r>
              <w:rPr>
                <w:rFonts w:ascii="宋体" w:hAnsi="宋体" w:cs="华文仿宋"/>
                <w:szCs w:val="21"/>
              </w:rPr>
              <w:t>30635-2023-Q</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20" w:lineRule="exact"/>
              <w:rPr>
                <w:rFonts w:ascii="宋体" w:hAnsi="宋体" w:cs="华文仿宋"/>
                <w:b/>
                <w:szCs w:val="21"/>
              </w:rPr>
            </w:pP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p>
            <w:pPr>
              <w:spacing w:line="360" w:lineRule="exact"/>
              <w:rPr>
                <w:rFonts w:ascii="宋体" w:hAnsi="宋体" w:cs="华文仿宋"/>
                <w:b/>
                <w:szCs w:val="21"/>
              </w:rPr>
            </w:pPr>
          </w:p>
        </w:tc>
        <w:tc>
          <w:tcPr>
            <w:tcW w:w="10211" w:type="dxa"/>
            <w:gridSpan w:val="10"/>
            <w:noWrap/>
            <w:vAlign w:val="center"/>
          </w:tcPr>
          <w:p>
            <w:pPr>
              <w:adjustRightInd w:val="0"/>
              <w:rPr>
                <w:rFonts w:ascii="宋体" w:hAnsi="宋体" w:cs="华文仿宋"/>
                <w:b/>
                <w:szCs w:val="21"/>
              </w:rPr>
            </w:pPr>
            <w:r>
              <w:rPr>
                <w:rFonts w:hint="eastAsia" w:ascii="宋体" w:hAnsi="宋体"/>
                <w:b/>
                <w:szCs w:val="21"/>
              </w:rPr>
              <w:t>1、申请评审类别：</w:t>
            </w:r>
          </w:p>
          <w:p>
            <w:pPr>
              <w:adjustRightInd w:val="0"/>
              <w:rPr>
                <w:rFonts w:ascii="宋体" w:hAnsi="宋体"/>
                <w:szCs w:val="21"/>
              </w:rPr>
            </w:pPr>
            <w:bookmarkStart w:id="2" w:name="认可标志"/>
            <w:r>
              <w:rPr>
                <w:rFonts w:hint="eastAsia" w:ascii="宋体" w:hAnsi="宋体"/>
                <w:szCs w:val="21"/>
              </w:rPr>
              <w:t>Q:■CNAS</w:t>
            </w:r>
            <w:bookmarkEnd w:id="2"/>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b/>
                <w:szCs w:val="21"/>
              </w:rPr>
            </w:pPr>
          </w:p>
        </w:tc>
        <w:tc>
          <w:tcPr>
            <w:tcW w:w="10211" w:type="dxa"/>
            <w:gridSpan w:val="10"/>
            <w:noWrap/>
            <w:vAlign w:val="center"/>
          </w:tcPr>
          <w:p>
            <w:pPr>
              <w:rPr>
                <w:rFonts w:ascii="宋体" w:hAnsi="宋体" w:cs="华文仿宋"/>
                <w:b/>
                <w:szCs w:val="21"/>
              </w:rPr>
            </w:pPr>
            <w:r>
              <w:rPr>
                <w:rFonts w:hint="eastAsia" w:ascii="宋体" w:hAnsi="宋体"/>
                <w:b/>
                <w:szCs w:val="21"/>
              </w:rPr>
              <w:t>2、审核依据标准：</w:t>
            </w:r>
          </w:p>
          <w:p>
            <w:pPr>
              <w:adjustRightInd w:val="0"/>
              <w:jc w:val="left"/>
              <w:rPr>
                <w:rFonts w:ascii="宋体" w:hAnsi="宋体"/>
                <w:szCs w:val="21"/>
                <w:lang w:val="de-DE"/>
              </w:rPr>
            </w:pPr>
            <w:bookmarkStart w:id="3" w:name="审核依据"/>
            <w:r>
              <w:rPr>
                <w:rFonts w:hint="eastAsia" w:ascii="宋体" w:hAnsi="宋体"/>
                <w:color w:val="000000"/>
                <w:szCs w:val="21"/>
                <w:lang w:val="de-DE"/>
              </w:rPr>
              <w:t>Q：GB/T19001-2016/ISO9001:2015</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3、初步确定的认证范围：</w:t>
            </w:r>
          </w:p>
          <w:p>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质量管理体系：一般机械加工；电力铁附件（电力铁塔、钢管杆）的加工</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4、专业代码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pPr>
                    <w:adjustRightInd w:val="0"/>
                    <w:rPr>
                      <w:rFonts w:ascii="宋体" w:hAnsi="宋体"/>
                      <w:szCs w:val="21"/>
                      <w:u w:val="single"/>
                    </w:rPr>
                  </w:pPr>
                  <w:bookmarkStart w:id="5" w:name="专业代码"/>
                  <w:r>
                    <w:rPr>
                      <w:rFonts w:ascii="宋体" w:hAnsi="宋体"/>
                      <w:szCs w:val="21"/>
                      <w:u w:val="single"/>
                    </w:rPr>
                    <w:t>质量管理体系：17.10.01;17.10.02;17.12.05</w:t>
                  </w:r>
                  <w:bookmarkEnd w:id="5"/>
                </w:p>
              </w:tc>
              <w:tc>
                <w:tcPr>
                  <w:tcW w:w="3789" w:type="dxa"/>
                </w:tcPr>
                <w:p>
                  <w:pPr>
                    <w:adjustRightInd w:val="0"/>
                    <w:rPr>
                      <w:rFonts w:ascii="宋体" w:hAnsi="宋体"/>
                      <w:szCs w:val="21"/>
                      <w:u w:val="single"/>
                    </w:rPr>
                  </w:pPr>
                  <w:bookmarkStart w:id="6" w:name="风险等级"/>
                  <w:r>
                    <w:rPr>
                      <w:rFonts w:ascii="宋体" w:hAnsi="宋体"/>
                      <w:szCs w:val="21"/>
                      <w:u w:val="single"/>
                    </w:rPr>
                    <w:t>质量管理体系：中风险</w:t>
                  </w:r>
                  <w:bookmarkEnd w:id="6"/>
                </w:p>
              </w:tc>
            </w:tr>
          </w:tbl>
          <w:p>
            <w:pPr>
              <w:adjustRightInd w:val="0"/>
              <w:rPr>
                <w:rFonts w:ascii="宋体" w:hAnsi="宋体"/>
                <w:b/>
                <w:szCs w:val="21"/>
                <w:u w:val="single"/>
              </w:rPr>
            </w:pPr>
          </w:p>
          <w:p>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28</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Q:28</w:t>
            </w:r>
            <w:bookmarkEnd w:id="8"/>
            <w:r>
              <w:rPr>
                <w:rFonts w:hint="eastAsia" w:ascii="宋体" w:hAnsi="宋体"/>
                <w:szCs w:val="21"/>
                <w:u w:val="single"/>
              </w:rPr>
              <w:t xml:space="preserve">  ：</w:t>
            </w:r>
            <w:r>
              <w:rPr>
                <w:rFonts w:hint="eastAsia" w:ascii="宋体" w:hAnsi="宋体"/>
                <w:szCs w:val="21"/>
              </w:rPr>
              <w:t>，</w:t>
            </w:r>
          </w:p>
          <w:p>
            <w:pPr>
              <w:adjustRightInd w:val="0"/>
              <w:spacing w:line="360" w:lineRule="exact"/>
              <w:rPr>
                <w:rFonts w:hAnsi="宋体"/>
                <w:szCs w:val="21"/>
              </w:rPr>
            </w:pPr>
            <w:r>
              <w:rPr>
                <w:rFonts w:hint="eastAsia" w:hAnsi="宋体"/>
                <w:szCs w:val="21"/>
              </w:rPr>
              <w:t>若存在倒班人数折减，则按公示记录确定有效员工人数的计算过程：</w:t>
            </w:r>
          </w:p>
          <w:p>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spacing w:line="400" w:lineRule="exact"/>
              <w:ind w:left="527" w:hanging="527" w:hangingChars="250"/>
              <w:rPr>
                <w:rFonts w:ascii="宋体" w:hAnsi="宋体"/>
                <w:b/>
                <w:szCs w:val="21"/>
              </w:rPr>
            </w:pPr>
            <w:r>
              <w:rPr>
                <w:rFonts w:hint="eastAsia" w:ascii="宋体" w:hAnsi="宋体"/>
                <w:b/>
                <w:szCs w:val="21"/>
              </w:rPr>
              <w:t>7、固定多场所</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pPr>
              <w:adjustRightInd w:val="0"/>
              <w:spacing w:line="400" w:lineRule="exact"/>
              <w:ind w:left="526" w:leftChars="150" w:hanging="211" w:hangingChars="100"/>
              <w:rPr>
                <w:rFonts w:ascii="宋体" w:hAnsi="宋体"/>
                <w:b/>
                <w:szCs w:val="21"/>
              </w:rPr>
            </w:pPr>
            <w:r>
              <w:rPr>
                <w:rFonts w:hint="eastAsia" w:ascii="宋体" w:hAnsi="宋体"/>
                <w:b/>
                <w:szCs w:val="21"/>
              </w:rPr>
              <w:t xml:space="preserve">临时场所  </w:t>
            </w:r>
            <w:r>
              <w:rPr>
                <w:rFonts w:hint="eastAsia" w:ascii="宋体" w:hAnsi="宋体"/>
                <w:b/>
                <w:szCs w:val="21"/>
                <w:lang w:val="en-US" w:eastAsia="zh-CN"/>
              </w:rPr>
              <w:t>0</w:t>
            </w:r>
            <w:r>
              <w:rPr>
                <w:rFonts w:hint="eastAsia" w:ascii="宋体" w:hAnsi="宋体"/>
                <w:b/>
                <w:szCs w:val="21"/>
              </w:rPr>
              <w:t>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pPr>
              <w:adjustRightInd w:val="0"/>
              <w:rPr>
                <w:rFonts w:ascii="宋体" w:hAnsi="宋体"/>
                <w:szCs w:val="21"/>
                <w:u w:val="single"/>
              </w:rPr>
            </w:pPr>
            <w:r>
              <w:rPr>
                <w:rFonts w:hint="eastAsia" w:ascii="宋体" w:hAnsi="宋体"/>
                <w:szCs w:val="21"/>
                <w:u w:val="single"/>
              </w:rPr>
              <w:t>增加理由；</w:t>
            </w:r>
            <w:bookmarkStart w:id="10" w:name="增加理由"/>
            <w:bookmarkEnd w:id="10"/>
          </w:p>
          <w:p>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Q：1.(通用)客户为认证所作的准备（例如已经获得另一个第三方合格评定制度的认证或 承认）；减少20%：</w:t>
            </w:r>
            <w:bookmarkEnd w:id="11"/>
            <w:r>
              <w:rPr>
                <w:rFonts w:hint="eastAsia" w:ascii="宋体" w:hAnsi="宋体"/>
                <w:szCs w:val="21"/>
                <w:u w:val="single"/>
              </w:rPr>
              <w:t xml:space="preserve"> </w:t>
            </w:r>
          </w:p>
          <w:p>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Q:4.0</w:t>
            </w:r>
            <w:bookmarkEnd w:id="12"/>
            <w:r>
              <w:rPr>
                <w:rFonts w:hint="eastAsia" w:ascii="宋体" w:hAnsi="宋体"/>
                <w:szCs w:val="21"/>
              </w:rPr>
              <w:t xml:space="preserve">       调整后确定审核人•日：</w:t>
            </w:r>
            <w:r>
              <w:rPr>
                <w:rFonts w:hint="eastAsia" w:ascii="宋体" w:hAnsi="宋体"/>
                <w:szCs w:val="21"/>
                <w:u w:val="single"/>
              </w:rPr>
              <w:t>Q：</w:t>
            </w:r>
            <w:r>
              <w:rPr>
                <w:rFonts w:hint="eastAsia" w:ascii="宋体" w:hAnsi="宋体"/>
                <w:szCs w:val="21"/>
                <w:u w:val="single"/>
                <w:lang w:val="en-US" w:eastAsia="zh-CN"/>
              </w:rPr>
              <w:t>3.2</w:t>
            </w:r>
            <w:r>
              <w:rPr>
                <w:rFonts w:hint="eastAsia" w:ascii="宋体" w:hAnsi="宋体"/>
                <w:szCs w:val="21"/>
              </w:rPr>
              <w:t xml:space="preserve">人•日   </w:t>
            </w:r>
          </w:p>
          <w:p>
            <w:pPr>
              <w:adjustRightInd w:val="0"/>
              <w:ind w:firstLine="411" w:firstLineChars="196"/>
              <w:jc w:val="left"/>
              <w:textAlignment w:val="baseline"/>
              <w:rPr>
                <w:rFonts w:ascii="宋体" w:hAnsi="宋体"/>
                <w:b/>
                <w:szCs w:val="21"/>
              </w:rPr>
            </w:pPr>
            <w:r>
              <w:rPr>
                <w:rFonts w:hint="eastAsia" w:ascii="宋体" w:hAnsi="宋体"/>
                <w:szCs w:val="21"/>
              </w:rPr>
              <w:t>再认证审核人•日：</w:t>
            </w:r>
            <w:bookmarkStart w:id="13" w:name="再认证人日"/>
            <w:r>
              <w:rPr>
                <w:rFonts w:hint="eastAsia" w:ascii="宋体" w:hAnsi="宋体"/>
                <w:szCs w:val="21"/>
                <w:u w:val="single"/>
              </w:rPr>
              <w:t>Q:2.7</w:t>
            </w:r>
            <w:bookmarkEnd w:id="13"/>
            <w:r>
              <w:rPr>
                <w:rFonts w:hint="eastAsia" w:ascii="宋体" w:hAnsi="宋体"/>
                <w:szCs w:val="21"/>
              </w:rPr>
              <w:t>人•日       监督审核人•日：</w:t>
            </w:r>
            <w:bookmarkStart w:id="14" w:name="监督人日"/>
            <w:r>
              <w:rPr>
                <w:rFonts w:ascii="宋体" w:hAnsi="宋体"/>
                <w:szCs w:val="21"/>
                <w:u w:val="single"/>
              </w:rPr>
              <w:t>Q:1.3</w:t>
            </w:r>
            <w:bookmarkEnd w:id="14"/>
            <w:r>
              <w:rPr>
                <w:rFonts w:hint="eastAsia" w:ascii="宋体" w:hAnsi="宋体"/>
                <w:szCs w:val="21"/>
              </w:rPr>
              <w:t>人•日</w:t>
            </w:r>
          </w:p>
          <w:p>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szCs w:val="21"/>
              </w:rPr>
            </w:pPr>
            <w:r>
              <w:rPr>
                <w:rFonts w:hint="eastAsia" w:ascii="宋体" w:hAnsi="宋体"/>
                <w:b/>
                <w:szCs w:val="21"/>
              </w:rPr>
              <w:t>10、再认证及证书变更</w:t>
            </w:r>
          </w:p>
          <w:p>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rPr>
                <w:rFonts w:ascii="宋体" w:hAnsi="宋体" w:cs="华文仿宋"/>
                <w:szCs w:val="21"/>
              </w:rPr>
            </w:pPr>
          </w:p>
        </w:tc>
        <w:tc>
          <w:tcPr>
            <w:tcW w:w="10211" w:type="dxa"/>
            <w:gridSpan w:val="10"/>
            <w:noWrap/>
          </w:tcPr>
          <w:p>
            <w:pPr>
              <w:adjustRightInd w:val="0"/>
              <w:rPr>
                <w:rFonts w:ascii="宋体" w:hAnsi="宋体"/>
                <w:b/>
                <w:szCs w:val="21"/>
              </w:rPr>
            </w:pPr>
            <w:r>
              <w:rPr>
                <w:rFonts w:hint="eastAsia" w:ascii="宋体" w:hAnsi="宋体"/>
                <w:b/>
                <w:szCs w:val="21"/>
              </w:rPr>
              <w:t>13、结论</w:t>
            </w:r>
          </w:p>
          <w:p>
            <w:pPr>
              <w:adjustRightInd w:val="0"/>
              <w:ind w:firstLine="411" w:firstLineChars="196"/>
              <w:rPr>
                <w:rFonts w:ascii="宋体" w:hAnsi="宋体"/>
                <w:szCs w:val="21"/>
              </w:rPr>
            </w:pPr>
            <w:r>
              <w:rPr>
                <w:rFonts w:hint="eastAsia" w:ascii="宋体" w:hAnsi="宋体"/>
                <w:szCs w:val="21"/>
              </w:rPr>
              <w:t>■可以受理            □不予受理，理由：</w:t>
            </w:r>
          </w:p>
          <w:p>
            <w:pPr>
              <w:spacing w:line="320" w:lineRule="exact"/>
              <w:ind w:right="420" w:firstLine="4305" w:firstLineChars="2050"/>
              <w:jc w:val="left"/>
              <w:rPr>
                <w:rFonts w:ascii="宋体" w:hAnsi="宋体" w:cs="华文仿宋"/>
                <w:color w:val="000000" w:themeColor="text1"/>
                <w:szCs w:val="21"/>
                <w:highlight w:val="yellow"/>
              </w:rPr>
            </w:pPr>
            <w:r>
              <w:rPr>
                <w:rFonts w:hint="eastAsia" w:ascii="宋体" w:hAnsi="宋体"/>
                <w:color w:val="000000" w:themeColor="text1"/>
                <w:szCs w:val="21"/>
              </w:rPr>
              <w:t>专业支持人员：</w:t>
            </w:r>
            <w:r>
              <w:rPr>
                <w:rFonts w:hint="eastAsia" w:ascii="宋体" w:hAnsi="宋体"/>
                <w:color w:val="000000" w:themeColor="text1"/>
                <w:szCs w:val="21"/>
                <w:lang w:val="en-US" w:eastAsia="zh-CN"/>
              </w:rPr>
              <w:t>杨珍全</w:t>
            </w:r>
            <w:r>
              <w:rPr>
                <w:rFonts w:hint="eastAsia" w:ascii="宋体" w:hAnsi="宋体"/>
                <w:color w:val="000000" w:themeColor="text1"/>
                <w:szCs w:val="21"/>
              </w:rPr>
              <w:t xml:space="preserve">       评审人员：</w:t>
            </w:r>
            <w:bookmarkStart w:id="15" w:name="评审人"/>
            <w:r>
              <w:rPr>
                <w:rFonts w:ascii="宋体" w:hAnsi="宋体" w:cs="华文仿宋"/>
                <w:color w:val="000000" w:themeColor="text1"/>
                <w:szCs w:val="21"/>
                <w:highlight w:val="yellow"/>
              </w:rPr>
              <w:t>李永忠</w:t>
            </w:r>
            <w:bookmarkEnd w:id="15"/>
          </w:p>
          <w:p>
            <w:pPr>
              <w:adjustRightInd w:val="0"/>
              <w:ind w:firstLine="4305" w:firstLineChars="2050"/>
              <w:jc w:val="left"/>
              <w:rPr>
                <w:rFonts w:hint="default" w:ascii="宋体" w:hAnsi="宋体" w:eastAsia="宋体"/>
                <w:color w:val="FF0000"/>
                <w:szCs w:val="21"/>
                <w:lang w:val="en-US" w:eastAsia="zh-CN"/>
              </w:rPr>
            </w:pPr>
            <w:r>
              <w:rPr>
                <w:rFonts w:hint="eastAsia" w:ascii="宋体" w:hAnsi="宋体"/>
                <w:color w:val="000000" w:themeColor="text1"/>
                <w:szCs w:val="21"/>
              </w:rPr>
              <w:t xml:space="preserve">日期：  </w:t>
            </w:r>
            <w:r>
              <w:rPr>
                <w:rFonts w:hint="eastAsia" w:ascii="宋体" w:hAnsi="宋体"/>
                <w:color w:val="000000" w:themeColor="text1"/>
                <w:szCs w:val="21"/>
                <w:lang w:val="en-US" w:eastAsia="zh-CN"/>
              </w:rPr>
              <w:t>2023.9.12</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pPr>
              <w:spacing w:line="320" w:lineRule="exact"/>
              <w:ind w:left="395" w:leftChars="188"/>
              <w:rPr>
                <w:rFonts w:ascii="宋体" w:hAnsi="宋体" w:cs="华文仿宋"/>
                <w:color w:val="000000"/>
                <w:szCs w:val="21"/>
              </w:rPr>
            </w:pPr>
          </w:p>
          <w:p>
            <w:pPr>
              <w:spacing w:line="320" w:lineRule="exact"/>
              <w:rPr>
                <w:rFonts w:ascii="宋体" w:hAnsi="宋体" w:cs="华文仿宋"/>
                <w:b/>
                <w:bCs/>
                <w:color w:val="000000"/>
                <w:szCs w:val="21"/>
              </w:rPr>
            </w:pPr>
            <w:r>
              <w:rPr>
                <w:rFonts w:hint="eastAsia" w:ascii="宋体" w:hAnsi="宋体" w:cs="华文仿宋"/>
                <w:b/>
                <w:bCs/>
                <w:color w:val="000000"/>
                <w:szCs w:val="21"/>
              </w:rPr>
              <w:t>初</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pPr>
              <w:spacing w:line="320" w:lineRule="exact"/>
              <w:ind w:left="395" w:hanging="394" w:hangingChars="188"/>
              <w:rPr>
                <w:rFonts w:hint="eastAsia" w:ascii="宋体" w:hAnsi="宋体" w:eastAsia="宋体" w:cs="华文仿宋"/>
                <w:color w:val="000000"/>
                <w:szCs w:val="21"/>
                <w:lang w:val="en-US" w:eastAsia="zh-CN"/>
              </w:rPr>
            </w:pPr>
            <w:r>
              <w:rPr>
                <w:rFonts w:hint="eastAsia" w:ascii="宋体" w:hAnsi="宋体" w:cs="华文仿宋"/>
                <w:color w:val="000000"/>
                <w:szCs w:val="21"/>
              </w:rPr>
              <w:t>单一场所组织</w:t>
            </w:r>
          </w:p>
          <w:p>
            <w:pPr>
              <w:spacing w:line="320" w:lineRule="exact"/>
              <w:ind w:left="103" w:leftChars="49"/>
              <w:rPr>
                <w:rFonts w:ascii="宋体" w:hAnsi="宋体" w:cs="华文仿宋"/>
                <w:color w:val="000000"/>
                <w:szCs w:val="21"/>
              </w:rPr>
            </w:pPr>
            <w:r>
              <w:rPr>
                <w:rFonts w:hint="eastAsia" w:ascii="宋体" w:hAnsi="宋体" w:cs="华文仿宋"/>
                <w:color w:val="000000"/>
                <w:szCs w:val="21"/>
              </w:rPr>
              <w:t>管理体系认证审核时间（现场审核时间）：</w:t>
            </w:r>
            <w:r>
              <w:rPr>
                <w:rFonts w:hint="eastAsia" w:ascii="宋体" w:hAnsi="宋体" w:cs="华文仿宋"/>
                <w:color w:val="000000"/>
                <w:szCs w:val="21"/>
                <w:lang w:eastAsia="zh-CN"/>
              </w:rPr>
              <w:t>（</w:t>
            </w:r>
            <w:r>
              <w:rPr>
                <w:rFonts w:hint="eastAsia" w:ascii="宋体" w:hAnsi="宋体" w:cs="华文仿宋"/>
                <w:color w:val="000000"/>
                <w:szCs w:val="21"/>
                <w:lang w:val="en-US" w:eastAsia="zh-CN"/>
              </w:rPr>
              <w:t>3.2+1.5+1.5</w:t>
            </w:r>
            <w:r>
              <w:rPr>
                <w:rFonts w:hint="eastAsia" w:ascii="宋体" w:hAnsi="宋体" w:cs="华文仿宋"/>
                <w:color w:val="000000"/>
                <w:szCs w:val="21"/>
                <w:lang w:eastAsia="zh-CN"/>
              </w:rPr>
              <w:t>）</w:t>
            </w:r>
            <w:r>
              <w:rPr>
                <w:rFonts w:hint="eastAsia" w:ascii="宋体" w:hAnsi="宋体" w:cs="华文仿宋"/>
                <w:color w:val="000000"/>
                <w:szCs w:val="21"/>
                <w:lang w:val="en-US" w:eastAsia="zh-CN"/>
              </w:rPr>
              <w:t>*80%=4.96</w:t>
            </w:r>
            <w:r>
              <w:rPr>
                <w:rFonts w:hint="eastAsia" w:ascii="宋体" w:hAnsi="宋体" w:cs="华文仿宋"/>
                <w:color w:val="000000"/>
                <w:szCs w:val="21"/>
              </w:rPr>
              <w:t>人日（</w:t>
            </w:r>
            <w:r>
              <w:rPr>
                <w:rFonts w:ascii="宋体" w:hAnsi="宋体"/>
                <w:color w:val="000000"/>
              </w:rPr>
              <w:t>TΣ</w:t>
            </w:r>
            <w:r>
              <w:rPr>
                <w:rFonts w:hint="eastAsia" w:ascii="宋体" w:hAnsi="宋体" w:cs="华文仿宋"/>
                <w:color w:val="000000"/>
                <w:szCs w:val="21"/>
              </w:rPr>
              <w:t>X 80% ）</w:t>
            </w:r>
          </w:p>
          <w:p>
            <w:pPr>
              <w:spacing w:line="320" w:lineRule="exact"/>
              <w:ind w:left="103" w:leftChars="49"/>
              <w:rPr>
                <w:rFonts w:hint="default" w:ascii="宋体" w:hAnsi="宋体" w:eastAsia="宋体" w:cs="华文仿宋"/>
                <w:color w:val="000000"/>
                <w:szCs w:val="21"/>
                <w:lang w:val="en-US" w:eastAsia="zh-CN"/>
              </w:rPr>
            </w:pPr>
            <w:r>
              <w:rPr>
                <w:rFonts w:hint="eastAsia" w:ascii="宋体" w:hAnsi="宋体" w:cs="华文仿宋"/>
                <w:color w:val="000000"/>
                <w:szCs w:val="21"/>
                <w:lang w:val="en-US" w:eastAsia="zh-CN"/>
              </w:rPr>
              <w:t>与EO监督一体化审核。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60" w:lineRule="exact"/>
              <w:ind w:left="396" w:hanging="396" w:hangingChars="188"/>
              <w:jc w:val="center"/>
              <w:rPr>
                <w:rFonts w:ascii="宋体" w:hAnsi="宋体" w:cs="华文仿宋"/>
                <w:b/>
                <w:szCs w:val="21"/>
              </w:rPr>
            </w:pPr>
          </w:p>
        </w:tc>
        <w:tc>
          <w:tcPr>
            <w:tcW w:w="290" w:type="dxa"/>
            <w:vMerge w:val="continue"/>
            <w:noWrap/>
            <w:vAlign w:val="center"/>
          </w:tcPr>
          <w:p>
            <w:pPr>
              <w:spacing w:line="320" w:lineRule="exact"/>
              <w:ind w:left="395" w:hanging="394" w:hangingChars="188"/>
              <w:jc w:val="center"/>
              <w:rPr>
                <w:rFonts w:ascii="宋体" w:hAnsi="宋体" w:cs="华文仿宋"/>
                <w:color w:val="000000"/>
                <w:szCs w:val="21"/>
              </w:rPr>
            </w:pPr>
          </w:p>
        </w:tc>
        <w:tc>
          <w:tcPr>
            <w:tcW w:w="9921" w:type="dxa"/>
            <w:gridSpan w:val="9"/>
            <w:noWrap/>
          </w:tcPr>
          <w:p>
            <w:pPr>
              <w:spacing w:line="320" w:lineRule="exact"/>
              <w:ind w:left="395" w:hanging="394" w:hangingChars="188"/>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4.96*80%=3.97≈4.0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hint="eastAsia"/>
                <w:bCs/>
                <w:lang w:val="en-US" w:eastAsia="zh-CN"/>
              </w:rPr>
            </w:pPr>
            <w:r>
              <w:rPr>
                <w:rFonts w:hint="eastAsia"/>
                <w:bCs/>
                <w:lang w:val="en-US" w:eastAsia="zh-CN"/>
              </w:rPr>
              <w:t>范围变更：</w:t>
            </w:r>
          </w:p>
          <w:p>
            <w:pPr>
              <w:spacing w:line="320" w:lineRule="exact"/>
              <w:rPr>
                <w:rFonts w:hint="eastAsia"/>
                <w:bCs/>
                <w:lang w:val="en-US" w:eastAsia="zh-CN"/>
              </w:rPr>
            </w:pPr>
            <w:r>
              <w:rPr>
                <w:rFonts w:hint="eastAsia"/>
                <w:bCs/>
                <w:lang w:val="en-US" w:eastAsia="zh-CN"/>
              </w:rPr>
              <w:t>原范围：</w:t>
            </w:r>
          </w:p>
          <w:p>
            <w:pPr>
              <w:spacing w:line="320" w:lineRule="exact"/>
              <w:rPr>
                <w:rFonts w:hint="eastAsia"/>
                <w:bCs/>
                <w:lang w:val="en-US" w:eastAsia="zh-CN"/>
              </w:rPr>
            </w:pPr>
            <w:r>
              <w:rPr>
                <w:rFonts w:hint="eastAsia"/>
                <w:bCs/>
                <w:lang w:val="en-US" w:eastAsia="zh-CN"/>
              </w:rPr>
              <w:t>Q:</w:t>
            </w:r>
            <w:r>
              <w:rPr>
                <w:rFonts w:hint="eastAsia" w:ascii="宋体" w:hAnsi="宋体"/>
                <w:szCs w:val="21"/>
                <w:u w:val="single"/>
              </w:rPr>
              <w:t>一般机械加工；电力铁附件（电力铁塔、钢管杆）的加工</w:t>
            </w:r>
          </w:p>
          <w:p>
            <w:pPr>
              <w:spacing w:line="320" w:lineRule="exact"/>
              <w:rPr>
                <w:rFonts w:hint="eastAsia"/>
                <w:bCs/>
                <w:lang w:val="en-US" w:eastAsia="zh-CN"/>
              </w:rPr>
            </w:pPr>
            <w:r>
              <w:rPr>
                <w:rFonts w:hint="eastAsia"/>
                <w:bCs/>
                <w:lang w:val="en-US" w:eastAsia="zh-CN"/>
              </w:rPr>
              <w:t>E:</w:t>
            </w:r>
            <w:r>
              <w:rPr>
                <w:rFonts w:hint="eastAsia" w:ascii="宋体" w:hAnsi="宋体"/>
                <w:szCs w:val="21"/>
                <w:u w:val="single"/>
              </w:rPr>
              <w:t>一般机械加工；电力铁附件（电力铁塔、钢管杆）的加工</w:t>
            </w:r>
            <w:r>
              <w:rPr>
                <w:rFonts w:hint="eastAsia" w:ascii="宋体" w:hAnsi="宋体"/>
                <w:szCs w:val="21"/>
              </w:rPr>
              <w:t>所涉及场所的相关环境管理活动</w:t>
            </w:r>
          </w:p>
          <w:p>
            <w:pPr>
              <w:spacing w:line="320" w:lineRule="exact"/>
              <w:rPr>
                <w:rFonts w:hint="default"/>
                <w:bCs/>
                <w:lang w:val="en-US" w:eastAsia="zh-CN"/>
              </w:rPr>
            </w:pPr>
            <w:r>
              <w:rPr>
                <w:rFonts w:hint="eastAsia"/>
                <w:bCs/>
                <w:lang w:val="en-US" w:eastAsia="zh-CN"/>
              </w:rPr>
              <w:t>O:</w:t>
            </w:r>
            <w:r>
              <w:rPr>
                <w:rFonts w:hint="eastAsia" w:ascii="宋体" w:hAnsi="宋体"/>
                <w:szCs w:val="21"/>
                <w:u w:val="single"/>
              </w:rPr>
              <w:t>一般机械加工；电力铁附件（电力铁塔、钢管杆）的加工</w:t>
            </w:r>
            <w:r>
              <w:rPr>
                <w:rFonts w:hint="eastAsia" w:ascii="宋体" w:hAnsi="宋体"/>
                <w:szCs w:val="21"/>
              </w:rPr>
              <w:t>所涉及场所的相关职业健康安全管理活动</w:t>
            </w:r>
          </w:p>
          <w:p>
            <w:pPr>
              <w:spacing w:line="320" w:lineRule="exact"/>
              <w:rPr>
                <w:rFonts w:hint="eastAsia"/>
                <w:bCs/>
                <w:lang w:val="en-US" w:eastAsia="zh-CN"/>
              </w:rPr>
            </w:pPr>
            <w:r>
              <w:rPr>
                <w:rFonts w:hint="eastAsia"/>
                <w:bCs/>
                <w:lang w:val="en-US" w:eastAsia="zh-CN"/>
              </w:rPr>
              <w:t>变更后范围：</w:t>
            </w:r>
          </w:p>
          <w:p>
            <w:pPr>
              <w:spacing w:line="360" w:lineRule="auto"/>
              <w:jc w:val="both"/>
              <w:rPr>
                <w:rFonts w:hint="eastAsia" w:ascii="宋体" w:hAnsi="宋体"/>
                <w:szCs w:val="21"/>
              </w:rPr>
            </w:pPr>
            <w:r>
              <w:rPr>
                <w:rFonts w:hint="eastAsia" w:ascii="宋体" w:hAnsi="宋体"/>
                <w:szCs w:val="21"/>
              </w:rPr>
              <w:t>E：一般机械加工</w:t>
            </w:r>
            <w:r>
              <w:rPr>
                <w:rFonts w:hint="eastAsia" w:ascii="宋体" w:hAnsi="宋体"/>
                <w:szCs w:val="21"/>
                <w:lang w:eastAsia="zh-CN"/>
              </w:rPr>
              <w:t>；</w:t>
            </w:r>
            <w:r>
              <w:rPr>
                <w:rFonts w:hint="eastAsia" w:ascii="宋体" w:hAnsi="宋体"/>
                <w:szCs w:val="21"/>
                <w:lang w:val="en-US" w:eastAsia="zh-CN"/>
              </w:rPr>
              <w:t>铸钢件、</w:t>
            </w:r>
            <w:r>
              <w:rPr>
                <w:rFonts w:hint="eastAsia" w:ascii="宋体" w:hAnsi="宋体"/>
                <w:szCs w:val="21"/>
              </w:rPr>
              <w:t>电力铁附件的</w:t>
            </w:r>
            <w:r>
              <w:rPr>
                <w:rFonts w:hint="eastAsia" w:ascii="宋体" w:hAnsi="宋体"/>
                <w:szCs w:val="21"/>
                <w:lang w:val="en-US" w:eastAsia="zh-CN"/>
              </w:rPr>
              <w:t>生产</w:t>
            </w:r>
            <w:r>
              <w:rPr>
                <w:rFonts w:hint="eastAsia" w:ascii="宋体" w:hAnsi="宋体"/>
                <w:szCs w:val="21"/>
              </w:rPr>
              <w:t>所涉及场所的相关环境管理活动</w:t>
            </w:r>
          </w:p>
          <w:p>
            <w:pPr>
              <w:spacing w:line="360" w:lineRule="auto"/>
              <w:jc w:val="both"/>
              <w:rPr>
                <w:rFonts w:hint="eastAsia" w:ascii="宋体" w:hAnsi="宋体"/>
                <w:szCs w:val="21"/>
              </w:rPr>
            </w:pPr>
            <w:r>
              <w:rPr>
                <w:rFonts w:hint="eastAsia" w:ascii="宋体" w:hAnsi="宋体"/>
                <w:szCs w:val="21"/>
              </w:rPr>
              <w:t>O：一般机械加工</w:t>
            </w:r>
            <w:r>
              <w:rPr>
                <w:rFonts w:hint="eastAsia" w:ascii="宋体" w:hAnsi="宋体"/>
                <w:szCs w:val="21"/>
                <w:lang w:eastAsia="zh-CN"/>
              </w:rPr>
              <w:t>；</w:t>
            </w:r>
            <w:r>
              <w:rPr>
                <w:rFonts w:hint="eastAsia" w:ascii="宋体" w:hAnsi="宋体"/>
                <w:szCs w:val="21"/>
                <w:lang w:val="en-US" w:eastAsia="zh-CN"/>
              </w:rPr>
              <w:t>铸钢件、</w:t>
            </w:r>
            <w:r>
              <w:rPr>
                <w:rFonts w:hint="eastAsia" w:ascii="宋体" w:hAnsi="宋体"/>
                <w:szCs w:val="21"/>
              </w:rPr>
              <w:t>电力铁附件的</w:t>
            </w:r>
            <w:r>
              <w:rPr>
                <w:rFonts w:hint="eastAsia" w:ascii="宋体" w:hAnsi="宋体"/>
                <w:szCs w:val="21"/>
                <w:lang w:val="en-US" w:eastAsia="zh-CN"/>
              </w:rPr>
              <w:t>生产</w:t>
            </w:r>
            <w:r>
              <w:rPr>
                <w:rFonts w:hint="eastAsia" w:ascii="宋体" w:hAnsi="宋体"/>
                <w:szCs w:val="21"/>
              </w:rPr>
              <w:t>所涉及场所的相关职业健康安全管理活动</w:t>
            </w:r>
          </w:p>
          <w:p>
            <w:pPr>
              <w:spacing w:line="360" w:lineRule="auto"/>
              <w:jc w:val="both"/>
              <w:rPr>
                <w:rFonts w:hint="eastAsia" w:ascii="宋体" w:hAnsi="宋体" w:eastAsia="宋体"/>
                <w:szCs w:val="21"/>
                <w:u w:val="single"/>
                <w:lang w:eastAsia="zh-CN"/>
              </w:rPr>
            </w:pPr>
            <w:r>
              <w:rPr>
                <w:rFonts w:hint="eastAsia" w:ascii="宋体" w:hAnsi="宋体"/>
                <w:szCs w:val="21"/>
              </w:rPr>
              <w:t>Q：一般机械加工</w:t>
            </w:r>
            <w:r>
              <w:rPr>
                <w:rFonts w:hint="eastAsia" w:ascii="宋体" w:hAnsi="宋体"/>
                <w:szCs w:val="21"/>
                <w:lang w:eastAsia="zh-CN"/>
              </w:rPr>
              <w:t>；</w:t>
            </w:r>
            <w:r>
              <w:rPr>
                <w:rFonts w:hint="eastAsia" w:ascii="宋体" w:hAnsi="宋体"/>
                <w:szCs w:val="21"/>
                <w:lang w:val="en-US" w:eastAsia="zh-CN"/>
              </w:rPr>
              <w:t>铸钢件、</w:t>
            </w:r>
            <w:r>
              <w:rPr>
                <w:rFonts w:hint="eastAsia" w:ascii="宋体" w:hAnsi="宋体"/>
                <w:szCs w:val="21"/>
              </w:rPr>
              <w:t>电力铁附件的</w:t>
            </w:r>
            <w:r>
              <w:rPr>
                <w:rFonts w:hint="eastAsia" w:ascii="宋体" w:hAnsi="宋体"/>
                <w:szCs w:val="21"/>
                <w:lang w:val="en-US" w:eastAsia="zh-CN"/>
              </w:rPr>
              <w:t>生产。</w:t>
            </w:r>
          </w:p>
          <w:p>
            <w:pPr>
              <w:spacing w:line="320" w:lineRule="exact"/>
              <w:rPr>
                <w:rFonts w:hint="eastAsia"/>
                <w:bCs/>
                <w:lang w:val="en-US" w:eastAsia="zh-CN"/>
              </w:rPr>
            </w:pPr>
            <w:r>
              <w:rPr>
                <w:rFonts w:hint="eastAsia" w:ascii="宋体" w:hAnsi="宋体"/>
                <w:szCs w:val="21"/>
                <w:u w:val="single"/>
                <w:lang w:val="en-US" w:eastAsia="zh-CN"/>
              </w:rPr>
              <w:t>专业代码：17.05.02，</w:t>
            </w:r>
            <w:r>
              <w:rPr>
                <w:rFonts w:ascii="宋体" w:hAnsi="宋体"/>
                <w:szCs w:val="21"/>
                <w:u w:val="single"/>
              </w:rPr>
              <w:t>17.10.01;17.10.02;17.12.05</w:t>
            </w:r>
            <w:r>
              <w:rPr>
                <w:rFonts w:hint="eastAsia"/>
                <w:bCs/>
                <w:lang w:val="en-US" w:eastAsia="zh-CN"/>
              </w:rPr>
              <w:t>增加17.05.02代码。</w:t>
            </w:r>
          </w:p>
          <w:p>
            <w:pPr>
              <w:pStyle w:val="2"/>
              <w:rPr>
                <w:rFonts w:hint="default"/>
                <w:lang w:val="en-US" w:eastAsia="zh-CN"/>
              </w:rPr>
            </w:pPr>
            <w:r>
              <w:rPr>
                <w:rFonts w:hint="eastAsia"/>
                <w:bCs/>
                <w:lang w:val="en-US" w:eastAsia="zh-CN"/>
              </w:rPr>
              <w:t>人日变化：EO范围增加，增加0.5人日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vMerge w:val="continue"/>
            <w:noWrap/>
          </w:tcPr>
          <w:p>
            <w:pPr>
              <w:spacing w:line="320" w:lineRule="exact"/>
              <w:ind w:left="395" w:hanging="394" w:hangingChars="188"/>
              <w:rPr>
                <w:rFonts w:ascii="宋体" w:hAnsi="宋体"/>
                <w:color w:val="000000"/>
              </w:rPr>
            </w:pPr>
          </w:p>
        </w:tc>
        <w:tc>
          <w:tcPr>
            <w:tcW w:w="9921" w:type="dxa"/>
            <w:gridSpan w:val="9"/>
            <w:noWrap/>
          </w:tcPr>
          <w:p>
            <w:pPr>
              <w:spacing w:line="320" w:lineRule="exact"/>
              <w:rPr>
                <w:rFonts w:ascii="宋体" w:hAnsi="宋体" w:cs="华文仿宋"/>
                <w:color w:val="000000"/>
                <w:szCs w:val="21"/>
              </w:rPr>
            </w:pPr>
            <w:r>
              <w:rPr>
                <w:rFonts w:hint="eastAsia" w:ascii="宋体" w:hAnsi="宋体" w:cs="华文仿宋"/>
                <w:color w:val="000000"/>
                <w:szCs w:val="21"/>
              </w:rPr>
              <w:t>多场所组织</w:t>
            </w:r>
          </w:p>
          <w:p>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pPr>
              <w:spacing w:line="320" w:lineRule="exact"/>
              <w:rPr>
                <w:rFonts w:ascii="宋体" w:hAnsi="宋体" w:cs="华文仿宋"/>
                <w:color w:val="000000"/>
                <w:szCs w:val="21"/>
              </w:rPr>
            </w:pPr>
          </w:p>
          <w:p>
            <w:pPr>
              <w:spacing w:line="320" w:lineRule="exact"/>
              <w:rPr>
                <w:bCs/>
              </w:rPr>
            </w:pPr>
            <w:r>
              <w:rPr>
                <w:rFonts w:hint="eastAsia"/>
                <w:bCs/>
              </w:rPr>
              <w:t>总部</w:t>
            </w:r>
            <w:r>
              <w:rPr>
                <w:bCs/>
              </w:rPr>
              <w:t>地址</w:t>
            </w:r>
            <w:r>
              <w:rPr>
                <w:rFonts w:hint="eastAsia"/>
                <w:bCs/>
              </w:rPr>
              <w:t xml:space="preserve">：  </w:t>
            </w:r>
            <w:r>
              <w:rPr>
                <w:bCs/>
              </w:rPr>
              <w:t xml:space="preserve">审核人日： </w:t>
            </w:r>
          </w:p>
          <w:p>
            <w:pPr>
              <w:spacing w:line="320" w:lineRule="exact"/>
              <w:rPr>
                <w:bCs/>
              </w:rPr>
            </w:pPr>
            <w:r>
              <w:rPr>
                <w:rFonts w:hint="eastAsia"/>
                <w:bCs/>
              </w:rPr>
              <w:t>距离较近，故不增加路途时间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rPr>
            </w:pPr>
          </w:p>
        </w:tc>
        <w:tc>
          <w:tcPr>
            <w:tcW w:w="290" w:type="dxa"/>
            <w:noWrap/>
          </w:tcPr>
          <w:p>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pPr>
              <w:spacing w:line="276" w:lineRule="auto"/>
              <w:rPr>
                <w:rFonts w:ascii="宋体" w:hAnsi="宋体" w:cs="仿宋"/>
                <w:color w:val="000000"/>
                <w:szCs w:val="21"/>
              </w:rPr>
            </w:pPr>
            <w:r>
              <w:rPr>
                <w:rFonts w:hint="eastAsia" w:ascii="宋体" w:hAnsi="宋体" w:cs="仿宋"/>
                <w:color w:val="000000"/>
                <w:szCs w:val="21"/>
              </w:rPr>
              <w:t>如监督审核策划时，审核时间有调整，再次记录重新确定过程：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0211" w:type="dxa"/>
            <w:gridSpan w:val="10"/>
            <w:noWrap/>
          </w:tcPr>
          <w:p>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noWrap/>
            <w:vAlign w:val="center"/>
          </w:tcPr>
          <w:p>
            <w:pPr>
              <w:spacing w:line="320" w:lineRule="exact"/>
              <w:ind w:left="13" w:hanging="12" w:hangingChars="6"/>
              <w:rPr>
                <w:rFonts w:ascii="宋体" w:hAnsi="宋体" w:cs="华文仿宋"/>
                <w:color w:val="000000"/>
                <w:szCs w:val="21"/>
              </w:rPr>
            </w:pPr>
          </w:p>
        </w:tc>
        <w:tc>
          <w:tcPr>
            <w:tcW w:w="2544" w:type="dxa"/>
            <w:gridSpan w:val="3"/>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pPr>
              <w:spacing w:line="320" w:lineRule="exact"/>
              <w:rPr>
                <w:rFonts w:ascii="宋体" w:hAnsi="宋体" w:cs="华文仿宋"/>
                <w:b/>
                <w:szCs w:val="21"/>
              </w:rPr>
            </w:pPr>
            <w:r>
              <w:rPr>
                <w:rFonts w:hint="eastAsia" w:ascii="宋体" w:hAnsi="宋体" w:cs="华文仿宋"/>
                <w:b/>
                <w:szCs w:val="21"/>
              </w:rPr>
              <w:t>拟定人日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2023.10</w:t>
            </w:r>
          </w:p>
        </w:tc>
        <w:tc>
          <w:tcPr>
            <w:tcW w:w="2986" w:type="dxa"/>
            <w:gridSpan w:val="2"/>
            <w:noWrap/>
            <w:vAlign w:val="center"/>
          </w:tcPr>
          <w:p>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olor w:val="000000"/>
              </w:rPr>
            </w:pPr>
          </w:p>
        </w:tc>
        <w:tc>
          <w:tcPr>
            <w:tcW w:w="1573" w:type="dxa"/>
            <w:gridSpan w:val="2"/>
            <w:vMerge w:val="continue"/>
            <w:noWrap/>
            <w:vAlign w:val="center"/>
          </w:tcPr>
          <w:p>
            <w:pPr>
              <w:spacing w:line="320" w:lineRule="exact"/>
              <w:ind w:left="396" w:hanging="396" w:hangingChars="188"/>
              <w:rPr>
                <w:rFonts w:ascii="宋体" w:hAnsi="宋体"/>
                <w:b/>
                <w:color w:val="000000"/>
              </w:rPr>
            </w:pPr>
          </w:p>
        </w:tc>
        <w:tc>
          <w:tcPr>
            <w:tcW w:w="2544" w:type="dxa"/>
            <w:gridSpan w:val="3"/>
            <w:noWrap/>
            <w:vAlign w:val="center"/>
          </w:tcPr>
          <w:p>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pPr>
              <w:spacing w:line="320" w:lineRule="exact"/>
              <w:rPr>
                <w:rFonts w:hint="default" w:ascii="宋体" w:hAnsi="宋体" w:eastAsia="宋体"/>
                <w:lang w:val="en-US" w:eastAsia="zh-CN"/>
              </w:rPr>
            </w:pPr>
            <w:r>
              <w:rPr>
                <w:rFonts w:hint="eastAsia" w:ascii="宋体" w:hAnsi="宋体"/>
                <w:lang w:val="en-US" w:eastAsia="zh-CN"/>
              </w:rPr>
              <w:t>2023.10</w:t>
            </w:r>
          </w:p>
        </w:tc>
        <w:tc>
          <w:tcPr>
            <w:tcW w:w="2986" w:type="dxa"/>
            <w:gridSpan w:val="2"/>
            <w:noWrap/>
            <w:vAlign w:val="center"/>
          </w:tcPr>
          <w:p>
            <w:pPr>
              <w:spacing w:line="320" w:lineRule="exact"/>
              <w:rPr>
                <w:rFonts w:hint="default" w:ascii="宋体" w:hAnsi="宋体" w:eastAsia="宋体"/>
                <w:lang w:val="en-US" w:eastAsia="zh-CN"/>
              </w:rPr>
            </w:pPr>
            <w:r>
              <w:rPr>
                <w:rFonts w:hint="eastAsia" w:ascii="宋体" w:hAnsi="宋体"/>
                <w:lang w:val="en-US" w:eastAsia="zh-CN"/>
              </w:rPr>
              <w:t>4.0</w:t>
            </w:r>
            <w:bookmarkStart w:id="16" w:name="_GoBack"/>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2024.9</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573" w:type="dxa"/>
            <w:gridSpan w:val="2"/>
            <w:vMerge w:val="continue"/>
            <w:noWrap/>
            <w:vAlign w:val="center"/>
          </w:tcPr>
          <w:p>
            <w:pPr>
              <w:spacing w:line="320" w:lineRule="exact"/>
              <w:ind w:left="13" w:hanging="12" w:hangingChars="6"/>
              <w:rPr>
                <w:rFonts w:ascii="宋体" w:hAnsi="宋体" w:cs="华文仿宋"/>
                <w:szCs w:val="21"/>
              </w:rPr>
            </w:pPr>
          </w:p>
        </w:tc>
        <w:tc>
          <w:tcPr>
            <w:tcW w:w="2544" w:type="dxa"/>
            <w:gridSpan w:val="3"/>
            <w:noWrap/>
            <w:vAlign w:val="center"/>
          </w:tcPr>
          <w:p>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2025.9</w:t>
            </w:r>
          </w:p>
        </w:tc>
        <w:tc>
          <w:tcPr>
            <w:tcW w:w="2986" w:type="dxa"/>
            <w:gridSpan w:val="2"/>
            <w:noWrap/>
            <w:vAlign w:val="center"/>
          </w:tcPr>
          <w:p>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4117" w:type="dxa"/>
            <w:gridSpan w:val="5"/>
            <w:noWrap/>
            <w:vAlign w:val="center"/>
          </w:tcPr>
          <w:p>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pPr>
              <w:spacing w:line="320" w:lineRule="exact"/>
              <w:ind w:left="395" w:hanging="394" w:hangingChars="188"/>
              <w:rPr>
                <w:rFonts w:ascii="宋体" w:hAnsi="宋体" w:cs="华文仿宋"/>
                <w:szCs w:val="21"/>
              </w:rPr>
            </w:pPr>
          </w:p>
        </w:tc>
        <w:tc>
          <w:tcPr>
            <w:tcW w:w="2986" w:type="dxa"/>
            <w:gridSpan w:val="2"/>
            <w:noWrap/>
            <w:vAlign w:val="center"/>
          </w:tcPr>
          <w:p>
            <w:pPr>
              <w:spacing w:line="320" w:lineRule="exact"/>
              <w:ind w:left="395" w:hanging="394" w:hangingChars="188"/>
              <w:rPr>
                <w:rFonts w:ascii="宋体" w:hAnsi="宋体" w:cs="华文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pPr>
              <w:spacing w:line="320" w:lineRule="exact"/>
              <w:ind w:left="395" w:hanging="394" w:hangingChars="188"/>
              <w:rPr>
                <w:rFonts w:ascii="宋体" w:hAnsi="宋体" w:cs="华文仿宋"/>
                <w:szCs w:val="21"/>
              </w:rPr>
            </w:pPr>
          </w:p>
        </w:tc>
        <w:tc>
          <w:tcPr>
            <w:tcW w:w="10211" w:type="dxa"/>
            <w:gridSpan w:val="10"/>
            <w:noWrap/>
            <w:vAlign w:val="center"/>
          </w:tcPr>
          <w:p>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pPr>
              <w:spacing w:line="320" w:lineRule="exact"/>
              <w:jc w:val="center"/>
              <w:rPr>
                <w:rFonts w:ascii="宋体" w:hAnsi="宋体" w:cs="华文仿宋"/>
                <w:szCs w:val="21"/>
              </w:rPr>
            </w:pPr>
            <w:r>
              <w:rPr>
                <w:rFonts w:hint="eastAsia" w:ascii="宋体" w:hAnsi="宋体" w:cs="华文仿宋"/>
                <w:szCs w:val="21"/>
              </w:rPr>
              <w:t>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pPr>
              <w:spacing w:line="360" w:lineRule="exact"/>
              <w:ind w:left="395" w:hanging="394" w:hangingChars="188"/>
              <w:jc w:val="center"/>
              <w:rPr>
                <w:rFonts w:hint="default" w:ascii="宋体" w:hAnsi="宋体" w:eastAsia="宋体" w:cs="华文仿宋"/>
                <w:szCs w:val="21"/>
                <w:lang w:val="en-US" w:eastAsia="zh-CN"/>
              </w:rPr>
            </w:pPr>
            <w:r>
              <w:rPr>
                <w:rFonts w:hint="eastAsia" w:ascii="宋体" w:hAnsi="宋体" w:cs="华文仿宋"/>
                <w:szCs w:val="21"/>
                <w:lang w:val="en-US" w:eastAsia="zh-CN"/>
              </w:rPr>
              <w:t xml:space="preserve">李俐 </w:t>
            </w:r>
          </w:p>
        </w:tc>
        <w:tc>
          <w:tcPr>
            <w:tcW w:w="3391" w:type="dxa"/>
            <w:gridSpan w:val="2"/>
            <w:noWrap/>
            <w:vAlign w:val="center"/>
          </w:tcPr>
          <w:p>
            <w:pPr>
              <w:spacing w:line="320" w:lineRule="exact"/>
              <w:jc w:val="center"/>
              <w:rPr>
                <w:rFonts w:ascii="宋体" w:hAnsi="宋体" w:cs="华文仿宋"/>
                <w:szCs w:val="21"/>
              </w:rPr>
            </w:pPr>
            <w:r>
              <w:rPr>
                <w:rFonts w:ascii="宋体" w:hAnsi="宋体"/>
                <w:szCs w:val="21"/>
                <w:u w:val="single"/>
              </w:rPr>
              <w:t>17.10.01;17.10.02;17.12.05</w:t>
            </w:r>
          </w:p>
        </w:tc>
        <w:tc>
          <w:tcPr>
            <w:tcW w:w="4139" w:type="dxa"/>
            <w:gridSpan w:val="4"/>
            <w:noWrap/>
            <w:vAlign w:val="center"/>
          </w:tcPr>
          <w:p>
            <w:pPr>
              <w:spacing w:line="320" w:lineRule="exact"/>
              <w:jc w:val="center"/>
              <w:rPr>
                <w:rFonts w:hint="eastAsia" w:ascii="宋体" w:hAnsi="宋体" w:eastAsia="宋体" w:cs="华文仿宋"/>
                <w:szCs w:val="21"/>
                <w:lang w:val="en-US" w:eastAsia="zh-CN"/>
              </w:rPr>
            </w:pPr>
            <w:r>
              <w:rPr>
                <w:rFonts w:hint="eastAsia" w:ascii="宋体" w:hAnsi="宋体" w:cs="华文仿宋"/>
                <w:szCs w:val="21"/>
                <w:lang w:val="en-US" w:eastAsia="zh-CN"/>
              </w:rPr>
              <w:t>审核员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pPr>
              <w:spacing w:line="320" w:lineRule="exact"/>
              <w:rPr>
                <w:rFonts w:ascii="宋体" w:hAnsi="宋体" w:cs="华文仿宋"/>
                <w:color w:val="FF0000"/>
                <w:szCs w:val="21"/>
              </w:rPr>
            </w:pPr>
            <w:r>
              <w:rPr>
                <w:rFonts w:hint="eastAsia" w:ascii="宋体" w:hAnsi="宋体" w:cs="华文仿宋"/>
                <w:b/>
                <w:color w:val="FF0000"/>
                <w:szCs w:val="21"/>
              </w:rPr>
              <w:t>策划人员：</w:t>
            </w:r>
            <w:r>
              <w:rPr>
                <w:rFonts w:hint="eastAsia" w:ascii="宋体" w:hAnsi="宋体" w:cs="华文仿宋"/>
                <w:b/>
                <w:color w:val="FF0000"/>
                <w:szCs w:val="21"/>
                <w:lang w:val="en-US" w:eastAsia="zh-CN"/>
              </w:rPr>
              <w:t>李永忠</w:t>
            </w:r>
            <w:r>
              <w:rPr>
                <w:rFonts w:hint="eastAsia" w:ascii="宋体" w:hAnsi="宋体" w:cs="华文仿宋"/>
                <w:b/>
                <w:color w:val="FF0000"/>
                <w:szCs w:val="21"/>
              </w:rPr>
              <w:t xml:space="preserve">             日期：  </w:t>
            </w:r>
            <w:r>
              <w:rPr>
                <w:rFonts w:hint="eastAsia" w:ascii="宋体" w:hAnsi="宋体" w:cs="华文仿宋"/>
                <w:b/>
                <w:color w:val="FF0000"/>
                <w:szCs w:val="21"/>
                <w:lang w:val="en-US" w:eastAsia="zh-CN"/>
              </w:rPr>
              <w:t>2023.9.28</w:t>
            </w:r>
            <w:r>
              <w:rPr>
                <w:rFonts w:hint="eastAsia" w:ascii="宋体" w:hAnsi="宋体" w:cs="华文仿宋"/>
                <w:b/>
                <w:color w:val="FF0000"/>
                <w:szCs w:val="21"/>
              </w:rPr>
              <w:t xml:space="preserve">                   </w:t>
            </w:r>
          </w:p>
        </w:tc>
      </w:tr>
    </w:tbl>
    <w:p>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02.45pt;margin-top:14.9pt;height:18.2pt;width:208.1pt;z-index:251660288;mso-width-relative:page;mso-height-relative:page;" stroked="f" coordsize="21600,21600">
          <v:path/>
          <v:fill focussize="0,0"/>
          <v:stroke on="f" joinstyle="miter"/>
          <v:imagedata o:title=""/>
          <o:lock v:ext="edit"/>
          <v:textbox>
            <w:txbxContent>
              <w:p>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ZkNGNlZTY5MTVhYThiYjZiNzlkMWVkNjY4ZjJkOTgifQ=="/>
  </w:docVars>
  <w:rsids>
    <w:rsidRoot w:val="00000000"/>
    <w:rsid w:val="11B314D7"/>
    <w:rsid w:val="2340411F"/>
    <w:rsid w:val="4D7A0A53"/>
    <w:rsid w:val="72FE2E3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unhideWhenUsed/>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7">
    <w:name w:val="Table Grid"/>
    <w:basedOn w:val="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link w:val="3"/>
    <w:semiHidden/>
    <w:qFormat/>
    <w:uiPriority w:val="99"/>
    <w:rPr>
      <w:kern w:val="2"/>
      <w:sz w:val="18"/>
      <w:szCs w:val="18"/>
    </w:rPr>
  </w:style>
  <w:style w:type="character" w:customStyle="1" w:styleId="11">
    <w:name w:val="页眉 Char"/>
    <w:link w:val="5"/>
    <w:qFormat/>
    <w:uiPriority w:val="99"/>
    <w:rPr>
      <w:kern w:val="2"/>
      <w:sz w:val="18"/>
    </w:rPr>
  </w:style>
  <w:style w:type="paragraph" w:customStyle="1" w:styleId="12">
    <w:name w:val="Char Char"/>
    <w:basedOn w:val="1"/>
    <w:next w:val="1"/>
    <w:qFormat/>
    <w:uiPriority w:val="0"/>
    <w:pPr>
      <w:widowControl/>
      <w:jc w:val="left"/>
    </w:pPr>
  </w:style>
  <w:style w:type="character" w:customStyle="1" w:styleId="13">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1333</Words>
  <Characters>1454</Characters>
  <Lines>12</Lines>
  <Paragraphs>3</Paragraphs>
  <TotalTime>2</TotalTime>
  <ScaleCrop>false</ScaleCrop>
  <LinksUpToDate>false</LinksUpToDate>
  <CharactersWithSpaces>1643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lee</cp:lastModifiedBy>
  <dcterms:modified xsi:type="dcterms:W3CDTF">2023-10-06T08:13:51Z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2052-12.1.0.15712</vt:lpwstr>
  </property>
</Properties>
</file>