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rPr>
      </w:pPr>
    </w:p>
    <w:p>
      <w:pPr>
        <w:rPr>
          <w:sz w:val="28"/>
        </w:rPr>
      </w:pPr>
    </w:p>
    <w:p>
      <w:pPr>
        <w:spacing w:line="396" w:lineRule="auto"/>
        <w:jc w:val="center"/>
        <w:rPr>
          <w:rFonts w:hint="eastAsia" w:ascii="宋体" w:hAnsi="宋体" w:eastAsia="宋体"/>
          <w:b/>
          <w:bCs/>
          <w:sz w:val="56"/>
          <w:szCs w:val="44"/>
          <w:lang w:eastAsia="zh-CN"/>
        </w:rPr>
      </w:pPr>
      <w:r>
        <w:rPr>
          <w:rFonts w:hint="eastAsia" w:ascii="宋体" w:hAnsi="宋体"/>
          <w:b/>
          <w:bCs/>
          <w:sz w:val="52"/>
          <w:szCs w:val="52"/>
          <w:lang w:eastAsia="zh-CN"/>
        </w:rPr>
        <w:t>重庆泓美仪表有限责任公司</w:t>
      </w:r>
    </w:p>
    <w:p>
      <w:pPr>
        <w:jc w:val="right"/>
        <w:rPr>
          <w:rFonts w:hint="default" w:eastAsia="宋体"/>
          <w:lang w:val="en-US" w:eastAsia="zh-CN"/>
        </w:rPr>
      </w:pPr>
      <w:r>
        <w:rPr>
          <w:rFonts w:hint="eastAsia" w:ascii="宋体" w:hAnsi="宋体" w:cs="宋体"/>
          <w:b/>
          <w:bCs/>
          <w:sz w:val="36"/>
          <w:szCs w:val="44"/>
        </w:rPr>
        <w:t xml:space="preserve"> QES/</w:t>
      </w:r>
      <w:r>
        <w:rPr>
          <w:rFonts w:hint="eastAsia" w:ascii="宋体" w:hAnsi="宋体" w:cs="宋体"/>
          <w:b/>
          <w:bCs/>
          <w:sz w:val="36"/>
          <w:szCs w:val="44"/>
          <w:lang w:eastAsia="zh-CN"/>
        </w:rPr>
        <w:t>HMYB</w:t>
      </w:r>
      <w:r>
        <w:rPr>
          <w:rFonts w:hint="eastAsia" w:ascii="宋体" w:hAnsi="宋体" w:cs="宋体"/>
          <w:b/>
          <w:bCs/>
          <w:sz w:val="36"/>
          <w:szCs w:val="44"/>
        </w:rPr>
        <w:t>-SC-</w:t>
      </w:r>
      <w:r>
        <w:rPr>
          <w:rFonts w:hint="eastAsia" w:ascii="宋体" w:hAnsi="宋体" w:cs="宋体"/>
          <w:b/>
          <w:bCs/>
          <w:sz w:val="36"/>
          <w:szCs w:val="44"/>
          <w:lang w:val="en-US" w:eastAsia="zh-CN"/>
        </w:rPr>
        <w:t>2020</w:t>
      </w:r>
    </w:p>
    <w:p>
      <w:pPr>
        <w:spacing w:line="396" w:lineRule="auto"/>
        <w:jc w:val="center"/>
        <w:rPr>
          <w:rFonts w:hint="eastAsia" w:ascii="宋体" w:hAnsi="宋体"/>
          <w:b/>
          <w:bCs/>
          <w:sz w:val="72"/>
          <w:szCs w:val="48"/>
        </w:rPr>
      </w:pPr>
    </w:p>
    <w:p>
      <w:pPr>
        <w:jc w:val="center"/>
        <w:rPr>
          <w:rFonts w:hint="eastAsia" w:eastAsia="方正小标宋简体"/>
          <w:sz w:val="52"/>
          <w:szCs w:val="52"/>
        </w:rPr>
      </w:pPr>
      <w:r>
        <w:rPr>
          <w:rFonts w:hint="eastAsia"/>
          <w:b/>
          <w:bCs/>
          <w:sz w:val="52"/>
          <w:szCs w:val="52"/>
        </w:rPr>
        <w:t>管理手册</w:t>
      </w:r>
    </w:p>
    <w:p>
      <w:pPr>
        <w:jc w:val="center"/>
        <w:rPr>
          <w:rFonts w:hint="eastAsia" w:eastAsia="楷体_GB2312"/>
          <w:sz w:val="28"/>
          <w:szCs w:val="28"/>
          <w:lang w:val="en-US" w:eastAsia="zh-CN"/>
        </w:rPr>
      </w:pPr>
      <w:r>
        <w:rPr>
          <w:rFonts w:hint="eastAsia" w:eastAsia="楷体_GB2312"/>
          <w:sz w:val="28"/>
          <w:szCs w:val="28"/>
        </w:rPr>
        <w:t>（依据</w:t>
      </w:r>
      <w:r>
        <w:rPr>
          <w:rFonts w:hint="eastAsia" w:eastAsia="楷体_GB2312"/>
          <w:sz w:val="28"/>
          <w:szCs w:val="28"/>
          <w:lang w:eastAsia="zh-CN"/>
        </w:rPr>
        <w:t>ISO9001：2015</w:t>
      </w:r>
      <w:r>
        <w:rPr>
          <w:rFonts w:hint="eastAsia" w:eastAsia="楷体_GB2312"/>
          <w:sz w:val="28"/>
          <w:szCs w:val="28"/>
          <w:lang w:val="en-US" w:eastAsia="zh-CN"/>
        </w:rPr>
        <w:t>idt</w:t>
      </w:r>
      <w:r>
        <w:rPr>
          <w:rFonts w:hint="eastAsia" w:eastAsia="楷体_GB2312"/>
          <w:sz w:val="28"/>
          <w:szCs w:val="28"/>
          <w:lang w:eastAsia="zh-CN"/>
        </w:rPr>
        <w:t>GB/T19001-2016</w:t>
      </w:r>
      <w:r>
        <w:rPr>
          <w:rFonts w:hint="eastAsia" w:eastAsia="楷体_GB2312"/>
          <w:sz w:val="28"/>
          <w:szCs w:val="28"/>
        </w:rPr>
        <w:t>、</w:t>
      </w:r>
      <w:r>
        <w:rPr>
          <w:rFonts w:hint="eastAsia" w:eastAsia="楷体_GB2312"/>
          <w:sz w:val="28"/>
          <w:szCs w:val="28"/>
          <w:lang w:eastAsia="zh-CN"/>
        </w:rPr>
        <w:t xml:space="preserve">ISO14001：2015 </w:t>
      </w:r>
      <w:r>
        <w:rPr>
          <w:rFonts w:hint="eastAsia" w:eastAsia="楷体_GB2312"/>
          <w:sz w:val="28"/>
          <w:szCs w:val="28"/>
          <w:lang w:val="en-US" w:eastAsia="zh-CN"/>
        </w:rPr>
        <w:t>idt</w:t>
      </w:r>
    </w:p>
    <w:p>
      <w:pPr>
        <w:jc w:val="center"/>
        <w:rPr>
          <w:rFonts w:hint="eastAsia" w:eastAsia="楷体_GB2312"/>
          <w:sz w:val="28"/>
          <w:szCs w:val="28"/>
        </w:rPr>
      </w:pPr>
      <w:r>
        <w:rPr>
          <w:rFonts w:hint="eastAsia" w:eastAsia="楷体_GB2312"/>
          <w:sz w:val="28"/>
          <w:szCs w:val="28"/>
          <w:lang w:eastAsia="zh-CN"/>
        </w:rPr>
        <w:t>GB/T24001-2016</w:t>
      </w:r>
      <w:r>
        <w:rPr>
          <w:rFonts w:hint="eastAsia" w:eastAsia="楷体_GB2312"/>
          <w:sz w:val="28"/>
          <w:szCs w:val="28"/>
        </w:rPr>
        <w:t>、</w:t>
      </w:r>
      <w:r>
        <w:rPr>
          <w:rFonts w:hint="eastAsia" w:eastAsia="楷体_GB2312"/>
          <w:sz w:val="28"/>
          <w:szCs w:val="28"/>
          <w:lang w:val="en-US" w:eastAsia="zh-CN"/>
        </w:rPr>
        <w:t>ISO45001:2018</w:t>
      </w:r>
      <w:r>
        <w:rPr>
          <w:rFonts w:hint="eastAsia" w:eastAsia="楷体_GB2312"/>
          <w:sz w:val="28"/>
          <w:szCs w:val="28"/>
        </w:rPr>
        <w:t>标准编制）</w:t>
      </w:r>
    </w:p>
    <w:p>
      <w:pPr>
        <w:jc w:val="center"/>
        <w:rPr>
          <w:rFonts w:hint="eastAsia" w:eastAsia="楷体_GB2312"/>
          <w:sz w:val="36"/>
        </w:rPr>
      </w:pPr>
    </w:p>
    <w:p>
      <w:pPr>
        <w:jc w:val="center"/>
        <w:rPr>
          <w:rFonts w:hint="eastAsia" w:eastAsia="楷体_GB2312"/>
          <w:sz w:val="36"/>
        </w:rPr>
      </w:pPr>
    </w:p>
    <w:p>
      <w:pPr>
        <w:jc w:val="center"/>
        <w:rPr>
          <w:rFonts w:hint="eastAsia" w:eastAsia="楷体_GB2312"/>
          <w:sz w:val="36"/>
        </w:rPr>
      </w:pPr>
      <w:r>
        <w:rPr>
          <w:rFonts w:hint="eastAsia" w:eastAsia="楷体_GB2312"/>
          <w:sz w:val="36"/>
        </w:rPr>
        <w:t>编制：</w:t>
      </w:r>
      <w:r>
        <w:rPr>
          <w:rFonts w:hint="eastAsia" w:eastAsia="楷体_GB2312"/>
          <w:sz w:val="36"/>
          <w:lang w:eastAsia="zh-CN"/>
        </w:rPr>
        <w:t>行政部</w:t>
      </w:r>
    </w:p>
    <w:p>
      <w:pPr>
        <w:jc w:val="center"/>
        <w:rPr>
          <w:rFonts w:hint="eastAsia" w:eastAsia="楷体_GB2312"/>
          <w:sz w:val="36"/>
          <w:lang w:val="en-US" w:eastAsia="zh-CN"/>
        </w:rPr>
      </w:pPr>
      <w:r>
        <w:rPr>
          <w:rFonts w:hint="eastAsia" w:eastAsia="楷体_GB2312"/>
          <w:sz w:val="36"/>
          <w:lang w:val="en-US" w:eastAsia="zh-CN"/>
        </w:rPr>
        <w:t>审核</w:t>
      </w:r>
      <w:r>
        <w:rPr>
          <w:rFonts w:hint="eastAsia" w:eastAsia="楷体_GB2312"/>
          <w:sz w:val="36"/>
        </w:rPr>
        <w:t>：罗锦霞</w:t>
      </w:r>
    </w:p>
    <w:p>
      <w:pPr>
        <w:jc w:val="center"/>
        <w:rPr>
          <w:rFonts w:hint="eastAsia" w:eastAsia="楷体_GB2312"/>
          <w:sz w:val="36"/>
          <w:lang w:val="en-US" w:eastAsia="zh-CN"/>
        </w:rPr>
      </w:pPr>
      <w:r>
        <w:rPr>
          <w:rFonts w:hint="eastAsia" w:eastAsia="楷体_GB2312"/>
          <w:sz w:val="36"/>
          <w:lang w:val="en-US" w:eastAsia="zh-CN"/>
        </w:rPr>
        <w:t>批准：</w:t>
      </w:r>
      <w:r>
        <w:rPr>
          <w:rFonts w:hint="eastAsia" w:eastAsia="楷体_GB2312"/>
          <w:sz w:val="36"/>
        </w:rPr>
        <w:t>周洪勇</w:t>
      </w:r>
    </w:p>
    <w:p>
      <w:pPr>
        <w:jc w:val="center"/>
        <w:rPr>
          <w:rFonts w:hint="default" w:eastAsia="楷体_GB2312"/>
          <w:sz w:val="36"/>
          <w:lang w:val="en-US" w:eastAsia="zh-CN"/>
        </w:rPr>
      </w:pPr>
    </w:p>
    <w:p>
      <w:pPr>
        <w:spacing w:before="156" w:beforeLines="50" w:after="156" w:afterLines="50"/>
        <w:jc w:val="center"/>
        <w:rPr>
          <w:rFonts w:hint="eastAsia" w:eastAsia="楷体_GB2312"/>
          <w:sz w:val="32"/>
          <w:szCs w:val="32"/>
          <w:lang w:eastAsia="zh-CN"/>
        </w:rPr>
      </w:pPr>
      <w:r>
        <w:rPr>
          <w:rFonts w:hint="eastAsia" w:eastAsia="楷体_GB2312"/>
          <w:sz w:val="36"/>
          <w:lang w:val="en-US" w:eastAsia="zh-CN"/>
        </w:rPr>
        <w:t>发</w:t>
      </w:r>
      <w:r>
        <w:rPr>
          <w:rFonts w:hint="eastAsia" w:eastAsia="楷体_GB2312"/>
          <w:sz w:val="36"/>
        </w:rPr>
        <w:t>行</w:t>
      </w:r>
      <w:r>
        <w:rPr>
          <w:rFonts w:hint="eastAsia" w:eastAsia="楷体_GB2312"/>
          <w:sz w:val="32"/>
          <w:szCs w:val="32"/>
        </w:rPr>
        <w:t>版本：</w:t>
      </w:r>
      <w:r>
        <w:rPr>
          <w:rFonts w:hint="eastAsia" w:eastAsia="楷体_GB2312"/>
          <w:sz w:val="32"/>
          <w:szCs w:val="32"/>
          <w:lang w:val="en-US" w:eastAsia="zh-CN"/>
        </w:rPr>
        <w:t>A</w:t>
      </w:r>
      <w:r>
        <w:rPr>
          <w:rFonts w:hint="eastAsia" w:eastAsia="楷体_GB2312"/>
          <w:sz w:val="32"/>
          <w:szCs w:val="32"/>
          <w:lang w:eastAsia="zh-CN"/>
        </w:rPr>
        <w:t>/0</w:t>
      </w:r>
    </w:p>
    <w:p>
      <w:pPr>
        <w:spacing w:before="156" w:beforeLines="50" w:after="156" w:afterLines="50"/>
        <w:ind w:firstLine="3200" w:firstLineChars="1000"/>
        <w:rPr>
          <w:rFonts w:hint="eastAsia" w:eastAsia="楷体_GB2312"/>
          <w:sz w:val="32"/>
          <w:szCs w:val="32"/>
        </w:rPr>
      </w:pPr>
      <w:r>
        <w:rPr>
          <w:rFonts w:hint="eastAsia" w:eastAsia="楷体_GB2312"/>
          <w:sz w:val="32"/>
          <w:szCs w:val="32"/>
        </w:rPr>
        <w:t>受控状态：</w:t>
      </w:r>
      <w:r>
        <w:rPr>
          <w:rFonts w:hint="eastAsia" w:ascii="宋体" w:hAnsi="宋体"/>
          <w:b/>
          <w:bCs/>
          <w:color w:val="FF0000"/>
          <w:sz w:val="48"/>
          <w:szCs w:val="48"/>
          <w:bdr w:val="single" w:color="auto" w:sz="4" w:space="0"/>
          <w:shd w:val="pct10" w:color="auto" w:fill="FFFFFF"/>
        </w:rPr>
        <w:t>受控</w:t>
      </w:r>
    </w:p>
    <w:p>
      <w:pPr>
        <w:spacing w:before="156" w:beforeLines="50" w:after="156" w:afterLines="50"/>
        <w:ind w:left="2520" w:firstLine="420"/>
        <w:rPr>
          <w:rFonts w:hint="eastAsia"/>
          <w:sz w:val="36"/>
        </w:rPr>
      </w:pPr>
      <w:r>
        <w:rPr>
          <w:rFonts w:hint="eastAsia" w:eastAsia="楷体_GB2312"/>
          <w:sz w:val="32"/>
          <w:szCs w:val="32"/>
        </w:rPr>
        <w:t xml:space="preserve">  </w:t>
      </w:r>
    </w:p>
    <w:p>
      <w:pPr>
        <w:rPr>
          <w:rFonts w:hint="eastAsia"/>
          <w:sz w:val="30"/>
          <w:szCs w:val="30"/>
          <w:u w:val="single"/>
        </w:rPr>
      </w:pPr>
      <w:r>
        <w:rPr>
          <w:rFonts w:hint="eastAsia"/>
          <w:b/>
          <w:sz w:val="30"/>
          <w:szCs w:val="30"/>
          <w:u w:val="single"/>
          <w:lang w:eastAsia="zh-CN"/>
        </w:rPr>
        <w:t>2020年1月5日</w:t>
      </w:r>
      <w:r>
        <w:rPr>
          <w:rFonts w:hint="eastAsia"/>
          <w:b/>
          <w:sz w:val="30"/>
          <w:szCs w:val="30"/>
          <w:u w:val="single"/>
        </w:rPr>
        <w:t>发布</w:t>
      </w:r>
      <w:r>
        <w:rPr>
          <w:rFonts w:hint="eastAsia"/>
          <w:b/>
          <w:sz w:val="30"/>
          <w:szCs w:val="30"/>
          <w:u w:val="single"/>
        </w:rPr>
        <w:tab/>
      </w:r>
      <w:r>
        <w:rPr>
          <w:rFonts w:hint="eastAsia"/>
          <w:b/>
          <w:sz w:val="30"/>
          <w:szCs w:val="30"/>
          <w:u w:val="single"/>
        </w:rPr>
        <w:tab/>
      </w:r>
      <w:r>
        <w:rPr>
          <w:rFonts w:hint="eastAsia"/>
          <w:b/>
          <w:sz w:val="30"/>
          <w:szCs w:val="30"/>
          <w:u w:val="single"/>
        </w:rPr>
        <w:tab/>
      </w:r>
      <w:r>
        <w:rPr>
          <w:rFonts w:hint="eastAsia"/>
          <w:b/>
          <w:sz w:val="30"/>
          <w:szCs w:val="30"/>
          <w:u w:val="single"/>
        </w:rPr>
        <w:t xml:space="preserve">    </w:t>
      </w:r>
      <w:r>
        <w:rPr>
          <w:rFonts w:hint="eastAsia"/>
          <w:b/>
          <w:sz w:val="30"/>
          <w:szCs w:val="30"/>
          <w:u w:val="single"/>
        </w:rPr>
        <w:tab/>
      </w:r>
      <w:r>
        <w:rPr>
          <w:rFonts w:hint="eastAsia"/>
          <w:b/>
          <w:sz w:val="30"/>
          <w:szCs w:val="30"/>
          <w:u w:val="single"/>
        </w:rPr>
        <w:t xml:space="preserve"> </w:t>
      </w:r>
      <w:r>
        <w:rPr>
          <w:rFonts w:hint="eastAsia"/>
          <w:b/>
          <w:sz w:val="30"/>
          <w:szCs w:val="30"/>
          <w:u w:val="single"/>
          <w:lang w:eastAsia="zh-CN"/>
        </w:rPr>
        <w:t>2020年1月5日</w:t>
      </w:r>
      <w:r>
        <w:rPr>
          <w:rFonts w:hint="eastAsia"/>
          <w:b/>
          <w:sz w:val="30"/>
          <w:szCs w:val="30"/>
          <w:u w:val="single"/>
        </w:rPr>
        <w:t xml:space="preserve">实施  </w:t>
      </w:r>
    </w:p>
    <w:p>
      <w:pPr>
        <w:jc w:val="center"/>
        <w:rPr>
          <w:rFonts w:hint="eastAsia" w:hAnsi="宋体" w:eastAsia="黑体"/>
          <w:b/>
          <w:bCs/>
          <w:sz w:val="36"/>
          <w:szCs w:val="36"/>
          <w:lang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hAnsi="宋体" w:eastAsia="黑体"/>
          <w:b/>
          <w:bCs/>
          <w:sz w:val="36"/>
          <w:szCs w:val="36"/>
          <w:lang w:eastAsia="zh-CN"/>
        </w:rPr>
        <w:t>重庆泓美仪表有限责任公司</w:t>
      </w:r>
    </w:p>
    <w:p>
      <w:pPr>
        <w:jc w:val="both"/>
        <w:rPr>
          <w:rFonts w:eastAsia="黑体"/>
          <w:b/>
          <w:sz w:val="36"/>
          <w:szCs w:val="36"/>
          <w:shd w:val="pct10" w:color="auto" w:fill="FFFFFF"/>
        </w:rPr>
      </w:pPr>
    </w:p>
    <w:p>
      <w:pPr>
        <w:jc w:val="center"/>
        <w:rPr>
          <w:rFonts w:hint="eastAsia" w:eastAsia="黑体"/>
          <w:b/>
          <w:sz w:val="36"/>
          <w:szCs w:val="36"/>
          <w:shd w:val="pct10" w:color="auto" w:fill="FFFFFF"/>
          <w:lang w:eastAsia="zh-CN"/>
        </w:rPr>
      </w:pPr>
      <w:r>
        <w:rPr>
          <w:rFonts w:hint="eastAsia" w:eastAsia="黑体"/>
          <w:b/>
          <w:sz w:val="36"/>
          <w:szCs w:val="36"/>
          <w:shd w:val="pct10" w:color="auto" w:fill="FFFFFF"/>
          <w:lang w:eastAsia="zh-CN"/>
        </w:rPr>
        <w:t>重庆泓美仪表有限责任公司</w:t>
      </w:r>
    </w:p>
    <w:tbl>
      <w:tblPr>
        <w:tblStyle w:val="21"/>
        <w:tblpPr w:leftFromText="180" w:rightFromText="180" w:vertAnchor="text" w:horzAnchor="page" w:tblpX="1182" w:tblpY="207"/>
        <w:tblW w:w="10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720"/>
        <w:gridCol w:w="1980"/>
        <w:gridCol w:w="864"/>
        <w:gridCol w:w="2232"/>
        <w:gridCol w:w="1829"/>
        <w:gridCol w:w="1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145" w:type="dxa"/>
            <w:gridSpan w:val="7"/>
            <w:tcBorders>
              <w:top w:val="single" w:color="auto" w:sz="24" w:space="0"/>
              <w:left w:val="single" w:color="auto" w:sz="24" w:space="0"/>
              <w:bottom w:val="single" w:color="auto" w:sz="6" w:space="0"/>
              <w:right w:val="single" w:color="auto" w:sz="24" w:space="0"/>
            </w:tcBorders>
            <w:vAlign w:val="center"/>
          </w:tcPr>
          <w:p>
            <w:pPr>
              <w:jc w:val="center"/>
              <w:rPr>
                <w:b/>
                <w:szCs w:val="21"/>
              </w:rPr>
            </w:pPr>
            <w:r>
              <w:rPr>
                <w:rFonts w:hAnsi="宋体"/>
                <w:b/>
                <w:szCs w:val="21"/>
              </w:rPr>
              <w:t>文件修订页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r>
              <w:rPr>
                <w:rFonts w:hAnsi="宋体"/>
                <w:szCs w:val="21"/>
              </w:rPr>
              <w:t>序号</w:t>
            </w: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r>
              <w:rPr>
                <w:rFonts w:hAnsi="宋体"/>
                <w:szCs w:val="21"/>
              </w:rPr>
              <w:t>版本</w:t>
            </w: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r>
              <w:rPr>
                <w:rFonts w:hAnsi="宋体"/>
                <w:szCs w:val="21"/>
              </w:rPr>
              <w:t>修订日期</w:t>
            </w: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r>
              <w:rPr>
                <w:rFonts w:hAnsi="宋体"/>
                <w:szCs w:val="21"/>
              </w:rPr>
              <w:t>条款</w:t>
            </w:r>
          </w:p>
        </w:tc>
        <w:tc>
          <w:tcPr>
            <w:tcW w:w="4061" w:type="dxa"/>
            <w:gridSpan w:val="2"/>
            <w:tcBorders>
              <w:top w:val="single" w:color="auto" w:sz="6" w:space="0"/>
              <w:left w:val="single" w:color="auto" w:sz="6" w:space="0"/>
              <w:bottom w:val="single" w:color="auto" w:sz="6" w:space="0"/>
              <w:right w:val="single" w:color="auto" w:sz="6" w:space="0"/>
            </w:tcBorders>
            <w:vAlign w:val="center"/>
          </w:tcPr>
          <w:p>
            <w:pPr>
              <w:ind w:right="-317" w:rightChars="-151"/>
              <w:jc w:val="center"/>
              <w:rPr>
                <w:szCs w:val="21"/>
              </w:rPr>
            </w:pPr>
            <w:r>
              <w:rPr>
                <w:rFonts w:hAnsi="宋体"/>
                <w:szCs w:val="21"/>
              </w:rPr>
              <w:t>修订内容</w:t>
            </w: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r>
              <w:rPr>
                <w:rFonts w:hAnsi="宋体"/>
                <w:szCs w:val="21"/>
              </w:rPr>
              <w:t>修订者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rFonts w:hint="eastAsia" w:eastAsia="宋体"/>
                <w:szCs w:val="21"/>
                <w:lang w:val="en-US" w:eastAsia="zh-CN"/>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rFonts w:hint="default" w:eastAsia="宋体"/>
                <w:szCs w:val="21"/>
                <w:lang w:val="en-US" w:eastAsia="zh-CN"/>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80" w:type="dxa"/>
            <w:tcBorders>
              <w:top w:val="single" w:color="auto" w:sz="6" w:space="0"/>
              <w:left w:val="single" w:color="auto" w:sz="24" w:space="0"/>
              <w:bottom w:val="single" w:color="auto" w:sz="6" w:space="0"/>
              <w:right w:val="single" w:color="auto" w:sz="6" w:space="0"/>
            </w:tcBorders>
            <w:vAlign w:val="center"/>
          </w:tcPr>
          <w:p>
            <w:pPr>
              <w:jc w:val="center"/>
              <w:rPr>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864" w:type="dxa"/>
            <w:tcBorders>
              <w:top w:val="single" w:color="auto" w:sz="6" w:space="0"/>
              <w:left w:val="single" w:color="auto" w:sz="6" w:space="0"/>
              <w:bottom w:val="single" w:color="auto" w:sz="6" w:space="0"/>
              <w:right w:val="single" w:color="auto" w:sz="6" w:space="0"/>
            </w:tcBorders>
            <w:vAlign w:val="center"/>
          </w:tcPr>
          <w:p>
            <w:pPr>
              <w:jc w:val="center"/>
              <w:rPr>
                <w:szCs w:val="21"/>
              </w:rPr>
            </w:pPr>
          </w:p>
        </w:tc>
        <w:tc>
          <w:tcPr>
            <w:tcW w:w="4061" w:type="dxa"/>
            <w:gridSpan w:val="2"/>
            <w:tcBorders>
              <w:top w:val="single" w:color="auto" w:sz="6" w:space="0"/>
              <w:left w:val="single" w:color="auto" w:sz="6" w:space="0"/>
              <w:bottom w:val="single" w:color="auto" w:sz="6" w:space="0"/>
              <w:right w:val="single" w:color="auto" w:sz="6" w:space="0"/>
            </w:tcBorders>
            <w:vAlign w:val="center"/>
          </w:tcPr>
          <w:p>
            <w:pPr>
              <w:rPr>
                <w:szCs w:val="21"/>
              </w:rPr>
            </w:pPr>
          </w:p>
        </w:tc>
        <w:tc>
          <w:tcPr>
            <w:tcW w:w="1640" w:type="dxa"/>
            <w:tcBorders>
              <w:top w:val="single" w:color="auto" w:sz="6" w:space="0"/>
              <w:left w:val="single" w:color="auto" w:sz="6" w:space="0"/>
              <w:bottom w:val="single" w:color="auto" w:sz="6" w:space="0"/>
              <w:right w:val="single" w:color="auto" w:sz="2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rPr>
        <w:tc>
          <w:tcPr>
            <w:tcW w:w="3580" w:type="dxa"/>
            <w:gridSpan w:val="3"/>
            <w:tcBorders>
              <w:top w:val="single" w:color="auto" w:sz="6" w:space="0"/>
              <w:left w:val="single" w:color="auto" w:sz="24" w:space="0"/>
              <w:bottom w:val="single" w:color="auto" w:sz="24" w:space="0"/>
              <w:right w:val="single" w:color="auto" w:sz="6" w:space="0"/>
            </w:tcBorders>
          </w:tcPr>
          <w:p>
            <w:pPr>
              <w:rPr>
                <w:rFonts w:hint="eastAsia" w:eastAsia="宋体"/>
                <w:szCs w:val="21"/>
                <w:lang w:val="en-US" w:eastAsia="zh-CN"/>
              </w:rPr>
            </w:pPr>
            <w:r>
              <w:rPr>
                <w:rFonts w:hAnsi="宋体"/>
                <w:szCs w:val="21"/>
              </w:rPr>
              <w:t>编写：</w:t>
            </w:r>
            <w:r>
              <w:rPr>
                <w:rFonts w:hint="eastAsia" w:hAnsi="宋体"/>
                <w:szCs w:val="21"/>
                <w:lang w:val="en-US" w:eastAsia="zh-CN"/>
              </w:rPr>
              <w:t>行政部</w:t>
            </w:r>
          </w:p>
        </w:tc>
        <w:tc>
          <w:tcPr>
            <w:tcW w:w="3096" w:type="dxa"/>
            <w:gridSpan w:val="2"/>
            <w:tcBorders>
              <w:top w:val="single" w:color="auto" w:sz="6" w:space="0"/>
              <w:left w:val="single" w:color="auto" w:sz="6" w:space="0"/>
              <w:bottom w:val="single" w:color="auto" w:sz="24" w:space="0"/>
              <w:right w:val="single" w:color="auto" w:sz="6" w:space="0"/>
            </w:tcBorders>
          </w:tcPr>
          <w:p>
            <w:pPr>
              <w:rPr>
                <w:rFonts w:hint="eastAsia" w:eastAsia="宋体"/>
                <w:szCs w:val="21"/>
                <w:lang w:val="en-US" w:eastAsia="zh-CN"/>
              </w:rPr>
            </w:pPr>
            <w:r>
              <w:rPr>
                <w:rFonts w:hAnsi="宋体"/>
                <w:szCs w:val="21"/>
              </w:rPr>
              <w:t>审核：</w:t>
            </w:r>
            <w:r>
              <w:rPr>
                <w:rFonts w:hint="eastAsia" w:hAnsi="宋体"/>
                <w:szCs w:val="21"/>
                <w:lang w:val="en-US" w:eastAsia="zh-CN"/>
              </w:rPr>
              <w:t>罗锦霞</w:t>
            </w:r>
          </w:p>
          <w:p>
            <w:pPr>
              <w:rPr>
                <w:szCs w:val="21"/>
              </w:rPr>
            </w:pPr>
          </w:p>
        </w:tc>
        <w:tc>
          <w:tcPr>
            <w:tcW w:w="3469" w:type="dxa"/>
            <w:gridSpan w:val="2"/>
            <w:tcBorders>
              <w:top w:val="single" w:color="auto" w:sz="6" w:space="0"/>
              <w:left w:val="single" w:color="auto" w:sz="6" w:space="0"/>
              <w:bottom w:val="single" w:color="auto" w:sz="24" w:space="0"/>
              <w:right w:val="single" w:color="auto" w:sz="24" w:space="0"/>
            </w:tcBorders>
          </w:tcPr>
          <w:p>
            <w:pPr>
              <w:rPr>
                <w:rFonts w:hint="eastAsia" w:eastAsia="宋体"/>
                <w:szCs w:val="21"/>
                <w:lang w:val="en-US" w:eastAsia="zh-CN"/>
              </w:rPr>
            </w:pPr>
            <w:r>
              <w:rPr>
                <w:rFonts w:hAnsi="宋体"/>
                <w:szCs w:val="21"/>
              </w:rPr>
              <w:t>核准：</w:t>
            </w:r>
            <w:r>
              <w:rPr>
                <w:rFonts w:hint="eastAsia" w:hAnsi="宋体"/>
                <w:szCs w:val="21"/>
                <w:lang w:val="en-US" w:eastAsia="zh-CN"/>
              </w:rPr>
              <w:t>周洪勇</w:t>
            </w:r>
          </w:p>
          <w:p>
            <w:pPr>
              <w:rPr>
                <w:szCs w:val="21"/>
              </w:rPr>
            </w:pPr>
          </w:p>
        </w:tc>
      </w:tr>
    </w:tbl>
    <w:p>
      <w:pPr>
        <w:rPr>
          <w:rFonts w:eastAsia="仿宋_GB2312"/>
        </w:rPr>
      </w:pPr>
    </w:p>
    <w:p>
      <w:pPr>
        <w:rPr>
          <w:rFonts w:eastAsia="仿宋_GB2312"/>
        </w:rPr>
      </w:pPr>
    </w:p>
    <w:p>
      <w:pPr>
        <w:jc w:val="center"/>
        <w:rPr>
          <w:b/>
          <w:szCs w:val="21"/>
        </w:rPr>
      </w:pPr>
    </w:p>
    <w:p>
      <w:pPr>
        <w:jc w:val="center"/>
        <w:rPr>
          <w:b/>
          <w:szCs w:val="21"/>
        </w:rPr>
      </w:pPr>
    </w:p>
    <w:p>
      <w:pPr>
        <w:jc w:val="center"/>
        <w:rPr>
          <w:b/>
          <w:szCs w:val="21"/>
        </w:rPr>
      </w:pPr>
      <w:r>
        <w:rPr>
          <w:b/>
          <w:szCs w:val="21"/>
        </w:rPr>
        <w:t>0  目录</w:t>
      </w:r>
      <w:bookmarkStart w:id="0" w:name="_范围："/>
      <w:bookmarkEnd w:id="0"/>
    </w:p>
    <w:p>
      <w:pPr>
        <w:rPr>
          <w:sz w:val="18"/>
          <w:szCs w:val="18"/>
        </w:rPr>
      </w:pPr>
    </w:p>
    <w:p>
      <w:pPr>
        <w:ind w:firstLine="489" w:firstLineChars="233"/>
        <w:rPr>
          <w:szCs w:val="21"/>
        </w:rPr>
      </w:pPr>
      <w:r>
        <w:rPr>
          <w:szCs w:val="21"/>
        </w:rPr>
        <w:t xml:space="preserve">1 </w:t>
      </w:r>
      <w:r>
        <w:rPr>
          <w:rFonts w:hAnsi="宋体"/>
          <w:szCs w:val="21"/>
        </w:rPr>
        <w:t>范围</w:t>
      </w:r>
    </w:p>
    <w:p>
      <w:pPr>
        <w:ind w:firstLine="489" w:firstLineChars="233"/>
        <w:rPr>
          <w:szCs w:val="21"/>
        </w:rPr>
      </w:pPr>
      <w:r>
        <w:rPr>
          <w:szCs w:val="21"/>
        </w:rPr>
        <w:t xml:space="preserve">2 </w:t>
      </w:r>
      <w:r>
        <w:rPr>
          <w:rFonts w:hAnsi="宋体"/>
          <w:szCs w:val="21"/>
        </w:rPr>
        <w:t>规范性引用文件</w:t>
      </w:r>
    </w:p>
    <w:p>
      <w:pPr>
        <w:ind w:firstLine="489" w:firstLineChars="233"/>
        <w:rPr>
          <w:szCs w:val="21"/>
        </w:rPr>
      </w:pPr>
      <w:r>
        <w:rPr>
          <w:szCs w:val="21"/>
        </w:rPr>
        <w:t xml:space="preserve">3 </w:t>
      </w:r>
      <w:r>
        <w:rPr>
          <w:rFonts w:hAnsi="宋体"/>
          <w:szCs w:val="21"/>
        </w:rPr>
        <w:t>术语和定义</w:t>
      </w:r>
    </w:p>
    <w:p>
      <w:pPr>
        <w:ind w:firstLine="489" w:firstLineChars="233"/>
        <w:rPr>
          <w:szCs w:val="21"/>
        </w:rPr>
      </w:pPr>
      <w:r>
        <w:rPr>
          <w:szCs w:val="21"/>
        </w:rPr>
        <w:t xml:space="preserve">4 </w:t>
      </w:r>
      <w:r>
        <w:rPr>
          <w:rFonts w:hAnsi="宋体"/>
          <w:szCs w:val="21"/>
        </w:rPr>
        <w:t>公司的背景</w:t>
      </w:r>
    </w:p>
    <w:p>
      <w:pPr>
        <w:ind w:firstLine="489" w:firstLineChars="233"/>
        <w:rPr>
          <w:szCs w:val="21"/>
        </w:rPr>
      </w:pPr>
      <w:r>
        <w:rPr>
          <w:szCs w:val="21"/>
        </w:rPr>
        <w:t xml:space="preserve">4.1 </w:t>
      </w:r>
      <w:r>
        <w:rPr>
          <w:rFonts w:hAnsi="宋体"/>
          <w:szCs w:val="21"/>
        </w:rPr>
        <w:t>理解公司及其背景</w:t>
      </w:r>
    </w:p>
    <w:p>
      <w:pPr>
        <w:ind w:firstLine="489" w:firstLineChars="233"/>
        <w:rPr>
          <w:szCs w:val="21"/>
        </w:rPr>
      </w:pPr>
      <w:r>
        <w:rPr>
          <w:szCs w:val="21"/>
        </w:rPr>
        <w:t xml:space="preserve">4.2 </w:t>
      </w:r>
      <w:r>
        <w:rPr>
          <w:rFonts w:hAnsi="宋体"/>
          <w:szCs w:val="21"/>
        </w:rPr>
        <w:t>理解相关方的需求和期望</w:t>
      </w:r>
    </w:p>
    <w:p>
      <w:pPr>
        <w:ind w:firstLine="489" w:firstLineChars="233"/>
        <w:rPr>
          <w:szCs w:val="21"/>
        </w:rPr>
      </w:pPr>
      <w:r>
        <w:rPr>
          <w:szCs w:val="21"/>
        </w:rPr>
        <w:t>4.3</w:t>
      </w:r>
      <w:r>
        <w:rPr>
          <w:rFonts w:hAnsi="宋体"/>
          <w:szCs w:val="21"/>
        </w:rPr>
        <w:t>质量/环境/安全管理体系范围的确定</w:t>
      </w:r>
    </w:p>
    <w:p>
      <w:pPr>
        <w:ind w:firstLine="489" w:firstLineChars="233"/>
        <w:rPr>
          <w:szCs w:val="21"/>
        </w:rPr>
      </w:pPr>
      <w:r>
        <w:rPr>
          <w:szCs w:val="21"/>
        </w:rPr>
        <w:t>4.4</w:t>
      </w:r>
      <w:r>
        <w:rPr>
          <w:rFonts w:hAnsi="宋体"/>
          <w:szCs w:val="21"/>
        </w:rPr>
        <w:t>质量/环境/安全管理体系</w:t>
      </w:r>
    </w:p>
    <w:p>
      <w:pPr>
        <w:ind w:firstLine="489" w:firstLineChars="233"/>
        <w:rPr>
          <w:szCs w:val="21"/>
        </w:rPr>
      </w:pPr>
      <w:r>
        <w:rPr>
          <w:szCs w:val="21"/>
        </w:rPr>
        <w:t xml:space="preserve">5 </w:t>
      </w:r>
      <w:r>
        <w:rPr>
          <w:rFonts w:hAnsi="宋体"/>
          <w:szCs w:val="21"/>
        </w:rPr>
        <w:t>领导作用</w:t>
      </w:r>
    </w:p>
    <w:p>
      <w:pPr>
        <w:ind w:firstLine="489" w:firstLineChars="233"/>
        <w:rPr>
          <w:szCs w:val="21"/>
        </w:rPr>
      </w:pPr>
      <w:r>
        <w:rPr>
          <w:szCs w:val="21"/>
        </w:rPr>
        <w:t xml:space="preserve">5.1 </w:t>
      </w:r>
      <w:r>
        <w:rPr>
          <w:rFonts w:hAnsi="宋体"/>
          <w:szCs w:val="21"/>
        </w:rPr>
        <w:t>领导作用和承诺</w:t>
      </w:r>
    </w:p>
    <w:p>
      <w:pPr>
        <w:ind w:firstLine="489" w:firstLineChars="233"/>
        <w:rPr>
          <w:szCs w:val="21"/>
        </w:rPr>
      </w:pPr>
      <w:r>
        <w:rPr>
          <w:szCs w:val="21"/>
        </w:rPr>
        <w:t xml:space="preserve">5.2 </w:t>
      </w:r>
      <w:r>
        <w:rPr>
          <w:rFonts w:hAnsi="宋体"/>
          <w:szCs w:val="21"/>
        </w:rPr>
        <w:t>质量/环境/安全方针</w:t>
      </w:r>
    </w:p>
    <w:p>
      <w:pPr>
        <w:ind w:firstLine="489" w:firstLineChars="233"/>
        <w:rPr>
          <w:rFonts w:hAnsi="宋体"/>
          <w:szCs w:val="21"/>
        </w:rPr>
      </w:pPr>
      <w:r>
        <w:rPr>
          <w:szCs w:val="21"/>
        </w:rPr>
        <w:t xml:space="preserve">5.3 </w:t>
      </w:r>
      <w:r>
        <w:rPr>
          <w:rFonts w:hAnsi="宋体"/>
          <w:szCs w:val="21"/>
        </w:rPr>
        <w:t>公司的作用、职责和权限</w:t>
      </w:r>
    </w:p>
    <w:p>
      <w:pPr>
        <w:ind w:firstLine="489" w:firstLineChars="233"/>
        <w:rPr>
          <w:rFonts w:hint="default" w:hAnsi="宋体" w:eastAsia="宋体"/>
          <w:szCs w:val="21"/>
          <w:lang w:val="en-US" w:eastAsia="zh-CN"/>
        </w:rPr>
      </w:pPr>
      <w:r>
        <w:rPr>
          <w:rFonts w:hint="eastAsia" w:hAnsi="宋体"/>
          <w:szCs w:val="21"/>
          <w:lang w:val="en-US" w:eastAsia="zh-CN"/>
        </w:rPr>
        <w:t>5.4 员工的协商和参与</w:t>
      </w:r>
    </w:p>
    <w:p>
      <w:pPr>
        <w:ind w:firstLine="489" w:firstLineChars="233"/>
        <w:rPr>
          <w:szCs w:val="21"/>
        </w:rPr>
      </w:pPr>
      <w:r>
        <w:rPr>
          <w:szCs w:val="21"/>
        </w:rPr>
        <w:t xml:space="preserve">6 </w:t>
      </w:r>
      <w:r>
        <w:rPr>
          <w:rFonts w:hAnsi="宋体"/>
          <w:szCs w:val="21"/>
        </w:rPr>
        <w:t>策划</w:t>
      </w:r>
    </w:p>
    <w:p>
      <w:pPr>
        <w:ind w:firstLine="489" w:firstLineChars="233"/>
        <w:rPr>
          <w:szCs w:val="21"/>
        </w:rPr>
      </w:pPr>
      <w:r>
        <w:rPr>
          <w:szCs w:val="21"/>
        </w:rPr>
        <w:t xml:space="preserve">6.1 </w:t>
      </w:r>
      <w:r>
        <w:rPr>
          <w:rFonts w:hAnsi="宋体"/>
          <w:szCs w:val="21"/>
        </w:rPr>
        <w:t>风险应对和机遇的措施</w:t>
      </w:r>
    </w:p>
    <w:p>
      <w:pPr>
        <w:ind w:firstLine="489" w:firstLineChars="233"/>
        <w:rPr>
          <w:rFonts w:eastAsiaTheme="minorEastAsia"/>
          <w:szCs w:val="21"/>
        </w:rPr>
      </w:pPr>
      <w:r>
        <w:rPr>
          <w:color w:val="000000"/>
        </w:rPr>
        <w:t>6.</w:t>
      </w:r>
      <w:r>
        <w:rPr>
          <w:rFonts w:hint="eastAsia"/>
          <w:color w:val="000000"/>
        </w:rPr>
        <w:t>2</w:t>
      </w:r>
      <w:r>
        <w:rPr>
          <w:rFonts w:hAnsi="宋体"/>
          <w:szCs w:val="21"/>
        </w:rPr>
        <w:t>质量/环境/安全目标及其实施的策划</w:t>
      </w:r>
    </w:p>
    <w:p>
      <w:pPr>
        <w:ind w:firstLine="489" w:firstLineChars="233"/>
        <w:rPr>
          <w:rFonts w:hint="eastAsia" w:hAnsi="宋体" w:eastAsia="宋体"/>
          <w:szCs w:val="21"/>
          <w:lang w:val="en-US" w:eastAsia="zh-CN"/>
        </w:rPr>
      </w:pPr>
      <w:r>
        <w:rPr>
          <w:szCs w:val="21"/>
        </w:rPr>
        <w:t>6.</w:t>
      </w:r>
      <w:r>
        <w:rPr>
          <w:rFonts w:hint="eastAsia"/>
          <w:szCs w:val="21"/>
        </w:rPr>
        <w:t>3</w:t>
      </w:r>
      <w:r>
        <w:rPr>
          <w:rFonts w:hAnsi="宋体"/>
          <w:szCs w:val="21"/>
        </w:rPr>
        <w:t>变更的策划</w:t>
      </w:r>
    </w:p>
    <w:p>
      <w:pPr>
        <w:ind w:firstLine="489" w:firstLineChars="233"/>
        <w:rPr>
          <w:szCs w:val="21"/>
        </w:rPr>
      </w:pPr>
      <w:r>
        <w:rPr>
          <w:szCs w:val="21"/>
        </w:rPr>
        <w:t xml:space="preserve">7 </w:t>
      </w:r>
      <w:r>
        <w:rPr>
          <w:rFonts w:hAnsi="宋体"/>
          <w:szCs w:val="21"/>
        </w:rPr>
        <w:t>支持</w:t>
      </w:r>
    </w:p>
    <w:p>
      <w:pPr>
        <w:ind w:firstLine="489" w:firstLineChars="233"/>
        <w:rPr>
          <w:szCs w:val="21"/>
        </w:rPr>
      </w:pPr>
      <w:r>
        <w:rPr>
          <w:szCs w:val="21"/>
        </w:rPr>
        <w:t xml:space="preserve">7.1 </w:t>
      </w:r>
      <w:r>
        <w:rPr>
          <w:rFonts w:hAnsi="宋体"/>
          <w:szCs w:val="21"/>
        </w:rPr>
        <w:t>资源</w:t>
      </w:r>
    </w:p>
    <w:p>
      <w:pPr>
        <w:ind w:firstLine="489" w:firstLineChars="233"/>
        <w:rPr>
          <w:szCs w:val="21"/>
        </w:rPr>
      </w:pPr>
      <w:r>
        <w:rPr>
          <w:szCs w:val="21"/>
        </w:rPr>
        <w:t xml:space="preserve">7.2 </w:t>
      </w:r>
      <w:r>
        <w:rPr>
          <w:rFonts w:hAnsi="宋体"/>
          <w:szCs w:val="21"/>
        </w:rPr>
        <w:t>能力</w:t>
      </w:r>
    </w:p>
    <w:p>
      <w:pPr>
        <w:ind w:firstLine="489" w:firstLineChars="233"/>
        <w:rPr>
          <w:szCs w:val="21"/>
        </w:rPr>
      </w:pPr>
      <w:r>
        <w:rPr>
          <w:szCs w:val="21"/>
        </w:rPr>
        <w:t xml:space="preserve">7.3 </w:t>
      </w:r>
      <w:r>
        <w:rPr>
          <w:rFonts w:hAnsi="宋体"/>
          <w:szCs w:val="21"/>
        </w:rPr>
        <w:t>意识</w:t>
      </w:r>
    </w:p>
    <w:p>
      <w:pPr>
        <w:ind w:firstLine="489" w:firstLineChars="233"/>
        <w:rPr>
          <w:szCs w:val="21"/>
        </w:rPr>
      </w:pPr>
      <w:r>
        <w:rPr>
          <w:szCs w:val="21"/>
        </w:rPr>
        <w:t xml:space="preserve">7.4 </w:t>
      </w:r>
      <w:r>
        <w:rPr>
          <w:rFonts w:hAnsi="宋体"/>
          <w:szCs w:val="21"/>
        </w:rPr>
        <w:t>沟通</w:t>
      </w:r>
      <w:r>
        <w:rPr>
          <w:szCs w:val="21"/>
        </w:rPr>
        <w:t>/</w:t>
      </w:r>
      <w:r>
        <w:rPr>
          <w:rFonts w:hAnsi="宋体"/>
          <w:szCs w:val="21"/>
        </w:rPr>
        <w:t>信息交流</w:t>
      </w:r>
    </w:p>
    <w:p>
      <w:pPr>
        <w:ind w:firstLine="489" w:firstLineChars="233"/>
        <w:rPr>
          <w:szCs w:val="21"/>
        </w:rPr>
      </w:pPr>
      <w:r>
        <w:rPr>
          <w:szCs w:val="21"/>
        </w:rPr>
        <w:t xml:space="preserve">7.5 </w:t>
      </w:r>
      <w:r>
        <w:rPr>
          <w:rFonts w:hAnsi="宋体"/>
          <w:szCs w:val="21"/>
        </w:rPr>
        <w:t>文件化信息</w:t>
      </w:r>
    </w:p>
    <w:p>
      <w:pPr>
        <w:ind w:firstLine="489" w:firstLineChars="233"/>
        <w:rPr>
          <w:szCs w:val="21"/>
        </w:rPr>
      </w:pPr>
      <w:r>
        <w:rPr>
          <w:szCs w:val="21"/>
        </w:rPr>
        <w:t xml:space="preserve">8 </w:t>
      </w:r>
      <w:r>
        <w:rPr>
          <w:rFonts w:hAnsi="宋体"/>
          <w:szCs w:val="21"/>
        </w:rPr>
        <w:t>运行</w:t>
      </w:r>
    </w:p>
    <w:p>
      <w:pPr>
        <w:ind w:firstLine="489" w:firstLineChars="233"/>
        <w:rPr>
          <w:szCs w:val="21"/>
        </w:rPr>
      </w:pPr>
      <w:r>
        <w:rPr>
          <w:szCs w:val="21"/>
        </w:rPr>
        <w:t xml:space="preserve">8.1 </w:t>
      </w:r>
      <w:r>
        <w:rPr>
          <w:rFonts w:hAnsi="宋体"/>
          <w:szCs w:val="21"/>
        </w:rPr>
        <w:t>运行的策划和控制</w:t>
      </w:r>
    </w:p>
    <w:p>
      <w:pPr>
        <w:ind w:firstLine="489" w:firstLineChars="233"/>
        <w:rPr>
          <w:szCs w:val="21"/>
        </w:rPr>
      </w:pPr>
      <w:r>
        <w:rPr>
          <w:szCs w:val="21"/>
        </w:rPr>
        <w:t xml:space="preserve">8.2 </w:t>
      </w:r>
      <w:r>
        <w:rPr>
          <w:rFonts w:hAnsi="宋体"/>
          <w:szCs w:val="21"/>
        </w:rPr>
        <w:t>市场需求的确定和顾客沟通</w:t>
      </w:r>
    </w:p>
    <w:p>
      <w:pPr>
        <w:ind w:firstLine="489" w:firstLineChars="233"/>
        <w:rPr>
          <w:szCs w:val="21"/>
        </w:rPr>
      </w:pPr>
      <w:r>
        <w:rPr>
          <w:szCs w:val="21"/>
        </w:rPr>
        <w:t xml:space="preserve">8.3 </w:t>
      </w:r>
      <w:r>
        <w:rPr>
          <w:rFonts w:hAnsi="宋体"/>
          <w:szCs w:val="21"/>
        </w:rPr>
        <w:t>产品和服务的设计开发</w:t>
      </w:r>
    </w:p>
    <w:p>
      <w:pPr>
        <w:ind w:firstLine="489" w:firstLineChars="233"/>
        <w:rPr>
          <w:szCs w:val="21"/>
        </w:rPr>
      </w:pPr>
      <w:r>
        <w:rPr>
          <w:szCs w:val="21"/>
        </w:rPr>
        <w:t xml:space="preserve">8.4 </w:t>
      </w:r>
      <w:r>
        <w:rPr>
          <w:rFonts w:hAnsi="宋体"/>
          <w:szCs w:val="21"/>
        </w:rPr>
        <w:t>外部供应过程、产品和服务的控制</w:t>
      </w:r>
    </w:p>
    <w:p>
      <w:pPr>
        <w:ind w:firstLine="489" w:firstLineChars="233"/>
        <w:rPr>
          <w:szCs w:val="21"/>
        </w:rPr>
      </w:pPr>
      <w:r>
        <w:rPr>
          <w:szCs w:val="21"/>
        </w:rPr>
        <w:t xml:space="preserve">8.5 </w:t>
      </w:r>
      <w:r>
        <w:rPr>
          <w:rFonts w:hAnsi="宋体"/>
          <w:szCs w:val="21"/>
        </w:rPr>
        <w:t>生产和服务提供</w:t>
      </w:r>
    </w:p>
    <w:p>
      <w:pPr>
        <w:ind w:firstLine="489" w:firstLineChars="233"/>
        <w:rPr>
          <w:szCs w:val="21"/>
        </w:rPr>
      </w:pPr>
      <w:r>
        <w:rPr>
          <w:szCs w:val="21"/>
        </w:rPr>
        <w:t xml:space="preserve">8.6 </w:t>
      </w:r>
      <w:r>
        <w:rPr>
          <w:rFonts w:hAnsi="宋体"/>
          <w:szCs w:val="21"/>
        </w:rPr>
        <w:t>产品和服务旅行</w:t>
      </w:r>
    </w:p>
    <w:p>
      <w:pPr>
        <w:ind w:firstLine="489" w:firstLineChars="233"/>
        <w:rPr>
          <w:rFonts w:hAnsi="宋体"/>
          <w:szCs w:val="21"/>
        </w:rPr>
      </w:pPr>
      <w:r>
        <w:rPr>
          <w:szCs w:val="21"/>
        </w:rPr>
        <w:t xml:space="preserve">8.7 </w:t>
      </w:r>
      <w:r>
        <w:rPr>
          <w:rFonts w:hAnsi="宋体"/>
          <w:szCs w:val="21"/>
        </w:rPr>
        <w:t>不合格输出的控制</w:t>
      </w:r>
    </w:p>
    <w:p>
      <w:pPr>
        <w:ind w:firstLine="489" w:firstLineChars="233"/>
        <w:rPr>
          <w:szCs w:val="21"/>
        </w:rPr>
      </w:pPr>
      <w:r>
        <w:rPr>
          <w:szCs w:val="21"/>
        </w:rPr>
        <w:t>8.</w:t>
      </w:r>
      <w:r>
        <w:rPr>
          <w:rFonts w:hint="eastAsia"/>
          <w:szCs w:val="21"/>
        </w:rPr>
        <w:t>8</w:t>
      </w:r>
      <w:r>
        <w:rPr>
          <w:rFonts w:hAnsi="宋体"/>
          <w:color w:val="000000"/>
        </w:rPr>
        <w:t>应急准备和响应</w:t>
      </w:r>
    </w:p>
    <w:p>
      <w:pPr>
        <w:ind w:firstLine="489" w:firstLineChars="233"/>
        <w:rPr>
          <w:szCs w:val="21"/>
        </w:rPr>
      </w:pPr>
      <w:r>
        <w:rPr>
          <w:szCs w:val="21"/>
        </w:rPr>
        <w:t xml:space="preserve">9 </w:t>
      </w:r>
      <w:r>
        <w:rPr>
          <w:rFonts w:hAnsi="宋体"/>
          <w:szCs w:val="21"/>
        </w:rPr>
        <w:t>绩效评价</w:t>
      </w:r>
    </w:p>
    <w:p>
      <w:pPr>
        <w:ind w:firstLine="489" w:firstLineChars="233"/>
        <w:rPr>
          <w:szCs w:val="21"/>
        </w:rPr>
      </w:pPr>
      <w:r>
        <w:rPr>
          <w:szCs w:val="21"/>
        </w:rPr>
        <w:t xml:space="preserve">9.1 </w:t>
      </w:r>
      <w:r>
        <w:rPr>
          <w:rFonts w:hAnsi="宋体"/>
          <w:szCs w:val="21"/>
        </w:rPr>
        <w:t>监视、测量、分析和评价</w:t>
      </w:r>
    </w:p>
    <w:p>
      <w:pPr>
        <w:ind w:firstLine="489" w:firstLineChars="233"/>
        <w:rPr>
          <w:szCs w:val="21"/>
        </w:rPr>
      </w:pPr>
      <w:r>
        <w:rPr>
          <w:szCs w:val="21"/>
        </w:rPr>
        <w:t xml:space="preserve">9.2 </w:t>
      </w:r>
      <w:r>
        <w:rPr>
          <w:rFonts w:hAnsi="宋体"/>
          <w:szCs w:val="21"/>
        </w:rPr>
        <w:t>内部审核</w:t>
      </w:r>
    </w:p>
    <w:p>
      <w:pPr>
        <w:ind w:firstLine="489" w:firstLineChars="233"/>
        <w:rPr>
          <w:szCs w:val="21"/>
        </w:rPr>
      </w:pPr>
      <w:r>
        <w:rPr>
          <w:szCs w:val="21"/>
        </w:rPr>
        <w:t xml:space="preserve">9.3 </w:t>
      </w:r>
      <w:r>
        <w:rPr>
          <w:rFonts w:hAnsi="宋体"/>
          <w:szCs w:val="21"/>
        </w:rPr>
        <w:t>管理评审</w:t>
      </w:r>
    </w:p>
    <w:p>
      <w:pPr>
        <w:ind w:firstLine="489" w:firstLineChars="233"/>
        <w:rPr>
          <w:szCs w:val="21"/>
        </w:rPr>
      </w:pPr>
      <w:r>
        <w:rPr>
          <w:szCs w:val="21"/>
        </w:rPr>
        <w:t xml:space="preserve">10 </w:t>
      </w:r>
      <w:r>
        <w:rPr>
          <w:rFonts w:hAnsi="宋体"/>
          <w:szCs w:val="21"/>
        </w:rPr>
        <w:t>改进</w:t>
      </w:r>
    </w:p>
    <w:p>
      <w:pPr>
        <w:ind w:firstLine="489" w:firstLineChars="233"/>
        <w:rPr>
          <w:szCs w:val="21"/>
        </w:rPr>
      </w:pPr>
      <w:r>
        <w:rPr>
          <w:szCs w:val="21"/>
        </w:rPr>
        <w:t xml:space="preserve">10.1 </w:t>
      </w:r>
      <w:r>
        <w:rPr>
          <w:rFonts w:hAnsi="宋体"/>
          <w:szCs w:val="21"/>
        </w:rPr>
        <w:t>总则</w:t>
      </w:r>
    </w:p>
    <w:p>
      <w:pPr>
        <w:ind w:firstLine="489" w:firstLineChars="233"/>
        <w:rPr>
          <w:szCs w:val="21"/>
        </w:rPr>
      </w:pPr>
      <w:r>
        <w:rPr>
          <w:szCs w:val="21"/>
        </w:rPr>
        <w:t>10.2</w:t>
      </w:r>
      <w:r>
        <w:rPr>
          <w:rFonts w:hAnsi="宋体"/>
          <w:szCs w:val="21"/>
        </w:rPr>
        <w:t>不符合和纠正措施</w:t>
      </w:r>
    </w:p>
    <w:p>
      <w:pPr>
        <w:ind w:firstLine="489" w:firstLineChars="233"/>
        <w:rPr>
          <w:sz w:val="18"/>
          <w:szCs w:val="18"/>
        </w:rPr>
      </w:pPr>
      <w:r>
        <w:rPr>
          <w:szCs w:val="21"/>
        </w:rPr>
        <w:t>10.3持续改进</w:t>
      </w:r>
    </w:p>
    <w:p>
      <w:pPr>
        <w:rPr>
          <w:szCs w:val="21"/>
        </w:rPr>
      </w:pPr>
    </w:p>
    <w:p>
      <w:pPr>
        <w:ind w:firstLine="560"/>
        <w:rPr>
          <w:b/>
          <w:szCs w:val="21"/>
        </w:rPr>
      </w:pPr>
    </w:p>
    <w:p>
      <w:pPr>
        <w:ind w:firstLine="560"/>
        <w:rPr>
          <w:b/>
          <w:szCs w:val="21"/>
        </w:rPr>
      </w:pPr>
      <w:r>
        <w:rPr>
          <w:b/>
          <w:szCs w:val="21"/>
        </w:rPr>
        <w:t>1范围</w:t>
      </w:r>
    </w:p>
    <w:p>
      <w:pPr>
        <w:ind w:left="525" w:leftChars="250"/>
        <w:rPr>
          <w:szCs w:val="21"/>
        </w:rPr>
      </w:pPr>
      <w:r>
        <w:rPr>
          <w:szCs w:val="21"/>
        </w:rPr>
        <w:t>本手册适用于本公司质量/环境/安全管理全过程，公司依据</w:t>
      </w:r>
      <w:r>
        <w:rPr>
          <w:rFonts w:hint="eastAsia"/>
          <w:szCs w:val="21"/>
          <w:lang w:eastAsia="zh-CN"/>
        </w:rPr>
        <w:t>ISO9001：2015</w:t>
      </w:r>
      <w:r>
        <w:rPr>
          <w:rFonts w:hint="eastAsia"/>
          <w:szCs w:val="21"/>
          <w:lang w:val="en-US" w:eastAsia="zh-CN"/>
        </w:rPr>
        <w:t>idt</w:t>
      </w:r>
      <w:r>
        <w:rPr>
          <w:rFonts w:hint="eastAsia"/>
          <w:szCs w:val="21"/>
          <w:lang w:eastAsia="zh-CN"/>
        </w:rPr>
        <w:t xml:space="preserve"> GB/T19001-2016</w:t>
      </w:r>
      <w:r>
        <w:rPr>
          <w:rFonts w:hint="eastAsia"/>
          <w:szCs w:val="21"/>
        </w:rPr>
        <w:t>，</w:t>
      </w:r>
      <w:r>
        <w:rPr>
          <w:rFonts w:hint="eastAsia"/>
          <w:szCs w:val="21"/>
          <w:lang w:eastAsia="zh-CN"/>
        </w:rPr>
        <w:t xml:space="preserve">ISO14001:2015 </w:t>
      </w:r>
      <w:r>
        <w:rPr>
          <w:rFonts w:hint="eastAsia"/>
          <w:szCs w:val="21"/>
          <w:lang w:val="en-US" w:eastAsia="zh-CN"/>
        </w:rPr>
        <w:t>idt</w:t>
      </w:r>
      <w:r>
        <w:rPr>
          <w:rFonts w:hint="eastAsia"/>
          <w:szCs w:val="21"/>
          <w:lang w:eastAsia="zh-CN"/>
        </w:rPr>
        <w:t>GB/T24001-2016</w:t>
      </w:r>
      <w:r>
        <w:rPr>
          <w:rFonts w:hint="eastAsia"/>
          <w:szCs w:val="21"/>
        </w:rPr>
        <w:t>，</w:t>
      </w:r>
      <w:r>
        <w:rPr>
          <w:rFonts w:hint="eastAsia"/>
          <w:szCs w:val="21"/>
          <w:lang w:eastAsia="zh-CN"/>
        </w:rPr>
        <w:t>ISO45001:2018</w:t>
      </w:r>
      <w:r>
        <w:rPr>
          <w:szCs w:val="21"/>
        </w:rPr>
        <w:t>标准要求建立并保持质量/环境/安全管理体系，制定质量/环境/安全方针和目标，运用过程方法及各过程的输入、输出、管理职责、工作要求、绩效考核，并形成文件的信息。通过对质量/环境/安全管理体系全过程的管理，遵守</w:t>
      </w:r>
      <w:r>
        <w:rPr>
          <w:rFonts w:hint="eastAsia"/>
          <w:szCs w:val="21"/>
        </w:rPr>
        <w:t>合规义务</w:t>
      </w:r>
      <w:r>
        <w:rPr>
          <w:szCs w:val="21"/>
        </w:rPr>
        <w:t>和其他相关要求，以证实本公司具有不断提高顾客满意度和持续改进质量/环境/安全管理体系及产品和服务质量/环境/安全水平的能力。</w:t>
      </w:r>
    </w:p>
    <w:p>
      <w:pPr>
        <w:ind w:firstLine="560"/>
        <w:rPr>
          <w:b/>
          <w:szCs w:val="21"/>
        </w:rPr>
      </w:pPr>
      <w:r>
        <w:rPr>
          <w:b/>
          <w:szCs w:val="21"/>
        </w:rPr>
        <w:t>2规范性引用文件</w:t>
      </w:r>
    </w:p>
    <w:p>
      <w:pPr>
        <w:ind w:firstLine="560"/>
        <w:rPr>
          <w:szCs w:val="21"/>
        </w:rPr>
      </w:pPr>
      <w:r>
        <w:rPr>
          <w:rFonts w:hint="eastAsia"/>
          <w:szCs w:val="21"/>
          <w:lang w:eastAsia="zh-CN"/>
        </w:rPr>
        <w:t>ISO900</w:t>
      </w:r>
      <w:r>
        <w:rPr>
          <w:rFonts w:hint="eastAsia"/>
          <w:szCs w:val="21"/>
          <w:lang w:val="en-US" w:eastAsia="zh-CN"/>
        </w:rPr>
        <w:t>1</w:t>
      </w:r>
      <w:r>
        <w:rPr>
          <w:rFonts w:hint="eastAsia"/>
          <w:szCs w:val="21"/>
          <w:lang w:eastAsia="zh-CN"/>
        </w:rPr>
        <w:t xml:space="preserve">：2015 </w:t>
      </w:r>
      <w:r>
        <w:rPr>
          <w:rFonts w:hint="eastAsia"/>
          <w:szCs w:val="21"/>
          <w:lang w:val="en-US" w:eastAsia="zh-CN"/>
        </w:rPr>
        <w:t xml:space="preserve">idt </w:t>
      </w:r>
      <w:r>
        <w:rPr>
          <w:rFonts w:hint="eastAsia"/>
          <w:szCs w:val="21"/>
          <w:lang w:eastAsia="zh-CN"/>
        </w:rPr>
        <w:t>GB/T1900</w:t>
      </w:r>
      <w:r>
        <w:rPr>
          <w:rFonts w:hint="eastAsia"/>
          <w:szCs w:val="21"/>
          <w:lang w:val="en-US" w:eastAsia="zh-CN"/>
        </w:rPr>
        <w:t>1</w:t>
      </w:r>
      <w:r>
        <w:rPr>
          <w:rFonts w:hint="eastAsia"/>
          <w:szCs w:val="21"/>
          <w:lang w:eastAsia="zh-CN"/>
        </w:rPr>
        <w:t>-2016</w:t>
      </w:r>
      <w:r>
        <w:rPr>
          <w:rFonts w:hint="eastAsia"/>
          <w:szCs w:val="21"/>
        </w:rPr>
        <w:t>;</w:t>
      </w:r>
      <w:r>
        <w:rPr>
          <w:rFonts w:hint="eastAsia"/>
          <w:szCs w:val="21"/>
          <w:lang w:eastAsia="zh-CN"/>
        </w:rPr>
        <w:t>ISO14001:2015</w:t>
      </w:r>
      <w:r>
        <w:rPr>
          <w:rFonts w:hint="eastAsia"/>
          <w:szCs w:val="21"/>
          <w:lang w:val="en-US" w:eastAsia="zh-CN"/>
        </w:rPr>
        <w:t xml:space="preserve"> idt</w:t>
      </w:r>
      <w:r>
        <w:rPr>
          <w:rFonts w:hint="eastAsia"/>
          <w:szCs w:val="21"/>
          <w:lang w:eastAsia="zh-CN"/>
        </w:rPr>
        <w:t xml:space="preserve"> GB/T24001-2016</w:t>
      </w:r>
      <w:r>
        <w:rPr>
          <w:rFonts w:hint="eastAsia"/>
          <w:szCs w:val="21"/>
        </w:rPr>
        <w:t>，</w:t>
      </w:r>
      <w:r>
        <w:rPr>
          <w:rFonts w:hint="eastAsia"/>
          <w:szCs w:val="21"/>
          <w:lang w:eastAsia="zh-CN"/>
        </w:rPr>
        <w:t>ISO45001:2018</w:t>
      </w:r>
      <w:r>
        <w:rPr>
          <w:szCs w:val="21"/>
        </w:rPr>
        <w:t>体系基础和术语及行业规范、标准。</w:t>
      </w:r>
    </w:p>
    <w:p>
      <w:pPr>
        <w:ind w:firstLine="560"/>
        <w:rPr>
          <w:b/>
          <w:szCs w:val="21"/>
        </w:rPr>
      </w:pPr>
      <w:r>
        <w:rPr>
          <w:b/>
          <w:szCs w:val="21"/>
        </w:rPr>
        <w:t>3术语和定义</w:t>
      </w:r>
    </w:p>
    <w:p>
      <w:pPr>
        <w:ind w:left="559" w:leftChars="266"/>
        <w:rPr>
          <w:szCs w:val="21"/>
        </w:rPr>
      </w:pPr>
      <w:r>
        <w:rPr>
          <w:szCs w:val="21"/>
        </w:rPr>
        <w:t xml:space="preserve">本手册采用 </w:t>
      </w:r>
      <w:r>
        <w:rPr>
          <w:rFonts w:hint="eastAsia"/>
          <w:szCs w:val="21"/>
          <w:lang w:eastAsia="zh-CN"/>
        </w:rPr>
        <w:t>ISO900</w:t>
      </w:r>
      <w:r>
        <w:rPr>
          <w:rFonts w:hint="eastAsia"/>
          <w:szCs w:val="21"/>
          <w:lang w:val="en-US" w:eastAsia="zh-CN"/>
        </w:rPr>
        <w:t>1</w:t>
      </w:r>
      <w:r>
        <w:rPr>
          <w:rFonts w:hint="eastAsia"/>
          <w:szCs w:val="21"/>
          <w:lang w:eastAsia="zh-CN"/>
        </w:rPr>
        <w:t xml:space="preserve">：2015 </w:t>
      </w:r>
      <w:r>
        <w:rPr>
          <w:rFonts w:hint="eastAsia"/>
          <w:szCs w:val="21"/>
          <w:lang w:val="en-US" w:eastAsia="zh-CN"/>
        </w:rPr>
        <w:t xml:space="preserve">idt </w:t>
      </w:r>
      <w:r>
        <w:rPr>
          <w:rFonts w:hint="eastAsia"/>
          <w:szCs w:val="21"/>
          <w:lang w:eastAsia="zh-CN"/>
        </w:rPr>
        <w:t>GB/T1900</w:t>
      </w:r>
      <w:r>
        <w:rPr>
          <w:rFonts w:hint="eastAsia"/>
          <w:szCs w:val="21"/>
          <w:lang w:val="en-US" w:eastAsia="zh-CN"/>
        </w:rPr>
        <w:t>1</w:t>
      </w:r>
      <w:r>
        <w:rPr>
          <w:rFonts w:hint="eastAsia"/>
          <w:szCs w:val="21"/>
          <w:lang w:eastAsia="zh-CN"/>
        </w:rPr>
        <w:t>-2016</w:t>
      </w:r>
      <w:r>
        <w:rPr>
          <w:rFonts w:hint="eastAsia"/>
          <w:szCs w:val="21"/>
        </w:rPr>
        <w:t>;</w:t>
      </w:r>
      <w:r>
        <w:rPr>
          <w:rFonts w:hint="eastAsia"/>
          <w:szCs w:val="21"/>
          <w:lang w:eastAsia="zh-CN"/>
        </w:rPr>
        <w:t>ISO14001:2015</w:t>
      </w:r>
      <w:r>
        <w:rPr>
          <w:rFonts w:hint="eastAsia"/>
          <w:szCs w:val="21"/>
          <w:lang w:val="en-US" w:eastAsia="zh-CN"/>
        </w:rPr>
        <w:t xml:space="preserve"> idt</w:t>
      </w:r>
      <w:r>
        <w:rPr>
          <w:rFonts w:hint="eastAsia"/>
          <w:szCs w:val="21"/>
          <w:lang w:eastAsia="zh-CN"/>
        </w:rPr>
        <w:t xml:space="preserve"> GB/T24001-2016</w:t>
      </w:r>
      <w:r>
        <w:rPr>
          <w:rFonts w:hint="eastAsia"/>
          <w:szCs w:val="21"/>
        </w:rPr>
        <w:t>，</w:t>
      </w:r>
      <w:r>
        <w:rPr>
          <w:rFonts w:hint="eastAsia"/>
          <w:szCs w:val="21"/>
          <w:lang w:eastAsia="zh-CN"/>
        </w:rPr>
        <w:t>ISO45001:2018</w:t>
      </w:r>
      <w:r>
        <w:rPr>
          <w:szCs w:val="21"/>
        </w:rPr>
        <w:t>中所确立的术语和定义及行业通用的术语和定义。</w:t>
      </w:r>
    </w:p>
    <w:p>
      <w:pPr>
        <w:ind w:firstLine="560"/>
        <w:rPr>
          <w:b/>
          <w:szCs w:val="21"/>
        </w:rPr>
      </w:pPr>
      <w:r>
        <w:rPr>
          <w:b/>
          <w:szCs w:val="21"/>
        </w:rPr>
        <w:t>4公司的环境</w:t>
      </w:r>
    </w:p>
    <w:p>
      <w:pPr>
        <w:ind w:firstLine="560"/>
        <w:rPr>
          <w:b/>
          <w:szCs w:val="21"/>
        </w:rPr>
      </w:pPr>
      <w:r>
        <w:rPr>
          <w:b/>
          <w:szCs w:val="21"/>
        </w:rPr>
        <w:t>4.1理解公司及其环境</w:t>
      </w:r>
    </w:p>
    <w:p>
      <w:pPr>
        <w:ind w:firstLine="560"/>
        <w:rPr>
          <w:szCs w:val="21"/>
          <w:highlight w:val="none"/>
        </w:rPr>
      </w:pPr>
      <w:r>
        <w:rPr>
          <w:szCs w:val="21"/>
        </w:rPr>
        <w:t>4.1.1公司简介</w:t>
      </w:r>
    </w:p>
    <w:p>
      <w:pPr>
        <w:ind w:left="573" w:leftChars="273"/>
        <w:rPr>
          <w:rFonts w:hint="eastAsia"/>
          <w:szCs w:val="21"/>
          <w:highlight w:val="none"/>
        </w:rPr>
      </w:pPr>
      <w:r>
        <w:rPr>
          <w:rFonts w:hint="eastAsia"/>
          <w:szCs w:val="21"/>
          <w:highlight w:val="none"/>
        </w:rPr>
        <w:t>重庆</w:t>
      </w:r>
      <w:r>
        <w:rPr>
          <w:rFonts w:hint="eastAsia"/>
          <w:szCs w:val="21"/>
          <w:highlight w:val="none"/>
          <w:lang w:val="en-US" w:eastAsia="zh-CN"/>
        </w:rPr>
        <w:t>泓</w:t>
      </w:r>
      <w:r>
        <w:rPr>
          <w:rFonts w:hint="eastAsia"/>
          <w:szCs w:val="21"/>
          <w:highlight w:val="none"/>
        </w:rPr>
        <w:t>美仪表有限</w:t>
      </w:r>
      <w:r>
        <w:rPr>
          <w:rFonts w:hint="eastAsia"/>
          <w:szCs w:val="21"/>
          <w:highlight w:val="none"/>
          <w:lang w:val="en-US" w:eastAsia="zh-CN"/>
        </w:rPr>
        <w:t>责</w:t>
      </w:r>
      <w:r>
        <w:rPr>
          <w:rFonts w:hint="eastAsia"/>
          <w:szCs w:val="21"/>
          <w:highlight w:val="none"/>
        </w:rPr>
        <w:t>任公司是重庆西美仪器仪表有限公司的控</w:t>
      </w:r>
      <w:r>
        <w:rPr>
          <w:rFonts w:hint="eastAsia"/>
          <w:szCs w:val="21"/>
          <w:highlight w:val="none"/>
          <w:lang w:val="en-US" w:eastAsia="zh-CN"/>
        </w:rPr>
        <w:t>制</w:t>
      </w:r>
      <w:r>
        <w:rPr>
          <w:rFonts w:hint="eastAsia"/>
          <w:szCs w:val="21"/>
          <w:highlight w:val="none"/>
        </w:rPr>
        <w:t>子公司</w:t>
      </w:r>
      <w:r>
        <w:rPr>
          <w:rFonts w:hint="eastAsia"/>
          <w:szCs w:val="21"/>
          <w:highlight w:val="none"/>
          <w:lang w:eastAsia="zh-CN"/>
        </w:rPr>
        <w:t>。</w:t>
      </w:r>
      <w:r>
        <w:rPr>
          <w:rFonts w:hint="eastAsia"/>
          <w:szCs w:val="21"/>
          <w:highlight w:val="none"/>
        </w:rPr>
        <w:t>“西美仪表”成立于2006年，主要从事智能仪器仪表的开发，是国内燃气仪表的重要生产企业之一，产值过亿。</w:t>
      </w:r>
    </w:p>
    <w:p>
      <w:pPr>
        <w:ind w:left="573" w:leftChars="273"/>
        <w:rPr>
          <w:rFonts w:hint="eastAsia"/>
          <w:szCs w:val="21"/>
          <w:highlight w:val="none"/>
        </w:rPr>
      </w:pPr>
      <w:r>
        <w:rPr>
          <w:rFonts w:hint="eastAsia"/>
          <w:szCs w:val="21"/>
          <w:highlight w:val="none"/>
        </w:rPr>
        <w:t>“</w:t>
      </w:r>
      <w:r>
        <w:rPr>
          <w:rFonts w:hint="eastAsia"/>
          <w:szCs w:val="21"/>
          <w:highlight w:val="none"/>
          <w:lang w:val="en-US" w:eastAsia="zh-CN"/>
        </w:rPr>
        <w:t>泓</w:t>
      </w:r>
      <w:r>
        <w:rPr>
          <w:rFonts w:hint="eastAsia"/>
          <w:szCs w:val="21"/>
          <w:highlight w:val="none"/>
        </w:rPr>
        <w:t>美仪表”成立于2010年，从仪表配件发展成以水表为主的研发和生产企业。两公司拥有2万多平方米的生产和办公场地，有多条自动化仪表生产线，并配备齐全的检测实验设备。</w:t>
      </w:r>
    </w:p>
    <w:p>
      <w:pPr>
        <w:ind w:left="573" w:leftChars="273"/>
        <w:rPr>
          <w:rFonts w:hint="eastAsia"/>
          <w:szCs w:val="21"/>
          <w:highlight w:val="none"/>
        </w:rPr>
      </w:pPr>
      <w:r>
        <w:rPr>
          <w:rFonts w:hint="eastAsia"/>
          <w:szCs w:val="21"/>
          <w:highlight w:val="none"/>
        </w:rPr>
        <w:t>⊙两公司拥有几十项专利，西美仪表为国家级高新技术企业。</w:t>
      </w:r>
    </w:p>
    <w:p>
      <w:pPr>
        <w:ind w:left="573" w:leftChars="273"/>
        <w:rPr>
          <w:rFonts w:hint="eastAsia"/>
          <w:szCs w:val="21"/>
          <w:highlight w:val="none"/>
        </w:rPr>
      </w:pPr>
      <w:r>
        <w:rPr>
          <w:rFonts w:hint="eastAsia"/>
          <w:szCs w:val="21"/>
          <w:highlight w:val="none"/>
        </w:rPr>
        <w:t>⊙公司分别在重庆和杭州设立子公司分别从事软件、物联网及流量计技术开发。</w:t>
      </w:r>
    </w:p>
    <w:p>
      <w:pPr>
        <w:ind w:left="573" w:leftChars="273"/>
        <w:rPr>
          <w:rFonts w:hint="eastAsia"/>
          <w:szCs w:val="21"/>
          <w:highlight w:val="none"/>
        </w:rPr>
      </w:pPr>
      <w:r>
        <w:rPr>
          <w:rFonts w:hint="eastAsia"/>
          <w:szCs w:val="21"/>
          <w:highlight w:val="none"/>
        </w:rPr>
        <w:t>⊙近年来与国外先进企业松下和埃创进行台作，引进先进技术，并与重庆大学建立</w:t>
      </w:r>
    </w:p>
    <w:p>
      <w:pPr>
        <w:ind w:left="573" w:leftChars="273"/>
        <w:rPr>
          <w:rFonts w:hint="eastAsia" w:eastAsia="宋体"/>
          <w:szCs w:val="21"/>
          <w:highlight w:val="none"/>
          <w:lang w:eastAsia="zh-CN"/>
        </w:rPr>
      </w:pPr>
      <w:r>
        <w:rPr>
          <w:rFonts w:hint="eastAsia"/>
          <w:szCs w:val="21"/>
          <w:highlight w:val="none"/>
        </w:rPr>
        <w:t>长期的校企合作，开展新技术研发</w:t>
      </w:r>
      <w:r>
        <w:rPr>
          <w:rFonts w:hint="eastAsia"/>
          <w:szCs w:val="21"/>
          <w:highlight w:val="none"/>
          <w:lang w:eastAsia="zh-CN"/>
        </w:rPr>
        <w:t>。</w:t>
      </w:r>
    </w:p>
    <w:p>
      <w:pPr>
        <w:ind w:left="573" w:leftChars="273"/>
        <w:rPr>
          <w:rFonts w:hint="eastAsia"/>
          <w:szCs w:val="21"/>
          <w:highlight w:val="none"/>
        </w:rPr>
      </w:pPr>
      <w:r>
        <w:rPr>
          <w:rFonts w:hint="eastAsia"/>
          <w:szCs w:val="21"/>
          <w:highlight w:val="none"/>
        </w:rPr>
        <w:t>⊙公司拥有数百家燃气和自来水客户，在国内设立多个办事处，提供优质的产品服务工作。</w:t>
      </w:r>
    </w:p>
    <w:p>
      <w:pPr>
        <w:ind w:left="573" w:leftChars="273"/>
        <w:rPr>
          <w:szCs w:val="21"/>
        </w:rPr>
      </w:pPr>
      <w:r>
        <w:rPr>
          <w:szCs w:val="21"/>
        </w:rPr>
        <w:t>4.1.2公司发展和战略</w:t>
      </w:r>
      <w:bookmarkStart w:id="1" w:name="2_1"/>
      <w:bookmarkEnd w:id="1"/>
      <w:bookmarkStart w:id="2" w:name="sub1_2_1"/>
      <w:bookmarkEnd w:id="2"/>
      <w:r>
        <w:rPr>
          <w:szCs w:val="21"/>
        </w:rPr>
        <w:br w:type="textWrapping"/>
      </w:r>
      <w:r>
        <w:rPr>
          <w:szCs w:val="21"/>
        </w:rPr>
        <w:t>企业宗旨：管理就是高标准，服务就是创一流。</w:t>
      </w:r>
      <w:r>
        <w:rPr>
          <w:szCs w:val="21"/>
        </w:rPr>
        <w:br w:type="textWrapping"/>
      </w:r>
      <w:r>
        <w:rPr>
          <w:szCs w:val="21"/>
        </w:rPr>
        <w:t>经营理念：品牌信誉为先，实力质量为本。</w:t>
      </w:r>
      <w:r>
        <w:rPr>
          <w:szCs w:val="21"/>
        </w:rPr>
        <w:br w:type="textWrapping"/>
      </w:r>
      <w:r>
        <w:rPr>
          <w:szCs w:val="21"/>
        </w:rPr>
        <w:t>企业目标：现代化管理，高品质服务。</w:t>
      </w:r>
    </w:p>
    <w:p>
      <w:pPr>
        <w:ind w:left="525" w:leftChars="250" w:firstLine="33" w:firstLineChars="16"/>
        <w:rPr>
          <w:szCs w:val="21"/>
        </w:rPr>
      </w:pPr>
      <w:r>
        <w:rPr>
          <w:szCs w:val="21"/>
        </w:rPr>
        <w:t>4.1.3影响本公司质量/环境/安全管理体系实现预期结果的外部因素有：外部的文化、社会、政治、法律、监管、财务、技术、经济、自然以及竞争环境，包括国际的、国内的、区域的和地方的；内部因素有：活动、产品和服务、战略方向、文化与能力（即：人员、知识、过程、体系）等。</w:t>
      </w:r>
    </w:p>
    <w:p>
      <w:pPr>
        <w:ind w:left="525" w:leftChars="250" w:firstLine="33" w:firstLineChars="16"/>
        <w:rPr>
          <w:szCs w:val="21"/>
        </w:rPr>
      </w:pPr>
      <w:r>
        <w:rPr>
          <w:szCs w:val="21"/>
        </w:rPr>
        <w:t>4.1.4公司按照各项管理制度的要求对这些内外部因素的相关信息进行监视、获取，通过定期例会或管理评审分析、制定计划予以应对内外部变化，并根据上述决策或计划动态调整质量/环境/安全管理体系，使质量/环境/安全管理体系与公司的环境动态变化相匹配，提高管理体系的保障力、应变力、生命力和竞争力。</w:t>
      </w:r>
    </w:p>
    <w:p>
      <w:pPr>
        <w:ind w:firstLine="527" w:firstLineChars="250"/>
        <w:rPr>
          <w:b/>
          <w:szCs w:val="21"/>
        </w:rPr>
      </w:pPr>
      <w:r>
        <w:rPr>
          <w:b/>
          <w:szCs w:val="21"/>
        </w:rPr>
        <w:t>4.2理解相关方的需求和期望</w:t>
      </w:r>
    </w:p>
    <w:p>
      <w:pPr>
        <w:ind w:left="567" w:leftChars="270"/>
        <w:rPr>
          <w:szCs w:val="21"/>
        </w:rPr>
      </w:pPr>
      <w:r>
        <w:rPr>
          <w:szCs w:val="21"/>
        </w:rPr>
        <w:t>4.</w:t>
      </w:r>
      <w:r>
        <w:rPr>
          <w:rFonts w:hint="eastAsia"/>
          <w:szCs w:val="21"/>
          <w:lang w:val="en-US" w:eastAsia="zh-CN"/>
        </w:rPr>
        <w:t>2</w:t>
      </w:r>
      <w:r>
        <w:rPr>
          <w:szCs w:val="21"/>
        </w:rPr>
        <w:t>.1公司确定与质量/环境/安全管理体系有关的相关方及相关方的要求，此类相关方包括但不限</w:t>
      </w:r>
      <w:r>
        <w:rPr>
          <w:rFonts w:hint="eastAsia"/>
          <w:szCs w:val="21"/>
        </w:rPr>
        <w:t>以</w:t>
      </w:r>
      <w:r>
        <w:rPr>
          <w:szCs w:val="21"/>
        </w:rPr>
        <w:t>下方面：直接顾客、最终使用者、外部供方、立法机构、其他，如：股东、员工、社区等。</w:t>
      </w:r>
    </w:p>
    <w:p>
      <w:pPr>
        <w:ind w:left="567" w:leftChars="270"/>
        <w:rPr>
          <w:szCs w:val="21"/>
        </w:rPr>
      </w:pPr>
      <w:r>
        <w:rPr>
          <w:szCs w:val="21"/>
        </w:rPr>
        <w:t>4.2.2公司确定与上述相关方的要求，以避免相关方对公司持续提供符合顾客要求和适用法律法规要求的产品和服务的能力影响或潜在影响。</w:t>
      </w:r>
    </w:p>
    <w:p>
      <w:pPr>
        <w:ind w:firstLine="560"/>
        <w:rPr>
          <w:szCs w:val="21"/>
        </w:rPr>
      </w:pPr>
      <w:r>
        <w:rPr>
          <w:szCs w:val="21"/>
        </w:rPr>
        <w:t>4.2.3公司定期对这些相关方及其要求的相关信息进行监视和评审。</w:t>
      </w:r>
    </w:p>
    <w:p>
      <w:pPr>
        <w:ind w:firstLine="560"/>
        <w:rPr>
          <w:szCs w:val="21"/>
        </w:rPr>
      </w:pPr>
      <w:r>
        <w:rPr>
          <w:szCs w:val="21"/>
        </w:rPr>
        <w:t>4.2.4公司定期更新以上确定的结果，以便于理解和满足影响顾客要求和顾客满意度的需求和期望。</w:t>
      </w:r>
    </w:p>
    <w:p>
      <w:pPr>
        <w:ind w:firstLine="560"/>
        <w:rPr>
          <w:szCs w:val="21"/>
        </w:rPr>
      </w:pPr>
      <w:r>
        <w:rPr>
          <w:szCs w:val="21"/>
        </w:rPr>
        <w:t>4.2.5公司要识别应对当前的和预期的未来需求可导致改进和变革的机会。</w:t>
      </w:r>
    </w:p>
    <w:p>
      <w:pPr>
        <w:ind w:firstLine="560"/>
        <w:rPr>
          <w:b/>
          <w:szCs w:val="21"/>
        </w:rPr>
      </w:pPr>
      <w:r>
        <w:rPr>
          <w:b/>
          <w:szCs w:val="21"/>
        </w:rPr>
        <w:t>4.3质量/环境/安全管理体系的范围的确定</w:t>
      </w:r>
    </w:p>
    <w:p>
      <w:pPr>
        <w:ind w:left="559" w:leftChars="266"/>
        <w:rPr>
          <w:szCs w:val="21"/>
        </w:rPr>
      </w:pPr>
      <w:r>
        <w:rPr>
          <w:szCs w:val="21"/>
        </w:rPr>
        <w:t>a)本手册所覆盖的</w:t>
      </w:r>
      <w:r>
        <w:rPr>
          <w:rFonts w:hint="eastAsia"/>
          <w:szCs w:val="21"/>
          <w:lang w:val="en-US" w:eastAsia="zh-CN"/>
        </w:rPr>
        <w:t>范围</w:t>
      </w:r>
      <w:r>
        <w:rPr>
          <w:szCs w:val="21"/>
        </w:rPr>
        <w:t>：</w:t>
      </w:r>
      <w:r>
        <w:rPr>
          <w:rFonts w:hint="eastAsia"/>
          <w:szCs w:val="21"/>
          <w:u w:val="single"/>
          <w:lang w:val="en-US" w:eastAsia="zh-CN"/>
        </w:rPr>
        <w:t>智能水表及配件的生产和销售所涉及的相关管理活动</w:t>
      </w:r>
      <w:r>
        <w:rPr>
          <w:rFonts w:hint="eastAsia" w:ascii="宋体" w:hAnsi="宋体"/>
          <w:color w:val="000000"/>
        </w:rPr>
        <w:t>；</w:t>
      </w:r>
      <w:r>
        <w:rPr>
          <w:rFonts w:hint="eastAsia" w:ascii="宋体" w:hAnsi="宋体" w:cs="Arial"/>
          <w:szCs w:val="21"/>
        </w:rPr>
        <w:t xml:space="preserve"> </w:t>
      </w:r>
    </w:p>
    <w:p>
      <w:pPr>
        <w:ind w:left="559" w:leftChars="266"/>
        <w:rPr>
          <w:rFonts w:hint="default" w:eastAsia="宋体"/>
          <w:szCs w:val="21"/>
          <w:u w:val="single"/>
          <w:lang w:val="en-US" w:eastAsia="zh-CN"/>
        </w:rPr>
      </w:pPr>
      <w:r>
        <w:rPr>
          <w:rFonts w:hint="eastAsia"/>
          <w:szCs w:val="21"/>
        </w:rPr>
        <w:t>b</w:t>
      </w:r>
      <w:r>
        <w:rPr>
          <w:szCs w:val="21"/>
        </w:rPr>
        <w:t>)本手册所覆盖的</w:t>
      </w:r>
      <w:r>
        <w:rPr>
          <w:rFonts w:hint="eastAsia"/>
          <w:szCs w:val="21"/>
          <w:lang w:val="en-US" w:eastAsia="zh-CN"/>
        </w:rPr>
        <w:t>范围</w:t>
      </w:r>
      <w:r>
        <w:rPr>
          <w:rFonts w:hint="eastAsia"/>
          <w:szCs w:val="21"/>
        </w:rPr>
        <w:t>的区域</w:t>
      </w:r>
      <w:r>
        <w:rPr>
          <w:szCs w:val="21"/>
        </w:rPr>
        <w:t>：</w:t>
      </w:r>
      <w:r>
        <w:rPr>
          <w:rFonts w:hint="eastAsia" w:ascii="宋体" w:hAnsi="宋体"/>
          <w:color w:val="000000"/>
          <w:u w:val="single"/>
          <w:lang w:val="en-US" w:eastAsia="zh-CN"/>
        </w:rPr>
        <w:t>重庆市合川区南津街道岩渠路68号</w:t>
      </w:r>
    </w:p>
    <w:p>
      <w:pPr>
        <w:ind w:firstLine="560"/>
        <w:rPr>
          <w:b/>
          <w:szCs w:val="21"/>
        </w:rPr>
      </w:pPr>
      <w:r>
        <w:rPr>
          <w:b/>
          <w:szCs w:val="21"/>
        </w:rPr>
        <w:t>4.4质量/环境/安全管理体系及其过程</w:t>
      </w:r>
    </w:p>
    <w:p>
      <w:pPr>
        <w:ind w:left="559" w:leftChars="266"/>
        <w:rPr>
          <w:szCs w:val="21"/>
        </w:rPr>
      </w:pPr>
      <w:r>
        <w:rPr>
          <w:szCs w:val="21"/>
        </w:rPr>
        <w:t>4.4.1</w:t>
      </w:r>
      <w:r>
        <w:rPr>
          <w:rFonts w:hint="eastAsia"/>
          <w:szCs w:val="21"/>
        </w:rPr>
        <w:t>在本手册4.3界定的范围内，本</w:t>
      </w:r>
      <w:r>
        <w:rPr>
          <w:szCs w:val="21"/>
        </w:rPr>
        <w:t>公司按照</w:t>
      </w:r>
      <w:r>
        <w:rPr>
          <w:rFonts w:hint="eastAsia"/>
          <w:szCs w:val="21"/>
          <w:lang w:eastAsia="zh-CN"/>
        </w:rPr>
        <w:t>ISO900</w:t>
      </w:r>
      <w:r>
        <w:rPr>
          <w:rFonts w:hint="eastAsia"/>
          <w:szCs w:val="21"/>
          <w:lang w:val="en-US" w:eastAsia="zh-CN"/>
        </w:rPr>
        <w:t>1</w:t>
      </w:r>
      <w:r>
        <w:rPr>
          <w:rFonts w:hint="eastAsia"/>
          <w:szCs w:val="21"/>
          <w:lang w:eastAsia="zh-CN"/>
        </w:rPr>
        <w:t xml:space="preserve">：2015 </w:t>
      </w:r>
      <w:r>
        <w:rPr>
          <w:rFonts w:hint="eastAsia"/>
          <w:szCs w:val="21"/>
          <w:lang w:val="en-US" w:eastAsia="zh-CN"/>
        </w:rPr>
        <w:t xml:space="preserve">idt </w:t>
      </w:r>
      <w:r>
        <w:rPr>
          <w:rFonts w:hint="eastAsia"/>
          <w:szCs w:val="21"/>
          <w:lang w:eastAsia="zh-CN"/>
        </w:rPr>
        <w:t>GB/T1900</w:t>
      </w:r>
      <w:r>
        <w:rPr>
          <w:rFonts w:hint="eastAsia"/>
          <w:szCs w:val="21"/>
          <w:lang w:val="en-US" w:eastAsia="zh-CN"/>
        </w:rPr>
        <w:t>1</w:t>
      </w:r>
      <w:r>
        <w:rPr>
          <w:rFonts w:hint="eastAsia"/>
          <w:szCs w:val="21"/>
          <w:lang w:eastAsia="zh-CN"/>
        </w:rPr>
        <w:t>-2016</w:t>
      </w:r>
      <w:r>
        <w:rPr>
          <w:rFonts w:hint="eastAsia"/>
          <w:szCs w:val="21"/>
        </w:rPr>
        <w:t>;</w:t>
      </w:r>
      <w:r>
        <w:rPr>
          <w:rFonts w:hint="eastAsia"/>
          <w:szCs w:val="21"/>
          <w:lang w:eastAsia="zh-CN"/>
        </w:rPr>
        <w:t>ISO14001:2015</w:t>
      </w:r>
      <w:r>
        <w:rPr>
          <w:rFonts w:hint="eastAsia"/>
          <w:szCs w:val="21"/>
          <w:lang w:val="en-US" w:eastAsia="zh-CN"/>
        </w:rPr>
        <w:t xml:space="preserve"> idt</w:t>
      </w:r>
      <w:r>
        <w:rPr>
          <w:rFonts w:hint="eastAsia"/>
          <w:szCs w:val="21"/>
          <w:lang w:eastAsia="zh-CN"/>
        </w:rPr>
        <w:t xml:space="preserve"> GB/T24001-2016</w:t>
      </w:r>
      <w:r>
        <w:rPr>
          <w:rFonts w:hint="eastAsia"/>
          <w:szCs w:val="21"/>
        </w:rPr>
        <w:t>，</w:t>
      </w:r>
      <w:r>
        <w:rPr>
          <w:rFonts w:hint="eastAsia"/>
          <w:szCs w:val="21"/>
          <w:lang w:eastAsia="zh-CN"/>
        </w:rPr>
        <w:t>ISO45001:2018</w:t>
      </w:r>
      <w:r>
        <w:rPr>
          <w:szCs w:val="21"/>
        </w:rPr>
        <w:t>建立质量/环境/安全管理体系、过程及其相互作用，加以实施和保持，并持续改进。公司按照过程方法建立质量/环境/安全管理体系。并使策划、识别、确定的各过程与公司诸业务流程保持一致，确保质量/环境/安全管理体系的要求纳入公司的实际经营运作；</w:t>
      </w:r>
    </w:p>
    <w:p>
      <w:pPr>
        <w:ind w:left="525" w:leftChars="250" w:firstLine="33" w:firstLineChars="16"/>
        <w:rPr>
          <w:szCs w:val="21"/>
        </w:rPr>
      </w:pPr>
      <w:r>
        <w:rPr>
          <w:szCs w:val="21"/>
        </w:rPr>
        <w:t>a)确定质量/环境/安全管理体系所需的过程及其在整个公司中的应用，对公司现有运行过程进行识别，确定主要</w:t>
      </w:r>
      <w:r>
        <w:rPr>
          <w:rFonts w:hint="eastAsia"/>
          <w:szCs w:val="21"/>
          <w:lang w:val="en-US" w:eastAsia="zh-CN"/>
        </w:rPr>
        <w:t>服务</w:t>
      </w:r>
      <w:r>
        <w:rPr>
          <w:szCs w:val="21"/>
        </w:rPr>
        <w:t>过程；</w:t>
      </w:r>
    </w:p>
    <w:p>
      <w:pPr>
        <w:ind w:firstLine="560"/>
        <w:rPr>
          <w:szCs w:val="21"/>
        </w:rPr>
      </w:pPr>
      <w:r>
        <w:rPr>
          <w:szCs w:val="21"/>
        </w:rPr>
        <w:t>b)确定每个过程所需的输入和期望的输出；</w:t>
      </w:r>
    </w:p>
    <w:p>
      <w:pPr>
        <w:ind w:firstLine="560"/>
        <w:rPr>
          <w:szCs w:val="21"/>
        </w:rPr>
      </w:pPr>
      <w:r>
        <w:rPr>
          <w:szCs w:val="21"/>
        </w:rPr>
        <w:t>c)确定这些过程的顺序和相互作用，对过程之间的关系进行清理；</w:t>
      </w:r>
    </w:p>
    <w:p>
      <w:pPr>
        <w:ind w:left="559" w:leftChars="266"/>
        <w:rPr>
          <w:szCs w:val="21"/>
        </w:rPr>
      </w:pPr>
      <w:r>
        <w:rPr>
          <w:szCs w:val="21"/>
        </w:rPr>
        <w:t>d)确定运行所需的准则、方法（包括监视、测量和相关的绩效指标），以确保这些过程的运行和有效控制；</w:t>
      </w:r>
    </w:p>
    <w:p>
      <w:pPr>
        <w:ind w:firstLine="560"/>
        <w:rPr>
          <w:szCs w:val="21"/>
        </w:rPr>
      </w:pPr>
      <w:r>
        <w:rPr>
          <w:szCs w:val="21"/>
        </w:rPr>
        <w:t>e)确定和提供资源，包括人力、设备、财力、环境等资源；</w:t>
      </w:r>
    </w:p>
    <w:p>
      <w:pPr>
        <w:ind w:firstLine="560"/>
        <w:rPr>
          <w:szCs w:val="21"/>
        </w:rPr>
      </w:pPr>
      <w:r>
        <w:rPr>
          <w:szCs w:val="21"/>
        </w:rPr>
        <w:t>f)规定各过程的责任和权限；</w:t>
      </w:r>
    </w:p>
    <w:p>
      <w:pPr>
        <w:ind w:firstLine="560"/>
        <w:rPr>
          <w:szCs w:val="21"/>
        </w:rPr>
      </w:pPr>
      <w:r>
        <w:rPr>
          <w:szCs w:val="21"/>
        </w:rPr>
        <w:t>g)确定产生非预期的输出或过程失效对产品、服务</w:t>
      </w:r>
      <w:r>
        <w:rPr>
          <w:rFonts w:hint="eastAsia"/>
          <w:szCs w:val="21"/>
        </w:rPr>
        <w:t>、环境</w:t>
      </w:r>
      <w:r>
        <w:rPr>
          <w:szCs w:val="21"/>
        </w:rPr>
        <w:t>和顾客满意带来的风险；</w:t>
      </w:r>
    </w:p>
    <w:p>
      <w:pPr>
        <w:ind w:firstLine="560"/>
        <w:rPr>
          <w:szCs w:val="21"/>
        </w:rPr>
      </w:pPr>
      <w:r>
        <w:rPr>
          <w:szCs w:val="21"/>
        </w:rPr>
        <w:t>h)实施所需的措施以实现策划的结果；</w:t>
      </w:r>
    </w:p>
    <w:p>
      <w:pPr>
        <w:ind w:firstLine="560"/>
        <w:rPr>
          <w:szCs w:val="21"/>
        </w:rPr>
      </w:pPr>
      <w:r>
        <w:rPr>
          <w:szCs w:val="21"/>
        </w:rPr>
        <w:t>i)监测、分析这些过程，必要时变更，以确保过程持续产生期望的结果；</w:t>
      </w:r>
    </w:p>
    <w:p>
      <w:pPr>
        <w:ind w:firstLine="560"/>
        <w:rPr>
          <w:szCs w:val="21"/>
        </w:rPr>
      </w:pPr>
      <w:r>
        <w:rPr>
          <w:szCs w:val="21"/>
        </w:rPr>
        <w:t>j)确保持续改进这些过程。</w:t>
      </w:r>
    </w:p>
    <w:p>
      <w:pPr>
        <w:ind w:firstLine="560"/>
        <w:rPr>
          <w:szCs w:val="21"/>
        </w:rPr>
      </w:pPr>
      <w:r>
        <w:rPr>
          <w:szCs w:val="21"/>
        </w:rPr>
        <w:t>4.4.2与过程有关的名词解释</w:t>
      </w:r>
    </w:p>
    <w:p>
      <w:pPr>
        <w:ind w:left="525" w:leftChars="250" w:firstLine="33" w:firstLineChars="16"/>
        <w:rPr>
          <w:szCs w:val="21"/>
        </w:rPr>
      </w:pPr>
      <w:r>
        <w:rPr>
          <w:szCs w:val="21"/>
        </w:rPr>
        <w:t>过程：一组将输入转化为输出的相互关联的或相互作用的活动。过程是为顾客（内部的或外部的）提供产品或服务的一系列活动，过程开始于输入，以输出为结束。</w:t>
      </w:r>
    </w:p>
    <w:p>
      <w:pPr>
        <w:ind w:firstLine="560"/>
        <w:rPr>
          <w:szCs w:val="21"/>
        </w:rPr>
      </w:pPr>
      <w:r>
        <w:rPr>
          <w:szCs w:val="21"/>
        </w:rPr>
        <w:t>公司的质量/环境/安全管理体系按类型分为：顾客导向过程（COP）、支持过程（SP）、管理过程（MP）。</w:t>
      </w:r>
    </w:p>
    <w:p>
      <w:pPr>
        <w:ind w:left="559" w:leftChars="266"/>
        <w:rPr>
          <w:szCs w:val="21"/>
        </w:rPr>
      </w:pPr>
      <w:r>
        <w:rPr>
          <w:szCs w:val="21"/>
        </w:rPr>
        <w:t>顾客导向过程：通过输入和输出直接和外部顾客联系的过程，直接对顾客产生影响，是给公司直接带来效益的过程。</w:t>
      </w:r>
    </w:p>
    <w:p>
      <w:pPr>
        <w:ind w:left="559" w:leftChars="266"/>
        <w:rPr>
          <w:szCs w:val="21"/>
        </w:rPr>
      </w:pPr>
      <w:r>
        <w:rPr>
          <w:szCs w:val="21"/>
        </w:rPr>
        <w:t>支持过程：提供主要资源或能力，为了实现公司的经营目标，支持顾客导向过程实现预计目标的过程，支持过程是实现顾客导向过程功能的必要过程。</w:t>
      </w:r>
    </w:p>
    <w:p>
      <w:pPr>
        <w:ind w:left="525" w:leftChars="250" w:firstLine="33" w:firstLineChars="16"/>
        <w:rPr>
          <w:szCs w:val="21"/>
        </w:rPr>
      </w:pPr>
      <w:r>
        <w:rPr>
          <w:szCs w:val="21"/>
        </w:rPr>
        <w:t>管理过程：用来衡量和评价顾客导向过程和支持过程的有效性和效率，公司策划将顾客要求转化为公司衡量的目标和指标，确定公司公司结构，产生公司决策和目标及更改等过程。</w:t>
      </w:r>
    </w:p>
    <w:p>
      <w:pPr>
        <w:ind w:firstLine="560"/>
        <w:rPr>
          <w:szCs w:val="21"/>
        </w:rPr>
      </w:pPr>
      <w:r>
        <w:rPr>
          <w:szCs w:val="21"/>
        </w:rPr>
        <w:t>4.4.3主要过程识别</w:t>
      </w:r>
      <w:r>
        <w:rPr>
          <w:rFonts w:hint="eastAsia"/>
          <w:szCs w:val="21"/>
        </w:rPr>
        <w:t>如附录B</w:t>
      </w:r>
    </w:p>
    <w:p>
      <w:pPr>
        <w:ind w:firstLine="560"/>
        <w:rPr>
          <w:sz w:val="18"/>
          <w:szCs w:val="18"/>
        </w:rPr>
      </w:pPr>
      <w:r>
        <w:rPr>
          <w:szCs w:val="21"/>
        </w:rPr>
        <w:t>4.4.4过程与过程之间的相互关系</w:t>
      </w:r>
      <w:r>
        <w:rPr>
          <w:rFonts w:hint="eastAsia"/>
          <w:szCs w:val="21"/>
        </w:rPr>
        <w:t xml:space="preserve">如附录C </w:t>
      </w:r>
    </w:p>
    <w:p>
      <w:pPr>
        <w:ind w:firstLine="560"/>
        <w:rPr>
          <w:szCs w:val="21"/>
        </w:rPr>
      </w:pPr>
      <w:r>
        <w:rPr>
          <w:szCs w:val="21"/>
        </w:rPr>
        <w:t>4.4.5质量管理体系过程职责分配与过程关系表</w:t>
      </w:r>
      <w:r>
        <w:rPr>
          <w:rFonts w:hint="eastAsia"/>
          <w:szCs w:val="21"/>
        </w:rPr>
        <w:t>如附录D</w:t>
      </w:r>
    </w:p>
    <w:p>
      <w:pPr>
        <w:ind w:firstLine="525" w:firstLineChars="250"/>
        <w:jc w:val="left"/>
        <w:rPr>
          <w:szCs w:val="21"/>
        </w:rPr>
      </w:pPr>
      <w:r>
        <w:rPr>
          <w:szCs w:val="21"/>
        </w:rPr>
        <w:t>环境</w:t>
      </w:r>
      <w:r>
        <w:rPr>
          <w:rFonts w:hint="eastAsia"/>
          <w:szCs w:val="21"/>
        </w:rPr>
        <w:t>安全</w:t>
      </w:r>
      <w:r>
        <w:rPr>
          <w:szCs w:val="21"/>
        </w:rPr>
        <w:t>管理体系过程职责分配与过程关系表</w:t>
      </w:r>
      <w:r>
        <w:rPr>
          <w:rFonts w:hint="eastAsia"/>
          <w:szCs w:val="21"/>
        </w:rPr>
        <w:t>如附录E</w:t>
      </w:r>
    </w:p>
    <w:p>
      <w:pPr>
        <w:ind w:left="525" w:leftChars="250" w:firstLine="33" w:firstLineChars="16"/>
        <w:rPr>
          <w:szCs w:val="21"/>
        </w:rPr>
      </w:pPr>
      <w:r>
        <w:rPr>
          <w:szCs w:val="21"/>
        </w:rPr>
        <w:t>4.4.</w:t>
      </w:r>
      <w:r>
        <w:rPr>
          <w:rFonts w:hint="eastAsia"/>
          <w:szCs w:val="21"/>
        </w:rPr>
        <w:t>6</w:t>
      </w:r>
      <w:r>
        <w:rPr>
          <w:szCs w:val="21"/>
        </w:rPr>
        <w:t>公司制定流程图、管理制度、作业指导书、操作规范等文件以支持过程运行，并保留相关文件要求的记录，来证明其过程是按策划进行的。</w:t>
      </w:r>
    </w:p>
    <w:p>
      <w:pPr>
        <w:ind w:firstLine="560"/>
        <w:rPr>
          <w:b/>
          <w:szCs w:val="21"/>
        </w:rPr>
      </w:pPr>
      <w:r>
        <w:rPr>
          <w:b/>
          <w:szCs w:val="21"/>
        </w:rPr>
        <w:t>5领导作用</w:t>
      </w:r>
    </w:p>
    <w:p>
      <w:pPr>
        <w:ind w:firstLine="560"/>
        <w:rPr>
          <w:b/>
          <w:szCs w:val="21"/>
        </w:rPr>
      </w:pPr>
      <w:r>
        <w:rPr>
          <w:b/>
          <w:szCs w:val="21"/>
        </w:rPr>
        <w:t>5.1领导与承诺</w:t>
      </w:r>
    </w:p>
    <w:p>
      <w:pPr>
        <w:ind w:firstLine="560"/>
        <w:rPr>
          <w:szCs w:val="21"/>
        </w:rPr>
      </w:pPr>
      <w:r>
        <w:rPr>
          <w:szCs w:val="21"/>
        </w:rPr>
        <w:t>5.1.1总则</w:t>
      </w:r>
    </w:p>
    <w:p>
      <w:pPr>
        <w:ind w:firstLine="560"/>
        <w:rPr>
          <w:szCs w:val="21"/>
        </w:rPr>
      </w:pPr>
      <w:r>
        <w:rPr>
          <w:szCs w:val="21"/>
        </w:rPr>
        <w:t>总经理通过以下方面证实其对质量/环境/安全管理体系的领导作用与承诺：</w:t>
      </w:r>
    </w:p>
    <w:p>
      <w:pPr>
        <w:ind w:firstLine="560"/>
        <w:rPr>
          <w:szCs w:val="21"/>
        </w:rPr>
      </w:pPr>
      <w:r>
        <w:rPr>
          <w:szCs w:val="21"/>
        </w:rPr>
        <w:t>a)对公司的质量/环境/安全体系有效性负责</w:t>
      </w:r>
    </w:p>
    <w:p>
      <w:pPr>
        <w:ind w:firstLine="560"/>
        <w:rPr>
          <w:szCs w:val="21"/>
        </w:rPr>
      </w:pPr>
      <w:r>
        <w:rPr>
          <w:szCs w:val="21"/>
        </w:rPr>
        <w:t>b)确保质量/环境/安全方针和质量/环境/安全目标得到建立，并与公司的战略方向保持一致；</w:t>
      </w:r>
    </w:p>
    <w:p>
      <w:pPr>
        <w:ind w:firstLine="560"/>
        <w:rPr>
          <w:szCs w:val="21"/>
        </w:rPr>
      </w:pPr>
      <w:r>
        <w:rPr>
          <w:szCs w:val="21"/>
        </w:rPr>
        <w:t>c)确保质量/环境/安全方针在公司内得到理解和实施；</w:t>
      </w:r>
    </w:p>
    <w:p>
      <w:pPr>
        <w:ind w:firstLine="560"/>
        <w:rPr>
          <w:szCs w:val="21"/>
        </w:rPr>
      </w:pPr>
      <w:r>
        <w:rPr>
          <w:szCs w:val="21"/>
        </w:rPr>
        <w:t>d)确保质量/环境/安全管理体系要求纳入公司的经营运作；</w:t>
      </w:r>
    </w:p>
    <w:p>
      <w:pPr>
        <w:ind w:firstLine="560"/>
        <w:rPr>
          <w:szCs w:val="21"/>
        </w:rPr>
      </w:pPr>
      <w:r>
        <w:rPr>
          <w:szCs w:val="21"/>
        </w:rPr>
        <w:t>e)提高过程方法的意识和基于风险的方法；</w:t>
      </w:r>
    </w:p>
    <w:p>
      <w:pPr>
        <w:ind w:firstLine="560"/>
        <w:rPr>
          <w:szCs w:val="21"/>
        </w:rPr>
      </w:pPr>
      <w:r>
        <w:rPr>
          <w:szCs w:val="21"/>
        </w:rPr>
        <w:t>f)确保质量/环境/安全管理体系所需资源的获得；</w:t>
      </w:r>
    </w:p>
    <w:p>
      <w:pPr>
        <w:ind w:firstLine="560"/>
        <w:rPr>
          <w:szCs w:val="21"/>
        </w:rPr>
      </w:pPr>
      <w:r>
        <w:rPr>
          <w:szCs w:val="21"/>
        </w:rPr>
        <w:t>g)传达有效的质量/环境/安全管理以及满足质量/环境/安全管理体系、产品和服务要求的重要性；</w:t>
      </w:r>
    </w:p>
    <w:p>
      <w:pPr>
        <w:ind w:firstLine="560"/>
        <w:rPr>
          <w:szCs w:val="21"/>
        </w:rPr>
      </w:pPr>
      <w:r>
        <w:rPr>
          <w:szCs w:val="21"/>
        </w:rPr>
        <w:t>h)确保质量/环境/安全管理体系实现预期的输出；</w:t>
      </w:r>
    </w:p>
    <w:p>
      <w:pPr>
        <w:ind w:firstLine="560"/>
        <w:rPr>
          <w:szCs w:val="21"/>
        </w:rPr>
      </w:pPr>
      <w:r>
        <w:rPr>
          <w:szCs w:val="21"/>
        </w:rPr>
        <w:t>i)积极参与、指导和支持员工参与对质量/环境/安全管理体系的有效性做出贡献；</w:t>
      </w:r>
    </w:p>
    <w:p>
      <w:pPr>
        <w:ind w:firstLine="560"/>
        <w:rPr>
          <w:szCs w:val="21"/>
        </w:rPr>
      </w:pPr>
      <w:r>
        <w:rPr>
          <w:szCs w:val="21"/>
        </w:rPr>
        <w:t>j)增强持续改进和创新；</w:t>
      </w:r>
    </w:p>
    <w:p>
      <w:pPr>
        <w:ind w:firstLine="560"/>
        <w:rPr>
          <w:szCs w:val="21"/>
        </w:rPr>
      </w:pPr>
      <w:r>
        <w:rPr>
          <w:szCs w:val="21"/>
        </w:rPr>
        <w:t>k)支持其他的管理者在其负责的领域证实其领导作用。</w:t>
      </w:r>
    </w:p>
    <w:p>
      <w:pPr>
        <w:ind w:firstLine="560"/>
        <w:rPr>
          <w:szCs w:val="21"/>
        </w:rPr>
      </w:pPr>
      <w:r>
        <w:rPr>
          <w:szCs w:val="21"/>
        </w:rPr>
        <w:t>5.1.2以顾客为关注焦点</w:t>
      </w:r>
    </w:p>
    <w:p>
      <w:pPr>
        <w:ind w:firstLine="560"/>
        <w:rPr>
          <w:szCs w:val="21"/>
        </w:rPr>
      </w:pPr>
      <w:r>
        <w:rPr>
          <w:szCs w:val="21"/>
        </w:rPr>
        <w:t>总经理通过以下方面，证实其针对以顾客为关注焦点的领导作用和承诺：</w:t>
      </w:r>
    </w:p>
    <w:p>
      <w:pPr>
        <w:ind w:firstLine="560"/>
        <w:rPr>
          <w:szCs w:val="21"/>
        </w:rPr>
      </w:pPr>
      <w:r>
        <w:rPr>
          <w:szCs w:val="21"/>
        </w:rPr>
        <w:t>a)可能影响产品和服务符合性、顾客满意的风险得到识别和机遇的应对；</w:t>
      </w:r>
    </w:p>
    <w:p>
      <w:pPr>
        <w:ind w:firstLine="560"/>
        <w:rPr>
          <w:szCs w:val="21"/>
        </w:rPr>
      </w:pPr>
      <w:r>
        <w:rPr>
          <w:szCs w:val="21"/>
        </w:rPr>
        <w:t>b)顾客要求得到确定和满足；</w:t>
      </w:r>
    </w:p>
    <w:p>
      <w:pPr>
        <w:ind w:firstLine="560"/>
        <w:rPr>
          <w:szCs w:val="21"/>
        </w:rPr>
      </w:pPr>
      <w:r>
        <w:rPr>
          <w:szCs w:val="21"/>
        </w:rPr>
        <w:t>c)保持以稳定提供满足顾客和相关法规要求的产品和服务为焦点；</w:t>
      </w:r>
    </w:p>
    <w:p>
      <w:pPr>
        <w:ind w:firstLine="560"/>
        <w:rPr>
          <w:szCs w:val="21"/>
        </w:rPr>
      </w:pPr>
      <w:r>
        <w:rPr>
          <w:szCs w:val="21"/>
        </w:rPr>
        <w:t>d)保持以增强顾客满意为焦点；</w:t>
      </w:r>
    </w:p>
    <w:p>
      <w:pPr>
        <w:ind w:firstLine="560"/>
        <w:rPr>
          <w:b/>
          <w:szCs w:val="21"/>
        </w:rPr>
      </w:pPr>
      <w:r>
        <w:rPr>
          <w:b/>
          <w:szCs w:val="21"/>
        </w:rPr>
        <w:t>5.2质量/环境/安全方针</w:t>
      </w:r>
    </w:p>
    <w:p>
      <w:pPr>
        <w:ind w:left="525" w:leftChars="250" w:firstLine="33" w:firstLineChars="16"/>
        <w:rPr>
          <w:szCs w:val="21"/>
        </w:rPr>
      </w:pPr>
      <w:r>
        <w:rPr>
          <w:szCs w:val="21"/>
        </w:rPr>
        <w:t>为实现顾客满意的目的，确保顾客的需求和期望得到满足，并转化为本公司的产品和服务要求，特制定本公司的质量/环境/安全方针为：</w:t>
      </w:r>
    </w:p>
    <w:p>
      <w:pPr>
        <w:ind w:left="559" w:leftChars="266"/>
        <w:rPr>
          <w:rFonts w:hint="eastAsia" w:ascii="宋体" w:hAnsi="宋体" w:cs="宋体"/>
          <w:b/>
          <w:bCs/>
          <w:kern w:val="0"/>
          <w:sz w:val="28"/>
          <w:szCs w:val="28"/>
          <w:lang w:eastAsia="zh-CN"/>
        </w:rPr>
      </w:pPr>
      <w:r>
        <w:rPr>
          <w:rFonts w:hint="eastAsia" w:ascii="宋体" w:hAnsi="宋体" w:cs="宋体"/>
          <w:b/>
          <w:bCs/>
          <w:kern w:val="0"/>
          <w:sz w:val="28"/>
          <w:szCs w:val="28"/>
          <w:lang w:eastAsia="zh-CN"/>
        </w:rPr>
        <w:t>质量第一、降本增效、精益求精、遵纪守法、</w:t>
      </w:r>
    </w:p>
    <w:p>
      <w:pPr>
        <w:ind w:left="559" w:leftChars="266"/>
        <w:rPr>
          <w:rFonts w:hint="eastAsia" w:ascii="宋体" w:hAnsi="宋体" w:cs="宋体"/>
          <w:b/>
          <w:bCs/>
          <w:kern w:val="0"/>
          <w:sz w:val="28"/>
          <w:szCs w:val="28"/>
          <w:lang w:eastAsia="zh-CN"/>
        </w:rPr>
      </w:pPr>
      <w:r>
        <w:rPr>
          <w:rFonts w:hint="eastAsia" w:ascii="宋体" w:hAnsi="宋体" w:cs="宋体"/>
          <w:b/>
          <w:bCs/>
          <w:kern w:val="0"/>
          <w:sz w:val="28"/>
          <w:szCs w:val="28"/>
          <w:lang w:eastAsia="zh-CN"/>
        </w:rPr>
        <w:t>爱护环境、节能减耗、杜绝事故、消除隐患、持续改善。</w:t>
      </w:r>
    </w:p>
    <w:p>
      <w:pPr>
        <w:ind w:left="559" w:leftChars="266"/>
        <w:rPr>
          <w:b/>
          <w:szCs w:val="21"/>
        </w:rPr>
      </w:pPr>
      <w:r>
        <w:rPr>
          <w:szCs w:val="21"/>
        </w:rPr>
        <w:t>上述质量/环境/安全方针是以质量/环境/安全管理的基本原则为基础制定的，是本公司总的质量/环境/安全宗旨和质量/环境/安全方向。</w:t>
      </w:r>
    </w:p>
    <w:p>
      <w:pPr>
        <w:ind w:firstLine="560"/>
        <w:rPr>
          <w:szCs w:val="21"/>
        </w:rPr>
      </w:pPr>
      <w:r>
        <w:rPr>
          <w:szCs w:val="21"/>
        </w:rPr>
        <w:t>质量方针：</w:t>
      </w:r>
    </w:p>
    <w:p>
      <w:pPr>
        <w:ind w:firstLine="560"/>
        <w:rPr>
          <w:szCs w:val="21"/>
        </w:rPr>
      </w:pPr>
      <w:r>
        <w:rPr>
          <w:rFonts w:hint="eastAsia"/>
          <w:szCs w:val="21"/>
          <w:lang w:val="en-US" w:eastAsia="zh-CN"/>
        </w:rPr>
        <w:t>a）</w:t>
      </w:r>
      <w:r>
        <w:rPr>
          <w:szCs w:val="21"/>
        </w:rPr>
        <w:t>与公司未来的设想和战略相一致；</w:t>
      </w:r>
    </w:p>
    <w:p>
      <w:pPr>
        <w:ind w:firstLine="560"/>
        <w:rPr>
          <w:szCs w:val="21"/>
        </w:rPr>
      </w:pPr>
      <w:r>
        <w:rPr>
          <w:rFonts w:hint="eastAsia"/>
          <w:szCs w:val="21"/>
          <w:lang w:val="en-US" w:eastAsia="zh-CN"/>
        </w:rPr>
        <w:t>b）</w:t>
      </w:r>
      <w:r>
        <w:rPr>
          <w:szCs w:val="21"/>
        </w:rPr>
        <w:t>能够为所有员工得理解并贯彻落实；</w:t>
      </w:r>
    </w:p>
    <w:p>
      <w:pPr>
        <w:ind w:firstLine="560"/>
        <w:rPr>
          <w:szCs w:val="21"/>
        </w:rPr>
      </w:pPr>
      <w:r>
        <w:rPr>
          <w:rFonts w:hint="eastAsia"/>
          <w:szCs w:val="21"/>
          <w:lang w:val="en-US" w:eastAsia="zh-CN"/>
        </w:rPr>
        <w:t>c）</w:t>
      </w:r>
      <w:r>
        <w:rPr>
          <w:szCs w:val="21"/>
        </w:rPr>
        <w:t>表明总经理对质量以及为实现目标提供足够资源的承诺；</w:t>
      </w:r>
    </w:p>
    <w:p>
      <w:pPr>
        <w:ind w:firstLine="560"/>
        <w:rPr>
          <w:szCs w:val="21"/>
        </w:rPr>
      </w:pPr>
      <w:r>
        <w:rPr>
          <w:rFonts w:hint="eastAsia"/>
          <w:szCs w:val="21"/>
          <w:lang w:val="en-US" w:eastAsia="zh-CN"/>
        </w:rPr>
        <w:t>d）</w:t>
      </w:r>
      <w:r>
        <w:rPr>
          <w:szCs w:val="21"/>
        </w:rPr>
        <w:t>在总经理的正确领导下，促进对满足要求和增强顾客满意的承诺；</w:t>
      </w:r>
    </w:p>
    <w:p>
      <w:pPr>
        <w:ind w:firstLine="560"/>
        <w:rPr>
          <w:szCs w:val="21"/>
        </w:rPr>
      </w:pPr>
      <w:r>
        <w:rPr>
          <w:rFonts w:hint="eastAsia"/>
          <w:szCs w:val="21"/>
          <w:lang w:val="en-US" w:eastAsia="zh-CN"/>
        </w:rPr>
        <w:t>e）</w:t>
      </w:r>
      <w:r>
        <w:rPr>
          <w:szCs w:val="21"/>
        </w:rPr>
        <w:t>包括与顾客和其他相关方需求和期望满意程度和相关的持续改进；</w:t>
      </w:r>
    </w:p>
    <w:p>
      <w:pPr>
        <w:ind w:firstLine="560"/>
        <w:rPr>
          <w:szCs w:val="21"/>
        </w:rPr>
      </w:pPr>
      <w:r>
        <w:rPr>
          <w:rFonts w:hint="eastAsia"/>
          <w:szCs w:val="21"/>
          <w:lang w:val="en-US" w:eastAsia="zh-CN"/>
        </w:rPr>
        <w:t>f）</w:t>
      </w:r>
      <w:r>
        <w:rPr>
          <w:szCs w:val="21"/>
        </w:rPr>
        <w:t>以有效的方式表述，以高效的方式沟通，并且公示，可为相关方获取。</w:t>
      </w:r>
    </w:p>
    <w:p>
      <w:pPr>
        <w:ind w:firstLine="560"/>
        <w:rPr>
          <w:szCs w:val="21"/>
        </w:rPr>
      </w:pPr>
      <w:r>
        <w:rPr>
          <w:rFonts w:hint="eastAsia"/>
          <w:szCs w:val="21"/>
        </w:rPr>
        <w:t>环境方针：</w:t>
      </w:r>
    </w:p>
    <w:p>
      <w:pPr>
        <w:ind w:firstLine="560"/>
        <w:rPr>
          <w:szCs w:val="21"/>
        </w:rPr>
      </w:pPr>
      <w:r>
        <w:rPr>
          <w:rFonts w:hint="eastAsia"/>
          <w:szCs w:val="21"/>
        </w:rPr>
        <w:t>a）其适合于组织的目的和背景，背景包括组织的性质、规模和其活动、产品和服务的环境影响；</w:t>
      </w:r>
    </w:p>
    <w:p>
      <w:pPr>
        <w:ind w:firstLine="560"/>
        <w:rPr>
          <w:szCs w:val="21"/>
        </w:rPr>
      </w:pPr>
      <w:r>
        <w:rPr>
          <w:rFonts w:hint="eastAsia"/>
          <w:szCs w:val="21"/>
        </w:rPr>
        <w:t>b）为设定环境目标提供框架；</w:t>
      </w:r>
    </w:p>
    <w:p>
      <w:pPr>
        <w:ind w:firstLine="560"/>
        <w:rPr>
          <w:szCs w:val="21"/>
        </w:rPr>
      </w:pPr>
      <w:r>
        <w:rPr>
          <w:rFonts w:hint="eastAsia"/>
          <w:szCs w:val="21"/>
        </w:rPr>
        <w:t>c）包括对环境保护的承诺，包括了防止污染和组织背景有关的其他细节；</w:t>
      </w:r>
    </w:p>
    <w:p>
      <w:pPr>
        <w:ind w:firstLine="560"/>
        <w:rPr>
          <w:szCs w:val="21"/>
        </w:rPr>
      </w:pPr>
      <w:r>
        <w:rPr>
          <w:rFonts w:hint="eastAsia"/>
          <w:szCs w:val="21"/>
        </w:rPr>
        <w:t>注：环境保护的其他详细的承诺可以包括：可持续资源的使用，缓解和适应气候变化，保护生</w:t>
      </w:r>
    </w:p>
    <w:p>
      <w:pPr>
        <w:ind w:firstLine="560"/>
        <w:rPr>
          <w:szCs w:val="21"/>
        </w:rPr>
      </w:pPr>
      <w:r>
        <w:rPr>
          <w:rFonts w:hint="eastAsia"/>
          <w:szCs w:val="21"/>
        </w:rPr>
        <w:t>物多样性和生态系统，或者其他相关的环境因素。</w:t>
      </w:r>
    </w:p>
    <w:p>
      <w:pPr>
        <w:ind w:firstLine="560"/>
        <w:rPr>
          <w:szCs w:val="21"/>
        </w:rPr>
      </w:pPr>
      <w:r>
        <w:rPr>
          <w:rFonts w:hint="eastAsia"/>
          <w:szCs w:val="21"/>
        </w:rPr>
        <w:t>d）包括遵守合规性要求的承诺；</w:t>
      </w:r>
    </w:p>
    <w:p>
      <w:pPr>
        <w:ind w:firstLine="560"/>
        <w:rPr>
          <w:szCs w:val="21"/>
        </w:rPr>
      </w:pPr>
      <w:r>
        <w:rPr>
          <w:rFonts w:hint="eastAsia"/>
          <w:szCs w:val="21"/>
        </w:rPr>
        <w:t>e）包括为增强环境绩效持续改进环境管理体系的承诺</w:t>
      </w:r>
    </w:p>
    <w:p>
      <w:pPr>
        <w:ind w:firstLine="560"/>
        <w:rPr>
          <w:szCs w:val="21"/>
        </w:rPr>
      </w:pPr>
      <w:r>
        <w:rPr>
          <w:rFonts w:hint="eastAsia"/>
          <w:szCs w:val="21"/>
        </w:rPr>
        <w:t>安全方针应满足下列要求：</w:t>
      </w:r>
    </w:p>
    <w:p>
      <w:pPr>
        <w:ind w:firstLine="560"/>
        <w:rPr>
          <w:szCs w:val="21"/>
        </w:rPr>
      </w:pPr>
      <w:r>
        <w:rPr>
          <w:rFonts w:hint="eastAsia"/>
          <w:szCs w:val="21"/>
        </w:rPr>
        <w:t>a) 适合组织的职业健康安全风险的性质和规模；</w:t>
      </w:r>
    </w:p>
    <w:p>
      <w:pPr>
        <w:ind w:left="0" w:leftChars="0" w:firstLine="579" w:firstLineChars="276"/>
        <w:rPr>
          <w:szCs w:val="21"/>
        </w:rPr>
      </w:pPr>
      <w:r>
        <w:rPr>
          <w:rFonts w:hint="eastAsia"/>
          <w:szCs w:val="21"/>
        </w:rPr>
        <w:t>b) 包括对预防伤害和疾病，以及持续改进职业健康安全管理和职业健康安全绩效的承诺；</w:t>
      </w:r>
    </w:p>
    <w:p>
      <w:pPr>
        <w:ind w:firstLine="560"/>
        <w:rPr>
          <w:szCs w:val="21"/>
        </w:rPr>
      </w:pPr>
      <w:r>
        <w:rPr>
          <w:rFonts w:hint="eastAsia"/>
          <w:szCs w:val="21"/>
        </w:rPr>
        <w:t>c) 包括对组织至少遵守现行职业健康安全法规和组织接受的其他要求的承诺；</w:t>
      </w:r>
    </w:p>
    <w:p>
      <w:pPr>
        <w:ind w:firstLine="560"/>
        <w:rPr>
          <w:szCs w:val="21"/>
        </w:rPr>
      </w:pPr>
      <w:r>
        <w:rPr>
          <w:rFonts w:hint="eastAsia"/>
          <w:szCs w:val="21"/>
        </w:rPr>
        <w:t>d) 传达到全体员工，使其认识各自的职业健康安全义务；</w:t>
      </w:r>
    </w:p>
    <w:p>
      <w:pPr>
        <w:ind w:firstLine="560"/>
        <w:rPr>
          <w:szCs w:val="21"/>
        </w:rPr>
      </w:pPr>
      <w:r>
        <w:rPr>
          <w:rFonts w:hint="eastAsia"/>
          <w:szCs w:val="21"/>
        </w:rPr>
        <w:t>e) 可为相关方所获取；</w:t>
      </w:r>
    </w:p>
    <w:p>
      <w:pPr>
        <w:ind w:firstLine="560"/>
        <w:rPr>
          <w:b/>
          <w:szCs w:val="21"/>
        </w:rPr>
      </w:pPr>
      <w:r>
        <w:rPr>
          <w:b/>
          <w:szCs w:val="21"/>
        </w:rPr>
        <w:t>5.3公司的岗位、职责和权限</w:t>
      </w:r>
    </w:p>
    <w:p>
      <w:pPr>
        <w:ind w:left="525" w:leftChars="250" w:firstLine="33" w:firstLineChars="16"/>
        <w:rPr>
          <w:szCs w:val="21"/>
        </w:rPr>
      </w:pPr>
      <w:r>
        <w:rPr>
          <w:szCs w:val="21"/>
        </w:rPr>
        <w:t>5.3.</w:t>
      </w:r>
      <w:r>
        <w:rPr>
          <w:rFonts w:hint="eastAsia"/>
          <w:szCs w:val="21"/>
        </w:rPr>
        <w:t>1</w:t>
      </w:r>
      <w:r>
        <w:rPr>
          <w:szCs w:val="21"/>
        </w:rPr>
        <w:t>总经理对质量/环境/安全管理体系的有效性负责，</w:t>
      </w:r>
      <w:r>
        <w:rPr>
          <w:rFonts w:hint="eastAsia"/>
          <w:szCs w:val="21"/>
          <w:lang w:val="en-US" w:eastAsia="zh-CN"/>
        </w:rPr>
        <w:t>公司同时</w:t>
      </w:r>
      <w:r>
        <w:rPr>
          <w:szCs w:val="21"/>
        </w:rPr>
        <w:t>任命</w:t>
      </w:r>
      <w:r>
        <w:rPr>
          <w:rFonts w:hint="eastAsia"/>
          <w:b/>
          <w:bCs/>
          <w:szCs w:val="21"/>
          <w:u w:val="single"/>
          <w:lang w:val="en-US" w:eastAsia="zh-CN"/>
        </w:rPr>
        <w:t>罗锦霞</w:t>
      </w:r>
      <w:r>
        <w:rPr>
          <w:szCs w:val="21"/>
        </w:rPr>
        <w:t>为质量/环境/安全管理体系负责人，其职责和权限如下：</w:t>
      </w:r>
    </w:p>
    <w:p>
      <w:pPr>
        <w:ind w:firstLine="560"/>
        <w:rPr>
          <w:szCs w:val="21"/>
        </w:rPr>
      </w:pPr>
      <w:r>
        <w:rPr>
          <w:szCs w:val="21"/>
        </w:rPr>
        <w:t>a) 确保质量/环境/安全管理体系符合本标准的要求；</w:t>
      </w:r>
    </w:p>
    <w:p>
      <w:pPr>
        <w:ind w:firstLine="560"/>
        <w:rPr>
          <w:szCs w:val="21"/>
        </w:rPr>
      </w:pPr>
      <w:r>
        <w:rPr>
          <w:szCs w:val="21"/>
        </w:rPr>
        <w:t>b) 确保过程相互作用并产生期望的结果；</w:t>
      </w:r>
    </w:p>
    <w:p>
      <w:pPr>
        <w:ind w:firstLine="560"/>
        <w:rPr>
          <w:szCs w:val="21"/>
        </w:rPr>
      </w:pPr>
      <w:r>
        <w:rPr>
          <w:szCs w:val="21"/>
        </w:rPr>
        <w:t>c) 向总经理报告质量/环境/安全管理体系的绩效和任何改进的需求；</w:t>
      </w:r>
    </w:p>
    <w:p>
      <w:pPr>
        <w:ind w:left="567" w:leftChars="270"/>
        <w:rPr>
          <w:szCs w:val="21"/>
        </w:rPr>
      </w:pPr>
      <w:r>
        <w:rPr>
          <w:szCs w:val="21"/>
        </w:rPr>
        <w:t>d) 确保在整个公司内提高满足顾客要求的意识</w:t>
      </w:r>
      <w:r>
        <w:rPr>
          <w:rFonts w:hint="eastAsia"/>
          <w:szCs w:val="21"/>
        </w:rPr>
        <w:t>，确保所有承担管理职责的人员，都应该表明职业健康安全以及环境绩效持续改进的承诺。</w:t>
      </w:r>
      <w:r>
        <w:rPr>
          <w:szCs w:val="21"/>
        </w:rPr>
        <w:t>；</w:t>
      </w:r>
    </w:p>
    <w:p>
      <w:pPr>
        <w:ind w:firstLine="560"/>
        <w:rPr>
          <w:szCs w:val="21"/>
        </w:rPr>
      </w:pPr>
      <w:r>
        <w:rPr>
          <w:szCs w:val="21"/>
        </w:rPr>
        <w:t>e )确保体系在任何情况下的完整性。</w:t>
      </w:r>
    </w:p>
    <w:p>
      <w:pPr>
        <w:pStyle w:val="14"/>
        <w:spacing w:line="400" w:lineRule="exact"/>
        <w:ind w:firstLine="480"/>
        <w:rPr>
          <w:rFonts w:ascii="Times New Roman" w:hAnsi="Times New Roman"/>
          <w:szCs w:val="21"/>
        </w:rPr>
      </w:pPr>
      <w:r>
        <w:rPr>
          <w:rFonts w:hint="eastAsia" w:ascii="Times New Roman" w:hAnsi="Times New Roman"/>
          <w:szCs w:val="21"/>
        </w:rPr>
        <w:t>总经理任命</w:t>
      </w:r>
      <w:r>
        <w:rPr>
          <w:rFonts w:hint="eastAsia" w:ascii="Times New Roman" w:hAnsi="Times New Roman" w:eastAsia="宋体" w:cs="Times New Roman"/>
          <w:b/>
          <w:bCs/>
          <w:kern w:val="2"/>
          <w:sz w:val="21"/>
          <w:szCs w:val="21"/>
          <w:u w:val="single"/>
          <w:lang w:val="en-US" w:eastAsia="zh-CN" w:bidi="ar-SA"/>
        </w:rPr>
        <w:t>胡明飞</w:t>
      </w:r>
      <w:r>
        <w:rPr>
          <w:rFonts w:hint="eastAsia" w:ascii="Times New Roman" w:hAnsi="Times New Roman"/>
          <w:szCs w:val="21"/>
        </w:rPr>
        <w:t>同志为安全事务代表，负责以下事务：</w:t>
      </w:r>
    </w:p>
    <w:p>
      <w:pPr>
        <w:ind w:left="0" w:leftChars="0" w:firstLine="420" w:firstLineChars="0"/>
        <w:rPr>
          <w:rFonts w:hint="eastAsia"/>
          <w:szCs w:val="21"/>
          <w:lang w:val="zh-CN"/>
        </w:rPr>
      </w:pPr>
      <w:r>
        <w:rPr>
          <w:rFonts w:hint="eastAsia"/>
          <w:szCs w:val="21"/>
          <w:lang w:val="en-US" w:eastAsia="zh-CN"/>
        </w:rPr>
        <w:t>1、</w:t>
      </w:r>
      <w:r>
        <w:rPr>
          <w:rFonts w:hint="eastAsia"/>
          <w:szCs w:val="21"/>
          <w:lang w:val="zh-CN"/>
        </w:rPr>
        <w:t>广泛收集员工提出的合理建议或意见，做好公司与员工之间的桥梁和纽带作用；</w:t>
      </w:r>
    </w:p>
    <w:p>
      <w:pPr>
        <w:ind w:left="0" w:leftChars="0" w:firstLine="420" w:firstLineChars="0"/>
        <w:rPr>
          <w:rFonts w:hint="eastAsia"/>
          <w:szCs w:val="21"/>
          <w:lang w:val="zh-CN"/>
        </w:rPr>
      </w:pPr>
      <w:r>
        <w:rPr>
          <w:rFonts w:hint="eastAsia"/>
          <w:szCs w:val="21"/>
          <w:lang w:val="en-US" w:eastAsia="zh-CN"/>
        </w:rPr>
        <w:t>2、</w:t>
      </w:r>
      <w:r>
        <w:rPr>
          <w:rFonts w:hint="eastAsia"/>
          <w:szCs w:val="21"/>
          <w:lang w:val="zh-CN"/>
        </w:rPr>
        <w:t>协调员工内部关系，解决员工之间存在的一些矛盾问题；</w:t>
      </w:r>
    </w:p>
    <w:p>
      <w:pPr>
        <w:ind w:left="0" w:leftChars="0" w:firstLine="420" w:firstLineChars="0"/>
        <w:rPr>
          <w:rFonts w:hint="eastAsia"/>
          <w:szCs w:val="21"/>
          <w:lang w:val="zh-CN"/>
        </w:rPr>
      </w:pPr>
      <w:r>
        <w:rPr>
          <w:rFonts w:hint="eastAsia"/>
          <w:szCs w:val="21"/>
          <w:lang w:val="en-US" w:eastAsia="zh-CN"/>
        </w:rPr>
        <w:t>3、</w:t>
      </w:r>
      <w:r>
        <w:rPr>
          <w:rFonts w:hint="eastAsia"/>
          <w:szCs w:val="21"/>
          <w:lang w:val="zh-CN"/>
        </w:rPr>
        <w:t>参与员工意见或建议的回复；</w:t>
      </w:r>
    </w:p>
    <w:p>
      <w:pPr>
        <w:ind w:left="0" w:leftChars="0" w:firstLine="420" w:firstLineChars="0"/>
        <w:rPr>
          <w:rFonts w:hint="eastAsia"/>
          <w:szCs w:val="21"/>
          <w:lang w:val="zh-CN"/>
        </w:rPr>
      </w:pPr>
      <w:r>
        <w:rPr>
          <w:rFonts w:hint="eastAsia"/>
          <w:szCs w:val="21"/>
          <w:lang w:val="en-US" w:eastAsia="zh-CN"/>
        </w:rPr>
        <w:t>4、</w:t>
      </w:r>
      <w:r>
        <w:rPr>
          <w:rFonts w:hint="eastAsia"/>
          <w:szCs w:val="21"/>
          <w:lang w:val="zh-CN"/>
        </w:rPr>
        <w:t>负责与员工在职业健康安全方面进行沟通，及时把员工的建议整理分类并认真负责地反馈给公司；</w:t>
      </w:r>
    </w:p>
    <w:p>
      <w:pPr>
        <w:ind w:left="0" w:leftChars="0" w:firstLine="420" w:firstLineChars="0"/>
        <w:rPr>
          <w:rFonts w:hint="eastAsia"/>
          <w:szCs w:val="21"/>
          <w:lang w:val="zh-CN"/>
        </w:rPr>
      </w:pPr>
      <w:r>
        <w:rPr>
          <w:rFonts w:hint="eastAsia"/>
          <w:szCs w:val="21"/>
          <w:lang w:val="en-US" w:eastAsia="zh-CN"/>
        </w:rPr>
        <w:t>5、</w:t>
      </w:r>
      <w:r>
        <w:rPr>
          <w:rFonts w:hint="eastAsia"/>
          <w:szCs w:val="21"/>
          <w:lang w:val="zh-CN"/>
        </w:rPr>
        <w:t>负责对员工劳动保护措施的监督协调，督促有关部门及时发放劳保用品做好职业病的防治工作，适当参与危险源辨识、风险评价和确定控制措施；</w:t>
      </w:r>
    </w:p>
    <w:p>
      <w:pPr>
        <w:ind w:left="0" w:leftChars="0" w:firstLine="420" w:firstLineChars="0"/>
        <w:rPr>
          <w:rFonts w:hint="eastAsia"/>
          <w:szCs w:val="21"/>
          <w:lang w:val="zh-CN"/>
        </w:rPr>
      </w:pPr>
      <w:r>
        <w:rPr>
          <w:rFonts w:hint="eastAsia"/>
          <w:szCs w:val="21"/>
          <w:lang w:val="en-US" w:eastAsia="zh-CN"/>
        </w:rPr>
        <w:t>6、</w:t>
      </w:r>
      <w:r>
        <w:rPr>
          <w:rFonts w:hint="eastAsia"/>
          <w:szCs w:val="21"/>
          <w:lang w:val="zh-CN"/>
        </w:rPr>
        <w:t>参与职业健康安全方针与目标的制定与评审及有关任何变更的评审；</w:t>
      </w:r>
    </w:p>
    <w:p>
      <w:pPr>
        <w:ind w:left="0" w:leftChars="0" w:firstLine="420" w:firstLineChars="0"/>
        <w:rPr>
          <w:rFonts w:hint="eastAsia" w:ascii="Times New Roman" w:hAnsi="Times New Roman"/>
          <w:szCs w:val="21"/>
        </w:rPr>
      </w:pPr>
      <w:r>
        <w:rPr>
          <w:rFonts w:hint="eastAsia"/>
          <w:szCs w:val="21"/>
          <w:lang w:val="en-US" w:eastAsia="zh-CN"/>
        </w:rPr>
        <w:t>7、</w:t>
      </w:r>
      <w:r>
        <w:rPr>
          <w:rFonts w:hint="eastAsia"/>
          <w:szCs w:val="21"/>
          <w:lang w:val="zh-CN"/>
        </w:rPr>
        <w:t>负责有关职业健康安全方面的信息的传递和沟通。</w:t>
      </w:r>
    </w:p>
    <w:p>
      <w:pPr>
        <w:ind w:left="420" w:leftChars="200"/>
        <w:rPr>
          <w:szCs w:val="21"/>
        </w:rPr>
      </w:pPr>
      <w:r>
        <w:rPr>
          <w:szCs w:val="21"/>
        </w:rPr>
        <w:t>5.3.2总经理策划和批准组建公司的部门组成和架构，并规定各管理层、各部门、流程、岗位的职责和权限，确保公司内相关的职责、权限得到规定和沟通。</w:t>
      </w:r>
    </w:p>
    <w:p>
      <w:pPr>
        <w:ind w:left="420" w:leftChars="200"/>
        <w:rPr>
          <w:szCs w:val="21"/>
        </w:rPr>
      </w:pPr>
      <w:r>
        <w:rPr>
          <w:szCs w:val="21"/>
        </w:rPr>
        <w:t>各部门之间的质量/环境/安全管理职能的分配见 “质量/环境/安全管理体系过程职责分配与过程关系表”。</w:t>
      </w:r>
    </w:p>
    <w:p>
      <w:pPr>
        <w:ind w:left="420" w:leftChars="200"/>
        <w:rPr>
          <w:szCs w:val="21"/>
        </w:rPr>
      </w:pPr>
      <w:r>
        <w:rPr>
          <w:szCs w:val="21"/>
        </w:rPr>
        <w:t>5.3.3总经理应策划和批准组建公司内的岗位相关职责与权限。</w:t>
      </w:r>
      <w:r>
        <w:rPr>
          <w:rFonts w:hint="eastAsia"/>
          <w:szCs w:val="21"/>
        </w:rPr>
        <w:t>具体如下：</w:t>
      </w:r>
    </w:p>
    <w:p>
      <w:pPr>
        <w:ind w:left="420" w:leftChars="200"/>
        <w:rPr>
          <w:rFonts w:hint="eastAsia" w:eastAsia="宋体"/>
          <w:szCs w:val="21"/>
          <w:lang w:eastAsia="zh-CN"/>
        </w:rPr>
      </w:pPr>
      <w:r>
        <w:rPr>
          <w:rFonts w:hint="eastAsia"/>
          <w:szCs w:val="21"/>
          <w:lang w:eastAsia="zh-CN"/>
        </w:rPr>
        <w:t>行政人事部</w:t>
      </w:r>
    </w:p>
    <w:p>
      <w:pPr>
        <w:ind w:left="420" w:leftChars="200"/>
        <w:rPr>
          <w:rFonts w:hint="eastAsia"/>
          <w:szCs w:val="21"/>
        </w:rPr>
      </w:pPr>
      <w:r>
        <w:rPr>
          <w:rFonts w:hint="eastAsia"/>
          <w:szCs w:val="21"/>
        </w:rPr>
        <w:t>◆组织有关部门起草、修订质量环境职业健康安全体系文件，负责文件管理，包括发放、回收、归档、更改、保存、销毁并做好相关记录；</w:t>
      </w:r>
    </w:p>
    <w:p>
      <w:pPr>
        <w:ind w:left="420" w:leftChars="200"/>
        <w:rPr>
          <w:rFonts w:hint="eastAsia"/>
          <w:szCs w:val="21"/>
        </w:rPr>
      </w:pPr>
      <w:r>
        <w:rPr>
          <w:rFonts w:hint="eastAsia"/>
          <w:szCs w:val="21"/>
        </w:rPr>
        <w:t>◆负责记录的管理并规定记录保存期限，并保存所有体系文件和记录表单电子档备，组织对现有体系文件定期评审，必要时进行更新；</w:t>
      </w:r>
    </w:p>
    <w:p>
      <w:pPr>
        <w:ind w:left="420" w:leftChars="200"/>
        <w:rPr>
          <w:rFonts w:hint="eastAsia"/>
          <w:szCs w:val="21"/>
        </w:rPr>
      </w:pPr>
      <w:r>
        <w:rPr>
          <w:rFonts w:hint="eastAsia"/>
          <w:szCs w:val="21"/>
        </w:rPr>
        <w:t>◆负责向相关员工进行质量、安全、环保等方面的培训教育，提高员工的质量、环保和安全意识；</w:t>
      </w:r>
    </w:p>
    <w:p>
      <w:pPr>
        <w:ind w:left="420" w:leftChars="200"/>
        <w:rPr>
          <w:rFonts w:hint="eastAsia"/>
          <w:szCs w:val="21"/>
        </w:rPr>
      </w:pPr>
      <w:r>
        <w:rPr>
          <w:rFonts w:hint="eastAsia"/>
          <w:szCs w:val="21"/>
        </w:rPr>
        <w:t>◆负责政府、行政主管部门的联络及公司内部沟通。对供方等相关方的环境、安全行为施加影响；</w:t>
      </w:r>
    </w:p>
    <w:p>
      <w:pPr>
        <w:ind w:left="420" w:leftChars="200"/>
        <w:rPr>
          <w:rFonts w:hint="eastAsia"/>
          <w:szCs w:val="21"/>
        </w:rPr>
      </w:pPr>
      <w:r>
        <w:rPr>
          <w:rFonts w:hint="eastAsia"/>
          <w:szCs w:val="21"/>
        </w:rPr>
        <w:t>◆负责对各部门的环境因素和危险源进行辨识、风险评价和控制措施的归口管理，提出职业健康安全方案并实施；</w:t>
      </w:r>
    </w:p>
    <w:p>
      <w:pPr>
        <w:ind w:left="420" w:leftChars="200"/>
        <w:rPr>
          <w:rFonts w:hint="eastAsia"/>
          <w:szCs w:val="21"/>
        </w:rPr>
      </w:pPr>
      <w:r>
        <w:rPr>
          <w:rFonts w:hint="eastAsia"/>
          <w:szCs w:val="21"/>
        </w:rPr>
        <w:t>◆负责第二方或第三方关于管理体系类的外部审查的策划、组织准备、接待，组织对外部审查所提出的问题整改和改进建议的沟通、实施和结果回复，综合外部审查的各项改进建议，结合公司的实际管理水平，持续改善公司的综合管理水平；</w:t>
      </w:r>
    </w:p>
    <w:p>
      <w:pPr>
        <w:ind w:left="420" w:leftChars="200"/>
        <w:rPr>
          <w:rFonts w:hint="eastAsia"/>
          <w:szCs w:val="21"/>
        </w:rPr>
      </w:pPr>
      <w:r>
        <w:rPr>
          <w:rFonts w:hint="eastAsia"/>
          <w:szCs w:val="21"/>
        </w:rPr>
        <w:t>◆负责管理评审、内部审核的组织落实，并保存管理评审和内部审核资料；</w:t>
      </w:r>
    </w:p>
    <w:p>
      <w:pPr>
        <w:ind w:left="420" w:leftChars="200"/>
        <w:rPr>
          <w:rFonts w:hint="eastAsia"/>
          <w:szCs w:val="21"/>
        </w:rPr>
      </w:pPr>
      <w:r>
        <w:rPr>
          <w:rFonts w:hint="eastAsia"/>
          <w:szCs w:val="21"/>
        </w:rPr>
        <w:t>◆制订公司各级员工劳保、后勤卫生等方面的实施方案；</w:t>
      </w:r>
    </w:p>
    <w:p>
      <w:pPr>
        <w:ind w:left="420" w:leftChars="200"/>
        <w:rPr>
          <w:rFonts w:hint="eastAsia"/>
          <w:szCs w:val="21"/>
        </w:rPr>
      </w:pPr>
      <w:r>
        <w:rPr>
          <w:rFonts w:hint="eastAsia"/>
          <w:szCs w:val="21"/>
        </w:rPr>
        <w:t>◆负责组织员工开展遵章守纪和预防事故的群众性活动。关心员工职业健康安全条件的改善，加强女职工和未成年工的保护；</w:t>
      </w:r>
    </w:p>
    <w:p>
      <w:pPr>
        <w:ind w:left="420" w:leftChars="200"/>
        <w:rPr>
          <w:rFonts w:hint="eastAsia"/>
          <w:szCs w:val="21"/>
        </w:rPr>
      </w:pPr>
      <w:r>
        <w:rPr>
          <w:rFonts w:hint="eastAsia"/>
          <w:szCs w:val="21"/>
        </w:rPr>
        <w:t>◆负责本部门环境、职业健康安全管理工作；</w:t>
      </w:r>
    </w:p>
    <w:p>
      <w:pPr>
        <w:ind w:left="420" w:leftChars="200"/>
        <w:rPr>
          <w:rFonts w:hint="eastAsia"/>
          <w:szCs w:val="21"/>
        </w:rPr>
      </w:pPr>
      <w:r>
        <w:rPr>
          <w:rFonts w:hint="eastAsia"/>
          <w:szCs w:val="21"/>
        </w:rPr>
        <w:t>◆负责环境、职业健康的不符合评定，参与不合格</w:t>
      </w:r>
      <w:r>
        <w:rPr>
          <w:rFonts w:hint="eastAsia"/>
          <w:szCs w:val="21"/>
          <w:lang w:val="en-US" w:eastAsia="zh-CN"/>
        </w:rPr>
        <w:t>服务</w:t>
      </w:r>
      <w:r>
        <w:rPr>
          <w:rFonts w:hint="eastAsia"/>
          <w:szCs w:val="21"/>
        </w:rPr>
        <w:t>的判定，组织相应部门制订相应的纠正预防和预防措施，并进行跟踪和验证；</w:t>
      </w:r>
    </w:p>
    <w:p>
      <w:pPr>
        <w:ind w:left="420" w:leftChars="200"/>
        <w:rPr>
          <w:rFonts w:hint="eastAsia"/>
          <w:szCs w:val="21"/>
        </w:rPr>
      </w:pPr>
      <w:r>
        <w:rPr>
          <w:rFonts w:hint="eastAsia"/>
          <w:szCs w:val="21"/>
        </w:rPr>
        <w:t>◆负责质量、环境和职业健康安全法律、法规的合规性评价；</w:t>
      </w:r>
    </w:p>
    <w:p>
      <w:pPr>
        <w:ind w:left="420" w:leftChars="200"/>
        <w:rPr>
          <w:rFonts w:hint="eastAsia"/>
          <w:szCs w:val="21"/>
          <w:lang w:val="en-US" w:eastAsia="zh-CN"/>
        </w:rPr>
      </w:pPr>
      <w:r>
        <w:rPr>
          <w:rFonts w:hint="eastAsia"/>
          <w:szCs w:val="21"/>
        </w:rPr>
        <w:t>◆</w:t>
      </w:r>
      <w:r>
        <w:rPr>
          <w:rFonts w:hint="eastAsia"/>
          <w:szCs w:val="21"/>
          <w:lang w:val="en-US" w:eastAsia="zh-CN"/>
        </w:rPr>
        <w:t>负责公司的环境、职业健康安全资金投入，劳保、环境设备、职业健康安全设备购买的策划；</w:t>
      </w:r>
    </w:p>
    <w:p>
      <w:pPr>
        <w:ind w:left="420" w:leftChars="200" w:firstLine="18" w:firstLineChars="9"/>
        <w:rPr>
          <w:rFonts w:hint="eastAsia"/>
          <w:szCs w:val="21"/>
        </w:rPr>
      </w:pPr>
      <w:r>
        <w:rPr>
          <w:rFonts w:hint="eastAsia"/>
          <w:szCs w:val="21"/>
        </w:rPr>
        <w:t>◆负责公司应急准备和响应的策划、定期演练，协助管代对紧急情况统一指挥；</w:t>
      </w:r>
    </w:p>
    <w:p>
      <w:pPr>
        <w:ind w:left="420" w:leftChars="200" w:firstLine="18" w:firstLineChars="9"/>
        <w:rPr>
          <w:rFonts w:hint="eastAsia"/>
          <w:szCs w:val="21"/>
        </w:rPr>
      </w:pPr>
      <w:r>
        <w:rPr>
          <w:rFonts w:hint="eastAsia"/>
          <w:szCs w:val="21"/>
        </w:rPr>
        <w:t>◆按规定对本部门的管理目标完成进行分析评价，改进和提高，确保年度目标达成。</w:t>
      </w:r>
    </w:p>
    <w:p>
      <w:pPr>
        <w:ind w:left="420" w:leftChars="200" w:firstLine="18" w:firstLineChars="9"/>
        <w:rPr>
          <w:rFonts w:hint="eastAsia"/>
          <w:szCs w:val="21"/>
          <w:lang w:val="en-US" w:eastAsia="zh-CN"/>
        </w:rPr>
      </w:pPr>
      <w:r>
        <w:rPr>
          <w:rFonts w:hint="eastAsia"/>
          <w:szCs w:val="21"/>
          <w:lang w:val="en-US" w:eastAsia="zh-CN"/>
        </w:rPr>
        <w:t>财务部</w:t>
      </w:r>
    </w:p>
    <w:p>
      <w:pPr>
        <w:ind w:left="420" w:leftChars="200" w:firstLine="105" w:firstLineChars="50"/>
        <w:rPr>
          <w:rFonts w:hint="eastAsia"/>
          <w:szCs w:val="21"/>
        </w:rPr>
      </w:pPr>
      <w:r>
        <w:rPr>
          <w:rFonts w:hint="eastAsia"/>
          <w:szCs w:val="21"/>
        </w:rPr>
        <w:t>◆负责公司财务计算、核算、监督、管理相关工作；</w:t>
      </w:r>
    </w:p>
    <w:p>
      <w:pPr>
        <w:ind w:left="420" w:leftChars="200" w:firstLine="105" w:firstLineChars="50"/>
        <w:rPr>
          <w:rFonts w:hint="eastAsia"/>
          <w:szCs w:val="21"/>
          <w:lang w:val="en-US" w:eastAsia="zh-CN"/>
        </w:rPr>
      </w:pPr>
      <w:r>
        <w:rPr>
          <w:rFonts w:hint="eastAsia"/>
          <w:szCs w:val="21"/>
        </w:rPr>
        <w:t>◆</w:t>
      </w:r>
      <w:r>
        <w:rPr>
          <w:rFonts w:hint="eastAsia"/>
          <w:szCs w:val="21"/>
          <w:lang w:val="en-US" w:eastAsia="zh-CN"/>
        </w:rPr>
        <w:t>负责公司环境安全资金的投入</w:t>
      </w:r>
    </w:p>
    <w:p>
      <w:pPr>
        <w:ind w:left="420" w:leftChars="200" w:firstLine="105" w:firstLineChars="50"/>
        <w:rPr>
          <w:rFonts w:hint="eastAsia"/>
          <w:szCs w:val="21"/>
        </w:rPr>
      </w:pPr>
      <w:r>
        <w:rPr>
          <w:rFonts w:hint="eastAsia"/>
          <w:szCs w:val="21"/>
        </w:rPr>
        <w:t>◆负责组织本部门进行环境因素和危险源的识别、评价、跟踪和更新；</w:t>
      </w:r>
    </w:p>
    <w:p>
      <w:pPr>
        <w:ind w:left="420" w:leftChars="200" w:firstLine="105" w:firstLineChars="50"/>
        <w:rPr>
          <w:rFonts w:hint="eastAsia"/>
          <w:szCs w:val="21"/>
        </w:rPr>
      </w:pPr>
      <w:r>
        <w:rPr>
          <w:rFonts w:hint="eastAsia"/>
          <w:szCs w:val="21"/>
        </w:rPr>
        <w:t xml:space="preserve">◆做好本部门质量、环境和职业健康安全的管理工作； </w:t>
      </w:r>
    </w:p>
    <w:p>
      <w:pPr>
        <w:ind w:left="420" w:leftChars="200" w:firstLine="105" w:firstLineChars="50"/>
        <w:rPr>
          <w:rFonts w:hint="eastAsia"/>
          <w:szCs w:val="21"/>
        </w:rPr>
      </w:pPr>
      <w:r>
        <w:rPr>
          <w:rFonts w:hint="eastAsia"/>
          <w:szCs w:val="21"/>
        </w:rPr>
        <w:t>◆负责本部门的合规义务评审工作</w:t>
      </w:r>
    </w:p>
    <w:p>
      <w:pPr>
        <w:ind w:left="420" w:leftChars="200" w:firstLine="138" w:firstLineChars="66"/>
        <w:rPr>
          <w:rFonts w:hint="eastAsia"/>
          <w:szCs w:val="21"/>
        </w:rPr>
      </w:pPr>
      <w:r>
        <w:rPr>
          <w:rFonts w:hint="eastAsia"/>
          <w:szCs w:val="21"/>
        </w:rPr>
        <w:t>◆负责组织本部门进行环境因素和危险源的识别、评价、跟踪和更新；</w:t>
      </w:r>
    </w:p>
    <w:p>
      <w:pPr>
        <w:ind w:left="0" w:leftChars="0" w:firstLine="518" w:firstLineChars="247"/>
        <w:rPr>
          <w:rFonts w:hint="eastAsia"/>
          <w:szCs w:val="21"/>
        </w:rPr>
      </w:pPr>
      <w:r>
        <w:rPr>
          <w:rFonts w:hint="eastAsia"/>
          <w:szCs w:val="21"/>
        </w:rPr>
        <w:t>◆完成公司领导交办的其它各项工作。</w:t>
      </w:r>
    </w:p>
    <w:p>
      <w:pPr>
        <w:ind w:firstLine="420"/>
        <w:rPr>
          <w:rFonts w:hint="eastAsia"/>
          <w:szCs w:val="21"/>
          <w:lang w:val="en-US" w:eastAsia="zh-CN"/>
        </w:rPr>
      </w:pPr>
      <w:r>
        <w:rPr>
          <w:rFonts w:hint="eastAsia"/>
          <w:szCs w:val="21"/>
          <w:lang w:val="en-US" w:eastAsia="zh-CN"/>
        </w:rPr>
        <w:t>制造中心</w:t>
      </w:r>
    </w:p>
    <w:p>
      <w:pPr>
        <w:spacing w:line="360" w:lineRule="exact"/>
        <w:ind w:left="420" w:leftChars="200" w:firstLine="0" w:firstLineChars="0"/>
        <w:rPr>
          <w:rFonts w:ascii="宋体" w:hAnsi="宋体"/>
        </w:rPr>
      </w:pPr>
      <w:r>
        <w:rPr>
          <w:rFonts w:hint="eastAsia"/>
          <w:szCs w:val="21"/>
        </w:rPr>
        <w:t>◆</w:t>
      </w:r>
      <w:r>
        <w:rPr>
          <w:rFonts w:hint="eastAsia" w:ascii="宋体" w:hAnsi="宋体"/>
        </w:rPr>
        <w:t>负责顾客</w:t>
      </w:r>
      <w:r>
        <w:rPr>
          <w:rFonts w:hint="eastAsia" w:ascii="宋体" w:hAnsi="宋体"/>
          <w:lang w:eastAsia="zh-CN"/>
        </w:rPr>
        <w:t>技术资料及</w:t>
      </w:r>
      <w:r>
        <w:rPr>
          <w:rFonts w:hint="eastAsia" w:ascii="宋体" w:hAnsi="宋体"/>
        </w:rPr>
        <w:t>图纸的接收确认，顾客财产的管理</w:t>
      </w:r>
      <w:r>
        <w:rPr>
          <w:rFonts w:hint="eastAsia" w:ascii="宋体" w:hAnsi="宋体"/>
          <w:lang w:eastAsia="zh-CN"/>
        </w:rPr>
        <w:t>，样品制作等</w:t>
      </w:r>
      <w:r>
        <w:rPr>
          <w:rFonts w:hint="eastAsia" w:ascii="宋体" w:hAnsi="宋体"/>
        </w:rPr>
        <w:t xml:space="preserve">； </w:t>
      </w:r>
    </w:p>
    <w:p>
      <w:pPr>
        <w:spacing w:line="360" w:lineRule="exact"/>
        <w:ind w:left="420" w:leftChars="200" w:firstLine="0" w:firstLineChars="0"/>
        <w:rPr>
          <w:rFonts w:hint="eastAsia" w:ascii="宋体" w:hAnsi="宋体"/>
        </w:rPr>
      </w:pPr>
      <w:r>
        <w:rPr>
          <w:rFonts w:hint="eastAsia"/>
          <w:szCs w:val="21"/>
        </w:rPr>
        <w:t>◆</w:t>
      </w:r>
      <w:r>
        <w:rPr>
          <w:rFonts w:hint="eastAsia" w:ascii="宋体" w:hAnsi="宋体"/>
          <w:lang w:eastAsia="zh-CN"/>
        </w:rPr>
        <w:t>协助参与</w:t>
      </w:r>
      <w:r>
        <w:rPr>
          <w:rFonts w:hint="eastAsia" w:ascii="宋体" w:hAnsi="宋体"/>
        </w:rPr>
        <w:t>合同评审和供方评价</w:t>
      </w:r>
      <w:r>
        <w:rPr>
          <w:rFonts w:hint="eastAsia" w:ascii="宋体" w:hAnsi="宋体"/>
          <w:lang w:eastAsia="zh-CN"/>
        </w:rPr>
        <w:t>，</w:t>
      </w:r>
      <w:r>
        <w:rPr>
          <w:rFonts w:hint="eastAsia" w:ascii="宋体" w:hAnsi="宋体"/>
        </w:rPr>
        <w:t>负责投</w:t>
      </w:r>
      <w:r>
        <w:rPr>
          <w:rFonts w:ascii="宋体" w:hAnsi="宋体"/>
        </w:rPr>
        <w:t>标书技术部分的编写</w:t>
      </w:r>
      <w:r>
        <w:rPr>
          <w:rFonts w:hint="eastAsia" w:ascii="宋体" w:hAnsi="宋体"/>
        </w:rPr>
        <w:t>；</w:t>
      </w:r>
    </w:p>
    <w:p>
      <w:pPr>
        <w:spacing w:line="360" w:lineRule="exact"/>
        <w:ind w:left="420" w:leftChars="200" w:firstLine="0" w:firstLineChars="0"/>
        <w:rPr>
          <w:rFonts w:hint="eastAsia" w:ascii="宋体" w:hAnsi="宋体"/>
        </w:rPr>
      </w:pPr>
      <w:r>
        <w:rPr>
          <w:rFonts w:hint="eastAsia"/>
          <w:szCs w:val="21"/>
        </w:rPr>
        <w:t>◆</w:t>
      </w:r>
      <w:r>
        <w:rPr>
          <w:rFonts w:ascii="宋体" w:hAnsi="宋体"/>
        </w:rPr>
        <w:t>负责生产计划制定，并确保生产的正常运行和生产计划的达成；</w:t>
      </w:r>
    </w:p>
    <w:p>
      <w:pPr>
        <w:spacing w:line="360" w:lineRule="exact"/>
        <w:ind w:left="420" w:leftChars="200" w:firstLine="0" w:firstLineChars="0"/>
        <w:rPr>
          <w:rFonts w:hint="eastAsia" w:ascii="宋体" w:hAnsi="宋体"/>
        </w:rPr>
      </w:pPr>
      <w:r>
        <w:rPr>
          <w:rFonts w:hint="eastAsia"/>
          <w:szCs w:val="21"/>
        </w:rPr>
        <w:t>◆</w:t>
      </w:r>
      <w:r>
        <w:rPr>
          <w:rFonts w:hint="eastAsia" w:ascii="宋体" w:hAnsi="宋体"/>
        </w:rPr>
        <w:t>负责生产设备设施的维修和保养等综合管理；</w:t>
      </w:r>
    </w:p>
    <w:p>
      <w:pPr>
        <w:spacing w:line="360" w:lineRule="exact"/>
        <w:ind w:left="420" w:leftChars="200" w:firstLine="0" w:firstLineChars="0"/>
        <w:rPr>
          <w:rFonts w:hint="eastAsia" w:ascii="宋体" w:hAnsi="宋体"/>
        </w:rPr>
      </w:pPr>
      <w:r>
        <w:rPr>
          <w:rFonts w:hint="eastAsia"/>
          <w:szCs w:val="21"/>
        </w:rPr>
        <w:t>◆</w:t>
      </w:r>
      <w:r>
        <w:rPr>
          <w:rFonts w:hint="eastAsia" w:ascii="宋体" w:hAnsi="宋体"/>
        </w:rPr>
        <w:t>负责生产现场的物料、区域、产品的标识；</w:t>
      </w:r>
    </w:p>
    <w:p>
      <w:pPr>
        <w:spacing w:line="360" w:lineRule="exact"/>
        <w:ind w:left="420" w:leftChars="200" w:firstLine="0" w:firstLineChars="0"/>
        <w:rPr>
          <w:rFonts w:ascii="宋体" w:hAnsi="宋体"/>
        </w:rPr>
      </w:pPr>
      <w:r>
        <w:rPr>
          <w:rFonts w:hint="eastAsia"/>
          <w:szCs w:val="21"/>
        </w:rPr>
        <w:t>◆</w:t>
      </w:r>
      <w:r>
        <w:rPr>
          <w:rFonts w:ascii="宋体" w:hAnsi="宋体"/>
        </w:rPr>
        <w:t>配合</w:t>
      </w:r>
      <w:r>
        <w:rPr>
          <w:rFonts w:hint="eastAsia" w:ascii="宋体" w:hAnsi="宋体"/>
          <w:lang w:eastAsia="zh-CN"/>
        </w:rPr>
        <w:t>营销中心</w:t>
      </w:r>
      <w:r>
        <w:rPr>
          <w:rFonts w:ascii="宋体" w:hAnsi="宋体"/>
        </w:rPr>
        <w:t>做好顾客满意度调查；</w:t>
      </w:r>
    </w:p>
    <w:p>
      <w:pPr>
        <w:spacing w:line="360" w:lineRule="exact"/>
        <w:ind w:left="420" w:leftChars="200" w:firstLine="0" w:firstLineChars="0"/>
        <w:rPr>
          <w:rFonts w:ascii="宋体" w:hAnsi="宋体"/>
        </w:rPr>
      </w:pPr>
      <w:r>
        <w:rPr>
          <w:rFonts w:hint="eastAsia"/>
          <w:szCs w:val="21"/>
        </w:rPr>
        <w:t>◆</w:t>
      </w:r>
      <w:r>
        <w:rPr>
          <w:rFonts w:ascii="宋体" w:hAnsi="宋体"/>
        </w:rPr>
        <w:t>在</w:t>
      </w:r>
      <w:r>
        <w:rPr>
          <w:rFonts w:hint="eastAsia" w:ascii="宋体" w:hAnsi="宋体"/>
          <w:lang w:eastAsia="zh-CN"/>
        </w:rPr>
        <w:t>行政人事部</w:t>
      </w:r>
      <w:r>
        <w:rPr>
          <w:rFonts w:ascii="宋体" w:hAnsi="宋体"/>
        </w:rPr>
        <w:t>组织下，对本部门管理体系的运行</w:t>
      </w:r>
      <w:r>
        <w:rPr>
          <w:rFonts w:hint="eastAsia" w:ascii="宋体" w:hAnsi="宋体"/>
          <w:lang w:eastAsia="zh-CN"/>
        </w:rPr>
        <w:t>进行</w:t>
      </w:r>
      <w:r>
        <w:rPr>
          <w:rFonts w:ascii="宋体" w:hAnsi="宋体"/>
        </w:rPr>
        <w:t>控制</w:t>
      </w:r>
      <w:r>
        <w:rPr>
          <w:rFonts w:hint="eastAsia" w:ascii="宋体" w:hAnsi="宋体"/>
        </w:rPr>
        <w:t>（废弃物管理、危险化学品管理、能源资源控制等），负责</w:t>
      </w:r>
      <w:r>
        <w:rPr>
          <w:rFonts w:hint="eastAsia" w:ascii="宋体" w:hAnsi="宋体"/>
          <w:lang w:eastAsia="zh-CN"/>
        </w:rPr>
        <w:t>本部门</w:t>
      </w:r>
      <w:r>
        <w:rPr>
          <w:rFonts w:hint="eastAsia" w:ascii="宋体" w:hAnsi="宋体"/>
        </w:rPr>
        <w:t>应急事项</w:t>
      </w:r>
      <w:r>
        <w:rPr>
          <w:rFonts w:hint="eastAsia" w:ascii="宋体" w:hAnsi="宋体"/>
          <w:lang w:eastAsia="zh-CN"/>
        </w:rPr>
        <w:t>的</w:t>
      </w:r>
      <w:r>
        <w:rPr>
          <w:rFonts w:hint="eastAsia" w:ascii="宋体" w:hAnsi="宋体"/>
        </w:rPr>
        <w:t>管理</w:t>
      </w:r>
      <w:r>
        <w:rPr>
          <w:rFonts w:ascii="宋体" w:hAnsi="宋体"/>
        </w:rPr>
        <w:t>；</w:t>
      </w:r>
    </w:p>
    <w:p>
      <w:pPr>
        <w:spacing w:line="360" w:lineRule="exact"/>
        <w:ind w:left="420" w:leftChars="200" w:firstLine="0" w:firstLineChars="0"/>
        <w:rPr>
          <w:rFonts w:hint="eastAsia" w:ascii="宋体" w:hAnsi="宋体"/>
        </w:rPr>
      </w:pPr>
      <w:r>
        <w:rPr>
          <w:rFonts w:hint="eastAsia"/>
          <w:szCs w:val="21"/>
        </w:rPr>
        <w:t>◆</w:t>
      </w:r>
      <w:r>
        <w:rPr>
          <w:rFonts w:ascii="宋体" w:hAnsi="宋体"/>
        </w:rPr>
        <w:t>在</w:t>
      </w:r>
      <w:r>
        <w:rPr>
          <w:rFonts w:hint="eastAsia" w:ascii="宋体" w:hAnsi="宋体"/>
          <w:lang w:eastAsia="zh-CN"/>
        </w:rPr>
        <w:t>行政人事部</w:t>
      </w:r>
      <w:r>
        <w:rPr>
          <w:rFonts w:ascii="宋体" w:hAnsi="宋体"/>
        </w:rPr>
        <w:t>组织下，做好</w:t>
      </w:r>
      <w:r>
        <w:rPr>
          <w:rFonts w:hint="eastAsia" w:ascii="宋体" w:hAnsi="宋体"/>
          <w:lang w:eastAsia="zh-CN"/>
        </w:rPr>
        <w:t>本部门</w:t>
      </w:r>
      <w:r>
        <w:rPr>
          <w:rFonts w:ascii="宋体" w:hAnsi="宋体"/>
        </w:rPr>
        <w:t>危险源、环境因素的识别和评价工作；</w:t>
      </w:r>
    </w:p>
    <w:p>
      <w:pPr>
        <w:spacing w:line="360" w:lineRule="exact"/>
        <w:ind w:left="420" w:leftChars="200" w:firstLine="0" w:firstLineChars="0"/>
        <w:rPr>
          <w:rFonts w:hint="eastAsia" w:ascii="宋体" w:hAnsi="宋体"/>
        </w:rPr>
      </w:pPr>
      <w:r>
        <w:rPr>
          <w:rFonts w:hint="eastAsia"/>
          <w:szCs w:val="21"/>
        </w:rPr>
        <w:t>◆</w:t>
      </w:r>
      <w:r>
        <w:rPr>
          <w:rFonts w:ascii="宋体" w:hAnsi="宋体"/>
        </w:rPr>
        <w:t>配合公司管理目标指标的制订与管理方案的执行；</w:t>
      </w:r>
    </w:p>
    <w:p>
      <w:pPr>
        <w:spacing w:line="360" w:lineRule="exact"/>
        <w:ind w:left="420" w:leftChars="200" w:firstLine="0" w:firstLineChars="0"/>
        <w:rPr>
          <w:rFonts w:hint="eastAsia" w:ascii="宋体" w:hAnsi="宋体"/>
        </w:rPr>
      </w:pPr>
      <w:r>
        <w:rPr>
          <w:rFonts w:hint="eastAsia"/>
          <w:szCs w:val="21"/>
        </w:rPr>
        <w:t>◆</w:t>
      </w:r>
      <w:r>
        <w:rPr>
          <w:rFonts w:ascii="宋体" w:hAnsi="宋体"/>
        </w:rPr>
        <w:t>对本部门相关环境安全管理缺陷采取纠正与预防措施；</w:t>
      </w:r>
    </w:p>
    <w:p>
      <w:pPr>
        <w:spacing w:line="360" w:lineRule="exact"/>
        <w:ind w:left="420" w:leftChars="200" w:firstLine="0" w:firstLineChars="0"/>
        <w:rPr>
          <w:rFonts w:hint="eastAsia" w:ascii="宋体" w:hAnsi="宋体"/>
        </w:rPr>
      </w:pPr>
      <w:r>
        <w:rPr>
          <w:rFonts w:hint="eastAsia"/>
          <w:szCs w:val="21"/>
        </w:rPr>
        <w:t>◆</w:t>
      </w:r>
      <w:r>
        <w:rPr>
          <w:rFonts w:ascii="宋体" w:hAnsi="宋体"/>
        </w:rPr>
        <w:t>负责对安全文明生产操作、环境保护、管理体系运行等进行监控；</w:t>
      </w:r>
    </w:p>
    <w:p>
      <w:pPr>
        <w:ind w:left="420" w:leftChars="200" w:firstLine="0" w:firstLineChars="0"/>
        <w:rPr>
          <w:rFonts w:hint="eastAsia" w:ascii="宋体" w:hAnsi="宋体"/>
        </w:rPr>
      </w:pPr>
      <w:r>
        <w:rPr>
          <w:rFonts w:hint="eastAsia"/>
          <w:szCs w:val="21"/>
        </w:rPr>
        <w:t>◆</w:t>
      </w:r>
      <w:r>
        <w:rPr>
          <w:rFonts w:ascii="宋体" w:hAnsi="宋体"/>
        </w:rPr>
        <w:t>负责来料检查、工序巡检</w:t>
      </w:r>
      <w:r>
        <w:rPr>
          <w:rFonts w:hint="eastAsia" w:ascii="宋体" w:hAnsi="宋体"/>
        </w:rPr>
        <w:t>，半成品及成品检验，对质量工作提供保证</w:t>
      </w:r>
    </w:p>
    <w:p>
      <w:pPr>
        <w:ind w:left="420" w:leftChars="200" w:firstLine="0" w:firstLineChars="0"/>
        <w:rPr>
          <w:rFonts w:hint="eastAsia"/>
          <w:szCs w:val="21"/>
        </w:rPr>
      </w:pPr>
      <w:r>
        <w:rPr>
          <w:rFonts w:hint="eastAsia"/>
          <w:szCs w:val="21"/>
        </w:rPr>
        <w:t>◆负责组织本部门进行环境因素和危险源的识别、评价、跟踪和更新；</w:t>
      </w:r>
    </w:p>
    <w:p>
      <w:pPr>
        <w:ind w:left="420" w:leftChars="200" w:firstLine="0" w:firstLineChars="0"/>
        <w:rPr>
          <w:rFonts w:hint="eastAsia"/>
          <w:szCs w:val="21"/>
        </w:rPr>
      </w:pPr>
      <w:r>
        <w:rPr>
          <w:rFonts w:hint="eastAsia"/>
          <w:szCs w:val="21"/>
        </w:rPr>
        <w:t xml:space="preserve">◆做好本部门质量、环境和职业健康安全的管理工作； </w:t>
      </w:r>
    </w:p>
    <w:p>
      <w:pPr>
        <w:ind w:left="420" w:leftChars="200" w:firstLine="0" w:firstLineChars="0"/>
        <w:rPr>
          <w:rFonts w:hint="eastAsia"/>
          <w:szCs w:val="21"/>
        </w:rPr>
      </w:pPr>
      <w:r>
        <w:rPr>
          <w:rFonts w:hint="eastAsia"/>
          <w:szCs w:val="21"/>
        </w:rPr>
        <w:t>◆负责本部门的合规义务评审工作</w:t>
      </w:r>
    </w:p>
    <w:p>
      <w:pPr>
        <w:ind w:left="420" w:leftChars="200" w:firstLine="0" w:firstLineChars="0"/>
        <w:rPr>
          <w:rFonts w:hint="eastAsia"/>
          <w:szCs w:val="21"/>
        </w:rPr>
      </w:pPr>
      <w:r>
        <w:rPr>
          <w:rFonts w:hint="eastAsia"/>
          <w:szCs w:val="21"/>
        </w:rPr>
        <w:t>◆负责组织本部门进行环境因素和危险源的识别、评价、跟踪和更新；</w:t>
      </w:r>
    </w:p>
    <w:p>
      <w:pPr>
        <w:spacing w:line="360" w:lineRule="exact"/>
        <w:ind w:left="420" w:leftChars="200" w:firstLine="0" w:firstLineChars="0"/>
        <w:rPr>
          <w:rFonts w:ascii="宋体" w:hAnsi="宋体"/>
        </w:rPr>
      </w:pPr>
      <w:r>
        <w:rPr>
          <w:rFonts w:hint="eastAsia"/>
          <w:szCs w:val="21"/>
        </w:rPr>
        <w:t>◆完成公司领导交办的其它各项工作。</w:t>
      </w:r>
    </w:p>
    <w:p>
      <w:pPr>
        <w:spacing w:line="360" w:lineRule="exact"/>
        <w:ind w:firstLine="420" w:firstLineChars="200"/>
        <w:rPr>
          <w:rFonts w:ascii="宋体" w:hAnsi="宋体"/>
          <w:b w:val="0"/>
          <w:bCs/>
        </w:rPr>
      </w:pPr>
      <w:r>
        <w:rPr>
          <w:rFonts w:hint="eastAsia" w:ascii="宋体" w:hAnsi="宋体"/>
          <w:b w:val="0"/>
          <w:bCs/>
          <w:lang w:eastAsia="zh-CN"/>
        </w:rPr>
        <w:t>营销中心</w:t>
      </w:r>
    </w:p>
    <w:p>
      <w:pPr>
        <w:ind w:left="420" w:leftChars="200" w:firstLine="105" w:firstLineChars="50"/>
        <w:rPr>
          <w:rFonts w:hint="eastAsia"/>
          <w:szCs w:val="21"/>
        </w:rPr>
      </w:pPr>
      <w:r>
        <w:rPr>
          <w:rFonts w:hint="eastAsia"/>
          <w:szCs w:val="21"/>
        </w:rPr>
        <w:t>◆</w:t>
      </w:r>
      <w:r>
        <w:rPr>
          <w:rFonts w:ascii="宋体" w:hAnsi="宋体"/>
        </w:rPr>
        <w:t>负责公司业务的经营和管理</w:t>
      </w:r>
      <w:r>
        <w:rPr>
          <w:rFonts w:hint="eastAsia" w:ascii="宋体" w:hAnsi="宋体"/>
        </w:rPr>
        <w:t>，</w:t>
      </w:r>
      <w:r>
        <w:rPr>
          <w:rFonts w:ascii="宋体" w:hAnsi="宋体"/>
        </w:rPr>
        <w:t>合同管理及客户档案的建立；</w:t>
      </w:r>
    </w:p>
    <w:p>
      <w:pPr>
        <w:ind w:left="420" w:leftChars="200" w:firstLine="105" w:firstLineChars="50"/>
        <w:rPr>
          <w:rFonts w:hint="eastAsia"/>
          <w:szCs w:val="21"/>
        </w:rPr>
      </w:pPr>
      <w:r>
        <w:rPr>
          <w:rFonts w:hint="eastAsia"/>
          <w:szCs w:val="21"/>
        </w:rPr>
        <w:t>◆组织合同评审和协调活动，必要时，在</w:t>
      </w:r>
      <w:r>
        <w:rPr>
          <w:rFonts w:hint="eastAsia"/>
          <w:szCs w:val="21"/>
          <w:lang w:eastAsia="zh-CN"/>
        </w:rPr>
        <w:t>合同</w:t>
      </w:r>
      <w:r>
        <w:rPr>
          <w:rFonts w:hint="eastAsia"/>
          <w:szCs w:val="21"/>
        </w:rPr>
        <w:t>签订之前，对</w:t>
      </w:r>
      <w:r>
        <w:rPr>
          <w:rFonts w:hint="eastAsia"/>
          <w:szCs w:val="21"/>
          <w:lang w:eastAsia="zh-CN"/>
        </w:rPr>
        <w:t>合同</w:t>
      </w:r>
      <w:r>
        <w:rPr>
          <w:rFonts w:hint="eastAsia"/>
          <w:szCs w:val="21"/>
        </w:rPr>
        <w:t>按要求进行评审，在完成评审后代表公司对外签订</w:t>
      </w:r>
      <w:r>
        <w:rPr>
          <w:rFonts w:hint="eastAsia"/>
          <w:szCs w:val="21"/>
          <w:lang w:eastAsia="zh-CN"/>
        </w:rPr>
        <w:t>合同</w:t>
      </w:r>
      <w:r>
        <w:rPr>
          <w:rFonts w:hint="eastAsia"/>
          <w:szCs w:val="21"/>
        </w:rPr>
        <w:t>；</w:t>
      </w:r>
    </w:p>
    <w:p>
      <w:pPr>
        <w:ind w:left="420" w:leftChars="200" w:firstLine="105" w:firstLineChars="50"/>
        <w:rPr>
          <w:rFonts w:hint="eastAsia"/>
          <w:szCs w:val="21"/>
        </w:rPr>
      </w:pPr>
      <w:r>
        <w:rPr>
          <w:rFonts w:hint="eastAsia"/>
          <w:szCs w:val="21"/>
        </w:rPr>
        <w:t>◆跟踪和反馈市场情况，对顾客的需求（包括要求、建议、意见、抱怨等）进行综合分析，按不同情况及时报告（反馈）相关部门和总经理，并确保在适当的时间内向顾客作出答复。</w:t>
      </w:r>
    </w:p>
    <w:p>
      <w:pPr>
        <w:ind w:left="420" w:leftChars="200" w:firstLine="105" w:firstLineChars="50"/>
        <w:rPr>
          <w:rFonts w:hint="eastAsia"/>
          <w:szCs w:val="21"/>
        </w:rPr>
      </w:pPr>
      <w:r>
        <w:rPr>
          <w:rFonts w:hint="eastAsia"/>
          <w:szCs w:val="21"/>
        </w:rPr>
        <w:t>◆根据销售市场的动态，综合分析市场对</w:t>
      </w:r>
      <w:r>
        <w:rPr>
          <w:rFonts w:hint="eastAsia"/>
          <w:szCs w:val="21"/>
          <w:lang w:val="en-US" w:eastAsia="zh-CN"/>
        </w:rPr>
        <w:t>服务</w:t>
      </w:r>
      <w:r>
        <w:rPr>
          <w:rFonts w:hint="eastAsia"/>
          <w:szCs w:val="21"/>
        </w:rPr>
        <w:t>的需求情况，掌握</w:t>
      </w:r>
      <w:r>
        <w:rPr>
          <w:rFonts w:hint="eastAsia"/>
          <w:szCs w:val="21"/>
          <w:lang w:val="en-US" w:eastAsia="zh-CN"/>
        </w:rPr>
        <w:t>服务</w:t>
      </w:r>
      <w:r>
        <w:rPr>
          <w:rFonts w:hint="eastAsia"/>
          <w:szCs w:val="21"/>
        </w:rPr>
        <w:t>发展趋势，进行市场开拓，为公司确定</w:t>
      </w:r>
      <w:r>
        <w:rPr>
          <w:rFonts w:hint="eastAsia"/>
          <w:szCs w:val="21"/>
          <w:lang w:val="en-US" w:eastAsia="zh-CN"/>
        </w:rPr>
        <w:t>服务</w:t>
      </w:r>
      <w:r>
        <w:rPr>
          <w:rFonts w:hint="eastAsia"/>
          <w:szCs w:val="21"/>
        </w:rPr>
        <w:t>开发方向提供市场依据。</w:t>
      </w:r>
    </w:p>
    <w:p>
      <w:pPr>
        <w:ind w:left="420" w:leftChars="200" w:firstLine="105" w:firstLineChars="50"/>
        <w:rPr>
          <w:rFonts w:hint="eastAsia"/>
          <w:szCs w:val="21"/>
        </w:rPr>
      </w:pPr>
      <w:r>
        <w:rPr>
          <w:rFonts w:hint="eastAsia"/>
          <w:szCs w:val="21"/>
        </w:rPr>
        <w:t>◆及时收集来自顾客的质量信息，包括顾客投诉，并反馈给有关部门，组织对顾客信息的处理，及时将落实情况回复顾客，取得顾客满意；</w:t>
      </w:r>
    </w:p>
    <w:p>
      <w:pPr>
        <w:ind w:left="420" w:leftChars="200" w:firstLine="105" w:firstLineChars="50"/>
        <w:rPr>
          <w:rFonts w:hint="eastAsia"/>
          <w:szCs w:val="21"/>
        </w:rPr>
      </w:pPr>
      <w:r>
        <w:rPr>
          <w:rFonts w:hint="eastAsia"/>
          <w:szCs w:val="21"/>
        </w:rPr>
        <w:t>◆按规定部署</w:t>
      </w:r>
      <w:r>
        <w:rPr>
          <w:rFonts w:hint="eastAsia"/>
          <w:szCs w:val="21"/>
          <w:lang w:eastAsia="zh-CN"/>
        </w:rPr>
        <w:t>营销中心</w:t>
      </w:r>
      <w:r>
        <w:rPr>
          <w:rFonts w:hint="eastAsia"/>
          <w:szCs w:val="21"/>
        </w:rPr>
        <w:t>门的顾客满意度调查工作，并作好顾客满意度分析报告。</w:t>
      </w:r>
    </w:p>
    <w:p>
      <w:pPr>
        <w:ind w:left="420" w:leftChars="200" w:firstLine="105" w:firstLineChars="50"/>
        <w:rPr>
          <w:rFonts w:hint="eastAsia"/>
          <w:szCs w:val="21"/>
        </w:rPr>
      </w:pPr>
      <w:r>
        <w:rPr>
          <w:rFonts w:hint="eastAsia"/>
          <w:szCs w:val="21"/>
        </w:rPr>
        <w:t xml:space="preserve">◆按规定对本部门的管理目标完成进行分析评价，改进和提高，确保年度目标达成。 </w:t>
      </w:r>
    </w:p>
    <w:p>
      <w:pPr>
        <w:ind w:left="420" w:leftChars="200" w:firstLine="105" w:firstLineChars="50"/>
        <w:rPr>
          <w:rFonts w:hint="eastAsia"/>
          <w:szCs w:val="21"/>
        </w:rPr>
      </w:pPr>
      <w:r>
        <w:rPr>
          <w:rFonts w:hint="eastAsia"/>
          <w:szCs w:val="21"/>
        </w:rPr>
        <w:t>◆负责组织本部门进行环境因素和危险源的识别、评价、跟踪和更新；</w:t>
      </w:r>
    </w:p>
    <w:p>
      <w:pPr>
        <w:ind w:left="420" w:leftChars="200" w:firstLine="105" w:firstLineChars="50"/>
        <w:rPr>
          <w:rFonts w:hint="eastAsia"/>
          <w:szCs w:val="21"/>
        </w:rPr>
      </w:pPr>
      <w:r>
        <w:rPr>
          <w:rFonts w:hint="eastAsia"/>
          <w:szCs w:val="21"/>
        </w:rPr>
        <w:t xml:space="preserve">◆做好本部门质量、环境和职业健康安全的管理工作； </w:t>
      </w:r>
    </w:p>
    <w:p>
      <w:pPr>
        <w:ind w:left="420" w:leftChars="200" w:firstLine="105" w:firstLineChars="50"/>
        <w:rPr>
          <w:rFonts w:hint="eastAsia" w:eastAsia="宋体"/>
          <w:szCs w:val="21"/>
          <w:lang w:eastAsia="zh-CN"/>
        </w:rPr>
      </w:pPr>
      <w:r>
        <w:rPr>
          <w:rFonts w:hint="eastAsia"/>
          <w:szCs w:val="21"/>
        </w:rPr>
        <w:t xml:space="preserve">◆负责本部门的合规义务评审工作  </w:t>
      </w:r>
    </w:p>
    <w:p>
      <w:pPr>
        <w:ind w:left="420" w:leftChars="200" w:firstLine="138" w:firstLineChars="66"/>
        <w:rPr>
          <w:rFonts w:hint="eastAsia"/>
          <w:szCs w:val="21"/>
        </w:rPr>
      </w:pPr>
      <w:r>
        <w:rPr>
          <w:rFonts w:hint="eastAsia"/>
          <w:szCs w:val="21"/>
        </w:rPr>
        <w:t>◆负责售后服务工作；</w:t>
      </w:r>
    </w:p>
    <w:p>
      <w:pPr>
        <w:ind w:left="420" w:leftChars="200" w:firstLine="138" w:firstLineChars="66"/>
        <w:rPr>
          <w:rFonts w:hint="eastAsia"/>
          <w:szCs w:val="21"/>
        </w:rPr>
      </w:pPr>
      <w:r>
        <w:rPr>
          <w:rFonts w:hint="eastAsia"/>
          <w:szCs w:val="21"/>
        </w:rPr>
        <w:t>◆负责组织本部门进行环境因素和危险源的识别、评价、跟踪和更新；</w:t>
      </w:r>
    </w:p>
    <w:p>
      <w:pPr>
        <w:ind w:left="420" w:leftChars="200" w:firstLine="138" w:firstLineChars="66"/>
        <w:rPr>
          <w:rFonts w:hint="eastAsia"/>
          <w:szCs w:val="21"/>
        </w:rPr>
      </w:pPr>
      <w:r>
        <w:rPr>
          <w:rFonts w:hint="eastAsia"/>
          <w:szCs w:val="21"/>
        </w:rPr>
        <w:t>◆完成公司领导交办的其它各项工作。</w:t>
      </w:r>
    </w:p>
    <w:p>
      <w:pPr>
        <w:ind w:left="420" w:leftChars="200" w:firstLine="138" w:firstLineChars="66"/>
        <w:rPr>
          <w:rFonts w:hint="eastAsia"/>
          <w:szCs w:val="21"/>
          <w:lang w:val="en-US" w:eastAsia="zh-CN"/>
        </w:rPr>
      </w:pPr>
      <w:r>
        <w:rPr>
          <w:rFonts w:hint="eastAsia"/>
          <w:szCs w:val="21"/>
          <w:lang w:val="en-US" w:eastAsia="zh-CN"/>
        </w:rPr>
        <w:t>采购部</w:t>
      </w:r>
    </w:p>
    <w:p>
      <w:pPr>
        <w:ind w:left="420" w:leftChars="200" w:firstLine="138" w:firstLineChars="66"/>
        <w:rPr>
          <w:rFonts w:hint="eastAsia"/>
          <w:szCs w:val="21"/>
          <w:lang w:val="en-US" w:eastAsia="zh-CN"/>
        </w:rPr>
      </w:pPr>
      <w:r>
        <w:rPr>
          <w:rFonts w:hint="eastAsia"/>
          <w:szCs w:val="21"/>
        </w:rPr>
        <w:t>◆根据市场的动态</w:t>
      </w:r>
      <w:r>
        <w:rPr>
          <w:rFonts w:hint="eastAsia"/>
          <w:szCs w:val="21"/>
          <w:lang w:eastAsia="zh-CN"/>
        </w:rPr>
        <w:t>，</w:t>
      </w:r>
      <w:r>
        <w:rPr>
          <w:rFonts w:hint="eastAsia"/>
          <w:szCs w:val="21"/>
          <w:lang w:val="en-US" w:eastAsia="zh-CN"/>
        </w:rPr>
        <w:t>选择合适的采购方采购物品，并从物品价格，质量，对环境、安全的影响几个方面评价采购方，建立合格供方档案；</w:t>
      </w:r>
    </w:p>
    <w:p>
      <w:pPr>
        <w:ind w:left="420" w:leftChars="200" w:firstLine="105" w:firstLineChars="50"/>
        <w:rPr>
          <w:rFonts w:hint="eastAsia"/>
          <w:szCs w:val="21"/>
        </w:rPr>
      </w:pPr>
      <w:r>
        <w:rPr>
          <w:rFonts w:hint="eastAsia"/>
          <w:szCs w:val="21"/>
        </w:rPr>
        <w:t xml:space="preserve">◆按规定对本部门的管理目标完成进行分析评价，改进和提高，确保年度目标达成。 </w:t>
      </w:r>
    </w:p>
    <w:p>
      <w:pPr>
        <w:ind w:left="420" w:leftChars="200" w:firstLine="105" w:firstLineChars="50"/>
        <w:rPr>
          <w:rFonts w:hint="eastAsia"/>
          <w:szCs w:val="21"/>
        </w:rPr>
      </w:pPr>
      <w:r>
        <w:rPr>
          <w:rFonts w:hint="eastAsia"/>
          <w:szCs w:val="21"/>
        </w:rPr>
        <w:t>◆负责组织本部门进行环境因素和危险源的识别、评价、跟踪和更新；</w:t>
      </w:r>
    </w:p>
    <w:p>
      <w:pPr>
        <w:ind w:left="420" w:leftChars="200" w:firstLine="105" w:firstLineChars="50"/>
        <w:rPr>
          <w:rFonts w:hint="eastAsia"/>
          <w:szCs w:val="21"/>
        </w:rPr>
      </w:pPr>
      <w:r>
        <w:rPr>
          <w:rFonts w:hint="eastAsia"/>
          <w:szCs w:val="21"/>
        </w:rPr>
        <w:t xml:space="preserve">◆做好本部门质量、环境和职业健康安全的管理工作； </w:t>
      </w:r>
    </w:p>
    <w:p>
      <w:pPr>
        <w:ind w:left="420" w:leftChars="200" w:firstLine="105" w:firstLineChars="50"/>
        <w:rPr>
          <w:rFonts w:hint="eastAsia"/>
          <w:szCs w:val="21"/>
        </w:rPr>
      </w:pPr>
      <w:r>
        <w:rPr>
          <w:rFonts w:hint="eastAsia"/>
          <w:szCs w:val="21"/>
        </w:rPr>
        <w:t>◆负责本部门的合规义务评审工作</w:t>
      </w:r>
    </w:p>
    <w:p>
      <w:pPr>
        <w:ind w:left="420" w:leftChars="200" w:firstLine="105" w:firstLineChars="50"/>
        <w:rPr>
          <w:rFonts w:hint="eastAsia"/>
          <w:szCs w:val="21"/>
        </w:rPr>
      </w:pPr>
      <w:r>
        <w:rPr>
          <w:rFonts w:hint="eastAsia"/>
          <w:szCs w:val="21"/>
        </w:rPr>
        <w:t xml:space="preserve">◆负责采购产品市场调研，了解产品的市场价格，负责公司产品的采购。 </w:t>
      </w:r>
    </w:p>
    <w:p>
      <w:pPr>
        <w:ind w:left="420" w:leftChars="200" w:firstLine="138" w:firstLineChars="66"/>
        <w:rPr>
          <w:rFonts w:hint="eastAsia"/>
          <w:szCs w:val="21"/>
        </w:rPr>
      </w:pPr>
      <w:r>
        <w:rPr>
          <w:rFonts w:hint="eastAsia"/>
          <w:szCs w:val="21"/>
        </w:rPr>
        <w:t>◆负责对合格供应商的选择、评定和对外购、外协物品的价格核定、询价等工作；</w:t>
      </w:r>
    </w:p>
    <w:p>
      <w:pPr>
        <w:ind w:left="420" w:leftChars="200" w:firstLine="138" w:firstLineChars="66"/>
        <w:rPr>
          <w:rFonts w:hint="eastAsia"/>
          <w:szCs w:val="21"/>
        </w:rPr>
      </w:pPr>
      <w:r>
        <w:rPr>
          <w:rFonts w:hint="eastAsia"/>
          <w:szCs w:val="21"/>
        </w:rPr>
        <w:t>◆负责采购文件的编制和保存，并定期对合格供应商进行业绩评价；</w:t>
      </w:r>
    </w:p>
    <w:p>
      <w:pPr>
        <w:ind w:left="420" w:leftChars="200" w:firstLine="138" w:firstLineChars="66"/>
        <w:rPr>
          <w:rFonts w:hint="eastAsia"/>
          <w:szCs w:val="21"/>
        </w:rPr>
      </w:pPr>
      <w:r>
        <w:rPr>
          <w:rFonts w:hint="eastAsia"/>
          <w:szCs w:val="21"/>
        </w:rPr>
        <w:t>◆负责公司采购计划及采购计划的实施工作，确保采购物品达到安全库存和符合环境、安全法规。</w:t>
      </w:r>
    </w:p>
    <w:p>
      <w:pPr>
        <w:ind w:left="420" w:leftChars="200" w:firstLine="138" w:firstLineChars="66"/>
        <w:rPr>
          <w:rFonts w:hint="default"/>
          <w:szCs w:val="21"/>
          <w:lang w:val="en-US" w:eastAsia="zh-CN"/>
        </w:rPr>
      </w:pPr>
      <w:r>
        <w:rPr>
          <w:rFonts w:hint="eastAsia"/>
          <w:szCs w:val="21"/>
        </w:rPr>
        <w:t>◆完成公司领导交办的其它各项工作。</w:t>
      </w:r>
    </w:p>
    <w:p>
      <w:pPr>
        <w:ind w:firstLine="310" w:firstLineChars="147"/>
        <w:rPr>
          <w:szCs w:val="21"/>
        </w:rPr>
      </w:pPr>
      <w:r>
        <w:rPr>
          <w:rFonts w:hint="eastAsia"/>
          <w:b/>
          <w:szCs w:val="21"/>
        </w:rPr>
        <w:t>5.4 员工的协商和参与</w:t>
      </w:r>
    </w:p>
    <w:p>
      <w:pPr>
        <w:ind w:left="574" w:leftChars="270" w:hanging="7"/>
        <w:rPr>
          <w:szCs w:val="21"/>
        </w:rPr>
      </w:pPr>
      <w:r>
        <w:rPr>
          <w:rFonts w:hint="eastAsia"/>
          <w:szCs w:val="21"/>
        </w:rPr>
        <w:t>各层管理者应建立、实施和保持一个或多个程序，由所有相关层次和职能部门的员工和员工代表（如有）参与（包括协商）建立、策划、实施、评价和改进职业健康安全管理体系。</w:t>
      </w:r>
    </w:p>
    <w:p>
      <w:pPr>
        <w:ind w:firstLine="560"/>
        <w:rPr>
          <w:szCs w:val="21"/>
        </w:rPr>
      </w:pPr>
      <w:r>
        <w:rPr>
          <w:rFonts w:hint="eastAsia"/>
          <w:szCs w:val="21"/>
        </w:rPr>
        <w:t>组织应：</w:t>
      </w:r>
    </w:p>
    <w:p>
      <w:pPr>
        <w:ind w:firstLine="560"/>
        <w:rPr>
          <w:szCs w:val="21"/>
        </w:rPr>
      </w:pPr>
      <w:r>
        <w:rPr>
          <w:rFonts w:hint="eastAsia"/>
          <w:szCs w:val="21"/>
        </w:rPr>
        <w:t>a) 提供参与所需的机制、时间、培训和资源；</w:t>
      </w:r>
    </w:p>
    <w:p>
      <w:pPr>
        <w:ind w:firstLine="560"/>
        <w:rPr>
          <w:szCs w:val="21"/>
        </w:rPr>
      </w:pPr>
      <w:r>
        <w:rPr>
          <w:rFonts w:hint="eastAsia"/>
          <w:szCs w:val="21"/>
        </w:rPr>
        <w:t>b) 及时提供有关职业健康安全管理体系的清晰的、可理解的和相关的信息；</w:t>
      </w:r>
    </w:p>
    <w:p>
      <w:pPr>
        <w:ind w:firstLine="560"/>
        <w:rPr>
          <w:szCs w:val="21"/>
        </w:rPr>
      </w:pPr>
      <w:r>
        <w:rPr>
          <w:rFonts w:hint="eastAsia"/>
          <w:szCs w:val="21"/>
        </w:rPr>
        <w:t>c) 识别和消除妨碍参与的障碍或障碍物并最大限度地降低那些无法消除的；</w:t>
      </w:r>
    </w:p>
    <w:p>
      <w:pPr>
        <w:ind w:left="574" w:leftChars="270" w:hanging="7"/>
        <w:rPr>
          <w:szCs w:val="21"/>
        </w:rPr>
      </w:pPr>
      <w:r>
        <w:rPr>
          <w:rFonts w:hint="eastAsia"/>
          <w:szCs w:val="21"/>
        </w:rPr>
        <w:t>注1: 障碍和障碍物可能包括没有对员工的输入或建议作出回应，语言或读写障碍，报复或报复的威胁以及使员工丧失参与信心的或妨碍员工参与的方针或做法。</w:t>
      </w:r>
    </w:p>
    <w:p>
      <w:pPr>
        <w:ind w:firstLine="560"/>
        <w:rPr>
          <w:szCs w:val="21"/>
        </w:rPr>
      </w:pPr>
      <w:r>
        <w:rPr>
          <w:rFonts w:hint="eastAsia"/>
          <w:szCs w:val="21"/>
        </w:rPr>
        <w:t>d) 特别强调非管理类员工参与下述活动：</w:t>
      </w:r>
    </w:p>
    <w:p>
      <w:pPr>
        <w:ind w:firstLine="560"/>
        <w:rPr>
          <w:szCs w:val="21"/>
        </w:rPr>
      </w:pPr>
      <w:r>
        <w:rPr>
          <w:rFonts w:hint="eastAsia"/>
          <w:szCs w:val="21"/>
        </w:rPr>
        <w:t>1) 确定他们参与和协商的机制；</w:t>
      </w:r>
    </w:p>
    <w:p>
      <w:pPr>
        <w:ind w:firstLine="560"/>
        <w:rPr>
          <w:szCs w:val="21"/>
        </w:rPr>
      </w:pPr>
      <w:r>
        <w:rPr>
          <w:rFonts w:hint="eastAsia"/>
          <w:szCs w:val="21"/>
        </w:rPr>
        <w:t>2) 危险源辨识和风险评价（见6.1,6.1.1和6.1.2）；</w:t>
      </w:r>
    </w:p>
    <w:p>
      <w:pPr>
        <w:ind w:firstLine="560"/>
        <w:rPr>
          <w:szCs w:val="21"/>
        </w:rPr>
      </w:pPr>
      <w:r>
        <w:rPr>
          <w:rFonts w:hint="eastAsia"/>
          <w:szCs w:val="21"/>
        </w:rPr>
        <w:t>3) 控制危险源和风险（见6.1.4） 的措施；</w:t>
      </w:r>
    </w:p>
    <w:p>
      <w:pPr>
        <w:ind w:firstLine="560"/>
        <w:rPr>
          <w:szCs w:val="21"/>
        </w:rPr>
      </w:pPr>
      <w:r>
        <w:rPr>
          <w:rFonts w:hint="eastAsia"/>
          <w:szCs w:val="21"/>
        </w:rPr>
        <w:t>4) 识别能力、培训和培训评价的需求（见7.2）;</w:t>
      </w:r>
    </w:p>
    <w:p>
      <w:pPr>
        <w:ind w:firstLine="560"/>
        <w:rPr>
          <w:szCs w:val="21"/>
        </w:rPr>
      </w:pPr>
      <w:r>
        <w:rPr>
          <w:rFonts w:hint="eastAsia"/>
          <w:szCs w:val="21"/>
        </w:rPr>
        <w:t>5) 确定需要沟通的信息以及如何沟通（见7.4）；</w:t>
      </w:r>
    </w:p>
    <w:p>
      <w:pPr>
        <w:ind w:firstLine="560"/>
        <w:rPr>
          <w:szCs w:val="21"/>
        </w:rPr>
      </w:pPr>
      <w:r>
        <w:rPr>
          <w:rFonts w:hint="eastAsia"/>
          <w:szCs w:val="21"/>
        </w:rPr>
        <w:t>6) 确定控制措施及其有效应用（见8.1，8.2和8.6）；</w:t>
      </w:r>
    </w:p>
    <w:p>
      <w:pPr>
        <w:ind w:firstLine="560"/>
        <w:rPr>
          <w:szCs w:val="21"/>
        </w:rPr>
      </w:pPr>
      <w:r>
        <w:rPr>
          <w:rFonts w:hint="eastAsia"/>
          <w:szCs w:val="21"/>
        </w:rPr>
        <w:t>7) 调查事件和不符合并确定纠正措施（见10.1）；</w:t>
      </w:r>
    </w:p>
    <w:p>
      <w:pPr>
        <w:ind w:firstLine="560"/>
        <w:rPr>
          <w:szCs w:val="21"/>
        </w:rPr>
      </w:pPr>
      <w:r>
        <w:rPr>
          <w:rFonts w:hint="eastAsia"/>
          <w:szCs w:val="21"/>
        </w:rPr>
        <w:t>e) 特别强调非管理类员工参与协商下述活动：</w:t>
      </w:r>
    </w:p>
    <w:p>
      <w:pPr>
        <w:ind w:firstLine="560"/>
        <w:rPr>
          <w:szCs w:val="21"/>
        </w:rPr>
      </w:pPr>
      <w:r>
        <w:rPr>
          <w:rFonts w:hint="eastAsia"/>
          <w:szCs w:val="21"/>
        </w:rPr>
        <w:t>1) 确定相关方的需求和期望（见4.2）；</w:t>
      </w:r>
    </w:p>
    <w:p>
      <w:pPr>
        <w:ind w:firstLine="560"/>
        <w:rPr>
          <w:szCs w:val="21"/>
        </w:rPr>
      </w:pPr>
      <w:r>
        <w:rPr>
          <w:rFonts w:hint="eastAsia"/>
          <w:szCs w:val="21"/>
        </w:rPr>
        <w:t>2) 制定方针（见5.2）；</w:t>
      </w:r>
    </w:p>
    <w:p>
      <w:pPr>
        <w:ind w:firstLine="560"/>
        <w:rPr>
          <w:szCs w:val="21"/>
        </w:rPr>
      </w:pPr>
      <w:r>
        <w:rPr>
          <w:rFonts w:hint="eastAsia"/>
          <w:szCs w:val="21"/>
        </w:rPr>
        <w:t>3) 适用时分配组织的岗位、职责、责任和权限（见5.3）；</w:t>
      </w:r>
    </w:p>
    <w:p>
      <w:pPr>
        <w:ind w:firstLine="560"/>
        <w:rPr>
          <w:szCs w:val="21"/>
        </w:rPr>
      </w:pPr>
      <w:r>
        <w:rPr>
          <w:rFonts w:hint="eastAsia"/>
          <w:szCs w:val="21"/>
        </w:rPr>
        <w:t>4) 确定如何应用法律法规要求和其他要求（见6.1.3）；</w:t>
      </w:r>
    </w:p>
    <w:p>
      <w:pPr>
        <w:ind w:firstLine="560"/>
        <w:rPr>
          <w:szCs w:val="21"/>
        </w:rPr>
      </w:pPr>
      <w:r>
        <w:rPr>
          <w:rFonts w:hint="eastAsia"/>
          <w:szCs w:val="21"/>
        </w:rPr>
        <w:t>5) 制定职业健康安全目标（见6.2.1）；</w:t>
      </w:r>
    </w:p>
    <w:p>
      <w:pPr>
        <w:ind w:firstLine="560"/>
        <w:rPr>
          <w:szCs w:val="21"/>
        </w:rPr>
      </w:pPr>
      <w:r>
        <w:rPr>
          <w:rFonts w:hint="eastAsia"/>
          <w:szCs w:val="21"/>
        </w:rPr>
        <w:t>6) 确定外包、采购和分包商的适用的控制方法（见8.3,8.4和8.5）;</w:t>
      </w:r>
    </w:p>
    <w:p>
      <w:pPr>
        <w:ind w:firstLine="560"/>
        <w:rPr>
          <w:szCs w:val="21"/>
        </w:rPr>
      </w:pPr>
      <w:r>
        <w:rPr>
          <w:rFonts w:hint="eastAsia"/>
          <w:szCs w:val="21"/>
        </w:rPr>
        <w:t>7) 确定哪些需要监视、测量和评价；（见9.1.1）;</w:t>
      </w:r>
    </w:p>
    <w:p>
      <w:pPr>
        <w:ind w:firstLine="560"/>
        <w:rPr>
          <w:szCs w:val="21"/>
        </w:rPr>
      </w:pPr>
      <w:r>
        <w:rPr>
          <w:rFonts w:hint="eastAsia"/>
          <w:szCs w:val="21"/>
        </w:rPr>
        <w:t>8) 策划、建立、实施并保持一个或多个审核方案（见9.2.2）；</w:t>
      </w:r>
    </w:p>
    <w:p>
      <w:pPr>
        <w:ind w:firstLine="560"/>
        <w:rPr>
          <w:szCs w:val="21"/>
        </w:rPr>
      </w:pPr>
      <w:r>
        <w:rPr>
          <w:rFonts w:hint="eastAsia"/>
          <w:szCs w:val="21"/>
        </w:rPr>
        <w:t>9) 建立一个或多个持续改进过程（见10.2.2)。</w:t>
      </w:r>
    </w:p>
    <w:p>
      <w:pPr>
        <w:ind w:firstLine="413" w:firstLineChars="196"/>
        <w:rPr>
          <w:b/>
          <w:szCs w:val="21"/>
        </w:rPr>
      </w:pPr>
      <w:r>
        <w:rPr>
          <w:b/>
          <w:szCs w:val="21"/>
        </w:rPr>
        <w:t>6策划</w:t>
      </w:r>
    </w:p>
    <w:p>
      <w:pPr>
        <w:ind w:firstLine="411" w:firstLineChars="195"/>
        <w:rPr>
          <w:b/>
          <w:szCs w:val="21"/>
        </w:rPr>
      </w:pPr>
      <w:r>
        <w:rPr>
          <w:b/>
          <w:szCs w:val="21"/>
        </w:rPr>
        <w:t>6.1风险和机遇的应对措施（M1）</w:t>
      </w:r>
    </w:p>
    <w:p>
      <w:pPr>
        <w:ind w:left="420" w:leftChars="200"/>
        <w:rPr>
          <w:szCs w:val="21"/>
        </w:rPr>
      </w:pPr>
      <w:r>
        <w:rPr>
          <w:szCs w:val="21"/>
        </w:rPr>
        <w:t>6.1.1策划质量/环境/安全管理体系时，公司考虑总体战略要求、过程方法的使用、相关方和法规的要求，确定需应对的风险和机遇，以便：</w:t>
      </w:r>
    </w:p>
    <w:p>
      <w:pPr>
        <w:ind w:firstLine="420" w:firstLineChars="200"/>
        <w:rPr>
          <w:szCs w:val="21"/>
        </w:rPr>
      </w:pPr>
      <w:r>
        <w:rPr>
          <w:szCs w:val="21"/>
        </w:rPr>
        <w:t>a)确保质量/环境/安全管理体系实现期望的结果；</w:t>
      </w:r>
    </w:p>
    <w:p>
      <w:pPr>
        <w:ind w:firstLine="420" w:firstLineChars="200"/>
        <w:rPr>
          <w:szCs w:val="21"/>
        </w:rPr>
      </w:pPr>
      <w:r>
        <w:rPr>
          <w:szCs w:val="21"/>
        </w:rPr>
        <w:t>b)确保公司能稳定地实现产品、服务符合要求和顾客满意；</w:t>
      </w:r>
    </w:p>
    <w:p>
      <w:pPr>
        <w:ind w:firstLine="420" w:firstLineChars="200"/>
        <w:rPr>
          <w:szCs w:val="21"/>
        </w:rPr>
      </w:pPr>
      <w:r>
        <w:rPr>
          <w:szCs w:val="21"/>
        </w:rPr>
        <w:t>c)预防或减少非预期的影响；</w:t>
      </w:r>
    </w:p>
    <w:p>
      <w:pPr>
        <w:ind w:firstLine="420" w:firstLineChars="200"/>
        <w:rPr>
          <w:szCs w:val="21"/>
        </w:rPr>
      </w:pPr>
      <w:r>
        <w:rPr>
          <w:szCs w:val="21"/>
        </w:rPr>
        <w:t>d)实现持续改进；</w:t>
      </w:r>
    </w:p>
    <w:p>
      <w:pPr>
        <w:ind w:firstLine="420" w:firstLineChars="200"/>
        <w:rPr>
          <w:szCs w:val="21"/>
        </w:rPr>
      </w:pPr>
      <w:r>
        <w:rPr>
          <w:szCs w:val="21"/>
        </w:rPr>
        <w:t>e)增强有利因素。</w:t>
      </w:r>
    </w:p>
    <w:p>
      <w:pPr>
        <w:ind w:left="420" w:leftChars="200"/>
        <w:rPr>
          <w:szCs w:val="21"/>
        </w:rPr>
      </w:pPr>
      <w:r>
        <w:rPr>
          <w:szCs w:val="21"/>
        </w:rPr>
        <w:t>公司建立《</w:t>
      </w:r>
      <w:r>
        <w:rPr>
          <w:rFonts w:hint="eastAsia"/>
          <w:lang w:eastAsia="zh-CN"/>
        </w:rPr>
        <w:t>危险源辨识、风险评价和风险控制程序</w:t>
      </w:r>
      <w:r>
        <w:rPr>
          <w:szCs w:val="21"/>
        </w:rPr>
        <w:t>》，定期开展内外部经营环境和市场分析，根据风险和机遇识别、分析的结果，制定与产品、服务的符合性和顾客满意的潜在影响相适应的应对措施，并在质量/环境/安全管理体系运行过程进行运用，当风险和机遇发生后要评价这些措施的有效性。</w:t>
      </w:r>
    </w:p>
    <w:p>
      <w:pPr>
        <w:ind w:firstLine="413" w:firstLineChars="196"/>
        <w:rPr>
          <w:b/>
          <w:szCs w:val="21"/>
        </w:rPr>
      </w:pPr>
      <w:r>
        <w:rPr>
          <w:b/>
          <w:szCs w:val="21"/>
        </w:rPr>
        <w:t>6.</w:t>
      </w:r>
      <w:r>
        <w:rPr>
          <w:rFonts w:hint="eastAsia"/>
          <w:b/>
          <w:szCs w:val="21"/>
        </w:rPr>
        <w:t>1.2</w:t>
      </w:r>
      <w:r>
        <w:rPr>
          <w:b/>
          <w:szCs w:val="21"/>
        </w:rPr>
        <w:t>环境因素/危险源</w:t>
      </w:r>
    </w:p>
    <w:p>
      <w:pPr>
        <w:snapToGrid w:val="0"/>
        <w:ind w:left="420" w:leftChars="200"/>
        <w:rPr>
          <w:rFonts w:eastAsiaTheme="minorEastAsia"/>
          <w:color w:val="000000"/>
          <w:szCs w:val="21"/>
        </w:rPr>
      </w:pPr>
      <w:r>
        <w:rPr>
          <w:rFonts w:eastAsiaTheme="minorEastAsia"/>
          <w:szCs w:val="21"/>
        </w:rPr>
        <w:t>6.1.</w:t>
      </w:r>
      <w:r>
        <w:rPr>
          <w:rFonts w:hint="eastAsia" w:eastAsiaTheme="minorEastAsia"/>
          <w:szCs w:val="21"/>
          <w:lang w:val="en-US" w:eastAsia="zh-CN"/>
        </w:rPr>
        <w:t>2</w:t>
      </w:r>
      <w:r>
        <w:rPr>
          <w:rFonts w:hint="eastAsia" w:eastAsiaTheme="minorEastAsia"/>
          <w:szCs w:val="21"/>
        </w:rPr>
        <w:t>.1</w:t>
      </w:r>
      <w:r>
        <w:rPr>
          <w:rFonts w:eastAsiaTheme="minorEastAsia"/>
          <w:szCs w:val="21"/>
        </w:rPr>
        <w:t>公司</w:t>
      </w:r>
      <w:r>
        <w:rPr>
          <w:rFonts w:eastAsiaTheme="minorEastAsia"/>
          <w:color w:val="000000"/>
          <w:szCs w:val="21"/>
        </w:rPr>
        <w:t>建立并保持</w:t>
      </w:r>
      <w:r>
        <w:rPr>
          <w:rFonts w:hint="eastAsia" w:eastAsiaTheme="minorEastAsia"/>
          <w:szCs w:val="21"/>
          <w:lang w:val="en-US" w:eastAsia="zh-CN"/>
        </w:rPr>
        <w:t>《环境因素识别评价控制程序》《危险源辨识、风险评价和风险控制程序》</w:t>
      </w:r>
      <w:r>
        <w:rPr>
          <w:rFonts w:eastAsiaTheme="minorEastAsia"/>
          <w:color w:val="000000"/>
          <w:szCs w:val="21"/>
        </w:rPr>
        <w:t>，对公司各过程中环境因素/危险源进行识别并评价确定重要环境因素/危险源。</w:t>
      </w:r>
    </w:p>
    <w:p>
      <w:pPr>
        <w:snapToGrid w:val="0"/>
        <w:ind w:firstLine="420" w:firstLineChars="200"/>
        <w:rPr>
          <w:rFonts w:eastAsiaTheme="minorEastAsia"/>
          <w:color w:val="000000"/>
          <w:szCs w:val="21"/>
        </w:rPr>
      </w:pPr>
      <w:r>
        <w:rPr>
          <w:rFonts w:eastAsiaTheme="minorEastAsia"/>
          <w:color w:val="000000"/>
          <w:szCs w:val="21"/>
        </w:rPr>
        <w:t>6.1.</w:t>
      </w:r>
      <w:r>
        <w:rPr>
          <w:rFonts w:hint="eastAsia" w:eastAsiaTheme="minorEastAsia"/>
          <w:color w:val="000000"/>
          <w:szCs w:val="21"/>
        </w:rPr>
        <w:t>2</w:t>
      </w:r>
      <w:r>
        <w:rPr>
          <w:rFonts w:eastAsiaTheme="minorEastAsia"/>
          <w:color w:val="000000"/>
          <w:szCs w:val="21"/>
        </w:rPr>
        <w:t>.2识别环境因素/危险源的范围必须覆盖公司产品实现过程中所有活动的各个方面。</w:t>
      </w:r>
    </w:p>
    <w:p>
      <w:pPr>
        <w:snapToGrid w:val="0"/>
        <w:ind w:left="420" w:leftChars="200"/>
        <w:rPr>
          <w:rFonts w:eastAsiaTheme="minorEastAsia"/>
          <w:color w:val="000000"/>
          <w:szCs w:val="21"/>
        </w:rPr>
      </w:pPr>
      <w:r>
        <w:rPr>
          <w:rFonts w:eastAsiaTheme="minorEastAsia"/>
          <w:color w:val="000000"/>
          <w:szCs w:val="21"/>
        </w:rPr>
        <w:t>6.1.</w:t>
      </w:r>
      <w:r>
        <w:rPr>
          <w:rFonts w:hint="eastAsia" w:eastAsiaTheme="minorEastAsia"/>
          <w:color w:val="000000"/>
          <w:szCs w:val="21"/>
        </w:rPr>
        <w:t>2</w:t>
      </w:r>
      <w:r>
        <w:rPr>
          <w:rFonts w:eastAsiaTheme="minorEastAsia"/>
          <w:color w:val="000000"/>
          <w:szCs w:val="21"/>
        </w:rPr>
        <w:t>.</w:t>
      </w:r>
      <w:r>
        <w:rPr>
          <w:rFonts w:hint="eastAsia" w:eastAsiaTheme="minorEastAsia"/>
          <w:color w:val="000000"/>
          <w:szCs w:val="21"/>
          <w:lang w:val="en-US" w:eastAsia="zh-CN"/>
        </w:rPr>
        <w:t>2</w:t>
      </w:r>
      <w:r>
        <w:rPr>
          <w:rFonts w:hint="eastAsia" w:eastAsiaTheme="minorEastAsia"/>
          <w:color w:val="000000"/>
          <w:szCs w:val="21"/>
        </w:rPr>
        <w:t>.1</w:t>
      </w:r>
      <w:r>
        <w:rPr>
          <w:rFonts w:eastAsiaTheme="minorEastAsia"/>
          <w:color w:val="000000"/>
          <w:szCs w:val="21"/>
        </w:rPr>
        <w:t>识别环境因素时应考虑过去、现在、将来三种时态及正常、异常、紧急三种状态和以下几种类型：</w:t>
      </w:r>
    </w:p>
    <w:p>
      <w:pPr>
        <w:snapToGrid w:val="0"/>
        <w:ind w:firstLine="525" w:firstLineChars="250"/>
        <w:rPr>
          <w:rFonts w:eastAsiaTheme="minorEastAsia"/>
          <w:color w:val="000000"/>
          <w:szCs w:val="21"/>
        </w:rPr>
      </w:pPr>
      <w:r>
        <w:rPr>
          <w:rFonts w:eastAsiaTheme="minorEastAsia"/>
          <w:color w:val="000000"/>
          <w:szCs w:val="21"/>
        </w:rPr>
        <w:t>a）向大气排放的污染物。</w:t>
      </w:r>
    </w:p>
    <w:p>
      <w:pPr>
        <w:snapToGrid w:val="0"/>
        <w:ind w:firstLine="525" w:firstLineChars="250"/>
        <w:rPr>
          <w:rFonts w:eastAsiaTheme="minorEastAsia"/>
          <w:color w:val="000000"/>
          <w:szCs w:val="21"/>
        </w:rPr>
      </w:pPr>
      <w:r>
        <w:rPr>
          <w:rFonts w:eastAsiaTheme="minorEastAsia"/>
          <w:color w:val="000000"/>
          <w:szCs w:val="21"/>
        </w:rPr>
        <w:t>b）向水体排放的污染物。</w:t>
      </w:r>
    </w:p>
    <w:p>
      <w:pPr>
        <w:snapToGrid w:val="0"/>
        <w:ind w:firstLine="525" w:firstLineChars="250"/>
        <w:rPr>
          <w:rFonts w:eastAsiaTheme="minorEastAsia"/>
          <w:color w:val="000000"/>
          <w:szCs w:val="21"/>
        </w:rPr>
      </w:pPr>
      <w:r>
        <w:rPr>
          <w:rFonts w:eastAsiaTheme="minorEastAsia"/>
          <w:color w:val="000000"/>
          <w:szCs w:val="21"/>
        </w:rPr>
        <w:t>c）固体废弃物污染。</w:t>
      </w:r>
    </w:p>
    <w:p>
      <w:pPr>
        <w:snapToGrid w:val="0"/>
        <w:ind w:firstLine="525" w:firstLineChars="250"/>
        <w:rPr>
          <w:rFonts w:eastAsiaTheme="minorEastAsia"/>
          <w:color w:val="000000"/>
          <w:szCs w:val="21"/>
        </w:rPr>
      </w:pPr>
      <w:r>
        <w:rPr>
          <w:rFonts w:eastAsiaTheme="minorEastAsia"/>
          <w:color w:val="000000"/>
          <w:szCs w:val="21"/>
        </w:rPr>
        <w:t>d）噪声对周围环境的影响。</w:t>
      </w:r>
    </w:p>
    <w:p>
      <w:pPr>
        <w:snapToGrid w:val="0"/>
        <w:ind w:firstLine="525" w:firstLineChars="250"/>
        <w:rPr>
          <w:rFonts w:eastAsiaTheme="minorEastAsia"/>
          <w:color w:val="000000"/>
          <w:szCs w:val="21"/>
        </w:rPr>
      </w:pPr>
      <w:r>
        <w:rPr>
          <w:rFonts w:eastAsiaTheme="minorEastAsia"/>
          <w:color w:val="000000"/>
          <w:szCs w:val="21"/>
        </w:rPr>
        <w:t>e）电、水、气、油等及原材料和自然资源使用对环境的影响。</w:t>
      </w:r>
    </w:p>
    <w:p>
      <w:pPr>
        <w:snapToGrid w:val="0"/>
        <w:ind w:firstLine="525" w:firstLineChars="250"/>
        <w:rPr>
          <w:rFonts w:eastAsiaTheme="minorEastAsia"/>
          <w:color w:val="000000"/>
          <w:szCs w:val="21"/>
        </w:rPr>
      </w:pPr>
      <w:r>
        <w:rPr>
          <w:rFonts w:eastAsiaTheme="minorEastAsia"/>
          <w:color w:val="000000"/>
          <w:szCs w:val="21"/>
        </w:rPr>
        <w:t>f）其他对周围居民生活的影响。</w:t>
      </w:r>
    </w:p>
    <w:p>
      <w:pPr>
        <w:snapToGrid w:val="0"/>
        <w:ind w:firstLine="525" w:firstLineChars="250"/>
        <w:rPr>
          <w:rFonts w:eastAsiaTheme="minorEastAsia"/>
          <w:color w:val="000000"/>
          <w:szCs w:val="21"/>
        </w:rPr>
      </w:pPr>
      <w:r>
        <w:rPr>
          <w:rFonts w:eastAsiaTheme="minorEastAsia"/>
          <w:color w:val="000000"/>
          <w:szCs w:val="21"/>
        </w:rPr>
        <w:t>6.1.</w:t>
      </w:r>
      <w:r>
        <w:rPr>
          <w:rFonts w:hint="eastAsia" w:eastAsiaTheme="minorEastAsia"/>
          <w:color w:val="000000"/>
          <w:szCs w:val="21"/>
        </w:rPr>
        <w:t>2</w:t>
      </w:r>
      <w:r>
        <w:rPr>
          <w:rFonts w:eastAsiaTheme="minorEastAsia"/>
          <w:color w:val="000000"/>
          <w:szCs w:val="21"/>
        </w:rPr>
        <w:t>.</w:t>
      </w:r>
      <w:r>
        <w:rPr>
          <w:rFonts w:hint="eastAsia" w:eastAsiaTheme="minorEastAsia"/>
          <w:color w:val="000000"/>
          <w:szCs w:val="21"/>
        </w:rPr>
        <w:t>2.2  对危险源的识别应注意下面方面：</w:t>
      </w:r>
    </w:p>
    <w:p>
      <w:pPr>
        <w:snapToGrid w:val="0"/>
        <w:ind w:firstLine="525" w:firstLineChars="250"/>
        <w:rPr>
          <w:rFonts w:eastAsiaTheme="minorEastAsia"/>
          <w:color w:val="000000"/>
          <w:szCs w:val="21"/>
        </w:rPr>
      </w:pPr>
      <w:r>
        <w:rPr>
          <w:rFonts w:hint="eastAsia" w:eastAsiaTheme="minorEastAsia"/>
          <w:color w:val="000000"/>
          <w:szCs w:val="21"/>
        </w:rPr>
        <w:t>——常规和非常规的活动；</w:t>
      </w:r>
    </w:p>
    <w:p>
      <w:pPr>
        <w:snapToGrid w:val="0"/>
        <w:ind w:firstLine="525" w:firstLineChars="250"/>
        <w:rPr>
          <w:rFonts w:eastAsiaTheme="minorEastAsia"/>
          <w:color w:val="000000"/>
          <w:szCs w:val="21"/>
        </w:rPr>
      </w:pPr>
      <w:r>
        <w:rPr>
          <w:rFonts w:hint="eastAsia" w:eastAsiaTheme="minorEastAsia"/>
          <w:color w:val="000000"/>
          <w:szCs w:val="21"/>
        </w:rPr>
        <w:t>——所有进入工作场所的人员（包括合同方人员和访问者）的活动；</w:t>
      </w:r>
    </w:p>
    <w:p>
      <w:pPr>
        <w:snapToGrid w:val="0"/>
        <w:ind w:firstLine="525" w:firstLineChars="250"/>
        <w:rPr>
          <w:rFonts w:eastAsiaTheme="minorEastAsia"/>
          <w:color w:val="000000"/>
          <w:szCs w:val="21"/>
        </w:rPr>
      </w:pPr>
      <w:r>
        <w:rPr>
          <w:rFonts w:hint="eastAsia" w:eastAsiaTheme="minorEastAsia"/>
          <w:color w:val="000000"/>
          <w:szCs w:val="21"/>
        </w:rPr>
        <w:t>——人员的活动、能力及其他的认为因素；</w:t>
      </w:r>
    </w:p>
    <w:p>
      <w:pPr>
        <w:snapToGrid w:val="0"/>
        <w:ind w:firstLine="525" w:firstLineChars="250"/>
        <w:rPr>
          <w:rFonts w:eastAsiaTheme="minorEastAsia"/>
          <w:color w:val="000000"/>
          <w:szCs w:val="21"/>
        </w:rPr>
      </w:pPr>
      <w:r>
        <w:rPr>
          <w:rFonts w:hint="eastAsia" w:eastAsiaTheme="minorEastAsia"/>
          <w:color w:val="000000"/>
          <w:szCs w:val="21"/>
        </w:rPr>
        <w:t>——工作场所之外的危害，但其有可能影响组织控制之下的工作场所范围内人员的健康安全；</w:t>
      </w:r>
    </w:p>
    <w:p>
      <w:pPr>
        <w:snapToGrid w:val="0"/>
        <w:ind w:firstLine="525" w:firstLineChars="250"/>
        <w:rPr>
          <w:rFonts w:eastAsiaTheme="minorEastAsia"/>
          <w:color w:val="000000"/>
          <w:szCs w:val="21"/>
        </w:rPr>
      </w:pPr>
      <w:r>
        <w:rPr>
          <w:rFonts w:hint="eastAsia" w:eastAsiaTheme="minorEastAsia"/>
          <w:color w:val="000000"/>
          <w:szCs w:val="21"/>
        </w:rPr>
        <w:t>——在组织控制之下，因工作相关的活动而造成工作场所周围的危害；</w:t>
      </w:r>
    </w:p>
    <w:p>
      <w:pPr>
        <w:snapToGrid w:val="0"/>
        <w:ind w:firstLine="525" w:firstLineChars="250"/>
        <w:rPr>
          <w:rFonts w:eastAsiaTheme="minorEastAsia"/>
          <w:color w:val="000000"/>
          <w:szCs w:val="21"/>
        </w:rPr>
      </w:pPr>
      <w:r>
        <w:rPr>
          <w:rFonts w:hint="eastAsia" w:eastAsiaTheme="minorEastAsia"/>
          <w:color w:val="000000"/>
          <w:szCs w:val="21"/>
        </w:rPr>
        <w:t>——工作场所的设施、设备及物料；</w:t>
      </w:r>
    </w:p>
    <w:p>
      <w:pPr>
        <w:snapToGrid w:val="0"/>
        <w:ind w:firstLine="525" w:firstLineChars="250"/>
        <w:rPr>
          <w:rFonts w:eastAsiaTheme="minorEastAsia"/>
          <w:color w:val="000000"/>
          <w:szCs w:val="21"/>
        </w:rPr>
      </w:pPr>
      <w:r>
        <w:rPr>
          <w:rFonts w:hint="eastAsia" w:eastAsiaTheme="minorEastAsia"/>
          <w:color w:val="000000"/>
          <w:szCs w:val="21"/>
        </w:rPr>
        <w:t>——在组织或其活动、物料方面，所做的改变或提出的改变；</w:t>
      </w:r>
    </w:p>
    <w:p>
      <w:pPr>
        <w:snapToGrid w:val="0"/>
        <w:ind w:firstLine="525" w:firstLineChars="250"/>
        <w:rPr>
          <w:rFonts w:eastAsiaTheme="minorEastAsia"/>
          <w:color w:val="000000"/>
          <w:szCs w:val="21"/>
        </w:rPr>
      </w:pPr>
      <w:r>
        <w:rPr>
          <w:rFonts w:hint="eastAsia" w:eastAsiaTheme="minorEastAsia"/>
          <w:color w:val="000000"/>
          <w:szCs w:val="21"/>
        </w:rPr>
        <w:t>——健康安全管理系统的改变，包括暂时性的改变和其在操作、过程以及活动的影响；</w:t>
      </w:r>
    </w:p>
    <w:p>
      <w:pPr>
        <w:snapToGrid w:val="0"/>
        <w:ind w:firstLine="525" w:firstLineChars="250"/>
        <w:rPr>
          <w:rFonts w:eastAsiaTheme="minorEastAsia"/>
          <w:color w:val="000000"/>
          <w:szCs w:val="21"/>
        </w:rPr>
      </w:pPr>
      <w:r>
        <w:rPr>
          <w:rFonts w:hint="eastAsia" w:eastAsiaTheme="minorEastAsia"/>
          <w:color w:val="000000"/>
          <w:szCs w:val="21"/>
        </w:rPr>
        <w:t>——任何关于风险评估和实施必要控制措施所适用的法律责任；（可参考3.12的备注）</w:t>
      </w:r>
    </w:p>
    <w:p>
      <w:pPr>
        <w:snapToGrid w:val="0"/>
        <w:ind w:left="525" w:leftChars="250"/>
        <w:rPr>
          <w:rFonts w:eastAsiaTheme="minorEastAsia"/>
          <w:color w:val="000000"/>
          <w:szCs w:val="21"/>
        </w:rPr>
      </w:pPr>
      <w:r>
        <w:rPr>
          <w:rFonts w:hint="eastAsia" w:eastAsiaTheme="minorEastAsia"/>
          <w:color w:val="000000"/>
          <w:szCs w:val="21"/>
        </w:rPr>
        <w:t>——对工作区域、过程、装置、机械/设备、操作程序及工作组织的设计，包括这些设计对人员能力的适用。</w:t>
      </w:r>
    </w:p>
    <w:p>
      <w:pPr>
        <w:snapToGrid w:val="0"/>
        <w:ind w:left="525" w:leftChars="250"/>
        <w:rPr>
          <w:rFonts w:eastAsiaTheme="minorEastAsia"/>
          <w:color w:val="000000"/>
          <w:szCs w:val="21"/>
        </w:rPr>
      </w:pPr>
      <w:r>
        <w:rPr>
          <w:rFonts w:eastAsiaTheme="minorEastAsia"/>
          <w:color w:val="000000"/>
          <w:szCs w:val="21"/>
        </w:rPr>
        <w:t>6.1.</w:t>
      </w:r>
      <w:r>
        <w:rPr>
          <w:rFonts w:hint="eastAsia" w:eastAsiaTheme="minorEastAsia"/>
          <w:color w:val="000000"/>
          <w:szCs w:val="21"/>
        </w:rPr>
        <w:t>2</w:t>
      </w:r>
      <w:r>
        <w:rPr>
          <w:rFonts w:eastAsiaTheme="minorEastAsia"/>
          <w:color w:val="000000"/>
          <w:szCs w:val="21"/>
        </w:rPr>
        <w:t>.</w:t>
      </w:r>
      <w:r>
        <w:rPr>
          <w:rFonts w:hint="eastAsia" w:eastAsiaTheme="minorEastAsia"/>
          <w:color w:val="000000"/>
          <w:szCs w:val="21"/>
          <w:lang w:val="en-US" w:eastAsia="zh-CN"/>
        </w:rPr>
        <w:t>3</w:t>
      </w:r>
      <w:r>
        <w:rPr>
          <w:rFonts w:eastAsiaTheme="minorEastAsia"/>
          <w:color w:val="000000"/>
          <w:szCs w:val="21"/>
        </w:rPr>
        <w:t>评价环境因素/危险源时将考虑对环境影响的范围、影响程度、发生频次、相关方关心程度、超标倍数、资源消耗等。</w:t>
      </w:r>
    </w:p>
    <w:p>
      <w:pPr>
        <w:snapToGrid w:val="0"/>
        <w:ind w:left="525" w:leftChars="250"/>
        <w:rPr>
          <w:rFonts w:eastAsiaTheme="minorEastAsia"/>
          <w:color w:val="000000"/>
          <w:szCs w:val="21"/>
        </w:rPr>
      </w:pPr>
      <w:r>
        <w:rPr>
          <w:rFonts w:eastAsiaTheme="minorEastAsia"/>
          <w:color w:val="000000"/>
          <w:szCs w:val="21"/>
        </w:rPr>
        <w:t>6.1.</w:t>
      </w:r>
      <w:r>
        <w:rPr>
          <w:rFonts w:hint="eastAsia" w:eastAsiaTheme="minorEastAsia"/>
          <w:color w:val="000000"/>
          <w:szCs w:val="21"/>
        </w:rPr>
        <w:t>2</w:t>
      </w:r>
      <w:r>
        <w:rPr>
          <w:rFonts w:eastAsiaTheme="minorEastAsia"/>
          <w:color w:val="000000"/>
          <w:szCs w:val="21"/>
        </w:rPr>
        <w:t>.</w:t>
      </w:r>
      <w:r>
        <w:rPr>
          <w:rFonts w:hint="eastAsia" w:eastAsiaTheme="minorEastAsia"/>
          <w:color w:val="000000"/>
          <w:szCs w:val="21"/>
          <w:lang w:val="en-US" w:eastAsia="zh-CN"/>
        </w:rPr>
        <w:t>4</w:t>
      </w:r>
      <w:r>
        <w:rPr>
          <w:rFonts w:eastAsiaTheme="minorEastAsia"/>
          <w:color w:val="000000"/>
          <w:szCs w:val="21"/>
        </w:rPr>
        <w:t>当</w:t>
      </w:r>
      <w:r>
        <w:rPr>
          <w:rFonts w:hint="eastAsia" w:eastAsiaTheme="minorEastAsia"/>
          <w:color w:val="000000"/>
          <w:szCs w:val="21"/>
          <w:lang w:eastAsia="zh-CN"/>
        </w:rPr>
        <w:t>服务</w:t>
      </w:r>
      <w:r>
        <w:rPr>
          <w:rFonts w:eastAsiaTheme="minorEastAsia"/>
          <w:color w:val="000000"/>
          <w:szCs w:val="21"/>
        </w:rPr>
        <w:t>实现过程中的活动发生较大变化或法律及其他要求更新时，各部门应及时对环境因素/危险源进行补充识别，及时报</w:t>
      </w:r>
      <w:r>
        <w:rPr>
          <w:rFonts w:hint="eastAsia" w:eastAsiaTheme="minorEastAsia"/>
          <w:color w:val="000000"/>
          <w:szCs w:val="21"/>
          <w:lang w:eastAsia="zh-CN"/>
        </w:rPr>
        <w:t>行政人事部</w:t>
      </w:r>
      <w:r>
        <w:rPr>
          <w:rFonts w:eastAsiaTheme="minorEastAsia"/>
          <w:color w:val="000000"/>
          <w:szCs w:val="21"/>
        </w:rPr>
        <w:t>评价以重新确定重要环境因素/危险源。</w:t>
      </w:r>
    </w:p>
    <w:p>
      <w:pPr>
        <w:snapToGrid w:val="0"/>
        <w:ind w:firstLine="525" w:firstLineChars="250"/>
        <w:rPr>
          <w:rFonts w:eastAsiaTheme="minorEastAsia"/>
          <w:color w:val="000000"/>
          <w:szCs w:val="21"/>
        </w:rPr>
      </w:pPr>
      <w:r>
        <w:rPr>
          <w:rFonts w:eastAsiaTheme="minorEastAsia"/>
          <w:color w:val="000000"/>
          <w:szCs w:val="21"/>
        </w:rPr>
        <w:t>6.1.</w:t>
      </w:r>
      <w:r>
        <w:rPr>
          <w:rFonts w:hint="eastAsia" w:eastAsiaTheme="minorEastAsia"/>
          <w:color w:val="000000"/>
          <w:szCs w:val="21"/>
        </w:rPr>
        <w:t>2</w:t>
      </w:r>
      <w:r>
        <w:rPr>
          <w:rFonts w:hint="eastAsia" w:eastAsiaTheme="minorEastAsia"/>
          <w:color w:val="000000"/>
          <w:szCs w:val="21"/>
          <w:lang w:val="en-US" w:eastAsia="zh-CN"/>
        </w:rPr>
        <w:t>.5</w:t>
      </w:r>
      <w:r>
        <w:rPr>
          <w:rFonts w:eastAsiaTheme="minorEastAsia"/>
          <w:color w:val="000000"/>
          <w:szCs w:val="21"/>
        </w:rPr>
        <w:t>对环境因素/危险源的识别和评价，具体按</w:t>
      </w:r>
      <w:r>
        <w:rPr>
          <w:rFonts w:hint="eastAsia" w:eastAsiaTheme="minorEastAsia"/>
          <w:szCs w:val="21"/>
          <w:lang w:val="en-US" w:eastAsia="zh-CN"/>
        </w:rPr>
        <w:t>《环境因素识别评价控制程序》《危险源辨识、风险评价和风险控制程序》</w:t>
      </w:r>
      <w:r>
        <w:rPr>
          <w:rFonts w:eastAsiaTheme="minorEastAsia"/>
          <w:color w:val="000000"/>
          <w:szCs w:val="21"/>
        </w:rPr>
        <w:t>执行。</w:t>
      </w:r>
    </w:p>
    <w:p>
      <w:pPr>
        <w:snapToGrid w:val="0"/>
        <w:ind w:firstLine="527" w:firstLineChars="250"/>
        <w:rPr>
          <w:rFonts w:eastAsiaTheme="minorEastAsia"/>
          <w:b/>
          <w:color w:val="000000"/>
          <w:szCs w:val="21"/>
        </w:rPr>
      </w:pPr>
      <w:r>
        <w:rPr>
          <w:rFonts w:eastAsiaTheme="minorEastAsia"/>
          <w:b/>
          <w:color w:val="000000"/>
          <w:szCs w:val="21"/>
        </w:rPr>
        <w:t>6.</w:t>
      </w:r>
      <w:r>
        <w:rPr>
          <w:rFonts w:hint="eastAsia" w:eastAsiaTheme="minorEastAsia"/>
          <w:b/>
          <w:color w:val="000000"/>
          <w:szCs w:val="21"/>
        </w:rPr>
        <w:t>1.3</w:t>
      </w:r>
      <w:r>
        <w:rPr>
          <w:rFonts w:eastAsiaTheme="minorEastAsia"/>
          <w:b/>
          <w:color w:val="000000"/>
          <w:szCs w:val="21"/>
        </w:rPr>
        <w:t>合规义务</w:t>
      </w:r>
    </w:p>
    <w:p>
      <w:pPr>
        <w:snapToGrid w:val="0"/>
        <w:ind w:left="525" w:leftChars="250"/>
        <w:rPr>
          <w:rFonts w:eastAsiaTheme="minorEastAsia"/>
          <w:color w:val="000000"/>
          <w:szCs w:val="21"/>
        </w:rPr>
      </w:pPr>
      <w:r>
        <w:rPr>
          <w:rFonts w:eastAsiaTheme="minorEastAsia"/>
          <w:color w:val="000000"/>
          <w:szCs w:val="21"/>
        </w:rPr>
        <w:t>6.</w:t>
      </w:r>
      <w:r>
        <w:rPr>
          <w:rFonts w:hint="eastAsia" w:eastAsiaTheme="minorEastAsia"/>
          <w:color w:val="000000"/>
          <w:szCs w:val="21"/>
        </w:rPr>
        <w:t>1</w:t>
      </w:r>
      <w:r>
        <w:rPr>
          <w:rFonts w:eastAsiaTheme="minorEastAsia"/>
          <w:color w:val="000000"/>
          <w:szCs w:val="21"/>
        </w:rPr>
        <w:t>.</w:t>
      </w:r>
      <w:r>
        <w:rPr>
          <w:rFonts w:hint="eastAsia" w:eastAsiaTheme="minorEastAsia"/>
          <w:color w:val="000000"/>
          <w:szCs w:val="21"/>
        </w:rPr>
        <w:t>3.1</w:t>
      </w:r>
      <w:r>
        <w:rPr>
          <w:rFonts w:hint="eastAsia" w:eastAsiaTheme="minorEastAsia"/>
          <w:color w:val="000000"/>
          <w:szCs w:val="21"/>
          <w:lang w:eastAsia="zh-CN"/>
        </w:rPr>
        <w:t>行政人事部</w:t>
      </w:r>
      <w:r>
        <w:rPr>
          <w:rFonts w:eastAsiaTheme="minorEastAsia"/>
          <w:color w:val="000000"/>
          <w:szCs w:val="21"/>
        </w:rPr>
        <w:t>根据</w:t>
      </w:r>
      <w:r>
        <w:rPr>
          <w:rFonts w:eastAsiaTheme="minorEastAsia"/>
          <w:szCs w:val="21"/>
        </w:rPr>
        <w:t>《</w:t>
      </w:r>
      <w:r>
        <w:rPr>
          <w:rFonts w:hint="eastAsia" w:eastAsiaTheme="minorEastAsia"/>
          <w:szCs w:val="21"/>
          <w:lang w:eastAsia="zh-CN"/>
        </w:rPr>
        <w:t>合规性评价控制程序</w:t>
      </w:r>
      <w:r>
        <w:rPr>
          <w:rFonts w:eastAsiaTheme="minorEastAsia"/>
          <w:szCs w:val="21"/>
        </w:rPr>
        <w:t>》，确</w:t>
      </w:r>
      <w:r>
        <w:rPr>
          <w:rFonts w:eastAsiaTheme="minorEastAsia"/>
          <w:color w:val="000000"/>
          <w:szCs w:val="21"/>
        </w:rPr>
        <w:t>定和获取适用于本公司活动、产品及服务中的应遵守</w:t>
      </w:r>
      <w:r>
        <w:rPr>
          <w:rFonts w:hint="eastAsia" w:eastAsiaTheme="minorEastAsia"/>
          <w:color w:val="000000"/>
          <w:szCs w:val="21"/>
        </w:rPr>
        <w:t>的质量，</w:t>
      </w:r>
      <w:r>
        <w:rPr>
          <w:rFonts w:eastAsiaTheme="minorEastAsia"/>
          <w:color w:val="000000"/>
          <w:szCs w:val="21"/>
        </w:rPr>
        <w:t>环境保护</w:t>
      </w:r>
      <w:r>
        <w:rPr>
          <w:rFonts w:hint="eastAsia" w:eastAsiaTheme="minorEastAsia"/>
          <w:color w:val="000000"/>
          <w:szCs w:val="21"/>
        </w:rPr>
        <w:t>，职业健康安全</w:t>
      </w:r>
      <w:r>
        <w:rPr>
          <w:rFonts w:eastAsiaTheme="minorEastAsia"/>
          <w:color w:val="000000"/>
          <w:szCs w:val="21"/>
        </w:rPr>
        <w:t>的法律法规和其他要求，并进行登录、维护和管理。随着公司活动、产品和服务的变化，法律、的变化，作必要的更新。</w:t>
      </w:r>
    </w:p>
    <w:p>
      <w:pPr>
        <w:snapToGrid w:val="0"/>
        <w:ind w:firstLine="525" w:firstLineChars="250"/>
        <w:rPr>
          <w:rFonts w:eastAsiaTheme="minorEastAsia"/>
          <w:color w:val="000000"/>
          <w:szCs w:val="21"/>
        </w:rPr>
      </w:pPr>
      <w:r>
        <w:rPr>
          <w:rFonts w:eastAsiaTheme="minorEastAsia"/>
          <w:color w:val="000000"/>
          <w:szCs w:val="21"/>
        </w:rPr>
        <w:t>6.</w:t>
      </w:r>
      <w:r>
        <w:rPr>
          <w:rFonts w:hint="eastAsia" w:eastAsiaTheme="minorEastAsia"/>
          <w:color w:val="000000"/>
          <w:szCs w:val="21"/>
        </w:rPr>
        <w:t>1</w:t>
      </w:r>
      <w:r>
        <w:rPr>
          <w:rFonts w:eastAsiaTheme="minorEastAsia"/>
          <w:color w:val="000000"/>
          <w:szCs w:val="21"/>
        </w:rPr>
        <w:t>.</w:t>
      </w:r>
      <w:r>
        <w:rPr>
          <w:rFonts w:hint="eastAsia" w:eastAsiaTheme="minorEastAsia"/>
          <w:color w:val="000000"/>
          <w:szCs w:val="21"/>
        </w:rPr>
        <w:t>3</w:t>
      </w:r>
      <w:r>
        <w:rPr>
          <w:rFonts w:eastAsiaTheme="minorEastAsia"/>
          <w:color w:val="000000"/>
          <w:szCs w:val="21"/>
        </w:rPr>
        <w:t>.2法律、法规及其他要求包括下列内容：</w:t>
      </w:r>
    </w:p>
    <w:p>
      <w:pPr>
        <w:snapToGrid w:val="0"/>
        <w:ind w:firstLine="525" w:firstLineChars="250"/>
        <w:rPr>
          <w:rFonts w:eastAsiaTheme="minorEastAsia"/>
          <w:color w:val="000000"/>
          <w:szCs w:val="21"/>
        </w:rPr>
      </w:pPr>
      <w:r>
        <w:rPr>
          <w:rFonts w:eastAsiaTheme="minorEastAsia"/>
          <w:color w:val="000000"/>
          <w:szCs w:val="21"/>
        </w:rPr>
        <w:t>a.国内、国际法律、法规、标准、指南；</w:t>
      </w:r>
    </w:p>
    <w:p>
      <w:pPr>
        <w:snapToGrid w:val="0"/>
        <w:ind w:firstLine="525" w:firstLineChars="250"/>
        <w:rPr>
          <w:rFonts w:eastAsiaTheme="minorEastAsia"/>
          <w:color w:val="000000"/>
          <w:szCs w:val="21"/>
        </w:rPr>
      </w:pPr>
      <w:r>
        <w:rPr>
          <w:rFonts w:eastAsiaTheme="minorEastAsia"/>
          <w:color w:val="000000"/>
          <w:szCs w:val="21"/>
        </w:rPr>
        <w:t>b.省市条例；</w:t>
      </w:r>
    </w:p>
    <w:p>
      <w:pPr>
        <w:snapToGrid w:val="0"/>
        <w:ind w:firstLine="525" w:firstLineChars="250"/>
        <w:rPr>
          <w:rFonts w:eastAsiaTheme="minorEastAsia"/>
          <w:color w:val="000000"/>
          <w:szCs w:val="21"/>
        </w:rPr>
      </w:pPr>
      <w:r>
        <w:rPr>
          <w:rFonts w:eastAsiaTheme="minorEastAsia"/>
          <w:color w:val="000000"/>
          <w:szCs w:val="21"/>
        </w:rPr>
        <w:t>c.其他相关方所提出的要求。</w:t>
      </w:r>
    </w:p>
    <w:p>
      <w:pPr>
        <w:snapToGrid w:val="0"/>
        <w:ind w:firstLine="525" w:firstLineChars="250"/>
        <w:rPr>
          <w:rFonts w:eastAsiaTheme="minorEastAsia"/>
          <w:szCs w:val="21"/>
        </w:rPr>
      </w:pPr>
      <w:r>
        <w:rPr>
          <w:rFonts w:eastAsiaTheme="minorEastAsia"/>
          <w:color w:val="000000"/>
          <w:szCs w:val="21"/>
        </w:rPr>
        <w:t>6.</w:t>
      </w:r>
      <w:r>
        <w:rPr>
          <w:rFonts w:hint="eastAsia" w:eastAsiaTheme="minorEastAsia"/>
          <w:color w:val="000000"/>
          <w:szCs w:val="21"/>
        </w:rPr>
        <w:t>1</w:t>
      </w:r>
      <w:r>
        <w:rPr>
          <w:rFonts w:eastAsiaTheme="minorEastAsia"/>
          <w:color w:val="000000"/>
          <w:szCs w:val="21"/>
        </w:rPr>
        <w:t>.</w:t>
      </w:r>
      <w:r>
        <w:rPr>
          <w:rFonts w:hint="eastAsia" w:eastAsiaTheme="minorEastAsia"/>
          <w:color w:val="000000"/>
          <w:szCs w:val="21"/>
        </w:rPr>
        <w:t>3</w:t>
      </w:r>
      <w:r>
        <w:rPr>
          <w:rFonts w:eastAsiaTheme="minorEastAsia"/>
          <w:color w:val="000000"/>
          <w:szCs w:val="21"/>
        </w:rPr>
        <w:t>.3获取途径：</w:t>
      </w:r>
      <w:r>
        <w:rPr>
          <w:rFonts w:eastAsiaTheme="minorEastAsia"/>
          <w:szCs w:val="21"/>
        </w:rPr>
        <w:t>《</w:t>
      </w:r>
      <w:r>
        <w:rPr>
          <w:rFonts w:hint="eastAsia" w:eastAsiaTheme="minorEastAsia"/>
          <w:szCs w:val="21"/>
          <w:lang w:eastAsia="zh-CN"/>
        </w:rPr>
        <w:t>合规性评价控制程序</w:t>
      </w:r>
      <w:r>
        <w:rPr>
          <w:rFonts w:eastAsiaTheme="minorEastAsia"/>
          <w:szCs w:val="21"/>
        </w:rPr>
        <w:t>》中确定及时有效的获得法律、法规和其他要求的途径。</w:t>
      </w:r>
    </w:p>
    <w:p>
      <w:pPr>
        <w:snapToGrid w:val="0"/>
        <w:ind w:firstLine="525" w:firstLineChars="250"/>
        <w:rPr>
          <w:rFonts w:eastAsiaTheme="minorEastAsia"/>
          <w:color w:val="000000"/>
          <w:szCs w:val="21"/>
        </w:rPr>
      </w:pPr>
      <w:r>
        <w:rPr>
          <w:rFonts w:eastAsiaTheme="minorEastAsia"/>
          <w:color w:val="000000"/>
          <w:szCs w:val="21"/>
        </w:rPr>
        <w:t>6.</w:t>
      </w:r>
      <w:r>
        <w:rPr>
          <w:rFonts w:hint="eastAsia" w:eastAsiaTheme="minorEastAsia"/>
          <w:color w:val="000000"/>
          <w:szCs w:val="21"/>
        </w:rPr>
        <w:t>1</w:t>
      </w:r>
      <w:r>
        <w:rPr>
          <w:rFonts w:eastAsiaTheme="minorEastAsia"/>
          <w:color w:val="000000"/>
          <w:szCs w:val="21"/>
        </w:rPr>
        <w:t>.</w:t>
      </w:r>
      <w:r>
        <w:rPr>
          <w:rFonts w:hint="eastAsia" w:eastAsiaTheme="minorEastAsia"/>
          <w:color w:val="000000"/>
          <w:szCs w:val="21"/>
        </w:rPr>
        <w:t>3</w:t>
      </w:r>
      <w:r>
        <w:rPr>
          <w:rFonts w:eastAsiaTheme="minorEastAsia"/>
          <w:szCs w:val="21"/>
        </w:rPr>
        <w:t>.4交流：法律、法规和其他要求的相关</w:t>
      </w:r>
      <w:r>
        <w:rPr>
          <w:rFonts w:eastAsiaTheme="minorEastAsia"/>
          <w:color w:val="000000"/>
          <w:szCs w:val="21"/>
        </w:rPr>
        <w:t>内容由环境管理者代表向相关部门传达。</w:t>
      </w:r>
    </w:p>
    <w:p>
      <w:pPr>
        <w:snapToGrid w:val="0"/>
        <w:ind w:firstLine="525" w:firstLineChars="250"/>
        <w:rPr>
          <w:rFonts w:eastAsiaTheme="minorEastAsia"/>
          <w:color w:val="000000"/>
          <w:szCs w:val="21"/>
        </w:rPr>
      </w:pPr>
      <w:r>
        <w:rPr>
          <w:rFonts w:eastAsiaTheme="minorEastAsia"/>
          <w:color w:val="000000"/>
          <w:szCs w:val="21"/>
        </w:rPr>
        <w:t>6.</w:t>
      </w:r>
      <w:r>
        <w:rPr>
          <w:rFonts w:hint="eastAsia" w:eastAsiaTheme="minorEastAsia"/>
          <w:color w:val="000000"/>
          <w:szCs w:val="21"/>
        </w:rPr>
        <w:t>1</w:t>
      </w:r>
      <w:r>
        <w:rPr>
          <w:rFonts w:eastAsiaTheme="minorEastAsia"/>
          <w:color w:val="000000"/>
          <w:szCs w:val="21"/>
        </w:rPr>
        <w:t>.</w:t>
      </w:r>
      <w:r>
        <w:rPr>
          <w:rFonts w:hint="eastAsia" w:eastAsiaTheme="minorEastAsia"/>
          <w:color w:val="000000"/>
          <w:szCs w:val="21"/>
        </w:rPr>
        <w:t>3</w:t>
      </w:r>
      <w:r>
        <w:rPr>
          <w:rFonts w:eastAsiaTheme="minorEastAsia"/>
          <w:color w:val="000000"/>
          <w:szCs w:val="21"/>
        </w:rPr>
        <w:t>.5</w:t>
      </w:r>
      <w:r>
        <w:rPr>
          <w:rFonts w:hint="eastAsia" w:eastAsiaTheme="minorEastAsia"/>
          <w:color w:val="000000"/>
          <w:szCs w:val="21"/>
          <w:lang w:eastAsia="zh-CN"/>
        </w:rPr>
        <w:t>行政人事部</w:t>
      </w:r>
      <w:r>
        <w:rPr>
          <w:rFonts w:eastAsiaTheme="minorEastAsia"/>
          <w:color w:val="000000"/>
          <w:szCs w:val="21"/>
        </w:rPr>
        <w:t>对法律、法规及其他要求的变化、更新情况进行跟踪，获取最新信息。</w:t>
      </w:r>
    </w:p>
    <w:p>
      <w:pPr>
        <w:snapToGrid w:val="0"/>
        <w:ind w:firstLine="527" w:firstLineChars="250"/>
        <w:rPr>
          <w:rFonts w:hint="eastAsia" w:eastAsiaTheme="minorEastAsia"/>
          <w:b/>
          <w:color w:val="000000"/>
          <w:szCs w:val="21"/>
          <w:lang w:val="en-US" w:eastAsia="zh-CN"/>
        </w:rPr>
      </w:pPr>
      <w:r>
        <w:rPr>
          <w:rFonts w:hint="eastAsia" w:eastAsiaTheme="minorEastAsia"/>
          <w:b/>
          <w:color w:val="000000"/>
          <w:szCs w:val="21"/>
          <w:lang w:val="en-US" w:eastAsia="zh-CN"/>
        </w:rPr>
        <w:t>6.1.4策划措施</w:t>
      </w:r>
    </w:p>
    <w:p>
      <w:pPr>
        <w:snapToGrid w:val="0"/>
        <w:ind w:firstLine="525" w:firstLineChars="250"/>
        <w:rPr>
          <w:rFonts w:hint="default" w:eastAsiaTheme="minorEastAsia"/>
          <w:b/>
          <w:color w:val="000000"/>
          <w:szCs w:val="21"/>
          <w:lang w:val="en-US" w:eastAsia="zh-CN"/>
        </w:rPr>
      </w:pPr>
      <w:r>
        <w:rPr>
          <w:rFonts w:hint="eastAsia" w:eastAsiaTheme="minorEastAsia"/>
          <w:color w:val="000000"/>
          <w:szCs w:val="21"/>
          <w:lang w:val="en-US" w:eastAsia="zh-CN"/>
        </w:rPr>
        <w:t>公司应策划处理风险与机遇的方法，处理法律法规和其他要求的方法，准备和响应紧急情况的策划；并将这些策划融入到管理体系过程中，得到有效的实施。</w:t>
      </w:r>
    </w:p>
    <w:p>
      <w:pPr>
        <w:ind w:firstLine="560"/>
        <w:rPr>
          <w:b/>
          <w:szCs w:val="21"/>
        </w:rPr>
      </w:pPr>
      <w:r>
        <w:rPr>
          <w:b/>
          <w:szCs w:val="21"/>
        </w:rPr>
        <w:t>6.</w:t>
      </w:r>
      <w:r>
        <w:rPr>
          <w:rFonts w:hint="eastAsia"/>
          <w:b/>
          <w:szCs w:val="21"/>
        </w:rPr>
        <w:t>2</w:t>
      </w:r>
      <w:r>
        <w:rPr>
          <w:b/>
          <w:szCs w:val="21"/>
        </w:rPr>
        <w:t>、质量/环境/安全</w:t>
      </w:r>
      <w:r>
        <w:rPr>
          <w:rFonts w:hint="eastAsia"/>
          <w:b/>
          <w:szCs w:val="21"/>
        </w:rPr>
        <w:t>/安全</w:t>
      </w:r>
      <w:r>
        <w:rPr>
          <w:b/>
          <w:szCs w:val="21"/>
        </w:rPr>
        <w:t>目标及其实现的策划（M2）</w:t>
      </w:r>
    </w:p>
    <w:p>
      <w:pPr>
        <w:ind w:firstLine="560"/>
        <w:rPr>
          <w:szCs w:val="21"/>
        </w:rPr>
      </w:pPr>
      <w:r>
        <w:rPr>
          <w:szCs w:val="21"/>
        </w:rPr>
        <w:t>公司在相关职能、层次、过程上建立质量/环境/安全目标。</w:t>
      </w:r>
    </w:p>
    <w:p>
      <w:pPr>
        <w:ind w:firstLine="560"/>
        <w:rPr>
          <w:szCs w:val="21"/>
        </w:rPr>
      </w:pPr>
      <w:r>
        <w:rPr>
          <w:szCs w:val="21"/>
        </w:rPr>
        <w:t>6.</w:t>
      </w:r>
      <w:r>
        <w:rPr>
          <w:rFonts w:hint="eastAsia"/>
          <w:szCs w:val="21"/>
        </w:rPr>
        <w:t>7.1</w:t>
      </w:r>
      <w:r>
        <w:rPr>
          <w:szCs w:val="21"/>
        </w:rPr>
        <w:t>质量/环境/安全目标应：</w:t>
      </w:r>
    </w:p>
    <w:p>
      <w:pPr>
        <w:ind w:firstLine="560"/>
        <w:rPr>
          <w:szCs w:val="21"/>
        </w:rPr>
      </w:pPr>
      <w:r>
        <w:rPr>
          <w:szCs w:val="21"/>
        </w:rPr>
        <w:t>a)与质量/环境/安全方针保持一致；</w:t>
      </w:r>
    </w:p>
    <w:p>
      <w:pPr>
        <w:ind w:firstLine="560"/>
        <w:rPr>
          <w:szCs w:val="21"/>
        </w:rPr>
      </w:pPr>
      <w:r>
        <w:rPr>
          <w:szCs w:val="21"/>
        </w:rPr>
        <w:t>b)与产品、服务的符合性和顾客满意相关；</w:t>
      </w:r>
    </w:p>
    <w:p>
      <w:pPr>
        <w:ind w:firstLine="560"/>
        <w:rPr>
          <w:szCs w:val="21"/>
        </w:rPr>
      </w:pPr>
      <w:r>
        <w:rPr>
          <w:szCs w:val="21"/>
        </w:rPr>
        <w:t>c)可测量（可行时) ；</w:t>
      </w:r>
    </w:p>
    <w:p>
      <w:pPr>
        <w:ind w:firstLine="560"/>
        <w:rPr>
          <w:szCs w:val="21"/>
        </w:rPr>
      </w:pPr>
      <w:r>
        <w:rPr>
          <w:szCs w:val="21"/>
        </w:rPr>
        <w:t>d)考虑适用的要求；</w:t>
      </w:r>
    </w:p>
    <w:p>
      <w:pPr>
        <w:ind w:firstLine="560"/>
        <w:rPr>
          <w:szCs w:val="21"/>
        </w:rPr>
      </w:pPr>
      <w:r>
        <w:rPr>
          <w:szCs w:val="21"/>
        </w:rPr>
        <w:t>e)得到监测；</w:t>
      </w:r>
    </w:p>
    <w:p>
      <w:pPr>
        <w:ind w:firstLine="560"/>
        <w:rPr>
          <w:szCs w:val="21"/>
        </w:rPr>
      </w:pPr>
      <w:r>
        <w:rPr>
          <w:szCs w:val="21"/>
        </w:rPr>
        <w:t>f)得到沟通；</w:t>
      </w:r>
    </w:p>
    <w:p>
      <w:pPr>
        <w:ind w:firstLine="560"/>
        <w:rPr>
          <w:szCs w:val="21"/>
        </w:rPr>
      </w:pPr>
      <w:r>
        <w:rPr>
          <w:szCs w:val="21"/>
        </w:rPr>
        <w:t>g)适当时进行更新。</w:t>
      </w:r>
    </w:p>
    <w:p>
      <w:pPr>
        <w:ind w:left="525" w:leftChars="250" w:firstLine="33" w:firstLineChars="16"/>
        <w:rPr>
          <w:szCs w:val="21"/>
        </w:rPr>
      </w:pPr>
      <w:r>
        <w:rPr>
          <w:rFonts w:hint="eastAsia"/>
          <w:szCs w:val="21"/>
        </w:rPr>
        <w:t>h)应考虑法规和组织同意的其他要求、自身的企业情况、可选择的技术方案、财务、运行和经营要求以及相关方的意见</w:t>
      </w:r>
    </w:p>
    <w:p>
      <w:pPr>
        <w:ind w:left="525" w:leftChars="250"/>
        <w:rPr>
          <w:rFonts w:hint="eastAsia"/>
          <w:color w:val="000000"/>
          <w:szCs w:val="21"/>
        </w:rPr>
      </w:pPr>
      <w:r>
        <w:t>公司建立《</w:t>
      </w:r>
      <w:r>
        <w:rPr>
          <w:rFonts w:hint="eastAsia"/>
          <w:lang w:eastAsia="zh-CN"/>
        </w:rPr>
        <w:t>目标、指标和管理方案控制程序</w:t>
      </w:r>
      <w:r>
        <w:t>》，</w:t>
      </w:r>
      <w:r>
        <w:rPr>
          <w:szCs w:val="21"/>
        </w:rPr>
        <w:t>每年度策划总体质量/环境/安全目标，并进行分解和考核。质量/环境/安全目标形成文件并每年度评审更新。</w:t>
      </w:r>
      <w:r>
        <w:rPr>
          <w:color w:val="000000"/>
          <w:szCs w:val="21"/>
        </w:rPr>
        <w:t>所设定的目标和指标，应包含有关预防的原则，并应与方针相统一。</w:t>
      </w:r>
    </w:p>
    <w:p>
      <w:pPr>
        <w:ind w:firstLine="525" w:firstLineChars="250"/>
        <w:rPr>
          <w:rFonts w:hint="eastAsia"/>
          <w:color w:val="000000"/>
          <w:szCs w:val="21"/>
        </w:rPr>
      </w:pPr>
    </w:p>
    <w:p>
      <w:pPr>
        <w:ind w:firstLine="527" w:firstLineChars="250"/>
        <w:rPr>
          <w:rFonts w:hint="eastAsia"/>
          <w:b/>
          <w:bCs/>
          <w:color w:val="000000"/>
          <w:szCs w:val="21"/>
        </w:rPr>
      </w:pPr>
      <w:r>
        <w:rPr>
          <w:rFonts w:hint="eastAsia"/>
          <w:b/>
          <w:bCs/>
          <w:color w:val="000000"/>
          <w:szCs w:val="21"/>
        </w:rPr>
        <w:t>公司目标：</w:t>
      </w:r>
    </w:p>
    <w:p>
      <w:pPr>
        <w:ind w:firstLine="525" w:firstLineChars="250"/>
        <w:rPr>
          <w:rFonts w:hint="eastAsia" w:eastAsiaTheme="minorEastAsia"/>
          <w:color w:val="000000"/>
          <w:szCs w:val="21"/>
        </w:rPr>
      </w:pPr>
      <w:r>
        <w:rPr>
          <w:rFonts w:hint="eastAsia" w:eastAsiaTheme="minorEastAsia"/>
          <w:color w:val="000000"/>
          <w:szCs w:val="21"/>
        </w:rPr>
        <w:t>质量目标：1）、产品一次</w:t>
      </w:r>
      <w:r>
        <w:rPr>
          <w:rFonts w:hint="eastAsia" w:eastAsiaTheme="minorEastAsia"/>
          <w:color w:val="000000"/>
          <w:szCs w:val="21"/>
          <w:lang w:val="en-US" w:eastAsia="zh-CN"/>
        </w:rPr>
        <w:t>检验</w:t>
      </w:r>
      <w:r>
        <w:rPr>
          <w:rFonts w:hint="eastAsia" w:eastAsiaTheme="minorEastAsia"/>
          <w:color w:val="000000"/>
          <w:szCs w:val="21"/>
        </w:rPr>
        <w:t>合格率达到9</w:t>
      </w:r>
      <w:r>
        <w:rPr>
          <w:rFonts w:hint="eastAsia" w:eastAsiaTheme="minorEastAsia"/>
          <w:color w:val="000000"/>
          <w:szCs w:val="21"/>
          <w:lang w:val="en-US" w:eastAsia="zh-CN"/>
        </w:rPr>
        <w:t>8</w:t>
      </w:r>
      <w:r>
        <w:rPr>
          <w:rFonts w:hint="eastAsia" w:eastAsiaTheme="minorEastAsia"/>
          <w:color w:val="000000"/>
          <w:szCs w:val="21"/>
        </w:rPr>
        <w:t>%</w:t>
      </w:r>
      <w:r>
        <w:rPr>
          <w:rFonts w:hint="eastAsia" w:eastAsiaTheme="minorEastAsia"/>
          <w:color w:val="000000"/>
          <w:szCs w:val="21"/>
          <w:lang w:val="en-US" w:eastAsia="zh-CN"/>
        </w:rPr>
        <w:t>以上</w:t>
      </w:r>
      <w:r>
        <w:rPr>
          <w:rFonts w:hint="eastAsia" w:eastAsiaTheme="minorEastAsia"/>
          <w:color w:val="000000"/>
          <w:szCs w:val="21"/>
        </w:rPr>
        <w:t>；</w:t>
      </w:r>
    </w:p>
    <w:p>
      <w:pPr>
        <w:ind w:firstLine="1575" w:firstLineChars="750"/>
        <w:rPr>
          <w:rFonts w:hint="eastAsia" w:eastAsiaTheme="minorEastAsia"/>
          <w:color w:val="000000"/>
          <w:szCs w:val="21"/>
        </w:rPr>
      </w:pPr>
      <w:r>
        <w:rPr>
          <w:rFonts w:hint="eastAsia" w:eastAsiaTheme="minorEastAsia"/>
          <w:color w:val="000000"/>
          <w:szCs w:val="21"/>
        </w:rPr>
        <w:t>2）、合同履约率100％；</w:t>
      </w:r>
    </w:p>
    <w:p>
      <w:pPr>
        <w:ind w:firstLine="1575" w:firstLineChars="750"/>
        <w:rPr>
          <w:rFonts w:hint="eastAsia" w:eastAsiaTheme="minorEastAsia"/>
          <w:color w:val="000000"/>
          <w:szCs w:val="21"/>
        </w:rPr>
      </w:pPr>
      <w:r>
        <w:rPr>
          <w:rFonts w:hint="eastAsia" w:eastAsiaTheme="minorEastAsia"/>
          <w:color w:val="000000"/>
          <w:szCs w:val="21"/>
        </w:rPr>
        <w:t>3）、顾客满意率达到≥90%以上。</w:t>
      </w:r>
    </w:p>
    <w:p>
      <w:pPr>
        <w:ind w:firstLine="1575" w:firstLineChars="750"/>
        <w:rPr>
          <w:rFonts w:hint="eastAsia" w:eastAsiaTheme="minorEastAsia"/>
          <w:color w:val="000000"/>
          <w:szCs w:val="21"/>
        </w:rPr>
      </w:pPr>
      <w:r>
        <w:rPr>
          <w:rFonts w:hint="eastAsia" w:eastAsiaTheme="minorEastAsia"/>
          <w:color w:val="000000"/>
          <w:szCs w:val="21"/>
        </w:rPr>
        <w:t>4）、重大质量事故为</w:t>
      </w:r>
      <w:r>
        <w:rPr>
          <w:rFonts w:hint="eastAsia" w:eastAsiaTheme="minorEastAsia"/>
          <w:color w:val="000000"/>
          <w:szCs w:val="21"/>
          <w:lang w:val="en-US" w:eastAsia="zh-CN"/>
        </w:rPr>
        <w:t>0</w:t>
      </w:r>
      <w:r>
        <w:rPr>
          <w:rFonts w:hint="eastAsia" w:eastAsiaTheme="minorEastAsia"/>
          <w:color w:val="000000"/>
          <w:szCs w:val="21"/>
        </w:rPr>
        <w:t>。</w:t>
      </w:r>
    </w:p>
    <w:p>
      <w:pPr>
        <w:ind w:firstLine="525" w:firstLineChars="250"/>
        <w:rPr>
          <w:rFonts w:hint="eastAsia" w:eastAsiaTheme="minorEastAsia"/>
          <w:color w:val="000000"/>
          <w:szCs w:val="21"/>
        </w:rPr>
      </w:pPr>
      <w:r>
        <w:rPr>
          <w:rFonts w:hint="eastAsia" w:eastAsiaTheme="minorEastAsia"/>
          <w:color w:val="000000"/>
          <w:szCs w:val="21"/>
        </w:rPr>
        <w:t>环境目标：1）、控制</w:t>
      </w:r>
      <w:r>
        <w:rPr>
          <w:rFonts w:hint="eastAsia" w:eastAsiaTheme="minorEastAsia"/>
          <w:color w:val="000000"/>
          <w:szCs w:val="21"/>
          <w:lang w:val="en-US" w:eastAsia="zh-CN"/>
        </w:rPr>
        <w:t>生产</w:t>
      </w:r>
      <w:r>
        <w:rPr>
          <w:rFonts w:hint="eastAsia" w:eastAsiaTheme="minorEastAsia"/>
          <w:color w:val="000000"/>
          <w:szCs w:val="21"/>
        </w:rPr>
        <w:t>噪声、</w:t>
      </w:r>
      <w:r>
        <w:rPr>
          <w:rFonts w:hint="eastAsia" w:eastAsiaTheme="minorEastAsia"/>
          <w:color w:val="000000"/>
          <w:szCs w:val="21"/>
          <w:lang w:val="en-US" w:eastAsia="zh-CN"/>
        </w:rPr>
        <w:t>废气</w:t>
      </w:r>
      <w:r>
        <w:rPr>
          <w:rFonts w:hint="eastAsia" w:eastAsiaTheme="minorEastAsia"/>
          <w:color w:val="000000"/>
          <w:szCs w:val="21"/>
        </w:rPr>
        <w:t>、</w:t>
      </w:r>
      <w:r>
        <w:rPr>
          <w:rFonts w:hint="eastAsia" w:eastAsiaTheme="minorEastAsia"/>
          <w:color w:val="000000"/>
          <w:szCs w:val="21"/>
          <w:lang w:val="en-US" w:eastAsia="zh-CN"/>
        </w:rPr>
        <w:t>固废、</w:t>
      </w:r>
      <w:r>
        <w:rPr>
          <w:rFonts w:hint="eastAsia" w:eastAsiaTheme="minorEastAsia"/>
          <w:color w:val="000000"/>
          <w:szCs w:val="21"/>
        </w:rPr>
        <w:t xml:space="preserve">污水排放无投诉； </w:t>
      </w:r>
    </w:p>
    <w:p>
      <w:pPr>
        <w:ind w:firstLine="1575" w:firstLineChars="750"/>
        <w:rPr>
          <w:rFonts w:hint="eastAsia" w:eastAsiaTheme="minorEastAsia"/>
          <w:color w:val="000000"/>
          <w:szCs w:val="21"/>
        </w:rPr>
      </w:pPr>
      <w:r>
        <w:rPr>
          <w:rFonts w:hint="eastAsia" w:eastAsiaTheme="minorEastAsia"/>
          <w:color w:val="000000"/>
          <w:szCs w:val="21"/>
        </w:rPr>
        <w:t>2）、固体废弃物（含危废）有效处置率≥95%；</w:t>
      </w:r>
    </w:p>
    <w:p>
      <w:pPr>
        <w:ind w:firstLine="1575" w:firstLineChars="750"/>
        <w:rPr>
          <w:rFonts w:hint="eastAsia" w:eastAsiaTheme="minorEastAsia"/>
          <w:color w:val="000000"/>
          <w:szCs w:val="21"/>
          <w:lang w:val="en-US" w:eastAsia="zh-CN"/>
        </w:rPr>
      </w:pPr>
      <w:r>
        <w:rPr>
          <w:rFonts w:hint="eastAsia" w:eastAsiaTheme="minorEastAsia"/>
          <w:color w:val="000000"/>
          <w:szCs w:val="21"/>
          <w:lang w:val="en-US" w:eastAsia="zh-CN"/>
        </w:rPr>
        <w:t>3）、</w:t>
      </w:r>
      <w:r>
        <w:rPr>
          <w:rFonts w:hint="eastAsia" w:eastAsiaTheme="minorEastAsia"/>
          <w:color w:val="000000"/>
          <w:szCs w:val="21"/>
          <w:lang w:eastAsia="zh-CN"/>
        </w:rPr>
        <w:t>火灾事故为</w:t>
      </w:r>
      <w:r>
        <w:rPr>
          <w:rFonts w:hint="eastAsia" w:eastAsiaTheme="minorEastAsia"/>
          <w:color w:val="000000"/>
          <w:szCs w:val="21"/>
          <w:lang w:val="en-US" w:eastAsia="zh-CN"/>
        </w:rPr>
        <w:t>0</w:t>
      </w:r>
    </w:p>
    <w:p>
      <w:pPr>
        <w:ind w:firstLine="525" w:firstLineChars="250"/>
        <w:rPr>
          <w:rFonts w:hint="eastAsia" w:eastAsiaTheme="minorEastAsia"/>
          <w:color w:val="000000"/>
          <w:szCs w:val="21"/>
        </w:rPr>
      </w:pPr>
      <w:r>
        <w:rPr>
          <w:rFonts w:hint="eastAsia" w:eastAsiaTheme="minorEastAsia"/>
          <w:color w:val="000000"/>
          <w:szCs w:val="21"/>
        </w:rPr>
        <w:t>职业健康安全目标：1）、</w:t>
      </w:r>
      <w:r>
        <w:rPr>
          <w:rFonts w:hint="eastAsia" w:eastAsiaTheme="minorEastAsia"/>
          <w:color w:val="000000"/>
          <w:szCs w:val="21"/>
          <w:lang w:val="en-US" w:eastAsia="zh-CN"/>
        </w:rPr>
        <w:t>死亡</w:t>
      </w:r>
      <w:r>
        <w:rPr>
          <w:rFonts w:hint="eastAsia" w:eastAsiaTheme="minorEastAsia"/>
          <w:color w:val="000000"/>
          <w:szCs w:val="21"/>
        </w:rPr>
        <w:t>事故为0</w:t>
      </w:r>
      <w:r>
        <w:rPr>
          <w:rFonts w:hint="eastAsia" w:eastAsiaTheme="minorEastAsia"/>
          <w:color w:val="000000"/>
          <w:szCs w:val="21"/>
          <w:lang w:eastAsia="zh-CN"/>
        </w:rPr>
        <w:t>；</w:t>
      </w:r>
    </w:p>
    <w:p>
      <w:pPr>
        <w:ind w:firstLine="2415" w:firstLineChars="1150"/>
        <w:rPr>
          <w:rFonts w:hint="eastAsia" w:eastAsiaTheme="minorEastAsia"/>
          <w:color w:val="000000"/>
          <w:szCs w:val="21"/>
          <w:lang w:val="en-US" w:eastAsia="zh-CN"/>
        </w:rPr>
      </w:pPr>
      <w:r>
        <w:rPr>
          <w:rFonts w:hint="eastAsia" w:eastAsiaTheme="minorEastAsia"/>
          <w:color w:val="000000"/>
          <w:szCs w:val="21"/>
        </w:rPr>
        <w:t>2）、</w:t>
      </w:r>
      <w:r>
        <w:rPr>
          <w:rFonts w:hint="eastAsia" w:eastAsiaTheme="minorEastAsia"/>
          <w:color w:val="000000"/>
          <w:szCs w:val="21"/>
          <w:lang w:val="en-US" w:eastAsia="zh-CN"/>
        </w:rPr>
        <w:t>重伤事故为0；</w:t>
      </w:r>
    </w:p>
    <w:p>
      <w:pPr>
        <w:ind w:firstLine="2415" w:firstLineChars="1150"/>
        <w:rPr>
          <w:rFonts w:hint="eastAsia" w:eastAsiaTheme="minorEastAsia"/>
          <w:color w:val="000000"/>
          <w:szCs w:val="21"/>
          <w:lang w:val="en-US" w:eastAsia="zh-CN"/>
        </w:rPr>
      </w:pPr>
      <w:r>
        <w:rPr>
          <w:rFonts w:hint="eastAsia" w:eastAsiaTheme="minorEastAsia"/>
          <w:color w:val="000000"/>
          <w:szCs w:val="21"/>
          <w:lang w:val="en-US" w:eastAsia="zh-CN"/>
        </w:rPr>
        <w:t>3）、轻伤事故每季度少于3次</w:t>
      </w:r>
    </w:p>
    <w:p>
      <w:pPr>
        <w:ind w:firstLine="630" w:firstLineChars="300"/>
        <w:rPr>
          <w:rFonts w:eastAsiaTheme="minorEastAsia"/>
          <w:color w:val="000000"/>
          <w:szCs w:val="21"/>
        </w:rPr>
      </w:pPr>
      <w:r>
        <w:rPr>
          <w:rFonts w:eastAsiaTheme="minorEastAsia"/>
          <w:color w:val="000000"/>
          <w:szCs w:val="21"/>
        </w:rPr>
        <w:t>6.</w:t>
      </w:r>
      <w:r>
        <w:rPr>
          <w:rFonts w:hint="eastAsia" w:eastAsiaTheme="minorEastAsia"/>
          <w:color w:val="000000"/>
          <w:szCs w:val="21"/>
        </w:rPr>
        <w:t>2</w:t>
      </w:r>
      <w:r>
        <w:rPr>
          <w:rFonts w:eastAsiaTheme="minorEastAsia"/>
          <w:color w:val="000000"/>
          <w:szCs w:val="21"/>
        </w:rPr>
        <w:t>.2环境</w:t>
      </w:r>
      <w:r>
        <w:rPr>
          <w:rFonts w:hint="eastAsia" w:eastAsiaTheme="minorEastAsia"/>
          <w:color w:val="000000"/>
          <w:szCs w:val="21"/>
        </w:rPr>
        <w:t>、安全</w:t>
      </w:r>
      <w:r>
        <w:rPr>
          <w:rFonts w:eastAsiaTheme="minorEastAsia"/>
          <w:color w:val="000000"/>
          <w:szCs w:val="21"/>
        </w:rPr>
        <w:t>管理方案</w:t>
      </w:r>
    </w:p>
    <w:p>
      <w:pPr>
        <w:snapToGrid w:val="0"/>
        <w:ind w:left="525" w:leftChars="250"/>
        <w:rPr>
          <w:color w:val="000000"/>
          <w:szCs w:val="21"/>
        </w:rPr>
      </w:pPr>
      <w:r>
        <w:rPr>
          <w:rFonts w:eastAsiaTheme="minorEastAsia"/>
          <w:color w:val="000000"/>
          <w:szCs w:val="21"/>
        </w:rPr>
        <w:t>公司建立并保持《</w:t>
      </w:r>
      <w:r>
        <w:rPr>
          <w:rFonts w:hint="eastAsia" w:eastAsiaTheme="minorEastAsia"/>
          <w:color w:val="000000"/>
          <w:szCs w:val="21"/>
          <w:lang w:eastAsia="zh-CN"/>
        </w:rPr>
        <w:t>目标、指标和管理方案控制程序</w:t>
      </w:r>
      <w:r>
        <w:rPr>
          <w:color w:val="000000"/>
          <w:szCs w:val="21"/>
        </w:rPr>
        <w:t>》规定了制定环境</w:t>
      </w:r>
      <w:r>
        <w:rPr>
          <w:rFonts w:hint="eastAsia"/>
          <w:color w:val="000000"/>
          <w:szCs w:val="21"/>
        </w:rPr>
        <w:t>，安全</w:t>
      </w:r>
      <w:r>
        <w:rPr>
          <w:color w:val="000000"/>
          <w:szCs w:val="21"/>
        </w:rPr>
        <w:t>管理方案，方案中应包括以下事项:</w:t>
      </w:r>
    </w:p>
    <w:p>
      <w:pPr>
        <w:snapToGrid w:val="0"/>
        <w:ind w:left="141" w:leftChars="67" w:firstLine="420" w:firstLineChars="200"/>
        <w:rPr>
          <w:color w:val="000000"/>
          <w:szCs w:val="21"/>
        </w:rPr>
      </w:pPr>
      <w:r>
        <w:rPr>
          <w:rFonts w:eastAsiaTheme="minorEastAsia"/>
          <w:color w:val="000000"/>
          <w:szCs w:val="21"/>
        </w:rPr>
        <w:t>a)</w:t>
      </w:r>
      <w:r>
        <w:rPr>
          <w:color w:val="000000"/>
          <w:szCs w:val="21"/>
        </w:rPr>
        <w:t>环境</w:t>
      </w:r>
      <w:r>
        <w:rPr>
          <w:rFonts w:hint="eastAsia"/>
          <w:color w:val="000000"/>
          <w:szCs w:val="21"/>
        </w:rPr>
        <w:t>，安全</w:t>
      </w:r>
      <w:r>
        <w:rPr>
          <w:color w:val="000000"/>
          <w:szCs w:val="21"/>
        </w:rPr>
        <w:t>管理方案应明确实现环境</w:t>
      </w:r>
      <w:r>
        <w:rPr>
          <w:rFonts w:hint="eastAsia"/>
          <w:color w:val="000000"/>
          <w:szCs w:val="21"/>
        </w:rPr>
        <w:t>及安全</w:t>
      </w:r>
      <w:r>
        <w:rPr>
          <w:color w:val="000000"/>
          <w:szCs w:val="21"/>
        </w:rPr>
        <w:t>目标和指标过程中公司个相关部门和层次人员的职责；</w:t>
      </w:r>
    </w:p>
    <w:p>
      <w:pPr>
        <w:snapToGrid w:val="0"/>
        <w:ind w:firstLine="525" w:firstLineChars="250"/>
        <w:rPr>
          <w:color w:val="000000"/>
          <w:szCs w:val="21"/>
        </w:rPr>
      </w:pPr>
      <w:r>
        <w:rPr>
          <w:rFonts w:eastAsiaTheme="minorEastAsia"/>
          <w:color w:val="000000"/>
          <w:szCs w:val="21"/>
        </w:rPr>
        <w:t>b)</w:t>
      </w:r>
      <w:r>
        <w:rPr>
          <w:color w:val="000000"/>
          <w:szCs w:val="21"/>
        </w:rPr>
        <w:t>管理方案应包括实现目标和指标的方法及时间要求。</w:t>
      </w:r>
    </w:p>
    <w:p>
      <w:pPr>
        <w:snapToGrid w:val="0"/>
        <w:ind w:firstLine="525" w:firstLineChars="250"/>
        <w:rPr>
          <w:color w:val="000000"/>
          <w:szCs w:val="21"/>
        </w:rPr>
      </w:pPr>
      <w:r>
        <w:rPr>
          <w:rFonts w:eastAsiaTheme="minorEastAsia"/>
          <w:color w:val="000000"/>
          <w:szCs w:val="21"/>
        </w:rPr>
        <w:t>c)</w:t>
      </w:r>
      <w:r>
        <w:rPr>
          <w:color w:val="000000"/>
          <w:szCs w:val="21"/>
        </w:rPr>
        <w:t>如在活动时间内，本公司活动及产品上发生变化影响到管理方案的实施时，则根据需要进行修改。</w:t>
      </w:r>
    </w:p>
    <w:p>
      <w:pPr>
        <w:snapToGrid w:val="0"/>
        <w:ind w:left="525" w:leftChars="250"/>
        <w:rPr>
          <w:rFonts w:eastAsiaTheme="minorEastAsia"/>
          <w:color w:val="000000"/>
          <w:szCs w:val="21"/>
        </w:rPr>
      </w:pPr>
      <w:r>
        <w:rPr>
          <w:color w:val="000000"/>
          <w:szCs w:val="21"/>
        </w:rPr>
        <w:t>各部门根据本公司的环境目标和指标及《</w:t>
      </w:r>
      <w:r>
        <w:rPr>
          <w:rFonts w:hint="eastAsia"/>
          <w:color w:val="000000"/>
          <w:szCs w:val="21"/>
          <w:lang w:eastAsia="zh-CN"/>
        </w:rPr>
        <w:t>目标、指标和管理方案控制程序</w:t>
      </w:r>
      <w:r>
        <w:rPr>
          <w:color w:val="000000"/>
          <w:szCs w:val="21"/>
        </w:rPr>
        <w:t>》，实施与本部门有关的环境管理方案。</w:t>
      </w:r>
    </w:p>
    <w:p>
      <w:pPr>
        <w:snapToGrid w:val="0"/>
        <w:ind w:firstLine="525" w:firstLineChars="250"/>
        <w:rPr>
          <w:rFonts w:eastAsiaTheme="minorEastAsia"/>
          <w:color w:val="000000"/>
          <w:szCs w:val="21"/>
        </w:rPr>
      </w:pPr>
      <w:r>
        <w:rPr>
          <w:color w:val="000000"/>
          <w:szCs w:val="21"/>
        </w:rPr>
        <w:t>管理方案应随着公司活动、业务的改变作必要的更改，以适应这些变化。</w:t>
      </w:r>
    </w:p>
    <w:p>
      <w:pPr>
        <w:snapToGrid w:val="0"/>
        <w:ind w:firstLine="525" w:firstLineChars="250"/>
        <w:rPr>
          <w:rFonts w:eastAsiaTheme="minorEastAsia"/>
          <w:color w:val="000000"/>
          <w:szCs w:val="21"/>
        </w:rPr>
      </w:pPr>
      <w:r>
        <w:rPr>
          <w:szCs w:val="21"/>
        </w:rPr>
        <w:t>在策划目标的实现时，公司要确定目标与分解指标、需求资源、负责人员、完成时间、评价方法等。</w:t>
      </w:r>
    </w:p>
    <w:p>
      <w:pPr>
        <w:ind w:firstLine="560"/>
        <w:rPr>
          <w:b/>
          <w:szCs w:val="21"/>
        </w:rPr>
      </w:pPr>
      <w:r>
        <w:rPr>
          <w:b/>
          <w:szCs w:val="21"/>
        </w:rPr>
        <w:t>6.</w:t>
      </w:r>
      <w:r>
        <w:rPr>
          <w:rFonts w:hint="eastAsia"/>
          <w:b/>
          <w:szCs w:val="21"/>
        </w:rPr>
        <w:t>3</w:t>
      </w:r>
      <w:r>
        <w:rPr>
          <w:b/>
          <w:szCs w:val="21"/>
        </w:rPr>
        <w:t>变更的策划</w:t>
      </w:r>
    </w:p>
    <w:p>
      <w:pPr>
        <w:ind w:firstLine="560"/>
        <w:rPr>
          <w:szCs w:val="21"/>
        </w:rPr>
      </w:pPr>
      <w:r>
        <w:rPr>
          <w:szCs w:val="21"/>
        </w:rPr>
        <w:t>公司要确定变更的需求和机会，以保持和改进质量/环境/安全管理体系绩效。</w:t>
      </w:r>
    </w:p>
    <w:p>
      <w:pPr>
        <w:ind w:firstLine="560"/>
        <w:rPr>
          <w:szCs w:val="21"/>
        </w:rPr>
      </w:pPr>
      <w:r>
        <w:rPr>
          <w:szCs w:val="21"/>
        </w:rPr>
        <w:t>公司要有计划、系统地进行变更，识别风险和机遇，并评价变更的潜在后果。</w:t>
      </w:r>
    </w:p>
    <w:p>
      <w:pPr>
        <w:ind w:firstLine="560"/>
        <w:rPr>
          <w:szCs w:val="21"/>
        </w:rPr>
      </w:pPr>
      <w:r>
        <w:rPr>
          <w:szCs w:val="21"/>
        </w:rPr>
        <w:t>确保更改目的及潜在后果，质量/环境/安全管理体系的完整性，资源的可获得，责任和权限的分配。</w:t>
      </w:r>
    </w:p>
    <w:p>
      <w:pPr>
        <w:ind w:firstLine="560"/>
        <w:rPr>
          <w:b/>
          <w:szCs w:val="21"/>
        </w:rPr>
      </w:pPr>
      <w:r>
        <w:rPr>
          <w:b/>
          <w:szCs w:val="21"/>
        </w:rPr>
        <w:t>7支持</w:t>
      </w:r>
    </w:p>
    <w:p>
      <w:pPr>
        <w:ind w:firstLine="560"/>
        <w:rPr>
          <w:b/>
          <w:szCs w:val="21"/>
        </w:rPr>
      </w:pPr>
      <w:r>
        <w:rPr>
          <w:b/>
          <w:szCs w:val="21"/>
        </w:rPr>
        <w:t>7.1资源</w:t>
      </w:r>
    </w:p>
    <w:p>
      <w:pPr>
        <w:ind w:firstLine="560"/>
        <w:rPr>
          <w:szCs w:val="21"/>
        </w:rPr>
      </w:pPr>
      <w:r>
        <w:rPr>
          <w:szCs w:val="21"/>
        </w:rPr>
        <w:t>7.1.1总则</w:t>
      </w:r>
    </w:p>
    <w:p>
      <w:pPr>
        <w:ind w:left="525" w:leftChars="250" w:firstLine="33" w:firstLineChars="16"/>
        <w:rPr>
          <w:szCs w:val="21"/>
        </w:rPr>
      </w:pPr>
      <w:r>
        <w:rPr>
          <w:szCs w:val="21"/>
        </w:rPr>
        <w:t>公司要确定、提供为建立、实施、保持和改进质量/环境/安全管理体系所需的资源。并考虑现有的资源、能力、局限及外部提供的产品和服务。</w:t>
      </w:r>
    </w:p>
    <w:p>
      <w:pPr>
        <w:ind w:left="525" w:leftChars="250" w:firstLine="33" w:firstLineChars="16"/>
        <w:rPr>
          <w:szCs w:val="21"/>
        </w:rPr>
      </w:pPr>
      <w:r>
        <w:rPr>
          <w:szCs w:val="21"/>
        </w:rPr>
        <w:t>7.1.2人员</w:t>
      </w:r>
    </w:p>
    <w:p>
      <w:pPr>
        <w:ind w:left="525" w:leftChars="250" w:firstLine="33" w:firstLineChars="16"/>
        <w:rPr>
          <w:szCs w:val="21"/>
        </w:rPr>
      </w:pPr>
      <w:r>
        <w:rPr>
          <w:szCs w:val="21"/>
        </w:rPr>
        <w:t>公司</w:t>
      </w:r>
      <w:r>
        <w:rPr>
          <w:rFonts w:hint="eastAsia"/>
          <w:szCs w:val="21"/>
        </w:rPr>
        <w:t>相关制度</w:t>
      </w:r>
      <w:r>
        <w:rPr>
          <w:szCs w:val="21"/>
        </w:rPr>
        <w:t>，通过人力资源规划和人员岗位的确定及编制，确定并提供有效实施质量/环境/安全管理体系并运行和控制其过程所需要的人员。</w:t>
      </w:r>
    </w:p>
    <w:p>
      <w:pPr>
        <w:ind w:left="525" w:leftChars="250" w:firstLine="33" w:firstLineChars="16"/>
        <w:rPr>
          <w:szCs w:val="21"/>
        </w:rPr>
      </w:pPr>
      <w:r>
        <w:rPr>
          <w:szCs w:val="21"/>
        </w:rPr>
        <w:t>7.1.3基础设施(S1)</w:t>
      </w:r>
    </w:p>
    <w:p>
      <w:pPr>
        <w:ind w:left="525" w:leftChars="250" w:firstLine="33" w:firstLineChars="16"/>
        <w:rPr>
          <w:szCs w:val="21"/>
        </w:rPr>
      </w:pPr>
      <w:r>
        <w:rPr>
          <w:szCs w:val="21"/>
        </w:rPr>
        <w:t>公司建立确定、提供和维护其运行和确保产品、服务符合性和顾客满意所需的基础设施。包括办公场所和相关的硬件设施、设备（包括硬件和软件）、运输、通讯和信息系统等。</w:t>
      </w:r>
    </w:p>
    <w:p>
      <w:pPr>
        <w:ind w:firstLine="560"/>
        <w:rPr>
          <w:szCs w:val="21"/>
        </w:rPr>
      </w:pPr>
      <w:r>
        <w:rPr>
          <w:szCs w:val="21"/>
        </w:rPr>
        <w:t>7.1.4过程环境（S2）</w:t>
      </w:r>
    </w:p>
    <w:p>
      <w:pPr>
        <w:ind w:left="525" w:leftChars="250" w:firstLine="33" w:firstLineChars="16"/>
        <w:rPr>
          <w:szCs w:val="21"/>
        </w:rPr>
      </w:pPr>
      <w:r>
        <w:rPr>
          <w:szCs w:val="21"/>
        </w:rPr>
        <w:t>为满足国家规范标准的要求、顾客要求、管理体系的要求、过程控制要求及公司内部管理的要求，公司要确定、提供和维护其运行和确保产品、服务符合性和顾客满意所需的过程环境，包括温度、照明、个人情感、卫生等物理的、社会的、心理的和环境的因素。</w:t>
      </w:r>
    </w:p>
    <w:p>
      <w:pPr>
        <w:ind w:firstLine="560"/>
        <w:rPr>
          <w:szCs w:val="21"/>
        </w:rPr>
      </w:pPr>
      <w:r>
        <w:rPr>
          <w:szCs w:val="21"/>
        </w:rPr>
        <w:t>7.1.5监视和测量资源（S3）</w:t>
      </w:r>
    </w:p>
    <w:p>
      <w:pPr>
        <w:ind w:firstLine="560"/>
        <w:rPr>
          <w:szCs w:val="21"/>
        </w:rPr>
      </w:pPr>
      <w:r>
        <w:rPr>
          <w:szCs w:val="21"/>
        </w:rPr>
        <w:t>7.1.5.1总则</w:t>
      </w:r>
    </w:p>
    <w:p>
      <w:pPr>
        <w:ind w:left="525" w:leftChars="250" w:firstLine="33" w:firstLineChars="16"/>
        <w:rPr>
          <w:szCs w:val="21"/>
        </w:rPr>
      </w:pPr>
      <w:r>
        <w:rPr>
          <w:szCs w:val="21"/>
        </w:rPr>
        <w:t>公司确定、提供和维护用于验证产品符合性所需的监视和测量资源，并确保监视和测量资源满足使用要求。</w:t>
      </w:r>
    </w:p>
    <w:p>
      <w:pPr>
        <w:ind w:firstLine="560"/>
        <w:rPr>
          <w:szCs w:val="21"/>
        </w:rPr>
      </w:pPr>
      <w:r>
        <w:rPr>
          <w:szCs w:val="21"/>
        </w:rPr>
        <w:t>a)适合特定类型的监视和测量活动；</w:t>
      </w:r>
    </w:p>
    <w:p>
      <w:pPr>
        <w:ind w:firstLine="560"/>
        <w:rPr>
          <w:szCs w:val="21"/>
        </w:rPr>
      </w:pPr>
      <w:r>
        <w:rPr>
          <w:szCs w:val="21"/>
        </w:rPr>
        <w:t>b)得到适当的维护，以确保持续适合其用途。</w:t>
      </w:r>
    </w:p>
    <w:p>
      <w:pPr>
        <w:ind w:left="525" w:leftChars="250" w:firstLine="33" w:firstLineChars="16"/>
        <w:rPr>
          <w:szCs w:val="21"/>
        </w:rPr>
      </w:pPr>
      <w:r>
        <w:rPr>
          <w:szCs w:val="21"/>
        </w:rPr>
        <w:t>监视和测量资源可包括测量设备和评价方法（例如：调查问卷），公司要定期对监视和测量设备能满足使用要求的状态进行评审，并提供形成文件信息的证据。</w:t>
      </w:r>
    </w:p>
    <w:p>
      <w:pPr>
        <w:ind w:firstLine="560"/>
        <w:rPr>
          <w:szCs w:val="21"/>
        </w:rPr>
      </w:pPr>
      <w:r>
        <w:rPr>
          <w:szCs w:val="21"/>
        </w:rPr>
        <w:t>7.1.5.2测量溯源</w:t>
      </w:r>
    </w:p>
    <w:p>
      <w:pPr>
        <w:ind w:firstLine="560"/>
        <w:rPr>
          <w:szCs w:val="21"/>
        </w:rPr>
      </w:pPr>
      <w:r>
        <w:rPr>
          <w:szCs w:val="21"/>
        </w:rPr>
        <w:t>当要求测量溯源时，或公司认为测量溯源是信任测量结果有效的重要要素，则测量设备应：</w:t>
      </w:r>
    </w:p>
    <w:p>
      <w:pPr>
        <w:ind w:left="525" w:leftChars="250" w:firstLine="33" w:firstLineChars="16"/>
        <w:rPr>
          <w:szCs w:val="21"/>
        </w:rPr>
      </w:pPr>
      <w:r>
        <w:rPr>
          <w:szCs w:val="21"/>
        </w:rPr>
        <w:t>a)对照能溯源到国际或国家标准的测量标准，按照规定的时间间隔或在使用前进行校准和（或）检定（验证），当不存在上述标准时，应保留作为校准或检定（验证）依据的形成文件的信息；</w:t>
      </w:r>
    </w:p>
    <w:p>
      <w:pPr>
        <w:ind w:firstLine="560"/>
        <w:rPr>
          <w:szCs w:val="21"/>
        </w:rPr>
      </w:pPr>
      <w:r>
        <w:rPr>
          <w:szCs w:val="21"/>
        </w:rPr>
        <w:t>b)具有标识，以确定其校准状态；</w:t>
      </w:r>
    </w:p>
    <w:p>
      <w:pPr>
        <w:ind w:firstLine="560"/>
        <w:rPr>
          <w:szCs w:val="21"/>
        </w:rPr>
      </w:pPr>
      <w:r>
        <w:rPr>
          <w:szCs w:val="21"/>
        </w:rPr>
        <w:t>c)予以保护，防止可能使校准状态和随后的测量结果失效的调整、损坏或退化。</w:t>
      </w:r>
    </w:p>
    <w:p>
      <w:pPr>
        <w:ind w:left="525" w:leftChars="250" w:firstLine="33" w:firstLineChars="16"/>
        <w:rPr>
          <w:szCs w:val="21"/>
        </w:rPr>
      </w:pPr>
      <w:r>
        <w:rPr>
          <w:szCs w:val="21"/>
        </w:rPr>
        <w:t>当发现测量设备不符合预期用途时，公司要确定以往测量结果的有效性是否受到不利影响，并采取适当的必要措施。</w:t>
      </w:r>
    </w:p>
    <w:p>
      <w:pPr>
        <w:ind w:firstLine="560"/>
        <w:rPr>
          <w:szCs w:val="21"/>
        </w:rPr>
      </w:pPr>
      <w:r>
        <w:rPr>
          <w:szCs w:val="21"/>
        </w:rPr>
        <w:t>7.1.6知识（S4）</w:t>
      </w:r>
    </w:p>
    <w:p>
      <w:pPr>
        <w:ind w:left="525" w:leftChars="250" w:firstLine="33" w:firstLineChars="16"/>
        <w:rPr>
          <w:szCs w:val="21"/>
        </w:rPr>
      </w:pPr>
      <w:r>
        <w:rPr>
          <w:szCs w:val="21"/>
        </w:rPr>
        <w:t>公司建立</w:t>
      </w:r>
      <w:r>
        <w:rPr>
          <w:rFonts w:hint="eastAsia"/>
          <w:szCs w:val="21"/>
        </w:rPr>
        <w:t>相关制度</w:t>
      </w:r>
      <w:r>
        <w:rPr>
          <w:szCs w:val="21"/>
        </w:rPr>
        <w:t>确定质量/环境/安全管理体系运行、过程、确保产品和服务符合性及顾客满意所需的知识。这些知识应得到保持、保护、需要时便于获取。</w:t>
      </w:r>
    </w:p>
    <w:p>
      <w:pPr>
        <w:ind w:firstLine="560"/>
        <w:rPr>
          <w:szCs w:val="21"/>
        </w:rPr>
      </w:pPr>
      <w:r>
        <w:rPr>
          <w:szCs w:val="21"/>
        </w:rPr>
        <w:t>在应对变化的需求和趋势时，公司要考虑现有的知识基础，确定如何获取必需的更多知识。</w:t>
      </w:r>
    </w:p>
    <w:p>
      <w:pPr>
        <w:ind w:firstLine="560"/>
        <w:rPr>
          <w:szCs w:val="21"/>
        </w:rPr>
      </w:pPr>
      <w:r>
        <w:rPr>
          <w:szCs w:val="21"/>
        </w:rPr>
        <w:t>a)质量/环境/安全管理体系运行所需的知识；</w:t>
      </w:r>
    </w:p>
    <w:p>
      <w:pPr>
        <w:ind w:firstLine="560"/>
        <w:rPr>
          <w:szCs w:val="21"/>
        </w:rPr>
      </w:pPr>
      <w:r>
        <w:rPr>
          <w:szCs w:val="21"/>
        </w:rPr>
        <w:t>b)过程所需的知识；</w:t>
      </w:r>
    </w:p>
    <w:p>
      <w:pPr>
        <w:ind w:firstLine="560"/>
        <w:rPr>
          <w:szCs w:val="21"/>
        </w:rPr>
      </w:pPr>
      <w:r>
        <w:rPr>
          <w:szCs w:val="21"/>
        </w:rPr>
        <w:t>c)确保产品和服务符合性所需的知识；</w:t>
      </w:r>
    </w:p>
    <w:p>
      <w:pPr>
        <w:ind w:firstLine="560"/>
        <w:rPr>
          <w:szCs w:val="21"/>
        </w:rPr>
      </w:pPr>
      <w:r>
        <w:rPr>
          <w:szCs w:val="21"/>
        </w:rPr>
        <w:t>d)顾客满意所需的知识；</w:t>
      </w:r>
    </w:p>
    <w:p>
      <w:pPr>
        <w:ind w:firstLine="560"/>
        <w:rPr>
          <w:szCs w:val="21"/>
        </w:rPr>
      </w:pPr>
      <w:r>
        <w:rPr>
          <w:szCs w:val="21"/>
        </w:rPr>
        <w:t>e)员工岗位技能所需的知识；</w:t>
      </w:r>
    </w:p>
    <w:p>
      <w:pPr>
        <w:ind w:firstLine="560"/>
        <w:rPr>
          <w:szCs w:val="21"/>
        </w:rPr>
      </w:pPr>
      <w:r>
        <w:rPr>
          <w:szCs w:val="21"/>
        </w:rPr>
        <w:t>f)体系变化时，评估所需更多的知识。</w:t>
      </w:r>
    </w:p>
    <w:p>
      <w:pPr>
        <w:ind w:firstLine="560"/>
        <w:rPr>
          <w:b/>
          <w:szCs w:val="21"/>
        </w:rPr>
      </w:pPr>
      <w:r>
        <w:rPr>
          <w:b/>
          <w:szCs w:val="21"/>
        </w:rPr>
        <w:t>7.2能力（S5）</w:t>
      </w:r>
    </w:p>
    <w:p>
      <w:pPr>
        <w:ind w:firstLine="560"/>
        <w:rPr>
          <w:szCs w:val="21"/>
        </w:rPr>
      </w:pPr>
      <w:r>
        <w:rPr>
          <w:szCs w:val="21"/>
        </w:rPr>
        <w:t>公司要：</w:t>
      </w:r>
    </w:p>
    <w:p>
      <w:pPr>
        <w:ind w:firstLine="560"/>
        <w:rPr>
          <w:szCs w:val="21"/>
        </w:rPr>
      </w:pPr>
      <w:r>
        <w:rPr>
          <w:szCs w:val="21"/>
        </w:rPr>
        <w:t>a)确定在公司控制下从事影响质量/环境/安全绩效工作的人员所必要的能力；</w:t>
      </w:r>
    </w:p>
    <w:p>
      <w:pPr>
        <w:ind w:firstLine="560"/>
        <w:rPr>
          <w:szCs w:val="21"/>
        </w:rPr>
      </w:pPr>
      <w:r>
        <w:rPr>
          <w:szCs w:val="21"/>
        </w:rPr>
        <w:t>b)基于适当的教育、培训和经验，确保这些人员是胜任的；</w:t>
      </w:r>
    </w:p>
    <w:p>
      <w:pPr>
        <w:ind w:left="525" w:leftChars="250" w:firstLine="33" w:firstLineChars="16"/>
        <w:rPr>
          <w:szCs w:val="21"/>
        </w:rPr>
      </w:pPr>
      <w:r>
        <w:rPr>
          <w:szCs w:val="21"/>
        </w:rPr>
        <w:t>c)适用时，采取措施以获取必要的能力，并评价这些措施的有效性；这些措施可包括，例如提供培训、辅导、重新分配任务、招聘胜任的人员等。</w:t>
      </w:r>
    </w:p>
    <w:p>
      <w:pPr>
        <w:ind w:firstLine="560"/>
        <w:rPr>
          <w:szCs w:val="21"/>
        </w:rPr>
      </w:pPr>
      <w:r>
        <w:rPr>
          <w:szCs w:val="21"/>
        </w:rPr>
        <w:t>d)保持形成文件的信息，以提供能力的证据。</w:t>
      </w:r>
    </w:p>
    <w:p>
      <w:pPr>
        <w:ind w:firstLine="560"/>
        <w:rPr>
          <w:b/>
          <w:szCs w:val="21"/>
        </w:rPr>
      </w:pPr>
      <w:r>
        <w:rPr>
          <w:b/>
          <w:szCs w:val="21"/>
        </w:rPr>
        <w:t>7.3意识（S6）</w:t>
      </w:r>
    </w:p>
    <w:p>
      <w:pPr>
        <w:ind w:left="525" w:leftChars="250" w:firstLine="33" w:firstLineChars="16"/>
        <w:rPr>
          <w:szCs w:val="21"/>
        </w:rPr>
      </w:pPr>
      <w:r>
        <w:rPr>
          <w:szCs w:val="21"/>
        </w:rPr>
        <w:t>公司通过教育培训、公开宣传、设定岗位职责等措施，使公司的全体工作人员均要意识到质量/环境/安全方针；相关的质量/环境/安全目标；他们对质量/环境/安全管理体系有效性的贡献，包括改进质量/环境/安全绩效的益处；偏离质量/环境/安全管理体系要求的后果。</w:t>
      </w:r>
    </w:p>
    <w:p>
      <w:pPr>
        <w:ind w:firstLine="560"/>
        <w:rPr>
          <w:b/>
          <w:szCs w:val="21"/>
        </w:rPr>
      </w:pPr>
      <w:r>
        <w:rPr>
          <w:b/>
          <w:szCs w:val="21"/>
        </w:rPr>
        <w:t>7.4沟通/信息交流（S7）</w:t>
      </w:r>
    </w:p>
    <w:p>
      <w:pPr>
        <w:ind w:left="559" w:leftChars="266"/>
        <w:rPr>
          <w:szCs w:val="21"/>
        </w:rPr>
      </w:pPr>
      <w:r>
        <w:rPr>
          <w:szCs w:val="21"/>
        </w:rPr>
        <w:t>公司建立《</w:t>
      </w:r>
      <w:r>
        <w:rPr>
          <w:rFonts w:hint="eastAsia"/>
          <w:szCs w:val="21"/>
          <w:lang w:eastAsia="zh-CN"/>
        </w:rPr>
        <w:t>协商、沟通和信息交流管理程序</w:t>
      </w:r>
      <w:r>
        <w:rPr>
          <w:szCs w:val="21"/>
        </w:rPr>
        <w:t>》，对与质量/环境/安全管理体系相关的内外部沟通的需求进行管理。管理的内容包括：信息交流的种类、性质和职责，信息交流的时机、对象、内容和方式。</w:t>
      </w:r>
    </w:p>
    <w:p>
      <w:pPr>
        <w:ind w:left="525" w:leftChars="250" w:firstLine="33" w:firstLineChars="16"/>
      </w:pPr>
      <w:r>
        <w:rPr>
          <w:szCs w:val="21"/>
        </w:rPr>
        <w:t>交流内容：</w:t>
      </w:r>
      <w:r>
        <w:t>法津、法规等对质量、环境，安全的要求，外部相关方的质量、环境，安全要求信息，有关化学物质的毒性、安全资料，公司的质量、环境，安全方针、质量目标、环境，安全目标和指针、环境，安全管理方案，公司质量、环境，安全体系的监测、审核、管理评审的结果，产品质量信息，顾客相关投诉，公司的质量、环境，安全绩效及质量、环境，安全改进情况，质量、环境，安全事故等一切与质量管理、环境，安全管理相关的信息</w:t>
      </w:r>
      <w:r>
        <w:rPr>
          <w:rFonts w:hint="eastAsia"/>
        </w:rPr>
        <w:t>，</w:t>
      </w:r>
      <w:r>
        <w:t>均可作为交流的内容。</w:t>
      </w:r>
    </w:p>
    <w:p>
      <w:pPr>
        <w:spacing w:line="400" w:lineRule="atLeast"/>
        <w:ind w:firstLine="525" w:firstLineChars="250"/>
      </w:pPr>
      <w:r>
        <w:rPr>
          <w:rFonts w:hint="eastAsia"/>
        </w:rPr>
        <w:t>应确保员工对职业健康体系的参与，通过：</w:t>
      </w:r>
    </w:p>
    <w:p>
      <w:pPr>
        <w:spacing w:line="400" w:lineRule="atLeast"/>
        <w:ind w:firstLine="480"/>
      </w:pPr>
      <w:r>
        <w:rPr>
          <w:rFonts w:hint="eastAsia"/>
        </w:rPr>
        <w:t>——适当的参与危险源识别，风险评价和确定控制措施；</w:t>
      </w:r>
    </w:p>
    <w:p>
      <w:pPr>
        <w:spacing w:line="400" w:lineRule="atLeast"/>
        <w:ind w:firstLine="480"/>
      </w:pPr>
      <w:r>
        <w:rPr>
          <w:rFonts w:hint="eastAsia"/>
        </w:rPr>
        <w:t>——适当的参与事件调查；</w:t>
      </w:r>
    </w:p>
    <w:p>
      <w:pPr>
        <w:spacing w:line="400" w:lineRule="atLeast"/>
        <w:ind w:firstLine="420" w:firstLineChars="200"/>
      </w:pPr>
      <w:r>
        <w:rPr>
          <w:rFonts w:hint="eastAsia"/>
        </w:rPr>
        <w:t>——参与风险管理方针和程序的制定和评审；</w:t>
      </w:r>
    </w:p>
    <w:p>
      <w:pPr>
        <w:spacing w:line="400" w:lineRule="atLeast"/>
        <w:ind w:firstLine="420" w:firstLineChars="200"/>
      </w:pPr>
      <w:r>
        <w:rPr>
          <w:rFonts w:hint="eastAsia"/>
        </w:rPr>
        <w:t>——参与商讨影响工作场所职业健康安全的任何变化；</w:t>
      </w:r>
    </w:p>
    <w:p>
      <w:pPr>
        <w:spacing w:line="400" w:lineRule="atLeast"/>
        <w:ind w:firstLine="420" w:firstLineChars="200"/>
      </w:pPr>
      <w:r>
        <w:rPr>
          <w:rFonts w:hint="eastAsia"/>
        </w:rPr>
        <w:t>——在职业健康安全事务上有代表；</w:t>
      </w:r>
    </w:p>
    <w:p>
      <w:pPr>
        <w:spacing w:line="400" w:lineRule="atLeast"/>
        <w:ind w:firstLine="420" w:firstLineChars="200"/>
      </w:pPr>
      <w:r>
        <w:rPr>
          <w:rFonts w:hint="eastAsia"/>
        </w:rPr>
        <w:t>——了解谁是职业健康安全的员工代表和指定的管理者代表</w:t>
      </w:r>
      <w:r>
        <w:t>。</w:t>
      </w:r>
    </w:p>
    <w:p>
      <w:pPr>
        <w:spacing w:line="400" w:lineRule="atLeast"/>
        <w:ind w:firstLine="420" w:firstLineChars="200"/>
      </w:pPr>
      <w:r>
        <w:rPr>
          <w:rFonts w:hint="eastAsia"/>
        </w:rPr>
        <w:t>——存在影响分包方人员职业健康安全的变化时，与其协商。</w:t>
      </w:r>
    </w:p>
    <w:p>
      <w:pPr>
        <w:spacing w:line="400" w:lineRule="atLeast"/>
        <w:ind w:firstLine="420" w:firstLineChars="200"/>
      </w:pPr>
      <w:r>
        <w:rPr>
          <w:rFonts w:hint="eastAsia"/>
        </w:rPr>
        <w:t>组织应确保，适当时就相关的职业健康安全事务和外部相关方进行协商</w:t>
      </w:r>
    </w:p>
    <w:p>
      <w:pPr>
        <w:spacing w:line="400" w:lineRule="atLeast"/>
        <w:ind w:firstLine="420" w:firstLineChars="200"/>
        <w:rPr>
          <w:rFonts w:eastAsiaTheme="minorEastAsia"/>
          <w:szCs w:val="21"/>
        </w:rPr>
      </w:pPr>
      <w:r>
        <w:rPr>
          <w:rFonts w:hint="eastAsia"/>
        </w:rPr>
        <w:t>《</w:t>
      </w:r>
      <w:r>
        <w:rPr>
          <w:rFonts w:hint="eastAsia"/>
          <w:lang w:eastAsia="zh-CN"/>
        </w:rPr>
        <w:t>协商、沟通和信息交流管理程序</w:t>
      </w:r>
      <w:r>
        <w:rPr>
          <w:rFonts w:eastAsiaTheme="minorEastAsia"/>
          <w:szCs w:val="21"/>
        </w:rPr>
        <w:t>》</w:t>
      </w:r>
      <w:r>
        <w:rPr>
          <w:color w:val="000000"/>
          <w:szCs w:val="21"/>
        </w:rPr>
        <w:t>规定了公司内外环境信息交流的方法和程序。规定公司内部的各部门之间及各层次之间的信息交流的程序。规定了与外部相关单位和个人就有关环境因素/危险源及环境管理体系的信息的接收、形成文件和答复的程序。涉及重要环境因素/危险源的外部联络及处理方法，并记录其决定。</w:t>
      </w:r>
    </w:p>
    <w:p>
      <w:pPr>
        <w:ind w:firstLine="560"/>
        <w:rPr>
          <w:b/>
          <w:szCs w:val="21"/>
        </w:rPr>
      </w:pPr>
      <w:r>
        <w:rPr>
          <w:b/>
          <w:szCs w:val="21"/>
        </w:rPr>
        <w:t>7.5文件化信息（S8）</w:t>
      </w:r>
    </w:p>
    <w:p>
      <w:pPr>
        <w:ind w:firstLine="560"/>
        <w:rPr>
          <w:b/>
          <w:szCs w:val="21"/>
        </w:rPr>
      </w:pPr>
      <w:r>
        <w:rPr>
          <w:b/>
          <w:szCs w:val="21"/>
        </w:rPr>
        <w:t>7.5.1总则</w:t>
      </w:r>
    </w:p>
    <w:p>
      <w:pPr>
        <w:ind w:left="559" w:leftChars="266"/>
        <w:rPr>
          <w:szCs w:val="21"/>
        </w:rPr>
      </w:pPr>
      <w:r>
        <w:rPr>
          <w:szCs w:val="21"/>
        </w:rPr>
        <w:t>公司质量/环境/安全管理体系包括以下要求：标准所要求的文件信息及确定的为确保质量/环境/安全管理体系有效运行所需的文件化信息。</w:t>
      </w:r>
    </w:p>
    <w:p>
      <w:pPr>
        <w:ind w:left="525" w:leftChars="250" w:firstLine="33" w:firstLineChars="16"/>
        <w:rPr>
          <w:szCs w:val="21"/>
        </w:rPr>
      </w:pPr>
      <w:r>
        <w:t>公司建立</w:t>
      </w:r>
      <w:r>
        <w:rPr>
          <w:szCs w:val="21"/>
        </w:rPr>
        <w:t>《</w:t>
      </w:r>
      <w:r>
        <w:rPr>
          <w:rFonts w:hint="eastAsia"/>
          <w:lang w:eastAsia="zh-CN"/>
        </w:rPr>
        <w:t>文件控制程序</w:t>
      </w:r>
      <w:r>
        <w:rPr>
          <w:szCs w:val="21"/>
        </w:rPr>
        <w:t>》,并根据自身规模、活动类型、过程、产品和服务，过程及其相互作用的复杂程度及人员的能力对文件的数量与详略程度进行总体策划和控制。</w:t>
      </w:r>
    </w:p>
    <w:p>
      <w:pPr>
        <w:ind w:firstLine="560"/>
        <w:rPr>
          <w:b/>
          <w:szCs w:val="21"/>
        </w:rPr>
      </w:pPr>
      <w:r>
        <w:rPr>
          <w:b/>
          <w:szCs w:val="21"/>
        </w:rPr>
        <w:t>7.5.2创建和更新</w:t>
      </w:r>
    </w:p>
    <w:p>
      <w:pPr>
        <w:ind w:firstLine="560"/>
        <w:rPr>
          <w:szCs w:val="21"/>
        </w:rPr>
      </w:pPr>
      <w:r>
        <w:rPr>
          <w:szCs w:val="21"/>
        </w:rPr>
        <w:t>公司在创建和更新文件时，要确保适当的：</w:t>
      </w:r>
    </w:p>
    <w:p>
      <w:pPr>
        <w:ind w:firstLine="560"/>
        <w:rPr>
          <w:szCs w:val="21"/>
        </w:rPr>
      </w:pPr>
      <w:r>
        <w:rPr>
          <w:szCs w:val="21"/>
        </w:rPr>
        <w:t xml:space="preserve">a)标识和说明（例如：标题、日期、作者、索引编号等) </w:t>
      </w:r>
    </w:p>
    <w:p>
      <w:pPr>
        <w:ind w:firstLine="560"/>
        <w:rPr>
          <w:szCs w:val="21"/>
        </w:rPr>
      </w:pPr>
      <w:r>
        <w:rPr>
          <w:szCs w:val="21"/>
        </w:rPr>
        <w:t>b)格式（例如：语言、软件版本、图示)和媒介（例如：纸质、电子格式）</w:t>
      </w:r>
    </w:p>
    <w:p>
      <w:pPr>
        <w:ind w:firstLine="560"/>
        <w:rPr>
          <w:szCs w:val="21"/>
        </w:rPr>
      </w:pPr>
      <w:r>
        <w:rPr>
          <w:szCs w:val="21"/>
        </w:rPr>
        <w:t>c)评审和批准以确保适宜性和充分性</w:t>
      </w:r>
    </w:p>
    <w:p>
      <w:pPr>
        <w:ind w:firstLine="560"/>
        <w:rPr>
          <w:b/>
          <w:szCs w:val="21"/>
        </w:rPr>
      </w:pPr>
      <w:r>
        <w:rPr>
          <w:b/>
          <w:szCs w:val="21"/>
        </w:rPr>
        <w:t>7.5.3文件化信息的控制</w:t>
      </w:r>
    </w:p>
    <w:p>
      <w:pPr>
        <w:ind w:firstLine="560"/>
        <w:rPr>
          <w:szCs w:val="21"/>
        </w:rPr>
      </w:pPr>
      <w:r>
        <w:rPr>
          <w:szCs w:val="21"/>
        </w:rPr>
        <w:t>7.5.3.1公司要对质量/环境/安全管理体系和本标准所要求的形成文件的信息应进行控制，以确保：</w:t>
      </w:r>
    </w:p>
    <w:p>
      <w:pPr>
        <w:ind w:firstLine="560"/>
        <w:rPr>
          <w:szCs w:val="21"/>
        </w:rPr>
      </w:pPr>
      <w:r>
        <w:rPr>
          <w:szCs w:val="21"/>
        </w:rPr>
        <w:t>a)需要文件的场所能获得适用的文件</w:t>
      </w:r>
    </w:p>
    <w:p>
      <w:pPr>
        <w:ind w:firstLine="560"/>
        <w:rPr>
          <w:szCs w:val="21"/>
        </w:rPr>
      </w:pPr>
      <w:r>
        <w:rPr>
          <w:szCs w:val="21"/>
        </w:rPr>
        <w:t>b)文件得到充分保护，如防止泄密、误用、缺损。</w:t>
      </w:r>
    </w:p>
    <w:p>
      <w:pPr>
        <w:ind w:firstLine="560"/>
        <w:rPr>
          <w:szCs w:val="21"/>
        </w:rPr>
      </w:pPr>
      <w:r>
        <w:rPr>
          <w:szCs w:val="21"/>
        </w:rPr>
        <w:t>7.5.3.2适用时，公司要对以下文件活动进行控制：</w:t>
      </w:r>
    </w:p>
    <w:p>
      <w:pPr>
        <w:ind w:firstLine="560"/>
        <w:rPr>
          <w:szCs w:val="21"/>
        </w:rPr>
      </w:pPr>
      <w:r>
        <w:rPr>
          <w:szCs w:val="21"/>
        </w:rPr>
        <w:t>a)分发、访问、回收、使用；</w:t>
      </w:r>
    </w:p>
    <w:p>
      <w:pPr>
        <w:ind w:firstLine="560"/>
        <w:rPr>
          <w:szCs w:val="21"/>
        </w:rPr>
      </w:pPr>
      <w:r>
        <w:rPr>
          <w:szCs w:val="21"/>
        </w:rPr>
        <w:t>b)存放、保护，包括保持清晰；</w:t>
      </w:r>
    </w:p>
    <w:p>
      <w:pPr>
        <w:ind w:firstLine="560"/>
        <w:rPr>
          <w:szCs w:val="21"/>
        </w:rPr>
      </w:pPr>
      <w:r>
        <w:rPr>
          <w:szCs w:val="21"/>
        </w:rPr>
        <w:t>c)更改的控制（如：版本控制)；</w:t>
      </w:r>
    </w:p>
    <w:p>
      <w:pPr>
        <w:ind w:firstLine="560"/>
        <w:rPr>
          <w:szCs w:val="21"/>
        </w:rPr>
      </w:pPr>
      <w:r>
        <w:rPr>
          <w:szCs w:val="21"/>
        </w:rPr>
        <w:t>d)保留和处置。</w:t>
      </w:r>
    </w:p>
    <w:p>
      <w:pPr>
        <w:ind w:firstLine="945" w:firstLineChars="450"/>
        <w:rPr>
          <w:szCs w:val="21"/>
        </w:rPr>
      </w:pPr>
      <w:r>
        <w:rPr>
          <w:szCs w:val="21"/>
        </w:rPr>
        <w:t>同时对所确定的策划和运行质量/环境/安全管理体系所需的外来文件进行识别和确保控制。</w:t>
      </w:r>
    </w:p>
    <w:p>
      <w:pPr>
        <w:ind w:firstLine="560"/>
        <w:rPr>
          <w:szCs w:val="21"/>
        </w:rPr>
      </w:pPr>
      <w:r>
        <w:rPr>
          <w:szCs w:val="21"/>
        </w:rPr>
        <w:t>注：“访问”指仅得到查阅文件的许可，或授权查阅和修改文件。</w:t>
      </w:r>
    </w:p>
    <w:p>
      <w:pPr>
        <w:ind w:firstLine="560"/>
        <w:rPr>
          <w:b/>
          <w:szCs w:val="21"/>
        </w:rPr>
      </w:pPr>
      <w:r>
        <w:rPr>
          <w:b/>
          <w:szCs w:val="21"/>
        </w:rPr>
        <w:t>8运行</w:t>
      </w:r>
    </w:p>
    <w:p>
      <w:pPr>
        <w:ind w:firstLine="560"/>
        <w:rPr>
          <w:b/>
          <w:szCs w:val="21"/>
        </w:rPr>
      </w:pPr>
      <w:r>
        <w:rPr>
          <w:b/>
          <w:szCs w:val="21"/>
        </w:rPr>
        <w:t>8.1运行策划和控制（S9）</w:t>
      </w:r>
    </w:p>
    <w:p>
      <w:pPr>
        <w:ind w:firstLine="560"/>
        <w:rPr>
          <w:szCs w:val="21"/>
        </w:rPr>
      </w:pPr>
      <w:r>
        <w:rPr>
          <w:rFonts w:hint="eastAsia"/>
          <w:szCs w:val="21"/>
        </w:rPr>
        <w:t>质量体系方面：</w:t>
      </w:r>
      <w:r>
        <w:rPr>
          <w:szCs w:val="21"/>
        </w:rPr>
        <w:t>为提供满足顾客要求的产品和服务，公司要实施过程以确定以下内容，适用时包括：</w:t>
      </w:r>
    </w:p>
    <w:p>
      <w:pPr>
        <w:ind w:firstLine="560"/>
        <w:rPr>
          <w:szCs w:val="21"/>
        </w:rPr>
      </w:pPr>
      <w:r>
        <w:rPr>
          <w:szCs w:val="21"/>
        </w:rPr>
        <w:t>a)产品和服务的要求，并考虑相关的质量目标；</w:t>
      </w:r>
    </w:p>
    <w:p>
      <w:pPr>
        <w:ind w:firstLine="560"/>
        <w:rPr>
          <w:szCs w:val="21"/>
        </w:rPr>
      </w:pPr>
      <w:r>
        <w:rPr>
          <w:szCs w:val="21"/>
        </w:rPr>
        <w:t>b)识别和应对与实现产品和服务满足要求所涉及的风险相关的措施；</w:t>
      </w:r>
    </w:p>
    <w:p>
      <w:pPr>
        <w:ind w:firstLine="560"/>
        <w:rPr>
          <w:szCs w:val="21"/>
        </w:rPr>
      </w:pPr>
      <w:r>
        <w:rPr>
          <w:szCs w:val="21"/>
        </w:rPr>
        <w:t>c)针对产品和服务确定资源的需求；</w:t>
      </w:r>
    </w:p>
    <w:p>
      <w:pPr>
        <w:ind w:firstLine="560"/>
        <w:rPr>
          <w:szCs w:val="21"/>
        </w:rPr>
      </w:pPr>
      <w:r>
        <w:rPr>
          <w:szCs w:val="21"/>
        </w:rPr>
        <w:t>d)产品和服务的接收准则，建立过程准则，按准则要求实施过程控制；</w:t>
      </w:r>
    </w:p>
    <w:p>
      <w:pPr>
        <w:ind w:firstLine="560"/>
        <w:rPr>
          <w:szCs w:val="21"/>
        </w:rPr>
      </w:pPr>
      <w:r>
        <w:rPr>
          <w:szCs w:val="21"/>
        </w:rPr>
        <w:t>e)产品和服务所要求的验证、确认、监视、检验和试验活动；</w:t>
      </w:r>
    </w:p>
    <w:p>
      <w:pPr>
        <w:ind w:firstLine="560"/>
        <w:rPr>
          <w:szCs w:val="21"/>
        </w:rPr>
      </w:pPr>
      <w:r>
        <w:rPr>
          <w:szCs w:val="21"/>
        </w:rPr>
        <w:t>f)绩效数据的形成和沟通；</w:t>
      </w:r>
    </w:p>
    <w:p>
      <w:pPr>
        <w:ind w:firstLine="560"/>
        <w:rPr>
          <w:szCs w:val="21"/>
        </w:rPr>
      </w:pPr>
      <w:r>
        <w:rPr>
          <w:szCs w:val="21"/>
        </w:rPr>
        <w:t>g)可追溯性、产品防护、产品和服务交付及交付后活动的要求；</w:t>
      </w:r>
    </w:p>
    <w:p>
      <w:pPr>
        <w:ind w:firstLine="560"/>
        <w:rPr>
          <w:szCs w:val="21"/>
        </w:rPr>
      </w:pPr>
      <w:r>
        <w:rPr>
          <w:szCs w:val="21"/>
        </w:rPr>
        <w:t>策划的输出形式应便于公司的运作。</w:t>
      </w:r>
    </w:p>
    <w:p>
      <w:pPr>
        <w:ind w:firstLine="560"/>
        <w:rPr>
          <w:szCs w:val="21"/>
        </w:rPr>
      </w:pPr>
      <w:r>
        <w:rPr>
          <w:szCs w:val="21"/>
        </w:rPr>
        <w:t>公司对任何影响产品和服务提供的外包过程均要进行识别和控制（8.4）。</w:t>
      </w:r>
    </w:p>
    <w:p>
      <w:pPr>
        <w:autoSpaceDE w:val="0"/>
        <w:autoSpaceDN w:val="0"/>
        <w:adjustRightInd w:val="0"/>
        <w:ind w:left="525" w:leftChars="250"/>
        <w:jc w:val="left"/>
        <w:rPr>
          <w:color w:val="000000"/>
          <w:kern w:val="0"/>
          <w:szCs w:val="21"/>
        </w:rPr>
      </w:pPr>
      <w:r>
        <w:rPr>
          <w:rFonts w:hint="eastAsia"/>
          <w:color w:val="000000"/>
          <w:kern w:val="0"/>
          <w:szCs w:val="21"/>
        </w:rPr>
        <w:t>环境体系方面：</w:t>
      </w:r>
      <w:r>
        <w:rPr>
          <w:color w:val="000000"/>
          <w:kern w:val="0"/>
          <w:szCs w:val="21"/>
        </w:rPr>
        <w:t>公司应确保对外包过程实施控制或施加影响。应在环境管理体系内规定对这些过程实施控制或施加影响的类型与程度。</w:t>
      </w:r>
    </w:p>
    <w:p>
      <w:pPr>
        <w:autoSpaceDE w:val="0"/>
        <w:autoSpaceDN w:val="0"/>
        <w:adjustRightInd w:val="0"/>
        <w:ind w:firstLine="525" w:firstLineChars="250"/>
        <w:jc w:val="left"/>
        <w:rPr>
          <w:color w:val="000000"/>
          <w:kern w:val="0"/>
          <w:szCs w:val="21"/>
        </w:rPr>
      </w:pPr>
      <w:r>
        <w:rPr>
          <w:color w:val="000000"/>
          <w:kern w:val="0"/>
          <w:szCs w:val="21"/>
        </w:rPr>
        <w:t>从生命周期观点出发，公司应</w:t>
      </w:r>
      <w:r>
        <w:rPr>
          <w:rFonts w:hint="eastAsia"/>
          <w:color w:val="000000"/>
          <w:kern w:val="0"/>
          <w:szCs w:val="21"/>
        </w:rPr>
        <w:t>：</w:t>
      </w:r>
    </w:p>
    <w:p>
      <w:pPr>
        <w:autoSpaceDE w:val="0"/>
        <w:autoSpaceDN w:val="0"/>
        <w:adjustRightInd w:val="0"/>
        <w:ind w:left="525" w:leftChars="250"/>
        <w:jc w:val="left"/>
        <w:rPr>
          <w:color w:val="000000"/>
          <w:kern w:val="0"/>
          <w:szCs w:val="21"/>
        </w:rPr>
      </w:pPr>
      <w:r>
        <w:rPr>
          <w:color w:val="000000"/>
          <w:kern w:val="0"/>
          <w:szCs w:val="21"/>
        </w:rPr>
        <w:t>a）适当时，制定控制措施，确保在产品或服务设计和开发过程中，考虑其生命周期的每一阶段，并提出环境要求；</w:t>
      </w:r>
    </w:p>
    <w:p>
      <w:pPr>
        <w:autoSpaceDE w:val="0"/>
        <w:autoSpaceDN w:val="0"/>
        <w:adjustRightInd w:val="0"/>
        <w:ind w:firstLine="525" w:firstLineChars="250"/>
        <w:jc w:val="left"/>
        <w:rPr>
          <w:color w:val="000000"/>
          <w:kern w:val="0"/>
          <w:szCs w:val="21"/>
        </w:rPr>
      </w:pPr>
      <w:r>
        <w:rPr>
          <w:color w:val="000000"/>
          <w:kern w:val="0"/>
          <w:szCs w:val="21"/>
        </w:rPr>
        <w:t>b）适当时，确定产品和服务采购的环境要求；</w:t>
      </w:r>
    </w:p>
    <w:p>
      <w:pPr>
        <w:autoSpaceDE w:val="0"/>
        <w:autoSpaceDN w:val="0"/>
        <w:adjustRightInd w:val="0"/>
        <w:ind w:firstLine="525" w:firstLineChars="250"/>
        <w:jc w:val="left"/>
        <w:rPr>
          <w:color w:val="000000"/>
          <w:kern w:val="0"/>
          <w:szCs w:val="21"/>
        </w:rPr>
      </w:pPr>
      <w:r>
        <w:rPr>
          <w:color w:val="000000"/>
          <w:kern w:val="0"/>
          <w:szCs w:val="21"/>
        </w:rPr>
        <w:t>c）与外部供方（包括合同方）沟通其相关环境要求；</w:t>
      </w:r>
    </w:p>
    <w:p>
      <w:pPr>
        <w:ind w:left="525" w:leftChars="250"/>
        <w:rPr>
          <w:szCs w:val="21"/>
        </w:rPr>
      </w:pPr>
      <w:r>
        <w:rPr>
          <w:color w:val="000000"/>
          <w:kern w:val="0"/>
          <w:szCs w:val="21"/>
        </w:rPr>
        <w:t>d）考虑提供与产品或服务的运输或交付、使用、寿命结束后处理和最终处置相关的潜在重大环境影响的信息的需求。</w:t>
      </w:r>
    </w:p>
    <w:p>
      <w:pPr>
        <w:ind w:firstLine="560"/>
        <w:rPr>
          <w:szCs w:val="21"/>
        </w:rPr>
      </w:pPr>
      <w:r>
        <w:rPr>
          <w:szCs w:val="21"/>
        </w:rPr>
        <w:t>公司应保持必要的文件化信息，以确信过程已按策划得到实施。</w:t>
      </w:r>
    </w:p>
    <w:p>
      <w:pPr>
        <w:ind w:left="945" w:leftChars="250" w:hanging="420" w:hangingChars="200"/>
        <w:rPr>
          <w:kern w:val="0"/>
          <w:szCs w:val="21"/>
        </w:rPr>
      </w:pPr>
      <w:r>
        <w:rPr>
          <w:rFonts w:hint="eastAsia"/>
          <w:kern w:val="0"/>
          <w:szCs w:val="21"/>
        </w:rPr>
        <w:t>安全体系方面：组织应策划、实施并控制满足职业健康安全管理体系要求以及实施条款6所确定的措施所需的过程，通过：</w:t>
      </w:r>
    </w:p>
    <w:p>
      <w:pPr>
        <w:widowControl/>
        <w:ind w:firstLine="630" w:firstLineChars="300"/>
        <w:jc w:val="left"/>
        <w:rPr>
          <w:kern w:val="0"/>
          <w:szCs w:val="21"/>
        </w:rPr>
      </w:pPr>
      <w:r>
        <w:rPr>
          <w:rFonts w:hint="eastAsia"/>
          <w:kern w:val="0"/>
          <w:szCs w:val="21"/>
        </w:rPr>
        <w:t>a) 建立过程准则；</w:t>
      </w:r>
    </w:p>
    <w:p>
      <w:pPr>
        <w:widowControl/>
        <w:ind w:firstLine="630" w:firstLineChars="300"/>
        <w:jc w:val="left"/>
        <w:rPr>
          <w:kern w:val="0"/>
          <w:szCs w:val="21"/>
        </w:rPr>
      </w:pPr>
      <w:r>
        <w:rPr>
          <w:rFonts w:hint="eastAsia"/>
          <w:kern w:val="0"/>
          <w:szCs w:val="21"/>
        </w:rPr>
        <w:t>b) 按照准则实施过程控制；</w:t>
      </w:r>
    </w:p>
    <w:p>
      <w:pPr>
        <w:widowControl/>
        <w:ind w:firstLine="630" w:firstLineChars="300"/>
        <w:jc w:val="left"/>
        <w:rPr>
          <w:kern w:val="0"/>
          <w:szCs w:val="21"/>
        </w:rPr>
      </w:pPr>
      <w:r>
        <w:rPr>
          <w:rFonts w:hint="eastAsia"/>
          <w:kern w:val="0"/>
          <w:szCs w:val="21"/>
        </w:rPr>
        <w:t>c) 保持必要的文件化信息，以确信过程已按策划得到实施；</w:t>
      </w:r>
    </w:p>
    <w:p>
      <w:pPr>
        <w:widowControl/>
        <w:ind w:firstLine="630" w:firstLineChars="300"/>
        <w:jc w:val="left"/>
        <w:rPr>
          <w:kern w:val="0"/>
          <w:szCs w:val="21"/>
        </w:rPr>
      </w:pPr>
      <w:r>
        <w:rPr>
          <w:rFonts w:hint="eastAsia"/>
          <w:kern w:val="0"/>
          <w:szCs w:val="21"/>
        </w:rPr>
        <w:t>d) 确定因缺乏文件化信息而可能偏离职业健康安全方针和职业健康安全目标的情况；</w:t>
      </w:r>
    </w:p>
    <w:p>
      <w:pPr>
        <w:widowControl/>
        <w:ind w:firstLine="630" w:firstLineChars="300"/>
        <w:jc w:val="left"/>
        <w:rPr>
          <w:kern w:val="0"/>
          <w:szCs w:val="21"/>
        </w:rPr>
      </w:pPr>
      <w:r>
        <w:rPr>
          <w:rFonts w:hint="eastAsia"/>
          <w:kern w:val="0"/>
          <w:szCs w:val="21"/>
        </w:rPr>
        <w:t>e) 使工作适合于员工。</w:t>
      </w:r>
    </w:p>
    <w:p>
      <w:pPr>
        <w:widowControl/>
        <w:ind w:left="840" w:leftChars="400"/>
        <w:jc w:val="left"/>
        <w:rPr>
          <w:kern w:val="0"/>
          <w:szCs w:val="21"/>
        </w:rPr>
      </w:pPr>
      <w:r>
        <w:rPr>
          <w:rFonts w:hint="eastAsia"/>
          <w:kern w:val="0"/>
          <w:szCs w:val="21"/>
        </w:rPr>
        <w:t>在存在多个雇主的工作场所，组织应实施一个过程用以协调职业健康安全管理体系相关各方与其它组织。</w:t>
      </w:r>
    </w:p>
    <w:p>
      <w:pPr>
        <w:widowControl/>
        <w:ind w:firstLine="630" w:firstLineChars="300"/>
        <w:jc w:val="left"/>
        <w:rPr>
          <w:kern w:val="0"/>
          <w:szCs w:val="21"/>
        </w:rPr>
      </w:pPr>
      <w:r>
        <w:rPr>
          <w:rFonts w:hint="eastAsia"/>
          <w:kern w:val="0"/>
          <w:szCs w:val="21"/>
        </w:rPr>
        <w:t>8.1.2 控制层级</w:t>
      </w:r>
    </w:p>
    <w:p>
      <w:pPr>
        <w:widowControl/>
        <w:ind w:firstLine="630" w:firstLineChars="300"/>
        <w:jc w:val="left"/>
        <w:rPr>
          <w:kern w:val="0"/>
          <w:szCs w:val="21"/>
        </w:rPr>
      </w:pPr>
      <w:r>
        <w:rPr>
          <w:rFonts w:hint="eastAsia"/>
          <w:kern w:val="0"/>
          <w:szCs w:val="21"/>
        </w:rPr>
        <w:t>组织应建立一个过程并确定实现减少职业健康安全风险的控制措施，通过运用下面的层级：</w:t>
      </w:r>
    </w:p>
    <w:p>
      <w:pPr>
        <w:widowControl/>
        <w:ind w:firstLine="630" w:firstLineChars="300"/>
        <w:jc w:val="left"/>
        <w:rPr>
          <w:kern w:val="0"/>
          <w:szCs w:val="21"/>
        </w:rPr>
      </w:pPr>
      <w:r>
        <w:rPr>
          <w:rFonts w:hint="eastAsia"/>
          <w:kern w:val="0"/>
          <w:szCs w:val="21"/>
        </w:rPr>
        <w:t>a) 消除危险源；</w:t>
      </w:r>
    </w:p>
    <w:p>
      <w:pPr>
        <w:widowControl/>
        <w:ind w:firstLine="630" w:firstLineChars="300"/>
        <w:jc w:val="left"/>
        <w:rPr>
          <w:kern w:val="0"/>
          <w:szCs w:val="21"/>
        </w:rPr>
      </w:pPr>
      <w:r>
        <w:rPr>
          <w:rFonts w:hint="eastAsia"/>
          <w:kern w:val="0"/>
          <w:szCs w:val="21"/>
        </w:rPr>
        <w:t>b) 用危险性较低的材料、过程、运行或设备替代；</w:t>
      </w:r>
    </w:p>
    <w:p>
      <w:pPr>
        <w:widowControl/>
        <w:ind w:firstLine="630" w:firstLineChars="300"/>
        <w:jc w:val="left"/>
        <w:rPr>
          <w:kern w:val="0"/>
          <w:szCs w:val="21"/>
        </w:rPr>
      </w:pPr>
      <w:r>
        <w:rPr>
          <w:rFonts w:hint="eastAsia"/>
          <w:kern w:val="0"/>
          <w:szCs w:val="21"/>
        </w:rPr>
        <w:t>c) 运用工程控制措施；</w:t>
      </w:r>
    </w:p>
    <w:p>
      <w:pPr>
        <w:widowControl/>
        <w:ind w:firstLine="630" w:firstLineChars="300"/>
        <w:jc w:val="left"/>
        <w:rPr>
          <w:kern w:val="0"/>
          <w:szCs w:val="21"/>
        </w:rPr>
      </w:pPr>
      <w:r>
        <w:rPr>
          <w:rFonts w:hint="eastAsia"/>
          <w:kern w:val="0"/>
          <w:szCs w:val="21"/>
        </w:rPr>
        <w:t>d) 运用管理控制措施；</w:t>
      </w:r>
    </w:p>
    <w:p>
      <w:pPr>
        <w:ind w:left="945" w:leftChars="250" w:hanging="420" w:hangingChars="200"/>
        <w:rPr>
          <w:kern w:val="0"/>
          <w:szCs w:val="21"/>
        </w:rPr>
      </w:pPr>
      <w:r>
        <w:rPr>
          <w:rFonts w:hint="eastAsia"/>
          <w:kern w:val="0"/>
          <w:szCs w:val="21"/>
        </w:rPr>
        <w:t>e) 提供并确保使用充分的个人防护装备。</w:t>
      </w:r>
    </w:p>
    <w:p>
      <w:pPr>
        <w:ind w:left="945" w:leftChars="250" w:hanging="420" w:hangingChars="200"/>
        <w:rPr>
          <w:kern w:val="0"/>
          <w:szCs w:val="21"/>
        </w:rPr>
      </w:pPr>
      <w:r>
        <w:rPr>
          <w:rFonts w:hint="eastAsia"/>
          <w:kern w:val="0"/>
          <w:szCs w:val="21"/>
        </w:rPr>
        <w:t>8</w:t>
      </w:r>
      <w:r>
        <w:rPr>
          <w:kern w:val="0"/>
          <w:szCs w:val="21"/>
        </w:rPr>
        <w:t>.1.3</w:t>
      </w:r>
      <w:r>
        <w:rPr>
          <w:rFonts w:hint="eastAsia"/>
          <w:kern w:val="0"/>
          <w:szCs w:val="21"/>
        </w:rPr>
        <w:t>变更管理</w:t>
      </w:r>
    </w:p>
    <w:p>
      <w:pPr>
        <w:ind w:left="945" w:leftChars="250" w:hanging="420" w:hangingChars="200"/>
        <w:rPr>
          <w:kern w:val="0"/>
          <w:szCs w:val="21"/>
        </w:rPr>
      </w:pPr>
      <w:r>
        <w:rPr>
          <w:rFonts w:hint="eastAsia"/>
          <w:kern w:val="0"/>
          <w:szCs w:val="21"/>
        </w:rPr>
        <w:t>组织应建立一个过程，以实施和控制影响职业健康安全绩效的有计划的变更，例如：</w:t>
      </w:r>
    </w:p>
    <w:p>
      <w:pPr>
        <w:ind w:left="945" w:leftChars="250" w:hanging="420" w:hangingChars="200"/>
        <w:rPr>
          <w:kern w:val="0"/>
          <w:szCs w:val="21"/>
        </w:rPr>
      </w:pPr>
      <w:r>
        <w:rPr>
          <w:rFonts w:hint="eastAsia"/>
          <w:kern w:val="0"/>
          <w:szCs w:val="21"/>
        </w:rPr>
        <w:t>a) 新的产品、过程或服务；</w:t>
      </w:r>
    </w:p>
    <w:p>
      <w:pPr>
        <w:ind w:left="945" w:leftChars="250" w:hanging="420" w:hangingChars="200"/>
        <w:rPr>
          <w:kern w:val="0"/>
          <w:szCs w:val="21"/>
        </w:rPr>
      </w:pPr>
      <w:r>
        <w:rPr>
          <w:rFonts w:hint="eastAsia"/>
          <w:kern w:val="0"/>
          <w:szCs w:val="21"/>
        </w:rPr>
        <w:t>b) 工作过程、程序、设备或组织结构的变更；</w:t>
      </w:r>
    </w:p>
    <w:p>
      <w:pPr>
        <w:ind w:left="945" w:leftChars="250" w:hanging="420" w:hangingChars="200"/>
        <w:rPr>
          <w:kern w:val="0"/>
          <w:szCs w:val="21"/>
        </w:rPr>
      </w:pPr>
      <w:r>
        <w:rPr>
          <w:rFonts w:hint="eastAsia"/>
          <w:kern w:val="0"/>
          <w:szCs w:val="21"/>
        </w:rPr>
        <w:t>c) 适用的法律法规要求和其他要求的变更；</w:t>
      </w:r>
    </w:p>
    <w:p>
      <w:pPr>
        <w:ind w:left="945" w:leftChars="250" w:hanging="420" w:hangingChars="200"/>
        <w:rPr>
          <w:kern w:val="0"/>
          <w:szCs w:val="21"/>
        </w:rPr>
      </w:pPr>
      <w:r>
        <w:rPr>
          <w:rFonts w:hint="eastAsia"/>
          <w:kern w:val="0"/>
          <w:szCs w:val="21"/>
        </w:rPr>
        <w:t>d) 有关危险源和相关的职业健康安全风险的知识或信息的变更；</w:t>
      </w:r>
    </w:p>
    <w:p>
      <w:pPr>
        <w:ind w:left="945" w:leftChars="250" w:hanging="420" w:hangingChars="200"/>
        <w:rPr>
          <w:kern w:val="0"/>
          <w:szCs w:val="21"/>
        </w:rPr>
      </w:pPr>
      <w:r>
        <w:rPr>
          <w:rFonts w:hint="eastAsia"/>
          <w:kern w:val="0"/>
          <w:szCs w:val="21"/>
        </w:rPr>
        <w:t>e) 知识和技术的发展。</w:t>
      </w:r>
    </w:p>
    <w:p>
      <w:pPr>
        <w:ind w:left="945" w:leftChars="250" w:hanging="420" w:hangingChars="200"/>
        <w:rPr>
          <w:kern w:val="0"/>
          <w:szCs w:val="21"/>
        </w:rPr>
      </w:pPr>
      <w:r>
        <w:rPr>
          <w:rFonts w:hint="eastAsia"/>
          <w:kern w:val="0"/>
          <w:szCs w:val="21"/>
        </w:rPr>
        <w:t>组织应控制临时性的和永久性的变更，以推动职业健康安全机遇，并确保其不会对职业健康安全绩效产生不利的影响。</w:t>
      </w:r>
    </w:p>
    <w:p>
      <w:pPr>
        <w:ind w:left="945" w:leftChars="250" w:hanging="420" w:hangingChars="200"/>
        <w:rPr>
          <w:kern w:val="0"/>
          <w:szCs w:val="21"/>
        </w:rPr>
      </w:pPr>
      <w:r>
        <w:rPr>
          <w:rFonts w:hint="eastAsia"/>
          <w:kern w:val="0"/>
          <w:szCs w:val="21"/>
        </w:rPr>
        <w:t>组织应对非预期性变更的后果予以评审，必要时，应采取措施降低任何不利影响，包括应对潜在的机遇（见条款6)。</w:t>
      </w:r>
    </w:p>
    <w:p>
      <w:pPr>
        <w:ind w:left="945" w:leftChars="250" w:hanging="420" w:hangingChars="200"/>
        <w:rPr>
          <w:kern w:val="0"/>
          <w:szCs w:val="21"/>
        </w:rPr>
      </w:pPr>
      <w:r>
        <w:rPr>
          <w:rFonts w:hint="eastAsia"/>
          <w:kern w:val="0"/>
          <w:szCs w:val="21"/>
        </w:rPr>
        <w:t>8</w:t>
      </w:r>
      <w:r>
        <w:rPr>
          <w:kern w:val="0"/>
          <w:szCs w:val="21"/>
        </w:rPr>
        <w:t>.1.4</w:t>
      </w:r>
      <w:r>
        <w:rPr>
          <w:rFonts w:hint="eastAsia"/>
          <w:kern w:val="0"/>
          <w:szCs w:val="21"/>
        </w:rPr>
        <w:t>采购</w:t>
      </w:r>
    </w:p>
    <w:p>
      <w:pPr>
        <w:ind w:left="945" w:leftChars="250" w:hanging="420" w:hangingChars="200"/>
        <w:rPr>
          <w:kern w:val="0"/>
          <w:szCs w:val="21"/>
        </w:rPr>
      </w:pPr>
      <w:r>
        <w:rPr>
          <w:kern w:val="0"/>
          <w:szCs w:val="21"/>
        </w:rPr>
        <w:t>8.1.4.1</w:t>
      </w:r>
      <w:r>
        <w:rPr>
          <w:rFonts w:hint="eastAsia"/>
          <w:kern w:val="0"/>
          <w:szCs w:val="21"/>
        </w:rPr>
        <w:t>总则</w:t>
      </w:r>
    </w:p>
    <w:p>
      <w:pPr>
        <w:ind w:left="945" w:leftChars="250" w:hanging="420" w:hangingChars="200"/>
        <w:rPr>
          <w:kern w:val="0"/>
          <w:szCs w:val="21"/>
        </w:rPr>
      </w:pPr>
      <w:r>
        <w:rPr>
          <w:rFonts w:hint="eastAsia"/>
          <w:kern w:val="0"/>
          <w:szCs w:val="21"/>
        </w:rPr>
        <w:t>组织应确保对影响其职业健康安全管理体系的外包过程实施控制。应在职业健康安全管理体系内规定对这些过程实施控制的类型和程度。</w:t>
      </w:r>
    </w:p>
    <w:p>
      <w:pPr>
        <w:ind w:left="945" w:leftChars="250" w:hanging="420" w:hangingChars="200"/>
        <w:rPr>
          <w:kern w:val="0"/>
          <w:szCs w:val="21"/>
        </w:rPr>
      </w:pPr>
      <w:r>
        <w:rPr>
          <w:rFonts w:hint="eastAsia"/>
          <w:kern w:val="0"/>
          <w:szCs w:val="21"/>
        </w:rPr>
        <w:t>8</w:t>
      </w:r>
      <w:r>
        <w:rPr>
          <w:kern w:val="0"/>
          <w:szCs w:val="21"/>
        </w:rPr>
        <w:t>.1.4.2</w:t>
      </w:r>
      <w:r>
        <w:rPr>
          <w:rFonts w:hint="eastAsia"/>
          <w:kern w:val="0"/>
          <w:szCs w:val="21"/>
        </w:rPr>
        <w:t>承包商</w:t>
      </w:r>
    </w:p>
    <w:p>
      <w:pPr>
        <w:ind w:left="945" w:leftChars="250" w:hanging="420" w:hangingChars="200"/>
        <w:rPr>
          <w:kern w:val="0"/>
          <w:szCs w:val="21"/>
        </w:rPr>
      </w:pPr>
      <w:r>
        <w:rPr>
          <w:rFonts w:hint="eastAsia"/>
          <w:kern w:val="0"/>
          <w:szCs w:val="21"/>
        </w:rPr>
        <w:t>组织应建立过程，用以识别和沟通因下述情况产生的危险源并评价和控制相应的职业健康安全风险：</w:t>
      </w:r>
    </w:p>
    <w:p>
      <w:pPr>
        <w:ind w:left="945" w:leftChars="250" w:hanging="420" w:hangingChars="200"/>
        <w:rPr>
          <w:kern w:val="0"/>
          <w:szCs w:val="21"/>
        </w:rPr>
      </w:pPr>
      <w:r>
        <w:rPr>
          <w:rFonts w:hint="eastAsia"/>
          <w:kern w:val="0"/>
          <w:szCs w:val="21"/>
        </w:rPr>
        <w:t>a) 承包商的活动和运行对组织的员工；</w:t>
      </w:r>
    </w:p>
    <w:p>
      <w:pPr>
        <w:ind w:left="945" w:leftChars="250" w:hanging="420" w:hangingChars="200"/>
        <w:rPr>
          <w:kern w:val="0"/>
          <w:szCs w:val="21"/>
        </w:rPr>
      </w:pPr>
      <w:r>
        <w:rPr>
          <w:rFonts w:hint="eastAsia"/>
          <w:kern w:val="0"/>
          <w:szCs w:val="21"/>
        </w:rPr>
        <w:t>b) 组织的活动和运行对承包商的员工；</w:t>
      </w:r>
    </w:p>
    <w:p>
      <w:pPr>
        <w:ind w:left="945" w:leftChars="250" w:hanging="420" w:hangingChars="200"/>
        <w:rPr>
          <w:kern w:val="0"/>
          <w:szCs w:val="21"/>
        </w:rPr>
      </w:pPr>
      <w:r>
        <w:rPr>
          <w:rFonts w:hint="eastAsia"/>
          <w:kern w:val="0"/>
          <w:szCs w:val="21"/>
        </w:rPr>
        <w:t>c) 承包商的活动和运行对工作场所的其它相关方；</w:t>
      </w:r>
    </w:p>
    <w:p>
      <w:pPr>
        <w:ind w:left="945" w:leftChars="250" w:hanging="420" w:hangingChars="200"/>
        <w:rPr>
          <w:kern w:val="0"/>
          <w:szCs w:val="21"/>
        </w:rPr>
      </w:pPr>
      <w:r>
        <w:rPr>
          <w:rFonts w:hint="eastAsia"/>
          <w:kern w:val="0"/>
          <w:szCs w:val="21"/>
        </w:rPr>
        <w:t>d) 承包商的活动和运行对承包商自身员工。</w:t>
      </w:r>
    </w:p>
    <w:p>
      <w:pPr>
        <w:ind w:left="945" w:leftChars="250" w:hanging="420" w:hangingChars="200"/>
        <w:rPr>
          <w:kern w:val="0"/>
          <w:szCs w:val="21"/>
        </w:rPr>
      </w:pPr>
      <w:r>
        <w:rPr>
          <w:rFonts w:hint="eastAsia"/>
          <w:kern w:val="0"/>
          <w:szCs w:val="21"/>
        </w:rPr>
        <w:t>组织应建立和保持过程以确保承包商及其员工符合组织的职业健康安全管理体系要求。这些过程应包括选择承包商的职业健康安全准则。</w:t>
      </w:r>
    </w:p>
    <w:p>
      <w:pPr>
        <w:ind w:left="945" w:leftChars="250" w:hanging="420" w:hangingChars="200"/>
        <w:rPr>
          <w:kern w:val="0"/>
          <w:szCs w:val="21"/>
        </w:rPr>
      </w:pPr>
      <w:r>
        <w:rPr>
          <w:rFonts w:hint="eastAsia"/>
          <w:kern w:val="0"/>
          <w:szCs w:val="21"/>
        </w:rPr>
        <w:t>8.1.4.3 外包</w:t>
      </w:r>
    </w:p>
    <w:p>
      <w:pPr>
        <w:ind w:left="945" w:leftChars="250" w:hanging="420" w:hangingChars="200"/>
        <w:rPr>
          <w:rFonts w:hint="default" w:eastAsia="宋体"/>
          <w:kern w:val="0"/>
          <w:szCs w:val="21"/>
          <w:lang w:val="en-US" w:eastAsia="zh-CN"/>
        </w:rPr>
      </w:pPr>
      <w:r>
        <w:rPr>
          <w:rFonts w:hint="eastAsia"/>
          <w:kern w:val="0"/>
          <w:szCs w:val="21"/>
        </w:rPr>
        <w:t>组织应确保外包的职能和过程受到控制</w:t>
      </w:r>
      <w:r>
        <w:rPr>
          <w:rFonts w:hint="eastAsia"/>
          <w:kern w:val="0"/>
          <w:szCs w:val="21"/>
          <w:lang w:eastAsia="zh-CN"/>
        </w:rPr>
        <w:t>，</w:t>
      </w:r>
      <w:r>
        <w:rPr>
          <w:rFonts w:hint="eastAsia"/>
          <w:b/>
          <w:bCs/>
          <w:kern w:val="0"/>
          <w:szCs w:val="21"/>
          <w:lang w:val="en-US" w:eastAsia="zh-CN"/>
        </w:rPr>
        <w:t>目前暂无组织外包的过程</w:t>
      </w:r>
      <w:r>
        <w:rPr>
          <w:rFonts w:hint="eastAsia"/>
          <w:kern w:val="0"/>
          <w:szCs w:val="21"/>
          <w:lang w:val="en-US" w:eastAsia="zh-CN"/>
        </w:rPr>
        <w:t>。</w:t>
      </w:r>
    </w:p>
    <w:p>
      <w:pPr>
        <w:ind w:left="945" w:leftChars="250" w:hanging="420" w:hangingChars="200"/>
        <w:rPr>
          <w:kern w:val="0"/>
          <w:szCs w:val="21"/>
        </w:rPr>
      </w:pPr>
      <w:r>
        <w:rPr>
          <w:rFonts w:hint="eastAsia"/>
          <w:kern w:val="0"/>
          <w:szCs w:val="21"/>
          <w:lang w:val="en-US" w:eastAsia="zh-CN"/>
        </w:rPr>
        <w:t>如有，</w:t>
      </w:r>
      <w:r>
        <w:rPr>
          <w:rFonts w:hint="eastAsia"/>
          <w:kern w:val="0"/>
          <w:szCs w:val="21"/>
        </w:rPr>
        <w:t>组织应确保其外包安排符合法律法规和其他要求，并实现职业健康安全管理体系的预期结果</w:t>
      </w:r>
    </w:p>
    <w:p>
      <w:pPr>
        <w:ind w:left="945" w:leftChars="250" w:hanging="420" w:hangingChars="200"/>
        <w:rPr>
          <w:kern w:val="0"/>
          <w:szCs w:val="21"/>
        </w:rPr>
      </w:pPr>
      <w:r>
        <w:rPr>
          <w:rFonts w:hint="eastAsia"/>
          <w:kern w:val="0"/>
          <w:szCs w:val="21"/>
        </w:rPr>
        <w:t>职业健康安全体系应定义于这些职能和过程的管控类型和程度</w:t>
      </w:r>
    </w:p>
    <w:p>
      <w:pPr>
        <w:ind w:left="479" w:leftChars="228"/>
        <w:rPr>
          <w:rFonts w:ascii="宋体" w:hAnsi="宋体"/>
          <w:sz w:val="24"/>
          <w:szCs w:val="20"/>
        </w:rPr>
      </w:pPr>
      <w:r>
        <w:rPr>
          <w:rFonts w:hint="eastAsia" w:asciiTheme="minorEastAsia" w:hAnsiTheme="minorEastAsia" w:eastAsiaTheme="minorEastAsia"/>
          <w:szCs w:val="21"/>
        </w:rPr>
        <w:t>根据管理方针、目标和指标，确定了与重要环境因素/危险源有关的运行与活动，并对这些活动进行了策划，编制《</w:t>
      </w:r>
      <w:r>
        <w:rPr>
          <w:rFonts w:hint="eastAsia" w:asciiTheme="minorEastAsia" w:hAnsiTheme="minorEastAsia" w:eastAsiaTheme="minorEastAsia"/>
          <w:szCs w:val="21"/>
          <w:lang w:eastAsia="zh-CN"/>
        </w:rPr>
        <w:t>环境职业健康安全监测和测量控制程序</w:t>
      </w:r>
      <w:r>
        <w:rPr>
          <w:rFonts w:hint="eastAsia" w:asciiTheme="minorEastAsia" w:hAnsiTheme="minorEastAsia" w:eastAsiaTheme="minorEastAsia"/>
          <w:szCs w:val="21"/>
        </w:rPr>
        <w:t>》，</w:t>
      </w:r>
    </w:p>
    <w:p>
      <w:pPr>
        <w:ind w:left="654" w:leftChars="270" w:hanging="87"/>
        <w:rPr>
          <w:szCs w:val="21"/>
        </w:rPr>
      </w:pPr>
      <w:r>
        <w:rPr>
          <w:rFonts w:hint="eastAsia"/>
          <w:szCs w:val="21"/>
        </w:rPr>
        <w:t>为符合合规义务，</w:t>
      </w:r>
      <w:r>
        <w:rPr>
          <w:szCs w:val="21"/>
        </w:rPr>
        <w:t>公司要实施过程以确定以下内容，适用时包括：</w:t>
      </w:r>
    </w:p>
    <w:p>
      <w:pPr>
        <w:ind w:left="567" w:leftChars="270"/>
        <w:rPr>
          <w:szCs w:val="21"/>
        </w:rPr>
      </w:pPr>
      <w:r>
        <w:rPr>
          <w:szCs w:val="21"/>
        </w:rPr>
        <w:t>a)</w:t>
      </w:r>
      <w:r>
        <w:rPr>
          <w:rFonts w:hint="eastAsia"/>
          <w:szCs w:val="21"/>
        </w:rPr>
        <w:t>制订了《</w:t>
      </w:r>
      <w:r>
        <w:rPr>
          <w:rFonts w:hint="eastAsia"/>
          <w:szCs w:val="21"/>
          <w:lang w:eastAsia="zh-CN"/>
        </w:rPr>
        <w:t>环境职业健康安全监测和测量控制程序</w:t>
      </w:r>
      <w:r>
        <w:rPr>
          <w:rFonts w:hint="eastAsia"/>
          <w:szCs w:val="21"/>
        </w:rPr>
        <w:t>》以及各种污染物、危险源的控制管理程序（规定），控制与重要环境因素/危险源有关的活动、产品或服务有关的活动，并对其运行标准进行控制。</w:t>
      </w:r>
    </w:p>
    <w:p>
      <w:pPr>
        <w:ind w:left="567" w:leftChars="270"/>
        <w:rPr>
          <w:szCs w:val="21"/>
        </w:rPr>
      </w:pPr>
      <w:r>
        <w:rPr>
          <w:szCs w:val="21"/>
        </w:rPr>
        <w:t>b)</w:t>
      </w:r>
      <w:r>
        <w:rPr>
          <w:rFonts w:hint="eastAsia"/>
          <w:szCs w:val="21"/>
        </w:rPr>
        <w:t>与重要环境因素/危险源有关的活动相关的岗位，应严格执行程序和相关支持性文件。</w:t>
      </w:r>
    </w:p>
    <w:p>
      <w:pPr>
        <w:ind w:left="567" w:leftChars="270"/>
        <w:rPr>
          <w:szCs w:val="21"/>
        </w:rPr>
      </w:pPr>
      <w:r>
        <w:rPr>
          <w:szCs w:val="21"/>
        </w:rPr>
        <w:t>c)</w:t>
      </w:r>
      <w:r>
        <w:rPr>
          <w:rFonts w:hint="eastAsia"/>
          <w:szCs w:val="21"/>
        </w:rPr>
        <w:t>对于所提供的产品或服务中涉及重要环境因素/危险源的相关方，公司依据环境的污染程度对其施加影响，使他们的行为符合程序和有关要求。</w:t>
      </w:r>
    </w:p>
    <w:p>
      <w:pPr>
        <w:ind w:left="567" w:leftChars="270"/>
        <w:rPr>
          <w:szCs w:val="21"/>
        </w:rPr>
      </w:pPr>
      <w:r>
        <w:rPr>
          <w:szCs w:val="21"/>
        </w:rPr>
        <w:t>d)</w:t>
      </w:r>
      <w:r>
        <w:rPr>
          <w:rFonts w:hint="eastAsia"/>
          <w:szCs w:val="21"/>
        </w:rPr>
        <w:t>搞好环保，安全设备的维护保养，及时检修，保证环保设备的正常运行。</w:t>
      </w:r>
    </w:p>
    <w:p>
      <w:pPr>
        <w:ind w:left="567" w:leftChars="270"/>
        <w:rPr>
          <w:rFonts w:ascii="宋体" w:hAnsi="宋体"/>
        </w:rPr>
      </w:pPr>
      <w:r>
        <w:rPr>
          <w:rFonts w:hint="eastAsia"/>
          <w:szCs w:val="21"/>
        </w:rPr>
        <w:t>e)</w:t>
      </w:r>
      <w:r>
        <w:rPr>
          <w:rFonts w:hint="eastAsia" w:ascii="宋体" w:hAnsi="宋体"/>
        </w:rPr>
        <w:t xml:space="preserve"> 与外部供方（包括合同方）沟通其相关环境安全的要求。</w:t>
      </w:r>
    </w:p>
    <w:p>
      <w:pPr>
        <w:ind w:left="567" w:leftChars="270"/>
        <w:rPr>
          <w:rFonts w:ascii="宋体" w:hAnsi="宋体"/>
        </w:rPr>
      </w:pPr>
      <w:r>
        <w:rPr>
          <w:rFonts w:hint="eastAsia"/>
          <w:szCs w:val="21"/>
        </w:rPr>
        <w:t>f)</w:t>
      </w:r>
      <w:r>
        <w:rPr>
          <w:rFonts w:hint="eastAsia" w:ascii="宋体" w:hAnsi="宋体"/>
        </w:rPr>
        <w:t>考虑提供与产品或服务的运输或交付、使用、寿命结束后处理和最终处置相关的潜在重大环境影响的信息的需求。</w:t>
      </w:r>
    </w:p>
    <w:p>
      <w:pPr>
        <w:ind w:firstLine="560"/>
        <w:rPr>
          <w:b/>
          <w:szCs w:val="21"/>
        </w:rPr>
      </w:pPr>
      <w:r>
        <w:rPr>
          <w:b/>
          <w:szCs w:val="21"/>
        </w:rPr>
        <w:t>8.2产品和服务的要求（C1）</w:t>
      </w:r>
    </w:p>
    <w:p>
      <w:pPr>
        <w:ind w:firstLine="560"/>
        <w:rPr>
          <w:b/>
          <w:szCs w:val="21"/>
        </w:rPr>
      </w:pPr>
      <w:r>
        <w:rPr>
          <w:b/>
          <w:szCs w:val="21"/>
        </w:rPr>
        <w:t>8.</w:t>
      </w:r>
      <w:r>
        <w:rPr>
          <w:rFonts w:hint="eastAsia"/>
          <w:b/>
          <w:szCs w:val="21"/>
          <w:lang w:val="en-US" w:eastAsia="zh-CN"/>
        </w:rPr>
        <w:t>2</w:t>
      </w:r>
      <w:r>
        <w:rPr>
          <w:b/>
          <w:szCs w:val="21"/>
        </w:rPr>
        <w:t>.1顾客沟通</w:t>
      </w:r>
    </w:p>
    <w:p>
      <w:pPr>
        <w:ind w:firstLine="560"/>
        <w:rPr>
          <w:szCs w:val="21"/>
        </w:rPr>
      </w:pPr>
      <w:r>
        <w:rPr>
          <w:szCs w:val="21"/>
        </w:rPr>
        <w:t>公司要对以下有关方面确定并实施与顾客沟通的安排：</w:t>
      </w:r>
    </w:p>
    <w:p>
      <w:pPr>
        <w:ind w:firstLine="560"/>
        <w:rPr>
          <w:szCs w:val="21"/>
        </w:rPr>
      </w:pPr>
      <w:r>
        <w:rPr>
          <w:szCs w:val="21"/>
        </w:rPr>
        <w:t>a) 产品和服务信息；</w:t>
      </w:r>
    </w:p>
    <w:p>
      <w:pPr>
        <w:ind w:firstLine="560"/>
        <w:rPr>
          <w:szCs w:val="21"/>
        </w:rPr>
      </w:pPr>
      <w:r>
        <w:rPr>
          <w:szCs w:val="21"/>
        </w:rPr>
        <w:t>b)问询、合同或订单的处理，包括对其修改；</w:t>
      </w:r>
    </w:p>
    <w:p>
      <w:pPr>
        <w:ind w:firstLine="560"/>
        <w:rPr>
          <w:szCs w:val="21"/>
        </w:rPr>
      </w:pPr>
      <w:r>
        <w:rPr>
          <w:szCs w:val="21"/>
        </w:rPr>
        <w:t>c)顾客反馈，包括顾客抱怨（见 9.1)；</w:t>
      </w:r>
    </w:p>
    <w:p>
      <w:pPr>
        <w:ind w:firstLine="560"/>
        <w:rPr>
          <w:szCs w:val="21"/>
        </w:rPr>
      </w:pPr>
      <w:r>
        <w:rPr>
          <w:szCs w:val="21"/>
        </w:rPr>
        <w:t>d)适用时，对顾客财产的处理；</w:t>
      </w:r>
    </w:p>
    <w:p>
      <w:pPr>
        <w:ind w:firstLine="560"/>
        <w:rPr>
          <w:szCs w:val="21"/>
        </w:rPr>
      </w:pPr>
      <w:r>
        <w:rPr>
          <w:szCs w:val="21"/>
        </w:rPr>
        <w:t>e) 相关时，应急措施的特定要求。</w:t>
      </w:r>
    </w:p>
    <w:p>
      <w:pPr>
        <w:ind w:firstLine="560"/>
        <w:rPr>
          <w:b/>
          <w:szCs w:val="21"/>
        </w:rPr>
      </w:pPr>
      <w:r>
        <w:rPr>
          <w:b/>
          <w:szCs w:val="21"/>
        </w:rPr>
        <w:t>8.2.2与产品和服务有关要求的确定</w:t>
      </w:r>
    </w:p>
    <w:p>
      <w:pPr>
        <w:ind w:firstLine="560"/>
        <w:rPr>
          <w:szCs w:val="21"/>
        </w:rPr>
      </w:pPr>
      <w:r>
        <w:rPr>
          <w:szCs w:val="21"/>
        </w:rPr>
        <w:t>公司建立《</w:t>
      </w:r>
      <w:r>
        <w:rPr>
          <w:rFonts w:hint="eastAsia"/>
          <w:lang w:eastAsia="zh-CN"/>
        </w:rPr>
        <w:t>与顾客有关过程控制程序</w:t>
      </w:r>
      <w:r>
        <w:rPr>
          <w:szCs w:val="21"/>
        </w:rPr>
        <w:t>》，确定与产品和服务有关要求。</w:t>
      </w:r>
    </w:p>
    <w:p>
      <w:pPr>
        <w:ind w:firstLine="560"/>
        <w:rPr>
          <w:szCs w:val="21"/>
        </w:rPr>
      </w:pPr>
      <w:r>
        <w:rPr>
          <w:szCs w:val="21"/>
        </w:rPr>
        <w:t>a)顾客规定的要求，包括对交付及交付后活动的要求；</w:t>
      </w:r>
    </w:p>
    <w:p>
      <w:pPr>
        <w:ind w:firstLine="560"/>
        <w:rPr>
          <w:szCs w:val="21"/>
        </w:rPr>
      </w:pPr>
      <w:r>
        <w:rPr>
          <w:szCs w:val="21"/>
        </w:rPr>
        <w:t>b)顾客虽然没有明示，但规定的用途或已知的预期用途所必需的要求；</w:t>
      </w:r>
    </w:p>
    <w:p>
      <w:pPr>
        <w:ind w:firstLine="560"/>
        <w:rPr>
          <w:szCs w:val="21"/>
        </w:rPr>
      </w:pPr>
      <w:r>
        <w:rPr>
          <w:szCs w:val="21"/>
        </w:rPr>
        <w:t>c)适用于产品和服务的法律法规要求；</w:t>
      </w:r>
    </w:p>
    <w:p>
      <w:pPr>
        <w:ind w:firstLine="560"/>
        <w:rPr>
          <w:szCs w:val="21"/>
        </w:rPr>
      </w:pPr>
      <w:r>
        <w:rPr>
          <w:szCs w:val="21"/>
        </w:rPr>
        <w:t>d)公司认为必要的任何附加要求。</w:t>
      </w:r>
    </w:p>
    <w:p>
      <w:pPr>
        <w:ind w:firstLine="560"/>
        <w:rPr>
          <w:szCs w:val="21"/>
        </w:rPr>
      </w:pPr>
      <w:r>
        <w:rPr>
          <w:szCs w:val="21"/>
        </w:rPr>
        <w:t>注：附加要求可包含由有关的相关方提出的要求。</w:t>
      </w:r>
    </w:p>
    <w:p>
      <w:pPr>
        <w:ind w:firstLine="560"/>
        <w:rPr>
          <w:b/>
          <w:szCs w:val="21"/>
        </w:rPr>
      </w:pPr>
      <w:r>
        <w:rPr>
          <w:b/>
          <w:szCs w:val="21"/>
        </w:rPr>
        <w:t>8.2.3与产品和服务有关要求的评审</w:t>
      </w:r>
    </w:p>
    <w:p>
      <w:pPr>
        <w:ind w:left="525" w:leftChars="250" w:firstLine="33" w:firstLineChars="16"/>
        <w:rPr>
          <w:szCs w:val="21"/>
        </w:rPr>
      </w:pPr>
      <w:r>
        <w:rPr>
          <w:szCs w:val="21"/>
        </w:rPr>
        <w:t>公司要评审与产品和服务有关的要求。评审应在公司向顾客做出提供产品的承诺（如：提交标书、接受合同或订单及接受合同或订单的更改）之前进行，并应确保：</w:t>
      </w:r>
    </w:p>
    <w:p>
      <w:pPr>
        <w:ind w:firstLine="560"/>
        <w:rPr>
          <w:szCs w:val="21"/>
        </w:rPr>
      </w:pPr>
      <w:r>
        <w:rPr>
          <w:szCs w:val="21"/>
        </w:rPr>
        <w:t>a)产品和服务要求已得到规定并达成一致；</w:t>
      </w:r>
    </w:p>
    <w:p>
      <w:pPr>
        <w:ind w:firstLine="560"/>
        <w:rPr>
          <w:szCs w:val="21"/>
        </w:rPr>
      </w:pPr>
      <w:r>
        <w:rPr>
          <w:szCs w:val="21"/>
        </w:rPr>
        <w:t>b)与以前表述不一致的合同或订单的要求已予解决；</w:t>
      </w:r>
    </w:p>
    <w:p>
      <w:pPr>
        <w:ind w:firstLine="560"/>
        <w:rPr>
          <w:szCs w:val="21"/>
        </w:rPr>
      </w:pPr>
      <w:r>
        <w:rPr>
          <w:szCs w:val="21"/>
        </w:rPr>
        <w:t>c)公司有能力满足规定的要求。</w:t>
      </w:r>
    </w:p>
    <w:p>
      <w:pPr>
        <w:ind w:firstLine="560"/>
        <w:rPr>
          <w:szCs w:val="21"/>
        </w:rPr>
      </w:pPr>
      <w:r>
        <w:rPr>
          <w:szCs w:val="21"/>
        </w:rPr>
        <w:t>d)适用于产品和服务的法律法规要求；</w:t>
      </w:r>
    </w:p>
    <w:p>
      <w:pPr>
        <w:ind w:firstLine="560"/>
        <w:rPr>
          <w:szCs w:val="21"/>
        </w:rPr>
      </w:pPr>
      <w:r>
        <w:rPr>
          <w:szCs w:val="21"/>
        </w:rPr>
        <w:t>e)公司规定的要求；</w:t>
      </w:r>
    </w:p>
    <w:p>
      <w:pPr>
        <w:ind w:firstLine="560"/>
        <w:rPr>
          <w:szCs w:val="21"/>
        </w:rPr>
      </w:pPr>
      <w:r>
        <w:rPr>
          <w:szCs w:val="21"/>
        </w:rPr>
        <w:t>g)顾客虽然没有明示，但规定的用途或已知的预期用途所必需的要求；</w:t>
      </w:r>
    </w:p>
    <w:p>
      <w:pPr>
        <w:ind w:firstLine="560"/>
        <w:rPr>
          <w:szCs w:val="21"/>
        </w:rPr>
      </w:pPr>
      <w:r>
        <w:rPr>
          <w:szCs w:val="21"/>
        </w:rPr>
        <w:t>评审结果的信息应形成文件。</w:t>
      </w:r>
    </w:p>
    <w:p>
      <w:pPr>
        <w:ind w:firstLine="560"/>
        <w:rPr>
          <w:szCs w:val="21"/>
        </w:rPr>
      </w:pPr>
      <w:r>
        <w:rPr>
          <w:szCs w:val="21"/>
        </w:rPr>
        <w:t>若顾客没有提供形成文件的要求，公司在接受顾客要求前应对顾客要求进行确认。</w:t>
      </w:r>
    </w:p>
    <w:p>
      <w:pPr>
        <w:ind w:left="525" w:leftChars="250" w:firstLine="33" w:firstLineChars="16"/>
        <w:rPr>
          <w:szCs w:val="21"/>
        </w:rPr>
      </w:pPr>
      <w:r>
        <w:rPr>
          <w:szCs w:val="21"/>
        </w:rPr>
        <w:t>若产品和服务要求发生变更，公司要确保相关文件信息得到修改，并确保相关人员知道已变更的要求。</w:t>
      </w:r>
    </w:p>
    <w:p>
      <w:pPr>
        <w:ind w:left="525" w:leftChars="250" w:firstLine="33" w:firstLineChars="16"/>
        <w:rPr>
          <w:szCs w:val="21"/>
        </w:rPr>
      </w:pPr>
      <w:r>
        <w:rPr>
          <w:szCs w:val="21"/>
        </w:rPr>
        <w:t>在某些情况下，对每一个订单进行正式的评审可能是不实际的，作为替代方法，可对提供给顾客的的产品信息进行评审。</w:t>
      </w:r>
    </w:p>
    <w:p>
      <w:pPr>
        <w:ind w:firstLine="560"/>
        <w:rPr>
          <w:b/>
          <w:szCs w:val="21"/>
        </w:rPr>
      </w:pPr>
      <w:r>
        <w:rPr>
          <w:b/>
          <w:szCs w:val="21"/>
        </w:rPr>
        <w:t>8.2.4产品和服务要求的更改</w:t>
      </w:r>
    </w:p>
    <w:p>
      <w:pPr>
        <w:ind w:left="525" w:leftChars="250" w:firstLine="33" w:firstLineChars="16"/>
        <w:rPr>
          <w:szCs w:val="21"/>
        </w:rPr>
      </w:pPr>
      <w:r>
        <w:rPr>
          <w:szCs w:val="21"/>
        </w:rPr>
        <w:t>若产品和服务要求发生更改时，公司要确保相关的形成文件信息得到修改主，并确保相关人员知道已变更的要求。</w:t>
      </w:r>
    </w:p>
    <w:p>
      <w:pPr>
        <w:ind w:firstLine="514" w:firstLineChars="244"/>
        <w:rPr>
          <w:b/>
          <w:bCs/>
        </w:rPr>
      </w:pPr>
      <w:r>
        <w:rPr>
          <w:b/>
          <w:bCs/>
        </w:rPr>
        <w:t>8.3产品和服务的设计和开发</w:t>
      </w:r>
    </w:p>
    <w:p>
      <w:pPr>
        <w:ind w:left="500" w:leftChars="238" w:firstLine="10" w:firstLineChars="0"/>
        <w:rPr>
          <w:rFonts w:hint="eastAsia"/>
          <w:b w:val="0"/>
          <w:bCs w:val="0"/>
          <w:lang w:eastAsia="zh-CN"/>
        </w:rPr>
      </w:pPr>
      <w:r>
        <w:rPr>
          <w:rFonts w:hint="eastAsia"/>
          <w:b w:val="0"/>
          <w:bCs w:val="0"/>
          <w:lang w:eastAsia="zh-CN"/>
        </w:rPr>
        <w:t>公司对特定的产品实现进行策划，规定专门的质量控制措施、资源和活动顺序，以确保满足规定要求。</w:t>
      </w:r>
    </w:p>
    <w:p>
      <w:pPr>
        <w:ind w:left="500" w:leftChars="238" w:firstLine="10" w:firstLineChars="0"/>
        <w:rPr>
          <w:rFonts w:hint="eastAsia"/>
          <w:b w:val="0"/>
          <w:bCs w:val="0"/>
          <w:lang w:eastAsia="zh-CN"/>
        </w:rPr>
      </w:pPr>
      <w:r>
        <w:rPr>
          <w:rFonts w:hint="eastAsia"/>
          <w:b w:val="0"/>
          <w:bCs w:val="0"/>
          <w:lang w:eastAsia="zh-CN"/>
        </w:rPr>
        <w:t xml:space="preserve">8.3.1公司对具体类型的产品和服务，确定产品和服务的基本要求，形成产品要求。且考虑： </w:t>
      </w:r>
    </w:p>
    <w:p>
      <w:pPr>
        <w:ind w:left="500" w:leftChars="238" w:firstLine="10" w:firstLineChars="0"/>
        <w:rPr>
          <w:rFonts w:hint="eastAsia"/>
          <w:b w:val="0"/>
          <w:bCs w:val="0"/>
          <w:lang w:eastAsia="zh-CN"/>
        </w:rPr>
      </w:pPr>
      <w:r>
        <w:rPr>
          <w:rFonts w:hint="eastAsia"/>
          <w:b w:val="0"/>
          <w:bCs w:val="0"/>
          <w:lang w:eastAsia="zh-CN"/>
        </w:rPr>
        <w:t xml:space="preserve">a）功能和性能要求； </w:t>
      </w:r>
    </w:p>
    <w:p>
      <w:pPr>
        <w:ind w:left="500" w:leftChars="238" w:firstLine="10" w:firstLineChars="0"/>
        <w:rPr>
          <w:rFonts w:hint="eastAsia"/>
          <w:b w:val="0"/>
          <w:bCs w:val="0"/>
          <w:lang w:eastAsia="zh-CN"/>
        </w:rPr>
      </w:pPr>
      <w:r>
        <w:rPr>
          <w:rFonts w:hint="eastAsia"/>
          <w:b w:val="0"/>
          <w:bCs w:val="0"/>
          <w:lang w:eastAsia="zh-CN"/>
        </w:rPr>
        <w:t>b）来源于以前类似生产活动的信息；</w:t>
      </w:r>
    </w:p>
    <w:p>
      <w:pPr>
        <w:ind w:left="500" w:leftChars="238" w:firstLine="10" w:firstLineChars="0"/>
        <w:rPr>
          <w:rFonts w:hint="eastAsia"/>
          <w:b w:val="0"/>
          <w:bCs w:val="0"/>
          <w:lang w:eastAsia="zh-CN"/>
        </w:rPr>
      </w:pPr>
      <w:r>
        <w:rPr>
          <w:rFonts w:hint="eastAsia"/>
          <w:b w:val="0"/>
          <w:bCs w:val="0"/>
          <w:lang w:eastAsia="zh-CN"/>
        </w:rPr>
        <w:t xml:space="preserve">c）法律法规要求； </w:t>
      </w:r>
    </w:p>
    <w:p>
      <w:pPr>
        <w:ind w:left="500" w:leftChars="238" w:firstLine="10" w:firstLineChars="0"/>
        <w:rPr>
          <w:rFonts w:hint="eastAsia"/>
          <w:b w:val="0"/>
          <w:bCs w:val="0"/>
          <w:lang w:eastAsia="zh-CN"/>
        </w:rPr>
      </w:pPr>
      <w:r>
        <w:rPr>
          <w:rFonts w:hint="eastAsia"/>
          <w:b w:val="0"/>
          <w:bCs w:val="0"/>
          <w:lang w:eastAsia="zh-CN"/>
        </w:rPr>
        <w:t xml:space="preserve">d）公司承诺实施的标准和行业规范； </w:t>
      </w:r>
    </w:p>
    <w:p>
      <w:pPr>
        <w:ind w:left="500" w:leftChars="238" w:firstLine="10" w:firstLineChars="0"/>
        <w:rPr>
          <w:rFonts w:hint="eastAsia"/>
          <w:b w:val="0"/>
          <w:bCs w:val="0"/>
          <w:lang w:eastAsia="zh-CN"/>
        </w:rPr>
      </w:pPr>
      <w:r>
        <w:rPr>
          <w:rFonts w:hint="eastAsia"/>
          <w:b w:val="0"/>
          <w:bCs w:val="0"/>
          <w:lang w:eastAsia="zh-CN"/>
        </w:rPr>
        <w:t xml:space="preserve">e）由产品和服务性质所决定的、失效的潜在后果。 </w:t>
      </w:r>
    </w:p>
    <w:p>
      <w:pPr>
        <w:ind w:left="500" w:leftChars="238" w:firstLine="10" w:firstLineChars="0"/>
        <w:rPr>
          <w:rFonts w:hint="eastAsia"/>
          <w:b w:val="0"/>
          <w:bCs w:val="0"/>
          <w:lang w:eastAsia="zh-CN"/>
        </w:rPr>
      </w:pPr>
      <w:r>
        <w:rPr>
          <w:rFonts w:hint="eastAsia"/>
          <w:b w:val="0"/>
          <w:bCs w:val="0"/>
          <w:lang w:eastAsia="zh-CN"/>
        </w:rPr>
        <w:t>8.3.2合同/协议的编制、审批和发放</w:t>
      </w:r>
    </w:p>
    <w:p>
      <w:pPr>
        <w:ind w:left="500" w:leftChars="238" w:firstLine="10" w:firstLineChars="0"/>
        <w:rPr>
          <w:rFonts w:hint="eastAsia"/>
          <w:b w:val="0"/>
          <w:bCs w:val="0"/>
          <w:lang w:eastAsia="zh-CN"/>
        </w:rPr>
      </w:pPr>
      <w:r>
        <w:rPr>
          <w:rFonts w:hint="eastAsia"/>
          <w:b w:val="0"/>
          <w:bCs w:val="0"/>
          <w:lang w:eastAsia="zh-CN"/>
        </w:rPr>
        <w:t>合同书由技术部负责人组织编制,经管理者代表审核,总经理批准后,由业务员组织执行(顾客要求时，可发放给顾客)。</w:t>
      </w:r>
    </w:p>
    <w:p>
      <w:pPr>
        <w:ind w:left="500" w:leftChars="238" w:firstLine="10" w:firstLineChars="0"/>
        <w:rPr>
          <w:rFonts w:hint="eastAsia"/>
          <w:b w:val="0"/>
          <w:bCs w:val="0"/>
          <w:lang w:eastAsia="zh-CN"/>
        </w:rPr>
      </w:pPr>
      <w:r>
        <w:rPr>
          <w:rFonts w:hint="eastAsia"/>
          <w:b w:val="0"/>
          <w:bCs w:val="0"/>
          <w:lang w:eastAsia="zh-CN"/>
        </w:rPr>
        <w:t>8.3.3合同/协议的实施、监督和修改</w:t>
      </w:r>
    </w:p>
    <w:p>
      <w:pPr>
        <w:ind w:left="500" w:leftChars="238" w:firstLine="10" w:firstLineChars="0"/>
        <w:rPr>
          <w:rFonts w:hint="eastAsia"/>
          <w:b w:val="0"/>
          <w:bCs w:val="0"/>
          <w:lang w:eastAsia="zh-CN"/>
        </w:rPr>
      </w:pPr>
      <w:r>
        <w:rPr>
          <w:rFonts w:hint="eastAsia"/>
          <w:b w:val="0"/>
          <w:bCs w:val="0"/>
          <w:lang w:eastAsia="zh-CN"/>
        </w:rPr>
        <w:t>a）技术部应按照合同的规定要求进行实施,并将计划的执行情况及时反馈。</w:t>
      </w:r>
    </w:p>
    <w:p>
      <w:pPr>
        <w:ind w:left="500" w:leftChars="238" w:firstLine="10" w:firstLineChars="0"/>
        <w:rPr>
          <w:rFonts w:hint="eastAsia"/>
          <w:b w:val="0"/>
          <w:bCs w:val="0"/>
          <w:lang w:eastAsia="zh-CN"/>
        </w:rPr>
      </w:pPr>
      <w:r>
        <w:rPr>
          <w:rFonts w:hint="eastAsia"/>
          <w:b w:val="0"/>
          <w:bCs w:val="0"/>
          <w:lang w:eastAsia="zh-CN"/>
        </w:rPr>
        <w:t>b）技术部负责协调相应部门之间的接口和资源配置,有关协调的情况及时报告总经理。</w:t>
      </w:r>
    </w:p>
    <w:p>
      <w:pPr>
        <w:ind w:firstLine="560"/>
        <w:rPr>
          <w:rFonts w:hint="eastAsia" w:eastAsia="宋体"/>
          <w:b/>
          <w:bCs/>
          <w:lang w:eastAsia="zh-CN"/>
        </w:rPr>
      </w:pPr>
      <w:r>
        <w:rPr>
          <w:rFonts w:hint="eastAsia"/>
          <w:b w:val="0"/>
          <w:bCs w:val="0"/>
          <w:lang w:eastAsia="zh-CN"/>
        </w:rPr>
        <w:t>8.3.4产品的设计与开发：本公司产品严格按照</w:t>
      </w:r>
      <w:r>
        <w:rPr>
          <w:rFonts w:hint="eastAsia"/>
          <w:b w:val="0"/>
          <w:bCs w:val="0"/>
          <w:lang w:val="en-US" w:eastAsia="zh-CN"/>
        </w:rPr>
        <w:t>用户</w:t>
      </w:r>
      <w:r>
        <w:rPr>
          <w:rFonts w:hint="eastAsia"/>
          <w:b w:val="0"/>
          <w:bCs w:val="0"/>
          <w:lang w:eastAsia="zh-CN"/>
        </w:rPr>
        <w:t>的图纸或要求</w:t>
      </w:r>
      <w:r>
        <w:rPr>
          <w:rFonts w:hint="eastAsia"/>
          <w:b w:val="0"/>
          <w:bCs w:val="0"/>
          <w:lang w:val="en-US" w:eastAsia="zh-CN"/>
        </w:rPr>
        <w:t>进行</w:t>
      </w:r>
      <w:r>
        <w:rPr>
          <w:rFonts w:hint="eastAsia"/>
          <w:b w:val="0"/>
          <w:bCs w:val="0"/>
          <w:lang w:eastAsia="zh-CN"/>
        </w:rPr>
        <w:t>生产，不需要进一步细化要求，因此标准8.3条款“产品和服务的设计和开发”要求不适用。</w:t>
      </w:r>
    </w:p>
    <w:p>
      <w:pPr>
        <w:ind w:firstLine="560"/>
        <w:rPr>
          <w:b/>
          <w:szCs w:val="21"/>
        </w:rPr>
      </w:pPr>
      <w:r>
        <w:rPr>
          <w:b/>
          <w:szCs w:val="21"/>
        </w:rPr>
        <w:t>8.4外部提供过程、产品和服务的控制（S10）</w:t>
      </w:r>
    </w:p>
    <w:p>
      <w:pPr>
        <w:ind w:firstLine="560"/>
        <w:rPr>
          <w:b/>
          <w:szCs w:val="21"/>
        </w:rPr>
      </w:pPr>
      <w:r>
        <w:rPr>
          <w:b/>
          <w:szCs w:val="21"/>
        </w:rPr>
        <w:t>8.4.1总则</w:t>
      </w:r>
    </w:p>
    <w:p>
      <w:pPr>
        <w:ind w:left="525" w:leftChars="250" w:firstLine="33" w:firstLineChars="16"/>
        <w:rPr>
          <w:szCs w:val="21"/>
        </w:rPr>
      </w:pPr>
      <w:r>
        <w:rPr>
          <w:szCs w:val="21"/>
        </w:rPr>
        <w:t>公司建立《</w:t>
      </w:r>
      <w:r>
        <w:rPr>
          <w:rFonts w:hint="eastAsia"/>
          <w:lang w:eastAsia="zh-CN"/>
        </w:rPr>
        <w:t>采购控制程序</w:t>
      </w:r>
      <w:r>
        <w:rPr>
          <w:szCs w:val="21"/>
        </w:rPr>
        <w:t>》，通过实施</w:t>
      </w:r>
      <w:r>
        <w:rPr>
          <w:rFonts w:hint="eastAsia"/>
          <w:lang w:eastAsia="zh-CN"/>
        </w:rPr>
        <w:t>采购控制程序</w:t>
      </w:r>
      <w:r>
        <w:t>，</w:t>
      </w:r>
      <w:r>
        <w:rPr>
          <w:szCs w:val="21"/>
        </w:rPr>
        <w:t>确保外部提供的过程、产品和服务满能足规定的要求。</w:t>
      </w:r>
    </w:p>
    <w:p>
      <w:pPr>
        <w:ind w:firstLine="560"/>
        <w:rPr>
          <w:szCs w:val="21"/>
        </w:rPr>
      </w:pPr>
      <w:r>
        <w:rPr>
          <w:szCs w:val="21"/>
        </w:rPr>
        <w:t>公司对外部提供的相关过程、产品和服务进行定期识别，包括：</w:t>
      </w:r>
    </w:p>
    <w:p>
      <w:pPr>
        <w:ind w:firstLine="560"/>
        <w:rPr>
          <w:szCs w:val="21"/>
        </w:rPr>
      </w:pPr>
      <w:r>
        <w:rPr>
          <w:szCs w:val="21"/>
        </w:rPr>
        <w:t>a)外部供方的过程、产品和服务是组成公司自身的产品和服务的一部分；</w:t>
      </w:r>
    </w:p>
    <w:p>
      <w:pPr>
        <w:ind w:firstLine="560"/>
        <w:rPr>
          <w:szCs w:val="21"/>
        </w:rPr>
      </w:pPr>
      <w:r>
        <w:rPr>
          <w:szCs w:val="21"/>
        </w:rPr>
        <w:t>b)外部供方代表公司直接将产品和服务提供给顾客；</w:t>
      </w:r>
    </w:p>
    <w:p>
      <w:pPr>
        <w:ind w:firstLine="560"/>
        <w:rPr>
          <w:szCs w:val="21"/>
        </w:rPr>
      </w:pPr>
      <w:r>
        <w:rPr>
          <w:szCs w:val="21"/>
        </w:rPr>
        <w:t>c)公司决定将过程或过程的一部分外包。</w:t>
      </w:r>
    </w:p>
    <w:p>
      <w:pPr>
        <w:ind w:firstLine="560"/>
        <w:rPr>
          <w:szCs w:val="21"/>
        </w:rPr>
      </w:pPr>
      <w:r>
        <w:rPr>
          <w:rFonts w:hint="eastAsia"/>
          <w:b/>
          <w:bCs/>
          <w:szCs w:val="21"/>
          <w:u w:val="single"/>
        </w:rPr>
        <w:t>公司目前识别外包过程</w:t>
      </w:r>
      <w:r>
        <w:rPr>
          <w:rFonts w:hint="eastAsia"/>
          <w:b/>
          <w:bCs/>
          <w:szCs w:val="21"/>
          <w:u w:val="single"/>
          <w:lang w:val="en-US" w:eastAsia="zh-CN"/>
        </w:rPr>
        <w:t>为:主板加工过程</w:t>
      </w:r>
      <w:r>
        <w:rPr>
          <w:rFonts w:hint="eastAsia"/>
          <w:b/>
          <w:bCs/>
          <w:szCs w:val="21"/>
        </w:rPr>
        <w:t>。</w:t>
      </w:r>
    </w:p>
    <w:p>
      <w:pPr>
        <w:ind w:left="525" w:leftChars="250" w:firstLine="33" w:firstLineChars="16"/>
        <w:rPr>
          <w:szCs w:val="21"/>
        </w:rPr>
      </w:pPr>
      <w:r>
        <w:rPr>
          <w:szCs w:val="21"/>
        </w:rPr>
        <w:t>公司要基于外部供方提供所要求的过程、产品或服务的能力，确定外部供方的评价、选择、绩效监</w:t>
      </w:r>
      <w:r>
        <w:rPr>
          <w:b/>
          <w:szCs w:val="21"/>
        </w:rPr>
        <w:t>8.4.2控制类型和程度</w:t>
      </w:r>
    </w:p>
    <w:p>
      <w:pPr>
        <w:ind w:firstLine="560"/>
        <w:rPr>
          <w:szCs w:val="21"/>
        </w:rPr>
      </w:pPr>
      <w:r>
        <w:rPr>
          <w:szCs w:val="21"/>
        </w:rPr>
        <w:t>对外部供方及其供应的过程、产品和服务的控制类型和程度取决于：</w:t>
      </w:r>
    </w:p>
    <w:p>
      <w:pPr>
        <w:ind w:firstLine="560"/>
        <w:rPr>
          <w:szCs w:val="21"/>
        </w:rPr>
      </w:pPr>
      <w:r>
        <w:rPr>
          <w:szCs w:val="21"/>
        </w:rPr>
        <w:t>a)识别的风险及其潜在影响</w:t>
      </w:r>
    </w:p>
    <w:p>
      <w:pPr>
        <w:ind w:firstLine="560"/>
        <w:rPr>
          <w:szCs w:val="21"/>
        </w:rPr>
      </w:pPr>
      <w:r>
        <w:rPr>
          <w:szCs w:val="21"/>
        </w:rPr>
        <w:t>b)公司与外部供方对外部供应过程控制的分担程度</w:t>
      </w:r>
    </w:p>
    <w:p>
      <w:pPr>
        <w:ind w:firstLine="560"/>
        <w:rPr>
          <w:szCs w:val="21"/>
        </w:rPr>
      </w:pPr>
      <w:r>
        <w:rPr>
          <w:szCs w:val="21"/>
        </w:rPr>
        <w:t>c)潜在的控制能力</w:t>
      </w:r>
    </w:p>
    <w:p>
      <w:pPr>
        <w:ind w:left="525" w:leftChars="250" w:firstLine="33" w:firstLineChars="16"/>
        <w:rPr>
          <w:szCs w:val="21"/>
        </w:rPr>
      </w:pPr>
      <w:r>
        <w:rPr>
          <w:szCs w:val="21"/>
        </w:rPr>
        <w:t>公司要根据外部供方按公司的要求提供产品的能力，建立和实施对外部供方的评价、选择和重新评价的准则。评价结果的信息应形成文件。</w:t>
      </w:r>
    </w:p>
    <w:p>
      <w:pPr>
        <w:ind w:firstLine="560"/>
        <w:rPr>
          <w:b/>
          <w:szCs w:val="21"/>
        </w:rPr>
      </w:pPr>
      <w:r>
        <w:rPr>
          <w:b/>
          <w:szCs w:val="21"/>
        </w:rPr>
        <w:t>8.4.3外部供方的信息</w:t>
      </w:r>
    </w:p>
    <w:p>
      <w:pPr>
        <w:ind w:firstLine="560"/>
        <w:rPr>
          <w:szCs w:val="21"/>
        </w:rPr>
      </w:pPr>
      <w:r>
        <w:rPr>
          <w:szCs w:val="21"/>
        </w:rPr>
        <w:t>适用时，提供给外部供方的形成文件的信息应阐述：</w:t>
      </w:r>
    </w:p>
    <w:p>
      <w:pPr>
        <w:ind w:firstLine="560"/>
        <w:rPr>
          <w:szCs w:val="21"/>
        </w:rPr>
      </w:pPr>
      <w:r>
        <w:rPr>
          <w:szCs w:val="21"/>
        </w:rPr>
        <w:t>a)供应的产品和服务，以及实施的过程；</w:t>
      </w:r>
    </w:p>
    <w:p>
      <w:pPr>
        <w:ind w:firstLine="560"/>
        <w:rPr>
          <w:szCs w:val="21"/>
        </w:rPr>
      </w:pPr>
      <w:r>
        <w:rPr>
          <w:szCs w:val="21"/>
        </w:rPr>
        <w:t>b)产品、服务、程序、过程和设备的放行或批准要求；</w:t>
      </w:r>
    </w:p>
    <w:p>
      <w:pPr>
        <w:ind w:firstLine="560"/>
        <w:rPr>
          <w:szCs w:val="21"/>
        </w:rPr>
      </w:pPr>
      <w:r>
        <w:rPr>
          <w:szCs w:val="21"/>
        </w:rPr>
        <w:t>c)人员能力的要求，包含必要的资格；</w:t>
      </w:r>
    </w:p>
    <w:p>
      <w:pPr>
        <w:ind w:firstLine="560"/>
        <w:rPr>
          <w:szCs w:val="21"/>
        </w:rPr>
      </w:pPr>
      <w:r>
        <w:rPr>
          <w:szCs w:val="21"/>
        </w:rPr>
        <w:t>d)质量/环境/安全管理体系的要求；</w:t>
      </w:r>
    </w:p>
    <w:p>
      <w:pPr>
        <w:ind w:firstLine="560"/>
        <w:rPr>
          <w:szCs w:val="21"/>
        </w:rPr>
      </w:pPr>
      <w:r>
        <w:rPr>
          <w:szCs w:val="21"/>
        </w:rPr>
        <w:t>e)公司对外部供方业绩的控制和监视；</w:t>
      </w:r>
    </w:p>
    <w:p>
      <w:pPr>
        <w:ind w:firstLine="560"/>
        <w:rPr>
          <w:szCs w:val="21"/>
        </w:rPr>
      </w:pPr>
      <w:r>
        <w:rPr>
          <w:szCs w:val="21"/>
        </w:rPr>
        <w:t>f)公司或其顾客拟在供方现场实施的验证活动；</w:t>
      </w:r>
    </w:p>
    <w:p>
      <w:pPr>
        <w:ind w:firstLine="560"/>
        <w:rPr>
          <w:szCs w:val="21"/>
        </w:rPr>
      </w:pPr>
      <w:r>
        <w:rPr>
          <w:szCs w:val="21"/>
        </w:rPr>
        <w:t>g)将产品从外部供方到公司现场的搬运要求；</w:t>
      </w:r>
    </w:p>
    <w:p>
      <w:pPr>
        <w:ind w:firstLine="560"/>
        <w:rPr>
          <w:szCs w:val="21"/>
        </w:rPr>
      </w:pPr>
      <w:r>
        <w:rPr>
          <w:szCs w:val="21"/>
        </w:rPr>
        <w:t>在与外部供方沟通前，公司要确保所规定的要求是充分与适宜的。</w:t>
      </w:r>
    </w:p>
    <w:p>
      <w:pPr>
        <w:ind w:firstLine="560"/>
        <w:rPr>
          <w:szCs w:val="21"/>
        </w:rPr>
      </w:pPr>
      <w:r>
        <w:rPr>
          <w:szCs w:val="21"/>
        </w:rPr>
        <w:t>公司要对外部供方的业绩进行监视。应将监视结果的信息形成文件。</w:t>
      </w:r>
    </w:p>
    <w:p>
      <w:pPr>
        <w:ind w:firstLine="560"/>
        <w:rPr>
          <w:b/>
          <w:szCs w:val="21"/>
        </w:rPr>
      </w:pPr>
      <w:r>
        <w:rPr>
          <w:b/>
          <w:szCs w:val="21"/>
        </w:rPr>
        <w:t>8.5生产和服务提供</w:t>
      </w:r>
    </w:p>
    <w:p>
      <w:pPr>
        <w:ind w:firstLine="560"/>
        <w:rPr>
          <w:b/>
          <w:szCs w:val="21"/>
        </w:rPr>
      </w:pPr>
      <w:r>
        <w:rPr>
          <w:b/>
          <w:szCs w:val="21"/>
        </w:rPr>
        <w:t>8.5.1生产和服务提供的控制（C2）</w:t>
      </w:r>
    </w:p>
    <w:p>
      <w:pPr>
        <w:ind w:firstLine="560"/>
        <w:rPr>
          <w:szCs w:val="21"/>
        </w:rPr>
      </w:pPr>
      <w:r>
        <w:rPr>
          <w:szCs w:val="21"/>
        </w:rPr>
        <w:t>公司要在受控条件下进行产品销售服务提供。适用时，受控条件应包括：</w:t>
      </w:r>
    </w:p>
    <w:p>
      <w:pPr>
        <w:ind w:firstLine="560"/>
        <w:rPr>
          <w:szCs w:val="21"/>
        </w:rPr>
      </w:pPr>
      <w:r>
        <w:rPr>
          <w:szCs w:val="21"/>
        </w:rPr>
        <w:t>a)获得表述产品和服务特性的文件信息；</w:t>
      </w:r>
    </w:p>
    <w:p>
      <w:pPr>
        <w:ind w:firstLine="560"/>
        <w:rPr>
          <w:szCs w:val="21"/>
        </w:rPr>
      </w:pPr>
      <w:r>
        <w:rPr>
          <w:szCs w:val="21"/>
        </w:rPr>
        <w:t>b)控制的实施；</w:t>
      </w:r>
    </w:p>
    <w:p>
      <w:pPr>
        <w:ind w:firstLine="560"/>
        <w:rPr>
          <w:szCs w:val="21"/>
        </w:rPr>
      </w:pPr>
      <w:r>
        <w:rPr>
          <w:szCs w:val="21"/>
        </w:rPr>
        <w:t>c)必要时，获得表述活动的实施及其结果的文件信息；</w:t>
      </w:r>
    </w:p>
    <w:p>
      <w:pPr>
        <w:ind w:firstLine="560"/>
        <w:rPr>
          <w:szCs w:val="21"/>
        </w:rPr>
      </w:pPr>
      <w:r>
        <w:rPr>
          <w:szCs w:val="21"/>
        </w:rPr>
        <w:t>d)使用适宜的设备；</w:t>
      </w:r>
    </w:p>
    <w:p>
      <w:pPr>
        <w:ind w:firstLine="560"/>
        <w:rPr>
          <w:szCs w:val="21"/>
          <w:highlight w:val="none"/>
        </w:rPr>
      </w:pPr>
      <w:r>
        <w:rPr>
          <w:szCs w:val="21"/>
        </w:rPr>
        <w:t>e)获得、实施和使用监测和</w:t>
      </w:r>
      <w:r>
        <w:rPr>
          <w:szCs w:val="21"/>
          <w:highlight w:val="none"/>
        </w:rPr>
        <w:t>测量设备；</w:t>
      </w:r>
    </w:p>
    <w:p>
      <w:pPr>
        <w:ind w:firstLine="560"/>
        <w:rPr>
          <w:szCs w:val="21"/>
          <w:highlight w:val="none"/>
        </w:rPr>
      </w:pPr>
      <w:r>
        <w:rPr>
          <w:szCs w:val="21"/>
          <w:highlight w:val="none"/>
        </w:rPr>
        <w:t>f)人员的能力或资格；</w:t>
      </w:r>
    </w:p>
    <w:p>
      <w:pPr>
        <w:ind w:left="525" w:leftChars="250" w:firstLine="33" w:firstLineChars="16"/>
        <w:rPr>
          <w:szCs w:val="21"/>
          <w:highlight w:val="none"/>
        </w:rPr>
      </w:pPr>
      <w:r>
        <w:rPr>
          <w:szCs w:val="21"/>
          <w:highlight w:val="none"/>
        </w:rPr>
        <w:t>g)当过程的输出不能由后续的监测和测量加以验证时，对任何这样的服务提供过程进行确认、批准和再次确认；</w:t>
      </w:r>
    </w:p>
    <w:p>
      <w:pPr>
        <w:ind w:left="525" w:leftChars="250" w:firstLine="34" w:firstLineChars="16"/>
        <w:rPr>
          <w:rFonts w:hint="default" w:eastAsia="宋体"/>
          <w:szCs w:val="21"/>
          <w:highlight w:val="none"/>
          <w:lang w:val="en-US" w:eastAsia="zh-CN"/>
        </w:rPr>
      </w:pPr>
      <w:r>
        <w:rPr>
          <w:rFonts w:hint="eastAsia"/>
          <w:b/>
          <w:bCs/>
          <w:szCs w:val="21"/>
          <w:highlight w:val="none"/>
          <w:u w:val="single"/>
        </w:rPr>
        <w:t>公司目前识别</w:t>
      </w:r>
      <w:r>
        <w:rPr>
          <w:rFonts w:hint="eastAsia"/>
          <w:b/>
          <w:bCs/>
          <w:szCs w:val="21"/>
          <w:highlight w:val="none"/>
          <w:u w:val="single"/>
          <w:lang w:val="en-US" w:eastAsia="zh-CN"/>
        </w:rPr>
        <w:t>的关键过程为：功能检测；需确认过程为：焊接过程。</w:t>
      </w:r>
    </w:p>
    <w:p>
      <w:pPr>
        <w:ind w:firstLine="560"/>
        <w:rPr>
          <w:szCs w:val="21"/>
          <w:highlight w:val="none"/>
        </w:rPr>
      </w:pPr>
      <w:r>
        <w:rPr>
          <w:szCs w:val="21"/>
          <w:highlight w:val="none"/>
        </w:rPr>
        <w:t>h)产品和服务的放行、交付和交付后活动的实施；</w:t>
      </w:r>
    </w:p>
    <w:p>
      <w:pPr>
        <w:ind w:firstLine="560"/>
        <w:rPr>
          <w:szCs w:val="21"/>
          <w:highlight w:val="none"/>
        </w:rPr>
      </w:pPr>
      <w:r>
        <w:rPr>
          <w:szCs w:val="21"/>
          <w:highlight w:val="none"/>
        </w:rPr>
        <w:t>i)人为错误（如失误、违章）导致的不符合的预防。</w:t>
      </w:r>
    </w:p>
    <w:p>
      <w:pPr>
        <w:ind w:firstLine="560"/>
        <w:rPr>
          <w:szCs w:val="21"/>
        </w:rPr>
      </w:pPr>
      <w:r>
        <w:rPr>
          <w:szCs w:val="21"/>
          <w:highlight w:val="none"/>
        </w:rPr>
        <w:t>注：通过以下确认活动证实这些过程实现所策划的结果</w:t>
      </w:r>
      <w:r>
        <w:rPr>
          <w:szCs w:val="21"/>
        </w:rPr>
        <w:t>的能力：</w:t>
      </w:r>
    </w:p>
    <w:p>
      <w:pPr>
        <w:ind w:firstLine="560"/>
        <w:rPr>
          <w:szCs w:val="21"/>
        </w:rPr>
      </w:pPr>
      <w:r>
        <w:rPr>
          <w:szCs w:val="21"/>
        </w:rPr>
        <w:t>a)过程评审和批准的准则的确定</w:t>
      </w:r>
      <w:bookmarkStart w:id="3" w:name="_GoBack"/>
      <w:bookmarkEnd w:id="3"/>
    </w:p>
    <w:p>
      <w:pPr>
        <w:ind w:firstLine="560"/>
        <w:rPr>
          <w:szCs w:val="21"/>
        </w:rPr>
      </w:pPr>
      <w:r>
        <w:rPr>
          <w:szCs w:val="21"/>
        </w:rPr>
        <w:t>b)设备的认可和人员资格的鉴定</w:t>
      </w:r>
    </w:p>
    <w:p>
      <w:pPr>
        <w:ind w:firstLine="560"/>
        <w:rPr>
          <w:szCs w:val="21"/>
        </w:rPr>
      </w:pPr>
      <w:r>
        <w:rPr>
          <w:szCs w:val="21"/>
        </w:rPr>
        <w:t>c)特定的方法和程序的使用</w:t>
      </w:r>
    </w:p>
    <w:p>
      <w:pPr>
        <w:ind w:firstLine="560"/>
        <w:rPr>
          <w:szCs w:val="21"/>
        </w:rPr>
      </w:pPr>
      <w:r>
        <w:rPr>
          <w:szCs w:val="21"/>
        </w:rPr>
        <w:t>d)文件化信息的需求的确定</w:t>
      </w:r>
    </w:p>
    <w:p>
      <w:pPr>
        <w:ind w:firstLine="560"/>
        <w:rPr>
          <w:b/>
          <w:szCs w:val="21"/>
        </w:rPr>
      </w:pPr>
      <w:r>
        <w:rPr>
          <w:b/>
          <w:szCs w:val="21"/>
        </w:rPr>
        <w:t>8.5.2标识和可追溯性（S11）</w:t>
      </w:r>
    </w:p>
    <w:p>
      <w:pPr>
        <w:ind w:left="525" w:leftChars="250" w:firstLine="33" w:firstLineChars="16"/>
        <w:rPr>
          <w:szCs w:val="21"/>
        </w:rPr>
      </w:pPr>
      <w:r>
        <w:rPr>
          <w:szCs w:val="21"/>
        </w:rPr>
        <w:t>公司建立《</w:t>
      </w:r>
      <w:r>
        <w:rPr>
          <w:rFonts w:hint="eastAsia"/>
          <w:szCs w:val="21"/>
          <w:lang w:eastAsia="zh-CN"/>
        </w:rPr>
        <w:t>标识和可追溯性控制程序</w:t>
      </w:r>
      <w:r>
        <w:rPr>
          <w:szCs w:val="21"/>
        </w:rPr>
        <w:t>》，使用适宜的方法识别过程输出。过程输出包括产品、服务、中间件、部件等。</w:t>
      </w:r>
    </w:p>
    <w:p>
      <w:pPr>
        <w:ind w:firstLine="560"/>
        <w:rPr>
          <w:szCs w:val="21"/>
        </w:rPr>
      </w:pPr>
      <w:r>
        <w:rPr>
          <w:szCs w:val="21"/>
        </w:rPr>
        <w:t>公司要在产品实现的全过程中，针对监视和测量要求识别过程输出的状态。</w:t>
      </w:r>
    </w:p>
    <w:p>
      <w:pPr>
        <w:ind w:firstLine="560"/>
        <w:rPr>
          <w:szCs w:val="21"/>
        </w:rPr>
      </w:pPr>
      <w:r>
        <w:rPr>
          <w:szCs w:val="21"/>
        </w:rPr>
        <w:t>在有可追溯性要求的场合，公司要控制产品的唯一性标识，并保持形成文件的信息。</w:t>
      </w:r>
    </w:p>
    <w:p>
      <w:pPr>
        <w:ind w:firstLine="560"/>
        <w:rPr>
          <w:b/>
          <w:szCs w:val="21"/>
        </w:rPr>
      </w:pPr>
      <w:r>
        <w:rPr>
          <w:b/>
          <w:szCs w:val="21"/>
        </w:rPr>
        <w:t>8.5.3顾客或外部供方的财产（S12）</w:t>
      </w:r>
    </w:p>
    <w:p>
      <w:pPr>
        <w:ind w:left="525" w:leftChars="250" w:firstLine="33" w:firstLineChars="16"/>
        <w:rPr>
          <w:szCs w:val="21"/>
        </w:rPr>
      </w:pPr>
      <w:r>
        <w:t>公司客户和外部供方的财产</w:t>
      </w:r>
      <w:r>
        <w:rPr>
          <w:rFonts w:hint="eastAsia"/>
        </w:rPr>
        <w:t>主要为客户的相关个人信息，在现场服务时可能使用到的属于客户的工具</w:t>
      </w:r>
      <w:r>
        <w:rPr>
          <w:rFonts w:hint="eastAsia"/>
          <w:lang w:eastAsia="zh-CN"/>
        </w:rPr>
        <w:t>、</w:t>
      </w:r>
      <w:r>
        <w:rPr>
          <w:rFonts w:hint="eastAsia"/>
          <w:lang w:val="en-US" w:eastAsia="zh-CN"/>
        </w:rPr>
        <w:t>图纸</w:t>
      </w:r>
      <w:r>
        <w:rPr>
          <w:rFonts w:hint="eastAsia"/>
        </w:rPr>
        <w:t>以及客户的场所，</w:t>
      </w:r>
      <w:r>
        <w:rPr>
          <w:szCs w:val="21"/>
        </w:rPr>
        <w:t>规范管理公司控制下或公司使用的顾客、外部供方财产，并包括顾客、外部供方财产可包括知识产权、秘密的或私人的信息。公司要识别、验证、保护和维护供其使用或构成产品和服务一部分的顾客、外部供方财产。</w:t>
      </w:r>
    </w:p>
    <w:p>
      <w:pPr>
        <w:ind w:left="525" w:leftChars="250" w:firstLine="33" w:firstLineChars="16"/>
        <w:rPr>
          <w:szCs w:val="21"/>
        </w:rPr>
      </w:pPr>
      <w:r>
        <w:rPr>
          <w:szCs w:val="21"/>
        </w:rPr>
        <w:t>如果顾客、外部供方财产发生丢失、损坏或发现不适用的情况，公司要向顾客、外部供方报告，并保持文件信息。</w:t>
      </w:r>
    </w:p>
    <w:p>
      <w:pPr>
        <w:ind w:firstLine="560"/>
        <w:rPr>
          <w:b/>
          <w:szCs w:val="21"/>
        </w:rPr>
      </w:pPr>
      <w:r>
        <w:rPr>
          <w:b/>
          <w:szCs w:val="21"/>
        </w:rPr>
        <w:t>8.5.4防护（C3）</w:t>
      </w:r>
    </w:p>
    <w:p>
      <w:pPr>
        <w:ind w:left="525" w:leftChars="250" w:firstLine="33" w:firstLineChars="16"/>
        <w:rPr>
          <w:szCs w:val="21"/>
        </w:rPr>
      </w:pPr>
      <w:r>
        <w:rPr>
          <w:rFonts w:hint="eastAsia"/>
          <w:szCs w:val="21"/>
        </w:rPr>
        <w:t>在服务执行过程中</w:t>
      </w:r>
      <w:r>
        <w:rPr>
          <w:szCs w:val="21"/>
        </w:rPr>
        <w:t>确保对产品和服务（包括任何过程的输出）提供防护，以保持符合要求。</w:t>
      </w:r>
    </w:p>
    <w:p>
      <w:pPr>
        <w:ind w:firstLine="560"/>
        <w:rPr>
          <w:szCs w:val="21"/>
        </w:rPr>
      </w:pPr>
      <w:r>
        <w:rPr>
          <w:szCs w:val="21"/>
        </w:rPr>
        <w:t>防护也应适用于产品的组成部分、服务提供所需的任何有形的过程输出。</w:t>
      </w:r>
    </w:p>
    <w:p>
      <w:pPr>
        <w:ind w:firstLine="560"/>
        <w:rPr>
          <w:szCs w:val="21"/>
        </w:rPr>
      </w:pPr>
      <w:r>
        <w:rPr>
          <w:szCs w:val="21"/>
        </w:rPr>
        <w:t>防护包括标识、搬运、包装、贮存、污染控制、传送或运输和保护。</w:t>
      </w:r>
    </w:p>
    <w:p>
      <w:pPr>
        <w:ind w:firstLine="560"/>
        <w:rPr>
          <w:b/>
          <w:szCs w:val="21"/>
        </w:rPr>
      </w:pPr>
      <w:r>
        <w:rPr>
          <w:b/>
          <w:szCs w:val="21"/>
        </w:rPr>
        <w:t>8.5.5交付后的活动（C4）</w:t>
      </w:r>
    </w:p>
    <w:p>
      <w:pPr>
        <w:ind w:firstLine="560"/>
        <w:rPr>
          <w:szCs w:val="21"/>
        </w:rPr>
      </w:pPr>
      <w:r>
        <w:rPr>
          <w:szCs w:val="21"/>
        </w:rPr>
        <w:t>适用时，公司要确定和满足与产品特性、生命周期相适应的交付后活动要求。</w:t>
      </w:r>
    </w:p>
    <w:p>
      <w:pPr>
        <w:ind w:firstLine="560"/>
        <w:rPr>
          <w:szCs w:val="21"/>
        </w:rPr>
      </w:pPr>
      <w:r>
        <w:rPr>
          <w:szCs w:val="21"/>
        </w:rPr>
        <w:t>产品交付后的活动应考虑：</w:t>
      </w:r>
    </w:p>
    <w:p>
      <w:pPr>
        <w:ind w:firstLine="560"/>
        <w:rPr>
          <w:szCs w:val="21"/>
        </w:rPr>
      </w:pPr>
      <w:r>
        <w:rPr>
          <w:szCs w:val="21"/>
        </w:rPr>
        <w:t>a)产品和服务相关的风险</w:t>
      </w:r>
    </w:p>
    <w:p>
      <w:pPr>
        <w:ind w:firstLine="560"/>
        <w:rPr>
          <w:szCs w:val="21"/>
        </w:rPr>
      </w:pPr>
      <w:r>
        <w:rPr>
          <w:szCs w:val="21"/>
        </w:rPr>
        <w:t>b)顾客反馈</w:t>
      </w:r>
    </w:p>
    <w:p>
      <w:pPr>
        <w:ind w:firstLine="560"/>
        <w:rPr>
          <w:szCs w:val="21"/>
        </w:rPr>
      </w:pPr>
      <w:r>
        <w:rPr>
          <w:szCs w:val="21"/>
        </w:rPr>
        <w:t>c)法律和法规要求</w:t>
      </w:r>
    </w:p>
    <w:p>
      <w:pPr>
        <w:ind w:left="525" w:leftChars="250" w:firstLine="33" w:firstLineChars="16"/>
        <w:rPr>
          <w:szCs w:val="21"/>
        </w:rPr>
      </w:pPr>
      <w:r>
        <w:rPr>
          <w:szCs w:val="21"/>
        </w:rPr>
        <w:t>注：交付后活动可包括诸如担保条件下的措施、合同规定的维护服务、附加服务（回收或最终处置）等。</w:t>
      </w:r>
    </w:p>
    <w:p>
      <w:pPr>
        <w:ind w:firstLine="560"/>
        <w:rPr>
          <w:b/>
          <w:szCs w:val="21"/>
        </w:rPr>
      </w:pPr>
      <w:r>
        <w:rPr>
          <w:b/>
          <w:szCs w:val="21"/>
        </w:rPr>
        <w:t>8.5.6更改控制</w:t>
      </w:r>
    </w:p>
    <w:p>
      <w:pPr>
        <w:ind w:left="525" w:leftChars="250" w:firstLine="33" w:firstLineChars="16"/>
        <w:rPr>
          <w:szCs w:val="21"/>
        </w:rPr>
      </w:pPr>
      <w:r>
        <w:rPr>
          <w:szCs w:val="21"/>
        </w:rPr>
        <w:t>公司要有计划地和系统地进行变更，考虑对变更的潜在后果进行评价，采取必要的措施，以确保产品和服务完整性。</w:t>
      </w:r>
    </w:p>
    <w:p>
      <w:pPr>
        <w:ind w:firstLine="560"/>
        <w:rPr>
          <w:szCs w:val="21"/>
        </w:rPr>
      </w:pPr>
      <w:r>
        <w:rPr>
          <w:szCs w:val="21"/>
        </w:rPr>
        <w:t>应将变更的评价结果、变更的批准和必要的措施的信息形成文件。</w:t>
      </w:r>
    </w:p>
    <w:p>
      <w:pPr>
        <w:ind w:firstLine="560"/>
        <w:rPr>
          <w:b/>
          <w:szCs w:val="21"/>
        </w:rPr>
      </w:pPr>
      <w:r>
        <w:rPr>
          <w:b/>
          <w:szCs w:val="21"/>
        </w:rPr>
        <w:t>8.6产品和服务的放行（S13）</w:t>
      </w:r>
    </w:p>
    <w:p>
      <w:pPr>
        <w:spacing w:line="360" w:lineRule="auto"/>
        <w:ind w:firstLine="525" w:firstLineChars="250"/>
        <w:rPr>
          <w:bCs/>
        </w:rPr>
      </w:pPr>
      <w:r>
        <w:rPr>
          <w:szCs w:val="21"/>
        </w:rPr>
        <w:t>公司建立</w:t>
      </w:r>
      <w:r>
        <w:rPr>
          <w:rFonts w:hint="eastAsia"/>
          <w:szCs w:val="21"/>
        </w:rPr>
        <w:t>相关制度</w:t>
      </w:r>
      <w:r>
        <w:rPr>
          <w:szCs w:val="21"/>
        </w:rPr>
        <w:t>并按策划的安排，在适当的阶段验证产品和服务是否满足要求。</w:t>
      </w:r>
    </w:p>
    <w:p>
      <w:pPr>
        <w:ind w:left="525" w:leftChars="250" w:firstLine="33" w:firstLineChars="16"/>
        <w:rPr>
          <w:szCs w:val="21"/>
        </w:rPr>
      </w:pPr>
      <w:r>
        <w:rPr>
          <w:szCs w:val="21"/>
        </w:rPr>
        <w:t>除非得到有关授权人员的批准，适用时得到顾客的批准，否则在策划的符合性验证已圆满完成之前，不应向顾客放行产品和交付服务。应在形成文件的信息中指明有权放行产品以交付给顾客的人员。</w:t>
      </w:r>
    </w:p>
    <w:p>
      <w:pPr>
        <w:ind w:firstLine="560"/>
        <w:rPr>
          <w:b/>
          <w:szCs w:val="21"/>
        </w:rPr>
      </w:pPr>
      <w:r>
        <w:rPr>
          <w:b/>
          <w:szCs w:val="21"/>
        </w:rPr>
        <w:t>8.7不合格输出的控制（S14）</w:t>
      </w:r>
    </w:p>
    <w:p>
      <w:pPr>
        <w:ind w:left="525" w:leftChars="250" w:firstLine="33" w:firstLineChars="16"/>
        <w:rPr>
          <w:szCs w:val="21"/>
        </w:rPr>
      </w:pPr>
      <w:r>
        <w:rPr>
          <w:szCs w:val="21"/>
        </w:rPr>
        <w:t>8.7.1公司要确保对不符合要求的产品和服务得到识别和控制，以防止其非预期的使用和交付对顾客造成不良影响。</w:t>
      </w:r>
    </w:p>
    <w:p>
      <w:pPr>
        <w:ind w:left="525" w:leftChars="250" w:firstLine="33" w:firstLineChars="16"/>
        <w:rPr>
          <w:szCs w:val="21"/>
        </w:rPr>
      </w:pPr>
      <w:r>
        <w:rPr>
          <w:szCs w:val="21"/>
        </w:rPr>
        <w:t>公司要采取与不合格品的性质及其影响相适应的措施，需要时进行纠正。这也适用于在产品交付后和服务</w:t>
      </w:r>
    </w:p>
    <w:p>
      <w:pPr>
        <w:ind w:firstLine="560"/>
        <w:rPr>
          <w:szCs w:val="21"/>
        </w:rPr>
      </w:pPr>
      <w:r>
        <w:rPr>
          <w:szCs w:val="21"/>
        </w:rPr>
        <w:t>提供过程中发现的不合格的处置。</w:t>
      </w:r>
    </w:p>
    <w:p>
      <w:pPr>
        <w:ind w:firstLine="560"/>
        <w:rPr>
          <w:szCs w:val="21"/>
        </w:rPr>
      </w:pPr>
      <w:r>
        <w:rPr>
          <w:szCs w:val="21"/>
        </w:rPr>
        <w:t>当不合格产品和服务已交付给顾客，公司也应采取适当的纠正以确保实现顾客满意。</w:t>
      </w:r>
    </w:p>
    <w:p>
      <w:pPr>
        <w:ind w:firstLine="560"/>
        <w:rPr>
          <w:szCs w:val="21"/>
        </w:rPr>
      </w:pPr>
      <w:r>
        <w:rPr>
          <w:szCs w:val="21"/>
        </w:rPr>
        <w:t>应实施适当的纠正措施。</w:t>
      </w:r>
    </w:p>
    <w:p>
      <w:pPr>
        <w:ind w:firstLine="560"/>
        <w:rPr>
          <w:szCs w:val="21"/>
        </w:rPr>
      </w:pPr>
      <w:r>
        <w:rPr>
          <w:szCs w:val="21"/>
        </w:rPr>
        <w:t>注：适当的措施可包括：</w:t>
      </w:r>
    </w:p>
    <w:p>
      <w:pPr>
        <w:ind w:firstLine="560"/>
        <w:rPr>
          <w:szCs w:val="21"/>
        </w:rPr>
      </w:pPr>
      <w:r>
        <w:rPr>
          <w:szCs w:val="21"/>
        </w:rPr>
        <w:t>a)隔离、制止、召回和停止供应产品和提供服务；</w:t>
      </w:r>
    </w:p>
    <w:p>
      <w:pPr>
        <w:ind w:firstLine="560"/>
        <w:rPr>
          <w:szCs w:val="21"/>
        </w:rPr>
      </w:pPr>
      <w:r>
        <w:rPr>
          <w:szCs w:val="21"/>
        </w:rPr>
        <w:t>b)适当时，通知顾客；</w:t>
      </w:r>
    </w:p>
    <w:p>
      <w:pPr>
        <w:ind w:firstLine="560"/>
        <w:rPr>
          <w:szCs w:val="21"/>
        </w:rPr>
      </w:pPr>
      <w:r>
        <w:rPr>
          <w:szCs w:val="21"/>
        </w:rPr>
        <w:t>c)经授权进行返修、降级、继续使用、放行、延长服务时间或重新提供服务、让步接收。</w:t>
      </w:r>
    </w:p>
    <w:p>
      <w:pPr>
        <w:ind w:firstLine="560"/>
        <w:rPr>
          <w:szCs w:val="21"/>
        </w:rPr>
      </w:pPr>
      <w:r>
        <w:rPr>
          <w:szCs w:val="21"/>
        </w:rPr>
        <w:t>在不合格品得到纠正之后应对其再次进行验证，以证实符合要求。</w:t>
      </w:r>
    </w:p>
    <w:p>
      <w:pPr>
        <w:ind w:firstLine="560"/>
        <w:rPr>
          <w:szCs w:val="21"/>
        </w:rPr>
      </w:pPr>
      <w:r>
        <w:rPr>
          <w:szCs w:val="21"/>
        </w:rPr>
        <w:t>8.7.2不合格品的性质以及随后所采取的任何措施的信息应形成文件并保留，包括所批准的让步。</w:t>
      </w:r>
    </w:p>
    <w:p>
      <w:pPr>
        <w:ind w:firstLine="560"/>
        <w:rPr>
          <w:rFonts w:asciiTheme="minorEastAsia" w:hAnsiTheme="minorEastAsia" w:eastAsiaTheme="minorEastAsia"/>
          <w:b/>
          <w:szCs w:val="21"/>
        </w:rPr>
      </w:pPr>
      <w:r>
        <w:rPr>
          <w:rFonts w:hint="eastAsia" w:asciiTheme="minorEastAsia" w:hAnsiTheme="minorEastAsia" w:eastAsiaTheme="minorEastAsia"/>
          <w:b/>
          <w:szCs w:val="21"/>
        </w:rPr>
        <w:t>8.8</w:t>
      </w:r>
      <w:r>
        <w:rPr>
          <w:rFonts w:asciiTheme="minorEastAsia" w:hAnsiTheme="minorEastAsia" w:eastAsiaTheme="minorEastAsia"/>
          <w:b/>
          <w:szCs w:val="21"/>
        </w:rPr>
        <w:t>应急准备和响应</w:t>
      </w:r>
    </w:p>
    <w:p>
      <w:pPr>
        <w:ind w:left="559" w:leftChars="266"/>
        <w:rPr>
          <w:b/>
          <w:szCs w:val="21"/>
        </w:rPr>
      </w:pPr>
      <w:r>
        <w:rPr>
          <w:rFonts w:asciiTheme="minorEastAsia" w:hAnsiTheme="minorEastAsia" w:eastAsiaTheme="minorEastAsia"/>
          <w:color w:val="000000"/>
          <w:kern w:val="0"/>
          <w:szCs w:val="21"/>
        </w:rPr>
        <w:t>公司应建立、实施并保持《</w:t>
      </w:r>
      <w:r>
        <w:rPr>
          <w:rFonts w:hint="eastAsia" w:asciiTheme="minorEastAsia" w:hAnsiTheme="minorEastAsia" w:eastAsiaTheme="minorEastAsia"/>
          <w:color w:val="000000"/>
          <w:kern w:val="0"/>
          <w:szCs w:val="21"/>
          <w:lang w:eastAsia="zh-CN"/>
        </w:rPr>
        <w:t>应急准备与响应控制程序</w:t>
      </w:r>
      <w:r>
        <w:rPr>
          <w:rFonts w:asciiTheme="minorEastAsia" w:hAnsiTheme="minorEastAsia" w:eastAsiaTheme="minorEastAsia"/>
          <w:color w:val="000000"/>
          <w:kern w:val="0"/>
          <w:szCs w:val="21"/>
        </w:rPr>
        <w:t>》对识别的潜在紧急情况进行应急准备并做出响应所需的过</w:t>
      </w:r>
      <w:r>
        <w:rPr>
          <w:color w:val="000000"/>
          <w:kern w:val="0"/>
          <w:szCs w:val="21"/>
        </w:rPr>
        <w:t>程。</w:t>
      </w:r>
    </w:p>
    <w:p>
      <w:pPr>
        <w:ind w:firstLine="560"/>
        <w:rPr>
          <w:b/>
          <w:szCs w:val="21"/>
        </w:rPr>
      </w:pPr>
      <w:r>
        <w:rPr>
          <w:color w:val="000000"/>
          <w:kern w:val="0"/>
          <w:szCs w:val="21"/>
        </w:rPr>
        <w:t>公司应：</w:t>
      </w:r>
    </w:p>
    <w:p>
      <w:pPr>
        <w:autoSpaceDE w:val="0"/>
        <w:autoSpaceDN w:val="0"/>
        <w:adjustRightInd w:val="0"/>
        <w:ind w:firstLine="525" w:firstLineChars="250"/>
        <w:jc w:val="left"/>
        <w:rPr>
          <w:color w:val="000000"/>
          <w:kern w:val="0"/>
          <w:szCs w:val="21"/>
        </w:rPr>
      </w:pPr>
      <w:r>
        <w:rPr>
          <w:color w:val="000000"/>
          <w:kern w:val="0"/>
          <w:szCs w:val="21"/>
        </w:rPr>
        <w:t>a）通过策划措施做好响应紧急情况的准备，以预防或减轻它所带来的有害环境</w:t>
      </w:r>
      <w:r>
        <w:rPr>
          <w:rFonts w:hint="eastAsia"/>
          <w:color w:val="000000"/>
          <w:kern w:val="0"/>
          <w:szCs w:val="21"/>
        </w:rPr>
        <w:t>与安全</w:t>
      </w:r>
      <w:r>
        <w:rPr>
          <w:color w:val="000000"/>
          <w:kern w:val="0"/>
          <w:szCs w:val="21"/>
        </w:rPr>
        <w:t>影响；</w:t>
      </w:r>
    </w:p>
    <w:p>
      <w:pPr>
        <w:autoSpaceDE w:val="0"/>
        <w:autoSpaceDN w:val="0"/>
        <w:adjustRightInd w:val="0"/>
        <w:ind w:firstLine="525" w:firstLineChars="250"/>
        <w:jc w:val="left"/>
        <w:rPr>
          <w:color w:val="000000"/>
          <w:kern w:val="0"/>
          <w:szCs w:val="21"/>
        </w:rPr>
      </w:pPr>
      <w:r>
        <w:rPr>
          <w:color w:val="000000"/>
          <w:kern w:val="0"/>
          <w:szCs w:val="21"/>
        </w:rPr>
        <w:t>b）对实际发生的紧急情况做出响应；</w:t>
      </w:r>
    </w:p>
    <w:p>
      <w:pPr>
        <w:autoSpaceDE w:val="0"/>
        <w:autoSpaceDN w:val="0"/>
        <w:adjustRightInd w:val="0"/>
        <w:ind w:left="840" w:leftChars="250" w:hanging="315" w:hangingChars="150"/>
        <w:jc w:val="left"/>
        <w:rPr>
          <w:color w:val="000000"/>
          <w:kern w:val="0"/>
          <w:szCs w:val="21"/>
        </w:rPr>
      </w:pPr>
      <w:r>
        <w:rPr>
          <w:color w:val="000000"/>
          <w:kern w:val="0"/>
          <w:szCs w:val="21"/>
        </w:rPr>
        <w:t>c）根据紧急情况和潜在环境</w:t>
      </w:r>
      <w:r>
        <w:rPr>
          <w:rFonts w:hint="eastAsia"/>
          <w:color w:val="000000"/>
          <w:kern w:val="0"/>
          <w:szCs w:val="21"/>
        </w:rPr>
        <w:t>以及安全</w:t>
      </w:r>
      <w:r>
        <w:rPr>
          <w:color w:val="000000"/>
          <w:kern w:val="0"/>
          <w:szCs w:val="21"/>
        </w:rPr>
        <w:t>影响的程度，采取相适应的措施预防或减轻紧急情况带来的后果；</w:t>
      </w:r>
    </w:p>
    <w:p>
      <w:pPr>
        <w:autoSpaceDE w:val="0"/>
        <w:autoSpaceDN w:val="0"/>
        <w:adjustRightInd w:val="0"/>
        <w:ind w:firstLine="525" w:firstLineChars="250"/>
        <w:jc w:val="left"/>
        <w:rPr>
          <w:color w:val="000000"/>
          <w:kern w:val="0"/>
          <w:szCs w:val="21"/>
        </w:rPr>
      </w:pPr>
      <w:r>
        <w:rPr>
          <w:color w:val="000000"/>
          <w:kern w:val="0"/>
          <w:szCs w:val="21"/>
        </w:rPr>
        <w:t>d）可行时，定期试验所策划的响应措施；</w:t>
      </w:r>
    </w:p>
    <w:p>
      <w:pPr>
        <w:autoSpaceDE w:val="0"/>
        <w:autoSpaceDN w:val="0"/>
        <w:adjustRightInd w:val="0"/>
        <w:ind w:firstLine="525" w:firstLineChars="250"/>
        <w:jc w:val="left"/>
        <w:rPr>
          <w:color w:val="000000"/>
          <w:kern w:val="0"/>
          <w:szCs w:val="21"/>
        </w:rPr>
      </w:pPr>
      <w:r>
        <w:rPr>
          <w:color w:val="000000"/>
          <w:kern w:val="0"/>
          <w:szCs w:val="21"/>
        </w:rPr>
        <w:t>e）定期评审并修订过程和策划的响应措施，特别是发生紧急情况后或进行试验后；</w:t>
      </w:r>
    </w:p>
    <w:p>
      <w:pPr>
        <w:ind w:left="840" w:leftChars="250" w:hanging="315" w:hangingChars="150"/>
        <w:rPr>
          <w:color w:val="000000"/>
          <w:kern w:val="0"/>
          <w:szCs w:val="21"/>
        </w:rPr>
      </w:pPr>
      <w:r>
        <w:rPr>
          <w:color w:val="000000"/>
          <w:kern w:val="0"/>
          <w:szCs w:val="21"/>
        </w:rPr>
        <w:t>f）适用时，向有关的相关方，包括在公司控制下工作的人员提供应急准备和响应相关的信息和培训。</w:t>
      </w:r>
    </w:p>
    <w:p>
      <w:pPr>
        <w:ind w:firstLine="525" w:firstLineChars="250"/>
        <w:rPr>
          <w:color w:val="000000"/>
          <w:kern w:val="0"/>
          <w:szCs w:val="21"/>
        </w:rPr>
      </w:pPr>
      <w:r>
        <w:rPr>
          <w:szCs w:val="21"/>
        </w:rPr>
        <w:t>公司应保持必要的文件化信息，以确信过程按策划予以实施。</w:t>
      </w:r>
    </w:p>
    <w:p>
      <w:pPr>
        <w:ind w:firstLine="560"/>
        <w:rPr>
          <w:b/>
          <w:szCs w:val="21"/>
        </w:rPr>
      </w:pPr>
      <w:r>
        <w:rPr>
          <w:b/>
          <w:szCs w:val="21"/>
        </w:rPr>
        <w:t>9绩效评价</w:t>
      </w:r>
    </w:p>
    <w:p>
      <w:pPr>
        <w:ind w:firstLine="560"/>
        <w:rPr>
          <w:b/>
          <w:szCs w:val="21"/>
        </w:rPr>
      </w:pPr>
      <w:r>
        <w:rPr>
          <w:b/>
          <w:szCs w:val="21"/>
        </w:rPr>
        <w:t>9.1监视、测量、分析和评价</w:t>
      </w:r>
    </w:p>
    <w:p>
      <w:pPr>
        <w:ind w:firstLine="560"/>
        <w:rPr>
          <w:szCs w:val="21"/>
        </w:rPr>
      </w:pPr>
      <w:r>
        <w:rPr>
          <w:szCs w:val="21"/>
        </w:rPr>
        <w:t>9.1.1总则</w:t>
      </w:r>
    </w:p>
    <w:p>
      <w:pPr>
        <w:ind w:firstLine="560"/>
        <w:rPr>
          <w:szCs w:val="21"/>
        </w:rPr>
      </w:pPr>
      <w:r>
        <w:rPr>
          <w:szCs w:val="21"/>
        </w:rPr>
        <w:t>公司要考虑已确定的风险和机遇，应：</w:t>
      </w:r>
    </w:p>
    <w:p>
      <w:pPr>
        <w:ind w:firstLine="560"/>
        <w:rPr>
          <w:szCs w:val="21"/>
        </w:rPr>
      </w:pPr>
      <w:r>
        <w:rPr>
          <w:szCs w:val="21"/>
        </w:rPr>
        <w:t>a)确定监视和测量的对象，以便：</w:t>
      </w:r>
    </w:p>
    <w:p>
      <w:pPr>
        <w:ind w:firstLine="560"/>
        <w:rPr>
          <w:szCs w:val="21"/>
        </w:rPr>
      </w:pPr>
      <w:r>
        <w:rPr>
          <w:szCs w:val="21"/>
        </w:rPr>
        <w:t>——证实产品和服务的符合性；</w:t>
      </w:r>
    </w:p>
    <w:p>
      <w:pPr>
        <w:ind w:firstLine="560"/>
        <w:rPr>
          <w:szCs w:val="21"/>
        </w:rPr>
      </w:pPr>
      <w:r>
        <w:rPr>
          <w:szCs w:val="21"/>
        </w:rPr>
        <w:t>——评价过程绩效；</w:t>
      </w:r>
    </w:p>
    <w:p>
      <w:pPr>
        <w:ind w:firstLine="560"/>
        <w:rPr>
          <w:szCs w:val="21"/>
        </w:rPr>
      </w:pPr>
      <w:r>
        <w:rPr>
          <w:szCs w:val="21"/>
        </w:rPr>
        <w:t>——确保质量/环境/安全管理体系的符合性和有效性；</w:t>
      </w:r>
    </w:p>
    <w:p>
      <w:pPr>
        <w:ind w:firstLine="560"/>
        <w:rPr>
          <w:szCs w:val="21"/>
        </w:rPr>
      </w:pPr>
      <w:r>
        <w:rPr>
          <w:szCs w:val="21"/>
        </w:rPr>
        <w:t>——评价顾客满意度；</w:t>
      </w:r>
    </w:p>
    <w:p>
      <w:pPr>
        <w:ind w:firstLine="560"/>
        <w:rPr>
          <w:szCs w:val="21"/>
        </w:rPr>
      </w:pPr>
      <w:r>
        <w:rPr>
          <w:szCs w:val="21"/>
        </w:rPr>
        <w:t>b)评价外部供方的业绩；</w:t>
      </w:r>
    </w:p>
    <w:p>
      <w:pPr>
        <w:ind w:firstLine="560"/>
        <w:rPr>
          <w:szCs w:val="21"/>
        </w:rPr>
      </w:pPr>
      <w:r>
        <w:rPr>
          <w:szCs w:val="21"/>
        </w:rPr>
        <w:t>c)确定监视、测量（适用时)、分析和评价的方法，以确保结果可行；</w:t>
      </w:r>
    </w:p>
    <w:p>
      <w:pPr>
        <w:ind w:firstLine="560"/>
        <w:rPr>
          <w:szCs w:val="21"/>
        </w:rPr>
      </w:pPr>
      <w:r>
        <w:rPr>
          <w:szCs w:val="21"/>
        </w:rPr>
        <w:t>d)确定监测和测量的时机；</w:t>
      </w:r>
    </w:p>
    <w:p>
      <w:pPr>
        <w:ind w:firstLine="560"/>
        <w:rPr>
          <w:szCs w:val="21"/>
        </w:rPr>
      </w:pPr>
      <w:r>
        <w:rPr>
          <w:szCs w:val="21"/>
        </w:rPr>
        <w:t>e)确定对监测和测量结果进行分析和评价的时机；</w:t>
      </w:r>
    </w:p>
    <w:p>
      <w:pPr>
        <w:ind w:firstLine="560"/>
        <w:rPr>
          <w:szCs w:val="21"/>
        </w:rPr>
      </w:pPr>
      <w:r>
        <w:rPr>
          <w:szCs w:val="21"/>
        </w:rPr>
        <w:t>f)确定所需的质量/环境/安全管理体系绩效指标。</w:t>
      </w:r>
    </w:p>
    <w:p>
      <w:pPr>
        <w:ind w:firstLine="560"/>
        <w:rPr>
          <w:szCs w:val="21"/>
        </w:rPr>
      </w:pPr>
      <w:r>
        <w:rPr>
          <w:szCs w:val="21"/>
        </w:rPr>
        <w:t>公司要建立过程，以确保监视和测量活动与监视和测量的要求相一致的方式实施。</w:t>
      </w:r>
    </w:p>
    <w:p>
      <w:pPr>
        <w:ind w:firstLine="560"/>
        <w:rPr>
          <w:szCs w:val="21"/>
        </w:rPr>
      </w:pPr>
      <w:r>
        <w:rPr>
          <w:szCs w:val="21"/>
        </w:rPr>
        <w:t>公司要保持适当的文件信息，以提供“结果”的证据。</w:t>
      </w:r>
    </w:p>
    <w:p>
      <w:pPr>
        <w:ind w:firstLine="560"/>
        <w:rPr>
          <w:szCs w:val="21"/>
        </w:rPr>
      </w:pPr>
      <w:r>
        <w:rPr>
          <w:szCs w:val="21"/>
        </w:rPr>
        <w:t>公司要评价质量/环境/安全绩效和质量/环境/安全管理体系的有效性。</w:t>
      </w:r>
    </w:p>
    <w:p>
      <w:pPr>
        <w:ind w:firstLine="560"/>
        <w:rPr>
          <w:szCs w:val="21"/>
        </w:rPr>
      </w:pPr>
      <w:r>
        <w:rPr>
          <w:szCs w:val="21"/>
        </w:rPr>
        <w:t>9.1.2顾客满意（M3）</w:t>
      </w:r>
    </w:p>
    <w:p>
      <w:pPr>
        <w:ind w:left="525" w:leftChars="250" w:firstLine="33" w:firstLineChars="16"/>
        <w:rPr>
          <w:szCs w:val="21"/>
        </w:rPr>
      </w:pPr>
      <w:r>
        <w:rPr>
          <w:szCs w:val="21"/>
        </w:rPr>
        <w:t>公司建立《</w:t>
      </w:r>
      <w:r>
        <w:rPr>
          <w:rFonts w:hint="eastAsia"/>
          <w:lang w:eastAsia="zh-CN"/>
        </w:rPr>
        <w:t>顾客满意度监视测量程序</w:t>
      </w:r>
      <w:r>
        <w:rPr>
          <w:szCs w:val="21"/>
        </w:rPr>
        <w:t>》，监视顾客对其要求满足程度的数据及确定获取和利用这些数据的方法。</w:t>
      </w:r>
    </w:p>
    <w:p>
      <w:pPr>
        <w:ind w:firstLine="560"/>
        <w:rPr>
          <w:szCs w:val="21"/>
        </w:rPr>
      </w:pPr>
      <w:r>
        <w:rPr>
          <w:szCs w:val="21"/>
        </w:rPr>
        <w:t>这些数据可包括：顾客反馈；顾客对公司及其产品、产品和服务的意见和感受。</w:t>
      </w:r>
    </w:p>
    <w:p>
      <w:pPr>
        <w:ind w:firstLine="560"/>
        <w:rPr>
          <w:szCs w:val="21"/>
        </w:rPr>
      </w:pPr>
      <w:r>
        <w:rPr>
          <w:szCs w:val="21"/>
        </w:rPr>
        <w:t>公司要评价获取的数据，以确定增强顾客满意的机会。</w:t>
      </w:r>
    </w:p>
    <w:p>
      <w:pPr>
        <w:ind w:firstLine="560"/>
        <w:rPr>
          <w:szCs w:val="21"/>
        </w:rPr>
      </w:pPr>
      <w:r>
        <w:rPr>
          <w:szCs w:val="21"/>
        </w:rPr>
        <w:t>9.1.3分析与评价（M4）</w:t>
      </w:r>
    </w:p>
    <w:p>
      <w:pPr>
        <w:ind w:left="525" w:leftChars="250" w:firstLine="33" w:firstLineChars="16"/>
        <w:rPr>
          <w:szCs w:val="21"/>
        </w:rPr>
      </w:pPr>
      <w:r>
        <w:rPr>
          <w:szCs w:val="21"/>
        </w:rPr>
        <w:t>公司要分析、评价来自监视和测量（见 9.1.1 和 9.1.2)以及其他相关来源的适当数据。这应包括适用方法的确定。</w:t>
      </w:r>
    </w:p>
    <w:p>
      <w:pPr>
        <w:ind w:firstLine="560"/>
        <w:rPr>
          <w:szCs w:val="21"/>
        </w:rPr>
      </w:pPr>
      <w:r>
        <w:rPr>
          <w:szCs w:val="21"/>
        </w:rPr>
        <w:t>数据分析和评价的结果应用于：</w:t>
      </w:r>
    </w:p>
    <w:p>
      <w:pPr>
        <w:ind w:firstLine="560"/>
        <w:rPr>
          <w:szCs w:val="21"/>
        </w:rPr>
      </w:pPr>
      <w:r>
        <w:rPr>
          <w:szCs w:val="21"/>
        </w:rPr>
        <w:t>a)确定质量/环境/安全管理体系的适宜性、充分性、有效性以及质量/环境/安全管理体系的绩效状况；</w:t>
      </w:r>
    </w:p>
    <w:p>
      <w:pPr>
        <w:ind w:firstLine="560"/>
        <w:rPr>
          <w:szCs w:val="21"/>
        </w:rPr>
      </w:pPr>
      <w:r>
        <w:rPr>
          <w:szCs w:val="21"/>
        </w:rPr>
        <w:t>b)确保产品和服务能持续满足顾客要求；</w:t>
      </w:r>
    </w:p>
    <w:p>
      <w:pPr>
        <w:ind w:firstLine="560"/>
        <w:rPr>
          <w:szCs w:val="21"/>
        </w:rPr>
      </w:pPr>
      <w:r>
        <w:rPr>
          <w:szCs w:val="21"/>
        </w:rPr>
        <w:t>c) 策划是否有效实施，确保过程的有效运行和控制；</w:t>
      </w:r>
    </w:p>
    <w:p>
      <w:pPr>
        <w:ind w:firstLine="560"/>
        <w:rPr>
          <w:szCs w:val="21"/>
        </w:rPr>
      </w:pPr>
      <w:r>
        <w:rPr>
          <w:szCs w:val="21"/>
        </w:rPr>
        <w:t>d)识别质量/环境/安全管理体系的改进机会；</w:t>
      </w:r>
    </w:p>
    <w:p>
      <w:pPr>
        <w:ind w:firstLine="560"/>
        <w:rPr>
          <w:szCs w:val="21"/>
        </w:rPr>
      </w:pPr>
      <w:r>
        <w:rPr>
          <w:szCs w:val="21"/>
        </w:rPr>
        <w:t>e)外部供方的绩效；</w:t>
      </w:r>
    </w:p>
    <w:p>
      <w:pPr>
        <w:ind w:firstLine="560"/>
        <w:rPr>
          <w:szCs w:val="21"/>
        </w:rPr>
      </w:pPr>
      <w:r>
        <w:rPr>
          <w:szCs w:val="21"/>
        </w:rPr>
        <w:t>f)风险和机遇所采取措施的有效性</w:t>
      </w:r>
    </w:p>
    <w:p>
      <w:pPr>
        <w:ind w:firstLine="560"/>
        <w:rPr>
          <w:szCs w:val="21"/>
        </w:rPr>
      </w:pPr>
      <w:r>
        <w:rPr>
          <w:szCs w:val="21"/>
        </w:rPr>
        <w:t>g)顾客满意程度。</w:t>
      </w:r>
    </w:p>
    <w:p>
      <w:pPr>
        <w:ind w:firstLine="560"/>
        <w:rPr>
          <w:szCs w:val="21"/>
        </w:rPr>
      </w:pPr>
      <w:r>
        <w:rPr>
          <w:szCs w:val="21"/>
        </w:rPr>
        <w:t>数据分析和评价的结果应作为管理评审的输入。</w:t>
      </w:r>
    </w:p>
    <w:p>
      <w:pPr>
        <w:ind w:firstLine="525" w:firstLineChars="249"/>
        <w:rPr>
          <w:rFonts w:ascii="宋体"/>
          <w:szCs w:val="21"/>
        </w:rPr>
      </w:pPr>
      <w:r>
        <w:rPr>
          <w:rFonts w:hint="eastAsia" w:ascii="宋体"/>
          <w:b/>
          <w:bCs/>
          <w:szCs w:val="21"/>
        </w:rPr>
        <w:t>9.1.4环境、职业健康安全的监视和测量</w:t>
      </w:r>
    </w:p>
    <w:p>
      <w:pPr>
        <w:ind w:firstLine="525" w:firstLineChars="250"/>
        <w:rPr>
          <w:rFonts w:ascii="宋体"/>
          <w:szCs w:val="21"/>
        </w:rPr>
      </w:pPr>
      <w:r>
        <w:rPr>
          <w:rFonts w:hint="eastAsia" w:ascii="宋体"/>
          <w:szCs w:val="21"/>
        </w:rPr>
        <w:t>制订《</w:t>
      </w:r>
      <w:r>
        <w:rPr>
          <w:rFonts w:hint="eastAsia" w:ascii="宋体"/>
          <w:szCs w:val="21"/>
          <w:lang w:eastAsia="zh-CN"/>
        </w:rPr>
        <w:t>监视和测量设备控制程序</w:t>
      </w:r>
      <w:r>
        <w:rPr>
          <w:rFonts w:hint="eastAsia" w:ascii="宋体"/>
          <w:szCs w:val="21"/>
        </w:rPr>
        <w:t>》，</w:t>
      </w:r>
    </w:p>
    <w:p>
      <w:pPr>
        <w:ind w:firstLine="525" w:firstLineChars="250"/>
        <w:rPr>
          <w:rFonts w:ascii="宋体"/>
          <w:szCs w:val="21"/>
        </w:rPr>
      </w:pPr>
      <w:r>
        <w:rPr>
          <w:rFonts w:hint="eastAsia" w:ascii="宋体"/>
          <w:szCs w:val="21"/>
        </w:rPr>
        <w:t>环境绩效：组织应确定</w:t>
      </w:r>
    </w:p>
    <w:p>
      <w:pPr>
        <w:ind w:firstLine="525" w:firstLineChars="250"/>
        <w:rPr>
          <w:rFonts w:ascii="宋体"/>
          <w:szCs w:val="21"/>
        </w:rPr>
      </w:pPr>
      <w:r>
        <w:rPr>
          <w:rFonts w:hint="eastAsia" w:ascii="宋体"/>
          <w:szCs w:val="21"/>
        </w:rPr>
        <w:t>a) 什么需要被监视和测量，</w:t>
      </w:r>
    </w:p>
    <w:p>
      <w:pPr>
        <w:ind w:firstLine="525" w:firstLineChars="250"/>
        <w:rPr>
          <w:rFonts w:ascii="宋体"/>
          <w:szCs w:val="21"/>
        </w:rPr>
      </w:pPr>
      <w:r>
        <w:rPr>
          <w:rFonts w:hint="eastAsia" w:ascii="宋体"/>
          <w:szCs w:val="21"/>
        </w:rPr>
        <w:t>b) 监视、测量、分析和评的方法，适用时，确保有效结果</w:t>
      </w:r>
    </w:p>
    <w:p>
      <w:pPr>
        <w:ind w:firstLine="525" w:firstLineChars="250"/>
        <w:rPr>
          <w:rFonts w:ascii="宋体"/>
          <w:szCs w:val="21"/>
        </w:rPr>
      </w:pPr>
      <w:r>
        <w:rPr>
          <w:rFonts w:hint="eastAsia" w:ascii="宋体"/>
          <w:szCs w:val="21"/>
        </w:rPr>
        <w:t>c) 使用适宜的指标作为组织用来评估环境绩效的准则</w:t>
      </w:r>
    </w:p>
    <w:p>
      <w:pPr>
        <w:ind w:firstLine="525" w:firstLineChars="250"/>
        <w:rPr>
          <w:rFonts w:ascii="宋体"/>
          <w:szCs w:val="21"/>
        </w:rPr>
      </w:pPr>
      <w:r>
        <w:rPr>
          <w:rFonts w:hint="eastAsia" w:ascii="宋体"/>
          <w:szCs w:val="21"/>
        </w:rPr>
        <w:t>d) 什么时候监事和测量应被实施</w:t>
      </w:r>
    </w:p>
    <w:p>
      <w:pPr>
        <w:ind w:firstLine="525" w:firstLineChars="250"/>
        <w:rPr>
          <w:rFonts w:ascii="宋体"/>
          <w:szCs w:val="21"/>
        </w:rPr>
      </w:pPr>
      <w:r>
        <w:rPr>
          <w:rFonts w:hint="eastAsia" w:ascii="宋体"/>
          <w:szCs w:val="21"/>
        </w:rPr>
        <w:t>e) 什么时候监事和测量的结果应被分析和评估。</w:t>
      </w:r>
    </w:p>
    <w:p>
      <w:pPr>
        <w:ind w:firstLine="525" w:firstLineChars="250"/>
        <w:rPr>
          <w:rFonts w:ascii="宋体"/>
          <w:szCs w:val="21"/>
        </w:rPr>
      </w:pPr>
      <w:r>
        <w:rPr>
          <w:rFonts w:hint="eastAsia" w:ascii="宋体"/>
          <w:szCs w:val="21"/>
        </w:rPr>
        <w:t>适用时，组织应保证经过校验的或验证的监视和测量设备被使用和保持。</w:t>
      </w:r>
    </w:p>
    <w:p>
      <w:pPr>
        <w:ind w:firstLine="525" w:firstLineChars="250"/>
        <w:rPr>
          <w:rFonts w:ascii="宋体"/>
          <w:szCs w:val="21"/>
        </w:rPr>
      </w:pPr>
      <w:r>
        <w:rPr>
          <w:rFonts w:hint="eastAsia" w:ascii="宋体"/>
          <w:szCs w:val="21"/>
        </w:rPr>
        <w:t>组织应评估其环境绩效和环境管理体系的有效性。</w:t>
      </w:r>
    </w:p>
    <w:p>
      <w:pPr>
        <w:ind w:firstLine="525" w:firstLineChars="250"/>
        <w:rPr>
          <w:rFonts w:ascii="宋体"/>
          <w:szCs w:val="21"/>
        </w:rPr>
      </w:pPr>
      <w:r>
        <w:rPr>
          <w:rFonts w:hint="eastAsia" w:ascii="宋体"/>
          <w:szCs w:val="21"/>
        </w:rPr>
        <w:t>组织应按照沟通程序和合规性义务所确定的， 将与它的环境绩效相关的信息进行沟通，</w:t>
      </w:r>
    </w:p>
    <w:p>
      <w:pPr>
        <w:ind w:firstLine="525" w:firstLineChars="250"/>
        <w:rPr>
          <w:rFonts w:ascii="宋体"/>
          <w:szCs w:val="21"/>
        </w:rPr>
      </w:pPr>
      <w:r>
        <w:rPr>
          <w:rFonts w:hint="eastAsia" w:ascii="宋体"/>
          <w:szCs w:val="21"/>
        </w:rPr>
        <w:t>包括内部的和外部的。</w:t>
      </w:r>
    </w:p>
    <w:p>
      <w:pPr>
        <w:ind w:firstLine="525" w:firstLineChars="250"/>
        <w:rPr>
          <w:rFonts w:ascii="宋体"/>
          <w:szCs w:val="21"/>
        </w:rPr>
      </w:pPr>
      <w:r>
        <w:rPr>
          <w:rFonts w:hint="eastAsia" w:ascii="宋体"/>
          <w:szCs w:val="21"/>
        </w:rPr>
        <w:t>组织应保持适当地文件化的信息作为监视，测量，分析与评估结果的证据。</w:t>
      </w:r>
    </w:p>
    <w:p>
      <w:pPr>
        <w:ind w:firstLine="525" w:firstLineChars="250"/>
        <w:rPr>
          <w:rFonts w:ascii="宋体"/>
          <w:szCs w:val="21"/>
        </w:rPr>
      </w:pPr>
      <w:r>
        <w:rPr>
          <w:rFonts w:hint="eastAsia" w:ascii="宋体"/>
          <w:szCs w:val="21"/>
        </w:rPr>
        <w:t>安全绩效：</w:t>
      </w:r>
    </w:p>
    <w:p>
      <w:pPr>
        <w:ind w:firstLine="525" w:firstLineChars="250"/>
        <w:rPr>
          <w:rFonts w:ascii="宋体"/>
          <w:szCs w:val="21"/>
        </w:rPr>
      </w:pPr>
      <w:r>
        <w:rPr>
          <w:rFonts w:hint="eastAsia" w:ascii="宋体"/>
          <w:szCs w:val="21"/>
        </w:rPr>
        <w:t>应规定：</w:t>
      </w:r>
    </w:p>
    <w:p>
      <w:pPr>
        <w:ind w:firstLine="525" w:firstLineChars="250"/>
        <w:rPr>
          <w:rFonts w:ascii="宋体"/>
          <w:szCs w:val="21"/>
        </w:rPr>
      </w:pPr>
      <w:r>
        <w:rPr>
          <w:rFonts w:hint="eastAsia" w:ascii="宋体"/>
          <w:szCs w:val="21"/>
        </w:rPr>
        <w:t>——适用于组织需要的定性和定量测量；</w:t>
      </w:r>
    </w:p>
    <w:p>
      <w:pPr>
        <w:ind w:firstLine="525" w:firstLineChars="250"/>
        <w:rPr>
          <w:rFonts w:ascii="宋体"/>
          <w:szCs w:val="21"/>
        </w:rPr>
      </w:pPr>
      <w:r>
        <w:rPr>
          <w:rFonts w:hint="eastAsia" w:ascii="宋体"/>
          <w:szCs w:val="21"/>
        </w:rPr>
        <w:t>——对组织的职业健康安全目标的满足程度的监视；</w:t>
      </w:r>
    </w:p>
    <w:p>
      <w:pPr>
        <w:ind w:firstLine="525" w:firstLineChars="250"/>
        <w:rPr>
          <w:rFonts w:ascii="宋体"/>
          <w:szCs w:val="21"/>
        </w:rPr>
      </w:pPr>
      <w:r>
        <w:rPr>
          <w:rFonts w:hint="eastAsia" w:ascii="宋体"/>
          <w:szCs w:val="21"/>
        </w:rPr>
        <w:t>——监视控制的有效性（包括健康和安全）；</w:t>
      </w:r>
    </w:p>
    <w:p>
      <w:pPr>
        <w:ind w:firstLine="525" w:firstLineChars="250"/>
        <w:rPr>
          <w:rFonts w:ascii="宋体"/>
          <w:szCs w:val="21"/>
        </w:rPr>
      </w:pPr>
      <w:r>
        <w:rPr>
          <w:rFonts w:hint="eastAsia" w:ascii="宋体"/>
          <w:szCs w:val="21"/>
        </w:rPr>
        <w:t>——主动性的绩效测量，即监视是否符合职业健康安全管理方案、运行准则和适用的法规要求；</w:t>
      </w:r>
    </w:p>
    <w:p>
      <w:pPr>
        <w:ind w:firstLine="525" w:firstLineChars="250"/>
        <w:rPr>
          <w:rFonts w:ascii="宋体"/>
          <w:szCs w:val="21"/>
        </w:rPr>
      </w:pPr>
      <w:r>
        <w:rPr>
          <w:rFonts w:hint="eastAsia" w:ascii="宋体"/>
          <w:szCs w:val="21"/>
        </w:rPr>
        <w:t>——被动性的绩效测量，即监视事故、疾病、事件和其它不良职业健康安全绩效的历史证据；</w:t>
      </w:r>
    </w:p>
    <w:p>
      <w:pPr>
        <w:ind w:firstLine="525" w:firstLineChars="250"/>
        <w:rPr>
          <w:rFonts w:ascii="宋体"/>
          <w:szCs w:val="21"/>
        </w:rPr>
      </w:pPr>
      <w:r>
        <w:rPr>
          <w:rFonts w:hint="eastAsia" w:ascii="宋体"/>
          <w:szCs w:val="21"/>
        </w:rPr>
        <w:t>——记录充分的监视和测量的数据和结果，以便于后面的纠正和预防措施的分析。</w:t>
      </w:r>
    </w:p>
    <w:p>
      <w:pPr>
        <w:ind w:left="525" w:leftChars="250"/>
        <w:rPr>
          <w:rFonts w:ascii="宋体"/>
          <w:szCs w:val="21"/>
        </w:rPr>
      </w:pPr>
      <w:r>
        <w:rPr>
          <w:rFonts w:hint="eastAsia" w:ascii="宋体"/>
          <w:szCs w:val="21"/>
        </w:rPr>
        <w:t>如果绩效测量和监视需要设备，组织应建立并保持程序，对此类设备进行校准和维护，并保存校准和维护活动及其结果予的记录。</w:t>
      </w:r>
    </w:p>
    <w:p>
      <w:pPr>
        <w:ind w:firstLine="525" w:firstLineChars="250"/>
        <w:rPr>
          <w:szCs w:val="21"/>
        </w:rPr>
      </w:pPr>
      <w:r>
        <w:rPr>
          <w:szCs w:val="21"/>
        </w:rPr>
        <w:t>9.1.4合规性评价</w:t>
      </w:r>
    </w:p>
    <w:p>
      <w:pPr>
        <w:ind w:firstLine="525" w:firstLineChars="250"/>
        <w:rPr>
          <w:color w:val="000000"/>
          <w:kern w:val="0"/>
          <w:szCs w:val="21"/>
        </w:rPr>
      </w:pPr>
      <w:r>
        <w:rPr>
          <w:color w:val="000000"/>
          <w:kern w:val="0"/>
          <w:szCs w:val="21"/>
        </w:rPr>
        <w:t>公司应建立、实施并保持制《</w:t>
      </w:r>
      <w:r>
        <w:rPr>
          <w:rFonts w:hint="eastAsia"/>
          <w:color w:val="000000"/>
          <w:kern w:val="0"/>
          <w:szCs w:val="21"/>
          <w:lang w:eastAsia="zh-CN"/>
        </w:rPr>
        <w:t>合规性评价控制程序</w:t>
      </w:r>
      <w:r>
        <w:rPr>
          <w:color w:val="000000"/>
          <w:kern w:val="0"/>
          <w:szCs w:val="21"/>
        </w:rPr>
        <w:t>》评价其合规义务履行情况所需的过程。</w:t>
      </w:r>
    </w:p>
    <w:p>
      <w:pPr>
        <w:ind w:firstLine="525" w:firstLineChars="250"/>
        <w:rPr>
          <w:color w:val="000000"/>
          <w:kern w:val="0"/>
          <w:szCs w:val="21"/>
        </w:rPr>
      </w:pPr>
      <w:r>
        <w:rPr>
          <w:color w:val="000000"/>
          <w:kern w:val="0"/>
          <w:szCs w:val="21"/>
        </w:rPr>
        <w:t>公司应：</w:t>
      </w:r>
    </w:p>
    <w:p>
      <w:pPr>
        <w:ind w:firstLine="560"/>
        <w:rPr>
          <w:color w:val="000000"/>
          <w:kern w:val="0"/>
          <w:szCs w:val="21"/>
        </w:rPr>
      </w:pPr>
      <w:r>
        <w:rPr>
          <w:color w:val="000000"/>
          <w:kern w:val="0"/>
          <w:szCs w:val="21"/>
        </w:rPr>
        <w:t>a）确定实施合规性评价的频次；</w:t>
      </w:r>
    </w:p>
    <w:p>
      <w:pPr>
        <w:ind w:firstLine="560"/>
        <w:rPr>
          <w:color w:val="000000"/>
          <w:kern w:val="0"/>
          <w:szCs w:val="21"/>
        </w:rPr>
      </w:pPr>
      <w:r>
        <w:rPr>
          <w:color w:val="000000"/>
          <w:kern w:val="0"/>
          <w:szCs w:val="21"/>
        </w:rPr>
        <w:t>b）评价合规性，必要时采取措施；</w:t>
      </w:r>
    </w:p>
    <w:p>
      <w:pPr>
        <w:ind w:firstLine="560"/>
        <w:rPr>
          <w:color w:val="000000"/>
          <w:kern w:val="0"/>
          <w:szCs w:val="21"/>
        </w:rPr>
      </w:pPr>
      <w:r>
        <w:rPr>
          <w:color w:val="000000"/>
          <w:kern w:val="0"/>
          <w:szCs w:val="21"/>
        </w:rPr>
        <w:t>c）保持其合规情况的知识和对其合规情况的理解。</w:t>
      </w:r>
    </w:p>
    <w:p>
      <w:pPr>
        <w:ind w:left="525" w:leftChars="250" w:firstLine="33" w:firstLineChars="16"/>
        <w:rPr>
          <w:color w:val="000000"/>
          <w:kern w:val="0"/>
          <w:szCs w:val="21"/>
        </w:rPr>
      </w:pPr>
      <w:r>
        <w:rPr>
          <w:color w:val="000000"/>
          <w:kern w:val="0"/>
          <w:szCs w:val="21"/>
        </w:rPr>
        <w:t>公司</w:t>
      </w:r>
      <w:r>
        <w:rPr>
          <w:szCs w:val="21"/>
        </w:rPr>
        <w:t>对环境</w:t>
      </w:r>
      <w:r>
        <w:rPr>
          <w:rFonts w:hint="eastAsia"/>
          <w:szCs w:val="21"/>
        </w:rPr>
        <w:t>安全</w:t>
      </w:r>
      <w:r>
        <w:rPr>
          <w:szCs w:val="21"/>
        </w:rPr>
        <w:t>管理体系运行情况是否符合法律法规及其他要求进行评价，使公司的环境</w:t>
      </w:r>
      <w:r>
        <w:rPr>
          <w:rFonts w:hint="eastAsia"/>
          <w:szCs w:val="21"/>
        </w:rPr>
        <w:t>安全</w:t>
      </w:r>
      <w:r>
        <w:rPr>
          <w:szCs w:val="21"/>
        </w:rPr>
        <w:t>管理体系的运行不偏离法律法规及其他要求。</w:t>
      </w:r>
    </w:p>
    <w:p>
      <w:pPr>
        <w:ind w:firstLine="560"/>
        <w:rPr>
          <w:szCs w:val="21"/>
        </w:rPr>
      </w:pPr>
      <w:r>
        <w:rPr>
          <w:color w:val="000000"/>
          <w:kern w:val="0"/>
          <w:szCs w:val="21"/>
        </w:rPr>
        <w:t>公司应保留文件化信息，作为合规性评价结果的证据。</w:t>
      </w:r>
    </w:p>
    <w:p>
      <w:pPr>
        <w:ind w:firstLine="560"/>
        <w:rPr>
          <w:b/>
          <w:szCs w:val="21"/>
        </w:rPr>
      </w:pPr>
      <w:r>
        <w:rPr>
          <w:b/>
          <w:szCs w:val="21"/>
        </w:rPr>
        <w:t>9.2内部审核（M5）</w:t>
      </w:r>
    </w:p>
    <w:p>
      <w:pPr>
        <w:ind w:left="525" w:leftChars="250" w:firstLine="33" w:firstLineChars="16"/>
        <w:rPr>
          <w:szCs w:val="21"/>
        </w:rPr>
      </w:pPr>
      <w:r>
        <w:rPr>
          <w:szCs w:val="21"/>
        </w:rPr>
        <w:t>9.7.1公司建立《</w:t>
      </w:r>
      <w:r>
        <w:rPr>
          <w:rFonts w:hint="eastAsia"/>
          <w:lang w:eastAsia="zh-CN"/>
        </w:rPr>
        <w:t>内部审核控制程序</w:t>
      </w:r>
      <w:r>
        <w:rPr>
          <w:szCs w:val="21"/>
        </w:rPr>
        <w:t>》，按照计划的时间间隔进行内部审核，以确定质量/环境/安全管理是否：</w:t>
      </w:r>
    </w:p>
    <w:p>
      <w:pPr>
        <w:ind w:firstLine="560"/>
        <w:rPr>
          <w:szCs w:val="21"/>
        </w:rPr>
      </w:pPr>
      <w:r>
        <w:rPr>
          <w:szCs w:val="21"/>
        </w:rPr>
        <w:t>a)符合公司对质量/环境/安全管理体系的要求及ISO标准的要求。</w:t>
      </w:r>
    </w:p>
    <w:p>
      <w:pPr>
        <w:ind w:firstLine="560"/>
        <w:rPr>
          <w:szCs w:val="21"/>
        </w:rPr>
      </w:pPr>
      <w:r>
        <w:rPr>
          <w:szCs w:val="21"/>
        </w:rPr>
        <w:t>b) 得到有效的实施和保持</w:t>
      </w:r>
    </w:p>
    <w:p>
      <w:pPr>
        <w:ind w:firstLine="560"/>
        <w:rPr>
          <w:szCs w:val="21"/>
        </w:rPr>
      </w:pPr>
      <w:r>
        <w:rPr>
          <w:szCs w:val="21"/>
        </w:rPr>
        <w:t>9.2.2公司要：</w:t>
      </w:r>
    </w:p>
    <w:p>
      <w:pPr>
        <w:ind w:left="525" w:leftChars="250" w:firstLine="33" w:firstLineChars="16"/>
        <w:rPr>
          <w:szCs w:val="21"/>
        </w:rPr>
      </w:pPr>
      <w:r>
        <w:rPr>
          <w:szCs w:val="21"/>
        </w:rPr>
        <w:t>a)策划、建立、实施和保持一个或多个审核方案，包括审核的频次、方法、职责、策划审核的要求和报告审核结果。审核方案应考虑质量/环境/安全目标、相关过程的重要性、关联风险和以往审核的结果；</w:t>
      </w:r>
    </w:p>
    <w:p>
      <w:pPr>
        <w:ind w:firstLine="560"/>
        <w:rPr>
          <w:szCs w:val="21"/>
        </w:rPr>
      </w:pPr>
      <w:r>
        <w:rPr>
          <w:szCs w:val="21"/>
        </w:rPr>
        <w:t>b)确定每次审核的准则和范围；</w:t>
      </w:r>
    </w:p>
    <w:p>
      <w:pPr>
        <w:ind w:firstLine="560"/>
        <w:rPr>
          <w:szCs w:val="21"/>
        </w:rPr>
      </w:pPr>
      <w:r>
        <w:rPr>
          <w:szCs w:val="21"/>
        </w:rPr>
        <w:t>c)审核员的选择和审核的实施应确保审核过程的客观性和公正性；</w:t>
      </w:r>
    </w:p>
    <w:p>
      <w:pPr>
        <w:ind w:firstLine="560"/>
        <w:rPr>
          <w:szCs w:val="21"/>
        </w:rPr>
      </w:pPr>
      <w:r>
        <w:rPr>
          <w:szCs w:val="21"/>
        </w:rPr>
        <w:t>d)确保审核结果提交给管理者以供评审；</w:t>
      </w:r>
    </w:p>
    <w:p>
      <w:pPr>
        <w:ind w:firstLine="560"/>
        <w:rPr>
          <w:szCs w:val="21"/>
        </w:rPr>
      </w:pPr>
      <w:r>
        <w:rPr>
          <w:szCs w:val="21"/>
        </w:rPr>
        <w:t>e)及时采取适当的措施</w:t>
      </w:r>
    </w:p>
    <w:p>
      <w:pPr>
        <w:ind w:firstLine="560"/>
        <w:rPr>
          <w:szCs w:val="21"/>
        </w:rPr>
      </w:pPr>
      <w:r>
        <w:rPr>
          <w:szCs w:val="21"/>
        </w:rPr>
        <w:t>f)保持形成文件的信息，以提供审核方案实施和审核结果的证据。</w:t>
      </w:r>
    </w:p>
    <w:p>
      <w:pPr>
        <w:ind w:firstLine="560"/>
        <w:rPr>
          <w:b/>
          <w:szCs w:val="21"/>
        </w:rPr>
      </w:pPr>
      <w:r>
        <w:rPr>
          <w:b/>
          <w:szCs w:val="21"/>
        </w:rPr>
        <w:t>9.3管理评审（M6）</w:t>
      </w:r>
    </w:p>
    <w:p>
      <w:pPr>
        <w:ind w:firstLine="560"/>
        <w:rPr>
          <w:szCs w:val="21"/>
        </w:rPr>
      </w:pPr>
      <w:r>
        <w:rPr>
          <w:szCs w:val="21"/>
        </w:rPr>
        <w:t>9.3.1总则</w:t>
      </w:r>
    </w:p>
    <w:p>
      <w:pPr>
        <w:ind w:firstLine="560"/>
      </w:pPr>
      <w:r>
        <w:t>公司建立《</w:t>
      </w:r>
      <w:r>
        <w:rPr>
          <w:rFonts w:hint="eastAsia"/>
          <w:lang w:eastAsia="zh-CN"/>
        </w:rPr>
        <w:t>管理评审控制程序</w:t>
      </w:r>
      <w:r>
        <w:t>》，持续评价体系的符合性、适宜性及业绩。</w:t>
      </w:r>
    </w:p>
    <w:p>
      <w:pPr>
        <w:ind w:left="559" w:leftChars="266"/>
        <w:rPr>
          <w:szCs w:val="21"/>
        </w:rPr>
      </w:pPr>
      <w:r>
        <w:rPr>
          <w:szCs w:val="21"/>
        </w:rPr>
        <w:t>总经理应按策划的时间间隔评审质量/环境/安全管理体系，以确保其持续的适宜性、充分性和有效性。</w:t>
      </w:r>
    </w:p>
    <w:p>
      <w:pPr>
        <w:ind w:firstLine="560"/>
        <w:rPr>
          <w:szCs w:val="21"/>
        </w:rPr>
      </w:pPr>
      <w:r>
        <w:rPr>
          <w:szCs w:val="21"/>
        </w:rPr>
        <w:t>管理评审策划和实施时，应考虑变化的商业环境，并与公司的战略方向保持一致。</w:t>
      </w:r>
    </w:p>
    <w:p>
      <w:pPr>
        <w:ind w:firstLine="560"/>
        <w:rPr>
          <w:szCs w:val="21"/>
        </w:rPr>
      </w:pPr>
      <w:r>
        <w:rPr>
          <w:szCs w:val="21"/>
        </w:rPr>
        <w:t>9.3.2管理评审输入</w:t>
      </w:r>
    </w:p>
    <w:p>
      <w:pPr>
        <w:ind w:firstLine="560"/>
        <w:rPr>
          <w:szCs w:val="21"/>
        </w:rPr>
      </w:pPr>
      <w:r>
        <w:rPr>
          <w:szCs w:val="21"/>
        </w:rPr>
        <w:t>管理评审应考虑以下方面：</w:t>
      </w:r>
    </w:p>
    <w:p>
      <w:pPr>
        <w:ind w:firstLine="560"/>
        <w:rPr>
          <w:szCs w:val="21"/>
        </w:rPr>
      </w:pPr>
      <w:r>
        <w:rPr>
          <w:szCs w:val="21"/>
        </w:rPr>
        <w:t>a)以往管理评审的跟踪措施；</w:t>
      </w:r>
    </w:p>
    <w:p>
      <w:pPr>
        <w:ind w:firstLine="560"/>
        <w:rPr>
          <w:szCs w:val="21"/>
        </w:rPr>
      </w:pPr>
      <w:r>
        <w:rPr>
          <w:szCs w:val="21"/>
        </w:rPr>
        <w:t>b)与质量/环境/安全管理体系有关的外部或内部因素的变化；</w:t>
      </w:r>
    </w:p>
    <w:p>
      <w:pPr>
        <w:ind w:firstLine="560"/>
        <w:rPr>
          <w:szCs w:val="21"/>
        </w:rPr>
      </w:pPr>
      <w:r>
        <w:rPr>
          <w:szCs w:val="21"/>
        </w:rPr>
        <w:t>c)质量/环境/安全管理体系绩效和有效性的信息，包括以下方面的趋势和指标：</w:t>
      </w:r>
    </w:p>
    <w:p>
      <w:pPr>
        <w:ind w:firstLine="560"/>
        <w:rPr>
          <w:szCs w:val="21"/>
        </w:rPr>
      </w:pPr>
      <w:r>
        <w:rPr>
          <w:szCs w:val="21"/>
        </w:rPr>
        <w:t>1)不符合与纠正措施；</w:t>
      </w:r>
    </w:p>
    <w:p>
      <w:pPr>
        <w:ind w:firstLine="560"/>
        <w:rPr>
          <w:szCs w:val="21"/>
        </w:rPr>
      </w:pPr>
      <w:r>
        <w:rPr>
          <w:szCs w:val="21"/>
        </w:rPr>
        <w:t>2)监视和测量结果；</w:t>
      </w:r>
    </w:p>
    <w:p>
      <w:pPr>
        <w:ind w:firstLine="560"/>
        <w:rPr>
          <w:szCs w:val="21"/>
        </w:rPr>
      </w:pPr>
      <w:r>
        <w:rPr>
          <w:szCs w:val="21"/>
        </w:rPr>
        <w:t>3)审核结果；</w:t>
      </w:r>
    </w:p>
    <w:p>
      <w:pPr>
        <w:ind w:firstLine="560"/>
        <w:rPr>
          <w:szCs w:val="21"/>
        </w:rPr>
      </w:pPr>
      <w:r>
        <w:rPr>
          <w:szCs w:val="21"/>
        </w:rPr>
        <w:t>4)顾客满意和相关方的反馈；</w:t>
      </w:r>
    </w:p>
    <w:p>
      <w:pPr>
        <w:ind w:firstLine="560"/>
        <w:rPr>
          <w:szCs w:val="21"/>
        </w:rPr>
      </w:pPr>
      <w:r>
        <w:rPr>
          <w:szCs w:val="21"/>
        </w:rPr>
        <w:t>5)外部供方的绩效；</w:t>
      </w:r>
    </w:p>
    <w:p>
      <w:pPr>
        <w:ind w:firstLine="560"/>
        <w:rPr>
          <w:szCs w:val="21"/>
        </w:rPr>
      </w:pPr>
      <w:r>
        <w:rPr>
          <w:szCs w:val="21"/>
        </w:rPr>
        <w:t>6)过程绩效以及产品和服务的符合性；</w:t>
      </w:r>
    </w:p>
    <w:p>
      <w:pPr>
        <w:ind w:firstLine="560"/>
        <w:rPr>
          <w:szCs w:val="21"/>
        </w:rPr>
      </w:pPr>
      <w:r>
        <w:rPr>
          <w:szCs w:val="21"/>
        </w:rPr>
        <w:t>7)质量/环境/安全目标的实现的程度；</w:t>
      </w:r>
    </w:p>
    <w:p>
      <w:pPr>
        <w:ind w:firstLine="560"/>
        <w:rPr>
          <w:szCs w:val="21"/>
        </w:rPr>
      </w:pPr>
      <w:r>
        <w:rPr>
          <w:szCs w:val="21"/>
        </w:rPr>
        <w:t>d)持续改进的机会；</w:t>
      </w:r>
    </w:p>
    <w:p>
      <w:pPr>
        <w:ind w:firstLine="560"/>
        <w:rPr>
          <w:szCs w:val="21"/>
        </w:rPr>
      </w:pPr>
      <w:r>
        <w:rPr>
          <w:szCs w:val="21"/>
        </w:rPr>
        <w:t>e)资源的充分性；</w:t>
      </w:r>
    </w:p>
    <w:p>
      <w:pPr>
        <w:ind w:firstLine="560"/>
        <w:rPr>
          <w:szCs w:val="21"/>
        </w:rPr>
      </w:pPr>
      <w:r>
        <w:rPr>
          <w:szCs w:val="21"/>
        </w:rPr>
        <w:t>f)</w:t>
      </w:r>
      <w:r>
        <w:rPr>
          <w:rFonts w:hint="eastAsia"/>
          <w:szCs w:val="21"/>
        </w:rPr>
        <w:t>重要因素的运行情况；</w:t>
      </w:r>
    </w:p>
    <w:p>
      <w:pPr>
        <w:ind w:firstLine="560"/>
        <w:rPr>
          <w:szCs w:val="21"/>
        </w:rPr>
      </w:pPr>
      <w:r>
        <w:rPr>
          <w:rFonts w:hint="eastAsia"/>
          <w:szCs w:val="21"/>
        </w:rPr>
        <w:t>g)合规性义务的识别、评价以及履行情况；</w:t>
      </w:r>
    </w:p>
    <w:p>
      <w:pPr>
        <w:ind w:firstLine="560"/>
        <w:rPr>
          <w:szCs w:val="21"/>
        </w:rPr>
      </w:pPr>
      <w:r>
        <w:rPr>
          <w:rFonts w:hint="eastAsia"/>
          <w:szCs w:val="21"/>
        </w:rPr>
        <w:t>h)环境安全监测结果；</w:t>
      </w:r>
    </w:p>
    <w:p>
      <w:pPr>
        <w:ind w:firstLine="560"/>
        <w:rPr>
          <w:szCs w:val="21"/>
        </w:rPr>
      </w:pPr>
      <w:r>
        <w:rPr>
          <w:rFonts w:hint="eastAsia"/>
          <w:szCs w:val="21"/>
        </w:rPr>
        <w:t>i)</w:t>
      </w:r>
      <w:r>
        <w:rPr>
          <w:szCs w:val="21"/>
        </w:rPr>
        <w:t>应对风险和机遇所采取措施的有效性。</w:t>
      </w:r>
    </w:p>
    <w:p>
      <w:pPr>
        <w:ind w:firstLine="560"/>
        <w:rPr>
          <w:szCs w:val="21"/>
        </w:rPr>
      </w:pPr>
      <w:r>
        <w:rPr>
          <w:szCs w:val="21"/>
        </w:rPr>
        <w:t>9.3.3管理评审输出</w:t>
      </w:r>
    </w:p>
    <w:p>
      <w:pPr>
        <w:ind w:firstLine="560"/>
        <w:rPr>
          <w:szCs w:val="21"/>
        </w:rPr>
      </w:pPr>
      <w:r>
        <w:rPr>
          <w:szCs w:val="21"/>
        </w:rPr>
        <w:t>管理评审的输出应包括以下相关的决定：</w:t>
      </w:r>
    </w:p>
    <w:p>
      <w:pPr>
        <w:ind w:firstLine="560"/>
        <w:rPr>
          <w:szCs w:val="21"/>
        </w:rPr>
      </w:pPr>
      <w:r>
        <w:rPr>
          <w:szCs w:val="21"/>
        </w:rPr>
        <w:t>a)持续改进的机会；</w:t>
      </w:r>
    </w:p>
    <w:p>
      <w:pPr>
        <w:ind w:firstLine="560"/>
        <w:rPr>
          <w:szCs w:val="21"/>
        </w:rPr>
      </w:pPr>
      <w:r>
        <w:rPr>
          <w:szCs w:val="21"/>
        </w:rPr>
        <w:t>b)对质量/环境/安全管理体系变更的需求；</w:t>
      </w:r>
    </w:p>
    <w:p>
      <w:pPr>
        <w:ind w:firstLine="560"/>
        <w:rPr>
          <w:szCs w:val="21"/>
        </w:rPr>
      </w:pPr>
      <w:r>
        <w:rPr>
          <w:szCs w:val="21"/>
        </w:rPr>
        <w:t>c)资源需要。</w:t>
      </w:r>
    </w:p>
    <w:p>
      <w:pPr>
        <w:ind w:firstLine="560"/>
        <w:rPr>
          <w:szCs w:val="21"/>
        </w:rPr>
      </w:pPr>
      <w:r>
        <w:rPr>
          <w:szCs w:val="21"/>
        </w:rPr>
        <w:t>公司要保持形成文件的信息，以提供管理评审的结果及采取措施的证据。</w:t>
      </w:r>
    </w:p>
    <w:p>
      <w:pPr>
        <w:ind w:firstLine="560"/>
        <w:rPr>
          <w:b/>
          <w:szCs w:val="21"/>
        </w:rPr>
      </w:pPr>
      <w:r>
        <w:rPr>
          <w:b/>
          <w:szCs w:val="21"/>
        </w:rPr>
        <w:t>10改进</w:t>
      </w:r>
    </w:p>
    <w:p>
      <w:pPr>
        <w:ind w:firstLine="560"/>
        <w:rPr>
          <w:b/>
          <w:szCs w:val="21"/>
        </w:rPr>
      </w:pPr>
      <w:r>
        <w:rPr>
          <w:b/>
          <w:szCs w:val="21"/>
        </w:rPr>
        <w:t>10.1总则</w:t>
      </w:r>
    </w:p>
    <w:p>
      <w:pPr>
        <w:ind w:left="525" w:leftChars="250" w:firstLine="33" w:firstLineChars="16"/>
        <w:rPr>
          <w:szCs w:val="21"/>
        </w:rPr>
      </w:pPr>
      <w:r>
        <w:rPr>
          <w:szCs w:val="21"/>
        </w:rPr>
        <w:t>公司要确定并选择改进机会，采取必要措施，满足顾客要求和增强顾客满意。</w:t>
      </w:r>
      <w:r>
        <w:rPr>
          <w:rFonts w:hint="eastAsia"/>
          <w:szCs w:val="21"/>
        </w:rPr>
        <w:t>实现预期的环境与安全体系绩效。</w:t>
      </w:r>
      <w:r>
        <w:rPr>
          <w:szCs w:val="21"/>
        </w:rPr>
        <w:t>并建立《</w:t>
      </w:r>
      <w:r>
        <w:rPr>
          <w:rFonts w:hint="eastAsia"/>
          <w:lang w:eastAsia="zh-CN"/>
        </w:rPr>
        <w:t>纠正与预防措施控制程序</w:t>
      </w:r>
      <w:r>
        <w:rPr>
          <w:szCs w:val="21"/>
        </w:rPr>
        <w:t>》进行控制。</w:t>
      </w:r>
      <w:r>
        <w:rPr>
          <w:rFonts w:hint="eastAsia"/>
          <w:szCs w:val="21"/>
        </w:rPr>
        <w:t>,</w:t>
      </w:r>
    </w:p>
    <w:p>
      <w:pPr>
        <w:ind w:firstLine="560"/>
        <w:rPr>
          <w:szCs w:val="21"/>
        </w:rPr>
      </w:pPr>
      <w:r>
        <w:rPr>
          <w:szCs w:val="21"/>
        </w:rPr>
        <w:t>这应包括：</w:t>
      </w:r>
    </w:p>
    <w:p>
      <w:pPr>
        <w:ind w:firstLine="560"/>
        <w:rPr>
          <w:szCs w:val="21"/>
        </w:rPr>
      </w:pPr>
      <w:r>
        <w:rPr>
          <w:szCs w:val="21"/>
        </w:rPr>
        <w:t>a改进产品和服务以满足要求并关注未来的需求和期望；</w:t>
      </w:r>
    </w:p>
    <w:p>
      <w:pPr>
        <w:ind w:firstLine="560"/>
        <w:rPr>
          <w:szCs w:val="21"/>
        </w:rPr>
      </w:pPr>
      <w:r>
        <w:rPr>
          <w:szCs w:val="21"/>
        </w:rPr>
        <w:t>b纠正、预防或减少不利影响；</w:t>
      </w:r>
    </w:p>
    <w:p>
      <w:pPr>
        <w:ind w:firstLine="560"/>
        <w:rPr>
          <w:szCs w:val="21"/>
        </w:rPr>
      </w:pPr>
      <w:r>
        <w:rPr>
          <w:szCs w:val="21"/>
        </w:rPr>
        <w:t>c改进质量/环境/安全管理体系的绩效和有效性。</w:t>
      </w:r>
    </w:p>
    <w:p>
      <w:pPr>
        <w:ind w:firstLine="560"/>
        <w:rPr>
          <w:szCs w:val="21"/>
        </w:rPr>
      </w:pPr>
      <w:r>
        <w:rPr>
          <w:rFonts w:hint="eastAsia"/>
          <w:szCs w:val="21"/>
        </w:rPr>
        <w:t>e识别纠正措施的需求；</w:t>
      </w:r>
    </w:p>
    <w:p>
      <w:pPr>
        <w:ind w:firstLine="560"/>
        <w:rPr>
          <w:szCs w:val="21"/>
        </w:rPr>
      </w:pPr>
      <w:r>
        <w:rPr>
          <w:rFonts w:hint="eastAsia"/>
          <w:szCs w:val="21"/>
        </w:rPr>
        <w:t>g识别持续改进的机会；。</w:t>
      </w:r>
    </w:p>
    <w:p>
      <w:pPr>
        <w:ind w:left="769" w:leftChars="266" w:hanging="210" w:hangingChars="100"/>
        <w:rPr>
          <w:szCs w:val="21"/>
        </w:rPr>
      </w:pPr>
      <w:r>
        <w:rPr>
          <w:rFonts w:hint="eastAsia"/>
          <w:szCs w:val="21"/>
        </w:rPr>
        <w:t>d确定会导致或对事件的出现起作用的职业健康安全系和环境体体潜在的不足和其他因素并对其进行沟通；</w:t>
      </w:r>
    </w:p>
    <w:p>
      <w:pPr>
        <w:ind w:firstLine="560"/>
        <w:rPr>
          <w:szCs w:val="21"/>
        </w:rPr>
      </w:pPr>
      <w:r>
        <w:rPr>
          <w:szCs w:val="21"/>
        </w:rPr>
        <w:t>注：改进的例子可包括纠正、纠正措施、持续改进、突变、创新和重组。</w:t>
      </w:r>
    </w:p>
    <w:p>
      <w:pPr>
        <w:ind w:firstLine="560"/>
        <w:rPr>
          <w:b/>
          <w:szCs w:val="21"/>
        </w:rPr>
      </w:pPr>
      <w:r>
        <w:rPr>
          <w:b/>
          <w:szCs w:val="21"/>
        </w:rPr>
        <w:t>10.2不符合和纠正措施（M7）</w:t>
      </w:r>
    </w:p>
    <w:p>
      <w:pPr>
        <w:ind w:firstLine="560"/>
        <w:rPr>
          <w:szCs w:val="21"/>
        </w:rPr>
      </w:pPr>
      <w:r>
        <w:rPr>
          <w:szCs w:val="21"/>
        </w:rPr>
        <w:t>10.7.1发生不符合时，公司要：</w:t>
      </w:r>
    </w:p>
    <w:p>
      <w:pPr>
        <w:ind w:firstLine="560"/>
        <w:rPr>
          <w:szCs w:val="21"/>
        </w:rPr>
      </w:pPr>
      <w:r>
        <w:rPr>
          <w:szCs w:val="21"/>
        </w:rPr>
        <w:t>a)作出响应，适当时：</w:t>
      </w:r>
    </w:p>
    <w:p>
      <w:pPr>
        <w:ind w:firstLine="560"/>
        <w:rPr>
          <w:szCs w:val="21"/>
        </w:rPr>
      </w:pPr>
      <w:r>
        <w:rPr>
          <w:szCs w:val="21"/>
        </w:rPr>
        <w:t>1)采取措施控制和纠正不符合</w:t>
      </w:r>
    </w:p>
    <w:p>
      <w:pPr>
        <w:ind w:firstLine="560"/>
        <w:rPr>
          <w:szCs w:val="21"/>
        </w:rPr>
      </w:pPr>
      <w:r>
        <w:rPr>
          <w:szCs w:val="21"/>
        </w:rPr>
        <w:t>2)处理不符合造成的后果</w:t>
      </w:r>
    </w:p>
    <w:p>
      <w:pPr>
        <w:ind w:firstLine="560"/>
        <w:rPr>
          <w:szCs w:val="21"/>
        </w:rPr>
      </w:pPr>
      <w:r>
        <w:rPr>
          <w:szCs w:val="21"/>
        </w:rPr>
        <w:t>b)评价消除不符合原因的措施的需求，通过采取以下措施防止不符合再次发生或在其他区域发生：</w:t>
      </w:r>
    </w:p>
    <w:p>
      <w:pPr>
        <w:ind w:firstLine="560"/>
        <w:rPr>
          <w:szCs w:val="21"/>
        </w:rPr>
      </w:pPr>
      <w:r>
        <w:rPr>
          <w:szCs w:val="21"/>
        </w:rPr>
        <w:t>1)评审不符合；</w:t>
      </w:r>
    </w:p>
    <w:p>
      <w:pPr>
        <w:ind w:firstLine="560"/>
        <w:rPr>
          <w:szCs w:val="21"/>
        </w:rPr>
      </w:pPr>
      <w:r>
        <w:rPr>
          <w:szCs w:val="21"/>
        </w:rPr>
        <w:t>2)确定不符合的原因；</w:t>
      </w:r>
    </w:p>
    <w:p>
      <w:pPr>
        <w:ind w:firstLine="560"/>
        <w:rPr>
          <w:szCs w:val="21"/>
        </w:rPr>
      </w:pPr>
      <w:r>
        <w:rPr>
          <w:szCs w:val="21"/>
        </w:rPr>
        <w:t>3)确定类似不符合是否存在，或可能潜在发生；</w:t>
      </w:r>
    </w:p>
    <w:p>
      <w:pPr>
        <w:ind w:firstLine="560"/>
        <w:rPr>
          <w:szCs w:val="21"/>
        </w:rPr>
      </w:pPr>
      <w:r>
        <w:rPr>
          <w:szCs w:val="21"/>
        </w:rPr>
        <w:t>c)实施所需的措施；</w:t>
      </w:r>
    </w:p>
    <w:p>
      <w:pPr>
        <w:ind w:firstLine="560"/>
        <w:rPr>
          <w:szCs w:val="21"/>
        </w:rPr>
      </w:pPr>
      <w:r>
        <w:rPr>
          <w:szCs w:val="21"/>
        </w:rPr>
        <w:t>d)评审所采取纠正措施的有效性；</w:t>
      </w:r>
    </w:p>
    <w:p>
      <w:pPr>
        <w:ind w:firstLine="560"/>
        <w:rPr>
          <w:szCs w:val="21"/>
        </w:rPr>
      </w:pPr>
      <w:r>
        <w:rPr>
          <w:szCs w:val="21"/>
        </w:rPr>
        <w:t>e)对质量/环境/安全管理体系进行必要的修改；</w:t>
      </w:r>
    </w:p>
    <w:p>
      <w:pPr>
        <w:ind w:firstLine="560"/>
        <w:rPr>
          <w:szCs w:val="21"/>
        </w:rPr>
      </w:pPr>
      <w:r>
        <w:rPr>
          <w:szCs w:val="21"/>
        </w:rPr>
        <w:t>f)需要时，更新策划期间确定的风险和机遇。</w:t>
      </w:r>
    </w:p>
    <w:p>
      <w:pPr>
        <w:ind w:firstLine="560"/>
        <w:rPr>
          <w:szCs w:val="21"/>
        </w:rPr>
      </w:pPr>
      <w:r>
        <w:rPr>
          <w:szCs w:val="21"/>
        </w:rPr>
        <w:t>纠正措施应与所遇到的不符合的影响程度相适应。</w:t>
      </w:r>
    </w:p>
    <w:p>
      <w:pPr>
        <w:ind w:firstLine="560"/>
        <w:rPr>
          <w:szCs w:val="21"/>
        </w:rPr>
      </w:pPr>
      <w:r>
        <w:rPr>
          <w:szCs w:val="21"/>
        </w:rPr>
        <w:t>10.2.2公司要将以下信息形成文件：</w:t>
      </w:r>
    </w:p>
    <w:p>
      <w:pPr>
        <w:ind w:firstLine="560"/>
        <w:rPr>
          <w:szCs w:val="21"/>
        </w:rPr>
      </w:pPr>
      <w:r>
        <w:rPr>
          <w:szCs w:val="21"/>
        </w:rPr>
        <w:t>a)不符合的性质及随后采取的措施</w:t>
      </w:r>
    </w:p>
    <w:p>
      <w:pPr>
        <w:ind w:firstLine="560"/>
        <w:rPr>
          <w:szCs w:val="21"/>
        </w:rPr>
      </w:pPr>
      <w:r>
        <w:rPr>
          <w:szCs w:val="21"/>
        </w:rPr>
        <w:t>b)纠正措施的结果</w:t>
      </w:r>
    </w:p>
    <w:p>
      <w:pPr>
        <w:ind w:firstLine="560"/>
        <w:rPr>
          <w:b/>
          <w:szCs w:val="21"/>
        </w:rPr>
      </w:pPr>
      <w:r>
        <w:rPr>
          <w:b/>
          <w:szCs w:val="21"/>
        </w:rPr>
        <w:t>10.3持续改进（M8）</w:t>
      </w:r>
    </w:p>
    <w:p>
      <w:pPr>
        <w:ind w:firstLine="560"/>
        <w:rPr>
          <w:szCs w:val="21"/>
        </w:rPr>
      </w:pPr>
      <w:r>
        <w:rPr>
          <w:szCs w:val="21"/>
        </w:rPr>
        <w:t>公司要持续改进质量/环境/安全管理体系的适宜性、充分性和有效性。</w:t>
      </w:r>
    </w:p>
    <w:p>
      <w:pPr>
        <w:ind w:left="525" w:leftChars="250" w:firstLine="33" w:firstLineChars="16"/>
        <w:rPr>
          <w:szCs w:val="21"/>
        </w:rPr>
      </w:pPr>
      <w:r>
        <w:rPr>
          <w:szCs w:val="21"/>
        </w:rPr>
        <w:t>公司要考虑管理评审的分析、评价结果，以及管理评审的输出，确定是否存在持续改进的需求或机会。</w:t>
      </w:r>
    </w:p>
    <w:p>
      <w:pPr>
        <w:ind w:firstLine="560"/>
        <w:rPr>
          <w:szCs w:val="21"/>
        </w:rPr>
      </w:pPr>
      <w:r>
        <w:rPr>
          <w:szCs w:val="21"/>
        </w:rPr>
        <w:t>适当时，公司要通过以下方面改进其质量/环境/安全管理体系、过程、产品</w:t>
      </w:r>
      <w:r>
        <w:rPr>
          <w:rFonts w:hint="eastAsia"/>
          <w:szCs w:val="21"/>
        </w:rPr>
        <w:t>、</w:t>
      </w:r>
      <w:r>
        <w:rPr>
          <w:szCs w:val="21"/>
        </w:rPr>
        <w:t>服务</w:t>
      </w:r>
      <w:r>
        <w:rPr>
          <w:rFonts w:hint="eastAsia"/>
          <w:szCs w:val="21"/>
        </w:rPr>
        <w:t>以及环境绩效</w:t>
      </w:r>
      <w:r>
        <w:rPr>
          <w:szCs w:val="21"/>
        </w:rPr>
        <w:t>：</w:t>
      </w:r>
    </w:p>
    <w:p>
      <w:pPr>
        <w:ind w:firstLine="560"/>
        <w:rPr>
          <w:szCs w:val="21"/>
        </w:rPr>
      </w:pPr>
      <w:r>
        <w:rPr>
          <w:szCs w:val="21"/>
        </w:rPr>
        <w:t>a)数据分析的结果；</w:t>
      </w:r>
    </w:p>
    <w:p>
      <w:pPr>
        <w:ind w:firstLine="560"/>
        <w:rPr>
          <w:szCs w:val="21"/>
        </w:rPr>
      </w:pPr>
      <w:r>
        <w:rPr>
          <w:szCs w:val="21"/>
        </w:rPr>
        <w:t>b)公司的改变；</w:t>
      </w:r>
    </w:p>
    <w:p>
      <w:pPr>
        <w:ind w:firstLine="560"/>
        <w:rPr>
          <w:szCs w:val="21"/>
        </w:rPr>
      </w:pPr>
      <w:r>
        <w:rPr>
          <w:szCs w:val="21"/>
        </w:rPr>
        <w:t>c)识别的风险的变更；</w:t>
      </w:r>
    </w:p>
    <w:p>
      <w:pPr>
        <w:ind w:firstLine="560"/>
        <w:rPr>
          <w:szCs w:val="21"/>
        </w:rPr>
      </w:pPr>
      <w:r>
        <w:rPr>
          <w:szCs w:val="21"/>
        </w:rPr>
        <w:t>d)新的机遇；</w:t>
      </w:r>
    </w:p>
    <w:p>
      <w:pPr>
        <w:ind w:firstLine="560"/>
        <w:rPr>
          <w:szCs w:val="21"/>
        </w:rPr>
      </w:pPr>
      <w:r>
        <w:rPr>
          <w:szCs w:val="21"/>
        </w:rPr>
        <w:t>公司要评价、确定优先次序及决定需实施的改进。</w:t>
      </w:r>
    </w:p>
    <w:p>
      <w:pPr>
        <w:ind w:firstLine="525" w:firstLineChars="250"/>
        <w:rPr>
          <w:rFonts w:hint="eastAsia"/>
          <w:color w:val="FF0000"/>
          <w:szCs w:val="21"/>
        </w:rPr>
      </w:pPr>
    </w:p>
    <w:p>
      <w:pPr>
        <w:rPr>
          <w:color w:val="FF0000"/>
          <w:szCs w:val="21"/>
        </w:rPr>
      </w:pPr>
      <w:r>
        <w:rPr>
          <w:color w:val="FF0000"/>
          <w:szCs w:val="21"/>
        </w:rPr>
        <w:br w:type="page"/>
      </w:r>
    </w:p>
    <w:p>
      <w:pPr>
        <w:ind w:firstLine="525" w:firstLineChars="250"/>
        <w:rPr>
          <w:color w:val="FF0000"/>
          <w:szCs w:val="21"/>
        </w:rPr>
      </w:pPr>
      <w:r>
        <w:rPr>
          <w:color w:val="FF0000"/>
          <w:szCs w:val="21"/>
        </w:rPr>
        <w:t>附录A：公司架构图</w:t>
      </w:r>
    </w:p>
    <w:p>
      <w:pPr>
        <w:ind w:firstLine="560"/>
        <w:rPr>
          <w:rFonts w:ascii="宋体" w:hAnsi="宋体"/>
          <w:szCs w:val="21"/>
        </w:rPr>
      </w:pPr>
      <w:r>
        <w:rPr>
          <w:rFonts w:ascii="宋体" w:hAnsi="宋体"/>
          <w:szCs w:val="21"/>
        </w:rPr>
        <w:drawing>
          <wp:inline distT="0" distB="0" distL="0" distR="0">
            <wp:extent cx="5486400" cy="3200400"/>
            <wp:effectExtent l="0" t="0" r="0" b="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color w:val="FF0000"/>
          <w:szCs w:val="21"/>
        </w:rPr>
      </w:pPr>
      <w:r>
        <w:rPr>
          <w:rFonts w:hint="eastAsia"/>
          <w:color w:val="FF0000"/>
          <w:szCs w:val="21"/>
        </w:rPr>
        <w:t>附录B</w:t>
      </w:r>
      <w:r>
        <w:rPr>
          <w:szCs w:val="21"/>
        </w:rPr>
        <w:t>主要过程识别</w:t>
      </w:r>
    </w:p>
    <w:tbl>
      <w:tblPr>
        <w:tblStyle w:val="21"/>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2597"/>
        <w:gridCol w:w="656"/>
        <w:gridCol w:w="2505"/>
        <w:gridCol w:w="699"/>
        <w:gridCol w:w="2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gridSpan w:val="2"/>
            <w:tcBorders>
              <w:top w:val="single" w:color="auto" w:sz="12" w:space="0"/>
              <w:left w:val="single" w:color="auto" w:sz="12" w:space="0"/>
              <w:bottom w:val="single" w:color="auto" w:sz="4" w:space="0"/>
              <w:right w:val="single" w:color="auto" w:sz="12" w:space="0"/>
            </w:tcBorders>
            <w:shd w:val="clear" w:color="auto" w:fill="auto"/>
            <w:vAlign w:val="center"/>
          </w:tcPr>
          <w:p>
            <w:pPr>
              <w:jc w:val="center"/>
              <w:rPr>
                <w:sz w:val="18"/>
                <w:szCs w:val="18"/>
              </w:rPr>
            </w:pPr>
            <w:r>
              <w:rPr>
                <w:sz w:val="18"/>
                <w:szCs w:val="18"/>
              </w:rPr>
              <w:t>顾客导向过程</w:t>
            </w:r>
          </w:p>
        </w:tc>
        <w:tc>
          <w:tcPr>
            <w:tcW w:w="3161" w:type="dxa"/>
            <w:gridSpan w:val="2"/>
            <w:tcBorders>
              <w:top w:val="single" w:color="auto" w:sz="12" w:space="0"/>
              <w:left w:val="single" w:color="auto" w:sz="12" w:space="0"/>
              <w:bottom w:val="single" w:color="auto" w:sz="4" w:space="0"/>
              <w:right w:val="single" w:color="auto" w:sz="12" w:space="0"/>
            </w:tcBorders>
            <w:shd w:val="clear" w:color="auto" w:fill="auto"/>
            <w:vAlign w:val="center"/>
          </w:tcPr>
          <w:p>
            <w:pPr>
              <w:jc w:val="center"/>
              <w:rPr>
                <w:sz w:val="18"/>
                <w:szCs w:val="18"/>
              </w:rPr>
            </w:pPr>
            <w:r>
              <w:rPr>
                <w:sz w:val="18"/>
                <w:szCs w:val="18"/>
              </w:rPr>
              <w:t>支持过程</w:t>
            </w:r>
          </w:p>
        </w:tc>
        <w:tc>
          <w:tcPr>
            <w:tcW w:w="3296" w:type="dxa"/>
            <w:gridSpan w:val="2"/>
            <w:tcBorders>
              <w:top w:val="single" w:color="auto" w:sz="12" w:space="0"/>
              <w:left w:val="single" w:color="auto" w:sz="12" w:space="0"/>
              <w:bottom w:val="single" w:color="auto" w:sz="4" w:space="0"/>
              <w:right w:val="single" w:color="auto" w:sz="12" w:space="0"/>
            </w:tcBorders>
            <w:shd w:val="clear" w:color="auto" w:fill="auto"/>
            <w:vAlign w:val="center"/>
          </w:tcPr>
          <w:p>
            <w:pPr>
              <w:jc w:val="center"/>
              <w:rPr>
                <w:sz w:val="18"/>
                <w:szCs w:val="18"/>
              </w:rPr>
            </w:pPr>
            <w:r>
              <w:rPr>
                <w:sz w:val="18"/>
                <w:szCs w:val="18"/>
              </w:rPr>
              <w:t>管理过程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9" w:type="dxa"/>
            <w:tcBorders>
              <w:left w:val="single" w:color="auto" w:sz="12" w:space="0"/>
              <w:bottom w:val="single" w:color="auto" w:sz="12" w:space="0"/>
            </w:tcBorders>
            <w:shd w:val="clear" w:color="auto" w:fill="auto"/>
            <w:vAlign w:val="center"/>
          </w:tcPr>
          <w:p>
            <w:pPr>
              <w:jc w:val="center"/>
              <w:rPr>
                <w:sz w:val="18"/>
                <w:szCs w:val="18"/>
              </w:rPr>
            </w:pPr>
            <w:r>
              <w:rPr>
                <w:sz w:val="18"/>
                <w:szCs w:val="18"/>
              </w:rPr>
              <w:t>过程编号</w:t>
            </w:r>
          </w:p>
        </w:tc>
        <w:tc>
          <w:tcPr>
            <w:tcW w:w="2597" w:type="dxa"/>
            <w:tcBorders>
              <w:bottom w:val="single" w:color="auto" w:sz="12" w:space="0"/>
              <w:right w:val="single" w:color="auto" w:sz="12" w:space="0"/>
            </w:tcBorders>
            <w:shd w:val="clear" w:color="auto" w:fill="auto"/>
            <w:vAlign w:val="center"/>
          </w:tcPr>
          <w:p>
            <w:pPr>
              <w:jc w:val="center"/>
              <w:rPr>
                <w:sz w:val="18"/>
                <w:szCs w:val="18"/>
              </w:rPr>
            </w:pPr>
            <w:r>
              <w:rPr>
                <w:sz w:val="18"/>
                <w:szCs w:val="18"/>
              </w:rPr>
              <w:t>过程名称</w:t>
            </w:r>
          </w:p>
        </w:tc>
        <w:tc>
          <w:tcPr>
            <w:tcW w:w="656" w:type="dxa"/>
            <w:tcBorders>
              <w:left w:val="single" w:color="auto" w:sz="12" w:space="0"/>
              <w:bottom w:val="single" w:color="auto" w:sz="12" w:space="0"/>
            </w:tcBorders>
            <w:shd w:val="clear" w:color="auto" w:fill="auto"/>
            <w:vAlign w:val="center"/>
          </w:tcPr>
          <w:p>
            <w:pPr>
              <w:jc w:val="center"/>
              <w:rPr>
                <w:sz w:val="18"/>
                <w:szCs w:val="18"/>
              </w:rPr>
            </w:pPr>
            <w:r>
              <w:rPr>
                <w:sz w:val="18"/>
                <w:szCs w:val="18"/>
              </w:rPr>
              <w:t>过程编号</w:t>
            </w:r>
          </w:p>
        </w:tc>
        <w:tc>
          <w:tcPr>
            <w:tcW w:w="2505" w:type="dxa"/>
            <w:tcBorders>
              <w:bottom w:val="single" w:color="auto" w:sz="12" w:space="0"/>
              <w:right w:val="single" w:color="auto" w:sz="12" w:space="0"/>
            </w:tcBorders>
            <w:shd w:val="clear" w:color="auto" w:fill="auto"/>
            <w:vAlign w:val="center"/>
          </w:tcPr>
          <w:p>
            <w:pPr>
              <w:jc w:val="center"/>
              <w:rPr>
                <w:sz w:val="18"/>
                <w:szCs w:val="18"/>
              </w:rPr>
            </w:pPr>
            <w:r>
              <w:rPr>
                <w:sz w:val="18"/>
                <w:szCs w:val="18"/>
              </w:rPr>
              <w:t>过程名称</w:t>
            </w:r>
          </w:p>
        </w:tc>
        <w:tc>
          <w:tcPr>
            <w:tcW w:w="699" w:type="dxa"/>
            <w:tcBorders>
              <w:left w:val="single" w:color="auto" w:sz="12" w:space="0"/>
              <w:bottom w:val="single" w:color="auto" w:sz="12" w:space="0"/>
            </w:tcBorders>
            <w:shd w:val="clear" w:color="auto" w:fill="auto"/>
            <w:vAlign w:val="center"/>
          </w:tcPr>
          <w:p>
            <w:pPr>
              <w:jc w:val="center"/>
              <w:rPr>
                <w:sz w:val="18"/>
                <w:szCs w:val="18"/>
              </w:rPr>
            </w:pPr>
            <w:r>
              <w:rPr>
                <w:sz w:val="18"/>
                <w:szCs w:val="18"/>
              </w:rPr>
              <w:t>过程编号</w:t>
            </w:r>
          </w:p>
        </w:tc>
        <w:tc>
          <w:tcPr>
            <w:tcW w:w="2597" w:type="dxa"/>
            <w:tcBorders>
              <w:bottom w:val="single" w:color="auto" w:sz="12" w:space="0"/>
              <w:right w:val="single" w:color="auto" w:sz="12" w:space="0"/>
            </w:tcBorders>
            <w:shd w:val="clear" w:color="auto" w:fill="auto"/>
            <w:vAlign w:val="center"/>
          </w:tcPr>
          <w:p>
            <w:pPr>
              <w:jc w:val="center"/>
              <w:rPr>
                <w:sz w:val="18"/>
                <w:szCs w:val="18"/>
              </w:rPr>
            </w:pPr>
            <w:r>
              <w:rPr>
                <w:sz w:val="18"/>
                <w:szCs w:val="18"/>
              </w:rPr>
              <w:t>过程名称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9" w:type="dxa"/>
            <w:tcBorders>
              <w:top w:val="single" w:color="auto" w:sz="12" w:space="0"/>
              <w:left w:val="single" w:color="auto" w:sz="12" w:space="0"/>
            </w:tcBorders>
            <w:shd w:val="clear" w:color="auto" w:fill="auto"/>
            <w:vAlign w:val="center"/>
          </w:tcPr>
          <w:p>
            <w:pPr>
              <w:rPr>
                <w:sz w:val="18"/>
                <w:szCs w:val="18"/>
              </w:rPr>
            </w:pPr>
            <w:r>
              <w:rPr>
                <w:sz w:val="18"/>
                <w:szCs w:val="18"/>
              </w:rPr>
              <w:t>C1</w:t>
            </w:r>
          </w:p>
        </w:tc>
        <w:tc>
          <w:tcPr>
            <w:tcW w:w="2597" w:type="dxa"/>
            <w:tcBorders>
              <w:top w:val="single" w:color="auto" w:sz="12" w:space="0"/>
              <w:right w:val="single" w:color="auto" w:sz="12" w:space="0"/>
            </w:tcBorders>
            <w:shd w:val="clear" w:color="auto" w:fill="auto"/>
            <w:vAlign w:val="center"/>
          </w:tcPr>
          <w:p>
            <w:pPr>
              <w:jc w:val="left"/>
              <w:rPr>
                <w:sz w:val="18"/>
                <w:szCs w:val="18"/>
              </w:rPr>
            </w:pPr>
            <w:r>
              <w:rPr>
                <w:sz w:val="18"/>
                <w:szCs w:val="18"/>
              </w:rPr>
              <w:t>市场需求的确定</w:t>
            </w:r>
          </w:p>
        </w:tc>
        <w:tc>
          <w:tcPr>
            <w:tcW w:w="656" w:type="dxa"/>
            <w:tcBorders>
              <w:top w:val="single" w:color="auto" w:sz="12" w:space="0"/>
              <w:left w:val="single" w:color="auto" w:sz="12" w:space="0"/>
            </w:tcBorders>
            <w:shd w:val="clear" w:color="auto" w:fill="auto"/>
            <w:vAlign w:val="center"/>
          </w:tcPr>
          <w:p>
            <w:pPr>
              <w:rPr>
                <w:sz w:val="18"/>
                <w:szCs w:val="18"/>
              </w:rPr>
            </w:pPr>
            <w:r>
              <w:rPr>
                <w:sz w:val="18"/>
                <w:szCs w:val="18"/>
              </w:rPr>
              <w:t>S1</w:t>
            </w:r>
          </w:p>
        </w:tc>
        <w:tc>
          <w:tcPr>
            <w:tcW w:w="2505" w:type="dxa"/>
            <w:tcBorders>
              <w:top w:val="single" w:color="auto" w:sz="12" w:space="0"/>
              <w:right w:val="single" w:color="auto" w:sz="12" w:space="0"/>
            </w:tcBorders>
            <w:shd w:val="clear" w:color="auto" w:fill="auto"/>
            <w:vAlign w:val="center"/>
          </w:tcPr>
          <w:p>
            <w:pPr>
              <w:jc w:val="left"/>
              <w:rPr>
                <w:sz w:val="18"/>
                <w:szCs w:val="18"/>
              </w:rPr>
            </w:pPr>
            <w:r>
              <w:rPr>
                <w:sz w:val="18"/>
                <w:szCs w:val="18"/>
              </w:rPr>
              <w:t>基础设施</w:t>
            </w:r>
          </w:p>
        </w:tc>
        <w:tc>
          <w:tcPr>
            <w:tcW w:w="699" w:type="dxa"/>
            <w:tcBorders>
              <w:top w:val="single" w:color="auto" w:sz="12" w:space="0"/>
              <w:left w:val="single" w:color="auto" w:sz="12" w:space="0"/>
            </w:tcBorders>
            <w:shd w:val="clear" w:color="auto" w:fill="auto"/>
            <w:vAlign w:val="center"/>
          </w:tcPr>
          <w:p>
            <w:pPr>
              <w:rPr>
                <w:sz w:val="18"/>
                <w:szCs w:val="18"/>
              </w:rPr>
            </w:pPr>
            <w:r>
              <w:rPr>
                <w:sz w:val="18"/>
                <w:szCs w:val="18"/>
              </w:rPr>
              <w:t>M1</w:t>
            </w:r>
          </w:p>
        </w:tc>
        <w:tc>
          <w:tcPr>
            <w:tcW w:w="2597" w:type="dxa"/>
            <w:tcBorders>
              <w:top w:val="single" w:color="auto" w:sz="12" w:space="0"/>
              <w:right w:val="single" w:color="auto" w:sz="12" w:space="0"/>
            </w:tcBorders>
            <w:shd w:val="clear" w:color="auto" w:fill="auto"/>
            <w:vAlign w:val="center"/>
          </w:tcPr>
          <w:p>
            <w:pPr>
              <w:jc w:val="left"/>
              <w:rPr>
                <w:bCs/>
                <w:sz w:val="18"/>
                <w:szCs w:val="18"/>
              </w:rPr>
            </w:pPr>
            <w:r>
              <w:rPr>
                <w:sz w:val="18"/>
                <w:szCs w:val="18"/>
              </w:rPr>
              <w:t>风险和机遇的应对措施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9" w:type="dxa"/>
            <w:tcBorders>
              <w:left w:val="single" w:color="auto" w:sz="12" w:space="0"/>
            </w:tcBorders>
            <w:shd w:val="clear" w:color="auto" w:fill="auto"/>
            <w:vAlign w:val="center"/>
          </w:tcPr>
          <w:p>
            <w:pPr>
              <w:rPr>
                <w:sz w:val="18"/>
                <w:szCs w:val="18"/>
              </w:rPr>
            </w:pPr>
            <w:r>
              <w:rPr>
                <w:sz w:val="18"/>
                <w:szCs w:val="18"/>
              </w:rPr>
              <w:t>C2</w:t>
            </w:r>
          </w:p>
        </w:tc>
        <w:tc>
          <w:tcPr>
            <w:tcW w:w="2597" w:type="dxa"/>
            <w:tcBorders>
              <w:right w:val="single" w:color="auto" w:sz="12" w:space="0"/>
            </w:tcBorders>
            <w:shd w:val="clear" w:color="auto" w:fill="auto"/>
            <w:vAlign w:val="center"/>
          </w:tcPr>
          <w:p>
            <w:pPr>
              <w:jc w:val="left"/>
              <w:rPr>
                <w:sz w:val="18"/>
                <w:szCs w:val="18"/>
              </w:rPr>
            </w:pPr>
            <w:r>
              <w:rPr>
                <w:sz w:val="18"/>
                <w:szCs w:val="18"/>
              </w:rPr>
              <w:t>产品和服务开发</w:t>
            </w:r>
          </w:p>
        </w:tc>
        <w:tc>
          <w:tcPr>
            <w:tcW w:w="656" w:type="dxa"/>
            <w:tcBorders>
              <w:left w:val="single" w:color="auto" w:sz="12" w:space="0"/>
            </w:tcBorders>
            <w:shd w:val="clear" w:color="auto" w:fill="auto"/>
            <w:vAlign w:val="center"/>
          </w:tcPr>
          <w:p>
            <w:pPr>
              <w:rPr>
                <w:sz w:val="18"/>
                <w:szCs w:val="18"/>
              </w:rPr>
            </w:pPr>
            <w:r>
              <w:rPr>
                <w:sz w:val="18"/>
                <w:szCs w:val="18"/>
              </w:rPr>
              <w:t>S2</w:t>
            </w:r>
          </w:p>
        </w:tc>
        <w:tc>
          <w:tcPr>
            <w:tcW w:w="2505" w:type="dxa"/>
            <w:tcBorders>
              <w:right w:val="single" w:color="auto" w:sz="12" w:space="0"/>
            </w:tcBorders>
            <w:shd w:val="clear" w:color="auto" w:fill="auto"/>
            <w:vAlign w:val="center"/>
          </w:tcPr>
          <w:p>
            <w:pPr>
              <w:jc w:val="left"/>
              <w:rPr>
                <w:sz w:val="18"/>
                <w:szCs w:val="18"/>
              </w:rPr>
            </w:pPr>
            <w:r>
              <w:rPr>
                <w:sz w:val="18"/>
                <w:szCs w:val="18"/>
              </w:rPr>
              <w:t>过程环境</w:t>
            </w:r>
          </w:p>
        </w:tc>
        <w:tc>
          <w:tcPr>
            <w:tcW w:w="699" w:type="dxa"/>
            <w:tcBorders>
              <w:left w:val="single" w:color="auto" w:sz="12" w:space="0"/>
            </w:tcBorders>
            <w:shd w:val="clear" w:color="auto" w:fill="auto"/>
            <w:vAlign w:val="center"/>
          </w:tcPr>
          <w:p>
            <w:pPr>
              <w:rPr>
                <w:sz w:val="18"/>
                <w:szCs w:val="18"/>
              </w:rPr>
            </w:pPr>
            <w:r>
              <w:rPr>
                <w:sz w:val="18"/>
                <w:szCs w:val="18"/>
              </w:rPr>
              <w:t>M2</w:t>
            </w:r>
          </w:p>
        </w:tc>
        <w:tc>
          <w:tcPr>
            <w:tcW w:w="2597" w:type="dxa"/>
            <w:tcBorders>
              <w:right w:val="single" w:color="auto" w:sz="12" w:space="0"/>
            </w:tcBorders>
            <w:shd w:val="clear" w:color="auto" w:fill="auto"/>
            <w:vAlign w:val="center"/>
          </w:tcPr>
          <w:p>
            <w:pPr>
              <w:jc w:val="left"/>
              <w:rPr>
                <w:bCs/>
                <w:sz w:val="18"/>
                <w:szCs w:val="18"/>
              </w:rPr>
            </w:pPr>
            <w:r>
              <w:rPr>
                <w:sz w:val="18"/>
                <w:szCs w:val="18"/>
              </w:rPr>
              <w:t>质量目标及其实施的策划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9" w:type="dxa"/>
            <w:tcBorders>
              <w:left w:val="single" w:color="auto" w:sz="12" w:space="0"/>
            </w:tcBorders>
            <w:shd w:val="clear" w:color="auto" w:fill="auto"/>
            <w:vAlign w:val="center"/>
          </w:tcPr>
          <w:p>
            <w:pPr>
              <w:rPr>
                <w:sz w:val="18"/>
                <w:szCs w:val="18"/>
              </w:rPr>
            </w:pPr>
            <w:r>
              <w:rPr>
                <w:sz w:val="18"/>
                <w:szCs w:val="18"/>
              </w:rPr>
              <w:t>C3</w:t>
            </w:r>
          </w:p>
        </w:tc>
        <w:tc>
          <w:tcPr>
            <w:tcW w:w="2597" w:type="dxa"/>
            <w:tcBorders>
              <w:right w:val="single" w:color="auto" w:sz="12" w:space="0"/>
            </w:tcBorders>
            <w:shd w:val="clear" w:color="auto" w:fill="auto"/>
            <w:vAlign w:val="center"/>
          </w:tcPr>
          <w:p>
            <w:pPr>
              <w:rPr>
                <w:sz w:val="18"/>
                <w:szCs w:val="18"/>
              </w:rPr>
            </w:pPr>
            <w:r>
              <w:rPr>
                <w:sz w:val="18"/>
                <w:szCs w:val="18"/>
              </w:rPr>
              <w:t>产品生产和服务提供的控制</w:t>
            </w:r>
          </w:p>
        </w:tc>
        <w:tc>
          <w:tcPr>
            <w:tcW w:w="656" w:type="dxa"/>
            <w:tcBorders>
              <w:left w:val="single" w:color="auto" w:sz="12" w:space="0"/>
            </w:tcBorders>
            <w:shd w:val="clear" w:color="auto" w:fill="auto"/>
            <w:vAlign w:val="center"/>
          </w:tcPr>
          <w:p>
            <w:pPr>
              <w:rPr>
                <w:sz w:val="18"/>
                <w:szCs w:val="18"/>
              </w:rPr>
            </w:pPr>
            <w:r>
              <w:rPr>
                <w:sz w:val="18"/>
                <w:szCs w:val="18"/>
              </w:rPr>
              <w:t>S3</w:t>
            </w:r>
          </w:p>
        </w:tc>
        <w:tc>
          <w:tcPr>
            <w:tcW w:w="2505" w:type="dxa"/>
            <w:tcBorders>
              <w:right w:val="single" w:color="auto" w:sz="12" w:space="0"/>
            </w:tcBorders>
            <w:shd w:val="clear" w:color="auto" w:fill="auto"/>
            <w:vAlign w:val="center"/>
          </w:tcPr>
          <w:p>
            <w:pPr>
              <w:jc w:val="left"/>
              <w:rPr>
                <w:sz w:val="18"/>
                <w:szCs w:val="18"/>
              </w:rPr>
            </w:pPr>
            <w:r>
              <w:rPr>
                <w:sz w:val="18"/>
                <w:szCs w:val="18"/>
              </w:rPr>
              <w:t>监视和测量设备</w:t>
            </w:r>
          </w:p>
        </w:tc>
        <w:tc>
          <w:tcPr>
            <w:tcW w:w="699" w:type="dxa"/>
            <w:tcBorders>
              <w:left w:val="single" w:color="auto" w:sz="12" w:space="0"/>
            </w:tcBorders>
            <w:shd w:val="clear" w:color="auto" w:fill="auto"/>
            <w:vAlign w:val="center"/>
          </w:tcPr>
          <w:p>
            <w:pPr>
              <w:rPr>
                <w:sz w:val="18"/>
                <w:szCs w:val="18"/>
              </w:rPr>
            </w:pPr>
            <w:r>
              <w:rPr>
                <w:sz w:val="18"/>
                <w:szCs w:val="18"/>
              </w:rPr>
              <w:t>M3</w:t>
            </w:r>
          </w:p>
        </w:tc>
        <w:tc>
          <w:tcPr>
            <w:tcW w:w="2597" w:type="dxa"/>
            <w:tcBorders>
              <w:right w:val="single" w:color="auto" w:sz="12" w:space="0"/>
            </w:tcBorders>
            <w:shd w:val="clear" w:color="auto" w:fill="auto"/>
            <w:vAlign w:val="center"/>
          </w:tcPr>
          <w:p>
            <w:pPr>
              <w:jc w:val="left"/>
              <w:rPr>
                <w:sz w:val="18"/>
                <w:szCs w:val="18"/>
              </w:rPr>
            </w:pPr>
            <w:r>
              <w:rPr>
                <w:sz w:val="18"/>
                <w:szCs w:val="18"/>
              </w:rPr>
              <w:t>顾客满意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9" w:type="dxa"/>
            <w:tcBorders>
              <w:left w:val="single" w:color="auto" w:sz="12" w:space="0"/>
            </w:tcBorders>
            <w:shd w:val="clear" w:color="auto" w:fill="auto"/>
            <w:vAlign w:val="center"/>
          </w:tcPr>
          <w:p>
            <w:pPr>
              <w:rPr>
                <w:sz w:val="18"/>
                <w:szCs w:val="18"/>
              </w:rPr>
            </w:pPr>
            <w:r>
              <w:rPr>
                <w:sz w:val="18"/>
                <w:szCs w:val="18"/>
              </w:rPr>
              <w:t>C4</w:t>
            </w:r>
          </w:p>
        </w:tc>
        <w:tc>
          <w:tcPr>
            <w:tcW w:w="2597" w:type="dxa"/>
            <w:tcBorders>
              <w:right w:val="single" w:color="auto" w:sz="12" w:space="0"/>
            </w:tcBorders>
            <w:shd w:val="clear" w:color="auto" w:fill="auto"/>
            <w:vAlign w:val="center"/>
          </w:tcPr>
          <w:p>
            <w:pPr>
              <w:jc w:val="left"/>
              <w:rPr>
                <w:sz w:val="18"/>
                <w:szCs w:val="18"/>
              </w:rPr>
            </w:pPr>
            <w:r>
              <w:rPr>
                <w:sz w:val="18"/>
                <w:szCs w:val="18"/>
              </w:rPr>
              <w:t>产品防护</w:t>
            </w:r>
          </w:p>
        </w:tc>
        <w:tc>
          <w:tcPr>
            <w:tcW w:w="656" w:type="dxa"/>
            <w:tcBorders>
              <w:left w:val="single" w:color="auto" w:sz="12" w:space="0"/>
            </w:tcBorders>
            <w:shd w:val="clear" w:color="auto" w:fill="auto"/>
            <w:vAlign w:val="center"/>
          </w:tcPr>
          <w:p>
            <w:pPr>
              <w:rPr>
                <w:sz w:val="18"/>
                <w:szCs w:val="18"/>
              </w:rPr>
            </w:pPr>
            <w:r>
              <w:rPr>
                <w:sz w:val="18"/>
                <w:szCs w:val="18"/>
              </w:rPr>
              <w:t>S4</w:t>
            </w:r>
          </w:p>
        </w:tc>
        <w:tc>
          <w:tcPr>
            <w:tcW w:w="2505" w:type="dxa"/>
            <w:tcBorders>
              <w:right w:val="single" w:color="auto" w:sz="12" w:space="0"/>
            </w:tcBorders>
            <w:shd w:val="clear" w:color="auto" w:fill="auto"/>
            <w:vAlign w:val="center"/>
          </w:tcPr>
          <w:p>
            <w:pPr>
              <w:jc w:val="left"/>
              <w:rPr>
                <w:sz w:val="18"/>
                <w:szCs w:val="18"/>
              </w:rPr>
            </w:pPr>
            <w:r>
              <w:rPr>
                <w:sz w:val="18"/>
                <w:szCs w:val="18"/>
              </w:rPr>
              <w:t>知识</w:t>
            </w:r>
          </w:p>
        </w:tc>
        <w:tc>
          <w:tcPr>
            <w:tcW w:w="699" w:type="dxa"/>
            <w:tcBorders>
              <w:left w:val="single" w:color="auto" w:sz="12" w:space="0"/>
            </w:tcBorders>
            <w:shd w:val="clear" w:color="auto" w:fill="auto"/>
            <w:vAlign w:val="center"/>
          </w:tcPr>
          <w:p>
            <w:pPr>
              <w:rPr>
                <w:sz w:val="18"/>
                <w:szCs w:val="18"/>
              </w:rPr>
            </w:pPr>
            <w:r>
              <w:rPr>
                <w:sz w:val="18"/>
                <w:szCs w:val="18"/>
              </w:rPr>
              <w:t>M4</w:t>
            </w:r>
          </w:p>
        </w:tc>
        <w:tc>
          <w:tcPr>
            <w:tcW w:w="2597" w:type="dxa"/>
            <w:tcBorders>
              <w:right w:val="single" w:color="auto" w:sz="12" w:space="0"/>
            </w:tcBorders>
            <w:shd w:val="clear" w:color="auto" w:fill="auto"/>
            <w:vAlign w:val="center"/>
          </w:tcPr>
          <w:p>
            <w:pPr>
              <w:jc w:val="left"/>
              <w:rPr>
                <w:sz w:val="18"/>
                <w:szCs w:val="18"/>
              </w:rPr>
            </w:pPr>
            <w:r>
              <w:rPr>
                <w:sz w:val="18"/>
                <w:szCs w:val="18"/>
              </w:rPr>
              <w:t>数据分析与评价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9" w:type="dxa"/>
            <w:tcBorders>
              <w:left w:val="single" w:color="auto" w:sz="12" w:space="0"/>
            </w:tcBorders>
            <w:shd w:val="clear" w:color="auto" w:fill="auto"/>
            <w:vAlign w:val="center"/>
          </w:tcPr>
          <w:p>
            <w:pPr>
              <w:rPr>
                <w:sz w:val="18"/>
                <w:szCs w:val="18"/>
              </w:rPr>
            </w:pPr>
            <w:r>
              <w:rPr>
                <w:sz w:val="18"/>
                <w:szCs w:val="18"/>
              </w:rPr>
              <w:t>C5</w:t>
            </w:r>
          </w:p>
        </w:tc>
        <w:tc>
          <w:tcPr>
            <w:tcW w:w="2597" w:type="dxa"/>
            <w:tcBorders>
              <w:right w:val="single" w:color="auto" w:sz="12" w:space="0"/>
            </w:tcBorders>
            <w:shd w:val="clear" w:color="auto" w:fill="auto"/>
            <w:vAlign w:val="center"/>
          </w:tcPr>
          <w:p>
            <w:pPr>
              <w:jc w:val="left"/>
              <w:rPr>
                <w:sz w:val="18"/>
                <w:szCs w:val="18"/>
              </w:rPr>
            </w:pPr>
            <w:r>
              <w:rPr>
                <w:sz w:val="18"/>
                <w:szCs w:val="18"/>
              </w:rPr>
              <w:t>交付后的活动</w:t>
            </w:r>
          </w:p>
        </w:tc>
        <w:tc>
          <w:tcPr>
            <w:tcW w:w="656" w:type="dxa"/>
            <w:tcBorders>
              <w:left w:val="single" w:color="auto" w:sz="12" w:space="0"/>
            </w:tcBorders>
            <w:shd w:val="clear" w:color="auto" w:fill="auto"/>
            <w:vAlign w:val="center"/>
          </w:tcPr>
          <w:p>
            <w:pPr>
              <w:rPr>
                <w:sz w:val="18"/>
                <w:szCs w:val="18"/>
              </w:rPr>
            </w:pPr>
            <w:r>
              <w:rPr>
                <w:sz w:val="18"/>
                <w:szCs w:val="18"/>
              </w:rPr>
              <w:t>S5</w:t>
            </w:r>
          </w:p>
        </w:tc>
        <w:tc>
          <w:tcPr>
            <w:tcW w:w="2505" w:type="dxa"/>
            <w:tcBorders>
              <w:right w:val="single" w:color="auto" w:sz="12" w:space="0"/>
            </w:tcBorders>
            <w:shd w:val="clear" w:color="auto" w:fill="auto"/>
            <w:vAlign w:val="center"/>
          </w:tcPr>
          <w:p>
            <w:pPr>
              <w:jc w:val="left"/>
              <w:rPr>
                <w:bCs/>
                <w:sz w:val="18"/>
                <w:szCs w:val="18"/>
              </w:rPr>
            </w:pPr>
            <w:r>
              <w:rPr>
                <w:sz w:val="18"/>
                <w:szCs w:val="18"/>
              </w:rPr>
              <w:t>能力</w:t>
            </w:r>
          </w:p>
        </w:tc>
        <w:tc>
          <w:tcPr>
            <w:tcW w:w="699" w:type="dxa"/>
            <w:tcBorders>
              <w:left w:val="single" w:color="auto" w:sz="12" w:space="0"/>
            </w:tcBorders>
            <w:shd w:val="clear" w:color="auto" w:fill="auto"/>
            <w:vAlign w:val="center"/>
          </w:tcPr>
          <w:p>
            <w:pPr>
              <w:rPr>
                <w:sz w:val="18"/>
                <w:szCs w:val="18"/>
              </w:rPr>
            </w:pPr>
            <w:r>
              <w:rPr>
                <w:sz w:val="18"/>
                <w:szCs w:val="18"/>
              </w:rPr>
              <w:t>M5</w:t>
            </w:r>
          </w:p>
        </w:tc>
        <w:tc>
          <w:tcPr>
            <w:tcW w:w="2597" w:type="dxa"/>
            <w:tcBorders>
              <w:right w:val="single" w:color="auto" w:sz="12" w:space="0"/>
            </w:tcBorders>
            <w:shd w:val="clear" w:color="auto" w:fill="auto"/>
            <w:vAlign w:val="center"/>
          </w:tcPr>
          <w:p>
            <w:pPr>
              <w:jc w:val="left"/>
              <w:rPr>
                <w:sz w:val="18"/>
                <w:szCs w:val="18"/>
              </w:rPr>
            </w:pPr>
            <w:r>
              <w:rPr>
                <w:sz w:val="18"/>
                <w:szCs w:val="18"/>
              </w:rPr>
              <w:t>内部审核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9" w:type="dxa"/>
            <w:tcBorders>
              <w:left w:val="single" w:color="auto" w:sz="12" w:space="0"/>
            </w:tcBorders>
            <w:shd w:val="clear" w:color="auto" w:fill="auto"/>
            <w:vAlign w:val="center"/>
          </w:tcPr>
          <w:p>
            <w:pPr>
              <w:rPr>
                <w:sz w:val="18"/>
                <w:szCs w:val="18"/>
              </w:rPr>
            </w:pPr>
          </w:p>
        </w:tc>
        <w:tc>
          <w:tcPr>
            <w:tcW w:w="2597" w:type="dxa"/>
            <w:tcBorders>
              <w:right w:val="single" w:color="auto" w:sz="12" w:space="0"/>
            </w:tcBorders>
            <w:shd w:val="clear" w:color="auto" w:fill="auto"/>
            <w:vAlign w:val="center"/>
          </w:tcPr>
          <w:p>
            <w:pPr>
              <w:rPr>
                <w:sz w:val="18"/>
                <w:szCs w:val="18"/>
              </w:rPr>
            </w:pPr>
          </w:p>
        </w:tc>
        <w:tc>
          <w:tcPr>
            <w:tcW w:w="656" w:type="dxa"/>
            <w:tcBorders>
              <w:left w:val="single" w:color="auto" w:sz="12" w:space="0"/>
            </w:tcBorders>
            <w:shd w:val="clear" w:color="auto" w:fill="auto"/>
            <w:vAlign w:val="center"/>
          </w:tcPr>
          <w:p>
            <w:pPr>
              <w:rPr>
                <w:sz w:val="18"/>
                <w:szCs w:val="18"/>
              </w:rPr>
            </w:pPr>
            <w:r>
              <w:rPr>
                <w:sz w:val="18"/>
                <w:szCs w:val="18"/>
              </w:rPr>
              <w:t>S6</w:t>
            </w:r>
          </w:p>
        </w:tc>
        <w:tc>
          <w:tcPr>
            <w:tcW w:w="2505" w:type="dxa"/>
            <w:tcBorders>
              <w:right w:val="single" w:color="auto" w:sz="12" w:space="0"/>
            </w:tcBorders>
            <w:shd w:val="clear" w:color="auto" w:fill="auto"/>
            <w:vAlign w:val="center"/>
          </w:tcPr>
          <w:p>
            <w:pPr>
              <w:jc w:val="left"/>
              <w:rPr>
                <w:bCs/>
                <w:sz w:val="18"/>
                <w:szCs w:val="18"/>
              </w:rPr>
            </w:pPr>
            <w:r>
              <w:rPr>
                <w:sz w:val="18"/>
                <w:szCs w:val="18"/>
              </w:rPr>
              <w:t>意识</w:t>
            </w:r>
          </w:p>
        </w:tc>
        <w:tc>
          <w:tcPr>
            <w:tcW w:w="699" w:type="dxa"/>
            <w:tcBorders>
              <w:left w:val="single" w:color="auto" w:sz="12" w:space="0"/>
            </w:tcBorders>
            <w:shd w:val="clear" w:color="auto" w:fill="auto"/>
            <w:vAlign w:val="center"/>
          </w:tcPr>
          <w:p>
            <w:pPr>
              <w:rPr>
                <w:sz w:val="18"/>
                <w:szCs w:val="18"/>
              </w:rPr>
            </w:pPr>
            <w:r>
              <w:rPr>
                <w:sz w:val="18"/>
                <w:szCs w:val="18"/>
              </w:rPr>
              <w:t>M6</w:t>
            </w:r>
          </w:p>
        </w:tc>
        <w:tc>
          <w:tcPr>
            <w:tcW w:w="2597" w:type="dxa"/>
            <w:tcBorders>
              <w:right w:val="single" w:color="auto" w:sz="12" w:space="0"/>
            </w:tcBorders>
            <w:shd w:val="clear" w:color="auto" w:fill="auto"/>
            <w:vAlign w:val="center"/>
          </w:tcPr>
          <w:p>
            <w:pPr>
              <w:jc w:val="left"/>
              <w:rPr>
                <w:sz w:val="18"/>
                <w:szCs w:val="18"/>
              </w:rPr>
            </w:pPr>
            <w:r>
              <w:rPr>
                <w:sz w:val="18"/>
                <w:szCs w:val="18"/>
              </w:rPr>
              <w:t>管理评审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9" w:type="dxa"/>
            <w:tcBorders>
              <w:left w:val="single" w:color="auto" w:sz="12" w:space="0"/>
            </w:tcBorders>
            <w:shd w:val="clear" w:color="auto" w:fill="auto"/>
            <w:vAlign w:val="center"/>
          </w:tcPr>
          <w:p>
            <w:pPr>
              <w:rPr>
                <w:sz w:val="18"/>
                <w:szCs w:val="18"/>
              </w:rPr>
            </w:pPr>
          </w:p>
        </w:tc>
        <w:tc>
          <w:tcPr>
            <w:tcW w:w="2597" w:type="dxa"/>
            <w:tcBorders>
              <w:right w:val="single" w:color="auto" w:sz="12" w:space="0"/>
            </w:tcBorders>
            <w:shd w:val="clear" w:color="auto" w:fill="auto"/>
            <w:vAlign w:val="center"/>
          </w:tcPr>
          <w:p>
            <w:pPr>
              <w:rPr>
                <w:sz w:val="18"/>
                <w:szCs w:val="18"/>
              </w:rPr>
            </w:pPr>
          </w:p>
        </w:tc>
        <w:tc>
          <w:tcPr>
            <w:tcW w:w="656" w:type="dxa"/>
            <w:tcBorders>
              <w:left w:val="single" w:color="auto" w:sz="12" w:space="0"/>
            </w:tcBorders>
            <w:shd w:val="clear" w:color="auto" w:fill="auto"/>
            <w:vAlign w:val="center"/>
          </w:tcPr>
          <w:p>
            <w:pPr>
              <w:rPr>
                <w:sz w:val="18"/>
                <w:szCs w:val="18"/>
              </w:rPr>
            </w:pPr>
            <w:r>
              <w:rPr>
                <w:sz w:val="18"/>
                <w:szCs w:val="18"/>
              </w:rPr>
              <w:t>S7</w:t>
            </w:r>
          </w:p>
        </w:tc>
        <w:tc>
          <w:tcPr>
            <w:tcW w:w="2505" w:type="dxa"/>
            <w:tcBorders>
              <w:right w:val="single" w:color="auto" w:sz="12" w:space="0"/>
            </w:tcBorders>
            <w:shd w:val="clear" w:color="auto" w:fill="auto"/>
            <w:vAlign w:val="center"/>
          </w:tcPr>
          <w:p>
            <w:pPr>
              <w:rPr>
                <w:sz w:val="18"/>
                <w:szCs w:val="18"/>
              </w:rPr>
            </w:pPr>
            <w:r>
              <w:rPr>
                <w:sz w:val="18"/>
                <w:szCs w:val="18"/>
              </w:rPr>
              <w:t>沟通</w:t>
            </w:r>
          </w:p>
        </w:tc>
        <w:tc>
          <w:tcPr>
            <w:tcW w:w="699" w:type="dxa"/>
            <w:tcBorders>
              <w:left w:val="single" w:color="auto" w:sz="12" w:space="0"/>
            </w:tcBorders>
            <w:shd w:val="clear" w:color="auto" w:fill="auto"/>
            <w:vAlign w:val="center"/>
          </w:tcPr>
          <w:p>
            <w:pPr>
              <w:rPr>
                <w:sz w:val="18"/>
                <w:szCs w:val="18"/>
              </w:rPr>
            </w:pPr>
            <w:r>
              <w:rPr>
                <w:sz w:val="18"/>
                <w:szCs w:val="18"/>
              </w:rPr>
              <w:t>M7</w:t>
            </w:r>
          </w:p>
        </w:tc>
        <w:tc>
          <w:tcPr>
            <w:tcW w:w="2597" w:type="dxa"/>
            <w:tcBorders>
              <w:right w:val="single" w:color="auto" w:sz="12" w:space="0"/>
            </w:tcBorders>
            <w:shd w:val="clear" w:color="auto" w:fill="auto"/>
            <w:vAlign w:val="center"/>
          </w:tcPr>
          <w:p>
            <w:pPr>
              <w:jc w:val="left"/>
              <w:rPr>
                <w:sz w:val="18"/>
                <w:szCs w:val="18"/>
              </w:rPr>
            </w:pPr>
            <w:r>
              <w:rPr>
                <w:sz w:val="18"/>
                <w:szCs w:val="18"/>
              </w:rPr>
              <w:t>不符合和纠正措施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9" w:type="dxa"/>
            <w:tcBorders>
              <w:left w:val="single" w:color="auto" w:sz="12" w:space="0"/>
              <w:bottom w:val="single" w:color="auto" w:sz="4" w:space="0"/>
            </w:tcBorders>
            <w:shd w:val="clear" w:color="auto" w:fill="auto"/>
            <w:vAlign w:val="center"/>
          </w:tcPr>
          <w:p>
            <w:pPr>
              <w:rPr>
                <w:sz w:val="18"/>
                <w:szCs w:val="18"/>
              </w:rPr>
            </w:pPr>
          </w:p>
        </w:tc>
        <w:tc>
          <w:tcPr>
            <w:tcW w:w="2597" w:type="dxa"/>
            <w:tcBorders>
              <w:bottom w:val="single" w:color="auto" w:sz="4" w:space="0"/>
              <w:right w:val="single" w:color="auto" w:sz="12" w:space="0"/>
            </w:tcBorders>
            <w:shd w:val="clear" w:color="auto" w:fill="auto"/>
            <w:vAlign w:val="center"/>
          </w:tcPr>
          <w:p>
            <w:pPr>
              <w:rPr>
                <w:sz w:val="18"/>
                <w:szCs w:val="18"/>
              </w:rPr>
            </w:pPr>
          </w:p>
        </w:tc>
        <w:tc>
          <w:tcPr>
            <w:tcW w:w="656" w:type="dxa"/>
            <w:tcBorders>
              <w:left w:val="single" w:color="auto" w:sz="12" w:space="0"/>
              <w:bottom w:val="single" w:color="auto" w:sz="4" w:space="0"/>
            </w:tcBorders>
            <w:shd w:val="clear" w:color="auto" w:fill="auto"/>
            <w:vAlign w:val="center"/>
          </w:tcPr>
          <w:p>
            <w:pPr>
              <w:rPr>
                <w:sz w:val="18"/>
                <w:szCs w:val="18"/>
              </w:rPr>
            </w:pPr>
            <w:r>
              <w:rPr>
                <w:sz w:val="18"/>
                <w:szCs w:val="18"/>
              </w:rPr>
              <w:t>S8</w:t>
            </w:r>
          </w:p>
        </w:tc>
        <w:tc>
          <w:tcPr>
            <w:tcW w:w="2505" w:type="dxa"/>
            <w:tcBorders>
              <w:bottom w:val="single" w:color="auto" w:sz="4" w:space="0"/>
              <w:right w:val="single" w:color="auto" w:sz="12" w:space="0"/>
            </w:tcBorders>
            <w:shd w:val="clear" w:color="auto" w:fill="auto"/>
            <w:vAlign w:val="center"/>
          </w:tcPr>
          <w:p>
            <w:pPr>
              <w:rPr>
                <w:sz w:val="18"/>
                <w:szCs w:val="18"/>
              </w:rPr>
            </w:pPr>
            <w:r>
              <w:rPr>
                <w:sz w:val="18"/>
                <w:szCs w:val="18"/>
              </w:rPr>
              <w:t>形成文件的信息</w:t>
            </w:r>
          </w:p>
        </w:tc>
        <w:tc>
          <w:tcPr>
            <w:tcW w:w="699" w:type="dxa"/>
            <w:tcBorders>
              <w:left w:val="single" w:color="auto" w:sz="12" w:space="0"/>
              <w:bottom w:val="single" w:color="auto" w:sz="4" w:space="0"/>
            </w:tcBorders>
            <w:shd w:val="clear" w:color="auto" w:fill="auto"/>
            <w:vAlign w:val="center"/>
          </w:tcPr>
          <w:p>
            <w:pPr>
              <w:rPr>
                <w:sz w:val="18"/>
                <w:szCs w:val="18"/>
              </w:rPr>
            </w:pPr>
            <w:r>
              <w:rPr>
                <w:sz w:val="18"/>
                <w:szCs w:val="18"/>
              </w:rPr>
              <w:t>M8</w:t>
            </w:r>
          </w:p>
        </w:tc>
        <w:tc>
          <w:tcPr>
            <w:tcW w:w="2597" w:type="dxa"/>
            <w:tcBorders>
              <w:bottom w:val="single" w:color="auto" w:sz="4" w:space="0"/>
              <w:right w:val="single" w:color="auto" w:sz="12" w:space="0"/>
            </w:tcBorders>
            <w:shd w:val="clear" w:color="auto" w:fill="auto"/>
            <w:vAlign w:val="center"/>
          </w:tcPr>
          <w:p>
            <w:pPr>
              <w:jc w:val="left"/>
              <w:rPr>
                <w:sz w:val="18"/>
                <w:szCs w:val="18"/>
              </w:rPr>
            </w:pPr>
            <w:r>
              <w:rPr>
                <w:sz w:val="18"/>
                <w:szCs w:val="18"/>
              </w:rPr>
              <w:t>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9" w:type="dxa"/>
            <w:tcBorders>
              <w:left w:val="single" w:color="auto" w:sz="12" w:space="0"/>
            </w:tcBorders>
            <w:shd w:val="clear" w:color="auto" w:fill="auto"/>
            <w:vAlign w:val="center"/>
          </w:tcPr>
          <w:p>
            <w:pPr>
              <w:rPr>
                <w:sz w:val="18"/>
                <w:szCs w:val="18"/>
              </w:rPr>
            </w:pPr>
          </w:p>
        </w:tc>
        <w:tc>
          <w:tcPr>
            <w:tcW w:w="2597" w:type="dxa"/>
            <w:tcBorders>
              <w:right w:val="single" w:color="auto" w:sz="12" w:space="0"/>
            </w:tcBorders>
            <w:shd w:val="clear" w:color="auto" w:fill="auto"/>
            <w:vAlign w:val="center"/>
          </w:tcPr>
          <w:p>
            <w:pPr>
              <w:rPr>
                <w:sz w:val="18"/>
                <w:szCs w:val="18"/>
              </w:rPr>
            </w:pPr>
          </w:p>
        </w:tc>
        <w:tc>
          <w:tcPr>
            <w:tcW w:w="656" w:type="dxa"/>
            <w:tcBorders>
              <w:left w:val="single" w:color="auto" w:sz="12" w:space="0"/>
            </w:tcBorders>
            <w:shd w:val="clear" w:color="auto" w:fill="auto"/>
            <w:vAlign w:val="center"/>
          </w:tcPr>
          <w:p>
            <w:pPr>
              <w:rPr>
                <w:sz w:val="18"/>
                <w:szCs w:val="18"/>
              </w:rPr>
            </w:pPr>
            <w:r>
              <w:rPr>
                <w:sz w:val="18"/>
                <w:szCs w:val="18"/>
              </w:rPr>
              <w:t>S9</w:t>
            </w:r>
          </w:p>
        </w:tc>
        <w:tc>
          <w:tcPr>
            <w:tcW w:w="2505" w:type="dxa"/>
            <w:tcBorders>
              <w:right w:val="single" w:color="auto" w:sz="12" w:space="0"/>
            </w:tcBorders>
            <w:shd w:val="clear" w:color="auto" w:fill="auto"/>
            <w:vAlign w:val="center"/>
          </w:tcPr>
          <w:p>
            <w:pPr>
              <w:jc w:val="left"/>
              <w:rPr>
                <w:bCs/>
                <w:sz w:val="18"/>
                <w:szCs w:val="18"/>
              </w:rPr>
            </w:pPr>
            <w:r>
              <w:rPr>
                <w:sz w:val="18"/>
                <w:szCs w:val="18"/>
              </w:rPr>
              <w:t>运行策划过程</w:t>
            </w:r>
          </w:p>
        </w:tc>
        <w:tc>
          <w:tcPr>
            <w:tcW w:w="699" w:type="dxa"/>
            <w:tcBorders>
              <w:left w:val="single" w:color="auto" w:sz="12" w:space="0"/>
            </w:tcBorders>
            <w:shd w:val="clear" w:color="auto" w:fill="auto"/>
            <w:vAlign w:val="center"/>
          </w:tcPr>
          <w:p>
            <w:pPr>
              <w:rPr>
                <w:sz w:val="18"/>
                <w:szCs w:val="18"/>
              </w:rPr>
            </w:pPr>
          </w:p>
        </w:tc>
        <w:tc>
          <w:tcPr>
            <w:tcW w:w="2597" w:type="dxa"/>
            <w:tcBorders>
              <w:right w:val="single" w:color="auto" w:sz="12" w:space="0"/>
            </w:tcBorders>
            <w:shd w:val="clear" w:color="auto" w:fill="auto"/>
            <w:vAlign w:val="center"/>
          </w:tcPr>
          <w:p>
            <w:pPr>
              <w:jc w:val="lef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9" w:type="dxa"/>
            <w:tcBorders>
              <w:left w:val="single" w:color="auto" w:sz="12" w:space="0"/>
            </w:tcBorders>
            <w:shd w:val="clear" w:color="auto" w:fill="auto"/>
            <w:vAlign w:val="center"/>
          </w:tcPr>
          <w:p>
            <w:pPr>
              <w:rPr>
                <w:sz w:val="18"/>
                <w:szCs w:val="18"/>
              </w:rPr>
            </w:pPr>
          </w:p>
        </w:tc>
        <w:tc>
          <w:tcPr>
            <w:tcW w:w="2597" w:type="dxa"/>
            <w:tcBorders>
              <w:right w:val="single" w:color="auto" w:sz="12" w:space="0"/>
            </w:tcBorders>
            <w:shd w:val="clear" w:color="auto" w:fill="auto"/>
            <w:vAlign w:val="center"/>
          </w:tcPr>
          <w:p>
            <w:pPr>
              <w:rPr>
                <w:sz w:val="18"/>
                <w:szCs w:val="18"/>
              </w:rPr>
            </w:pPr>
          </w:p>
        </w:tc>
        <w:tc>
          <w:tcPr>
            <w:tcW w:w="656" w:type="dxa"/>
            <w:tcBorders>
              <w:left w:val="single" w:color="auto" w:sz="12" w:space="0"/>
            </w:tcBorders>
            <w:shd w:val="clear" w:color="auto" w:fill="auto"/>
            <w:vAlign w:val="center"/>
          </w:tcPr>
          <w:p>
            <w:pPr>
              <w:rPr>
                <w:sz w:val="18"/>
                <w:szCs w:val="18"/>
              </w:rPr>
            </w:pPr>
            <w:r>
              <w:rPr>
                <w:sz w:val="18"/>
                <w:szCs w:val="18"/>
              </w:rPr>
              <w:t>S10</w:t>
            </w:r>
          </w:p>
        </w:tc>
        <w:tc>
          <w:tcPr>
            <w:tcW w:w="2505" w:type="dxa"/>
            <w:tcBorders>
              <w:right w:val="single" w:color="auto" w:sz="12" w:space="0"/>
            </w:tcBorders>
            <w:shd w:val="clear" w:color="auto" w:fill="auto"/>
            <w:vAlign w:val="center"/>
          </w:tcPr>
          <w:p>
            <w:pPr>
              <w:jc w:val="left"/>
              <w:rPr>
                <w:bCs/>
                <w:sz w:val="18"/>
                <w:szCs w:val="18"/>
              </w:rPr>
            </w:pPr>
            <w:r>
              <w:rPr>
                <w:sz w:val="18"/>
                <w:szCs w:val="18"/>
              </w:rPr>
              <w:t>外部供应产品和服务的控制</w:t>
            </w:r>
          </w:p>
        </w:tc>
        <w:tc>
          <w:tcPr>
            <w:tcW w:w="699" w:type="dxa"/>
            <w:tcBorders>
              <w:left w:val="single" w:color="auto" w:sz="12" w:space="0"/>
            </w:tcBorders>
            <w:shd w:val="clear" w:color="auto" w:fill="auto"/>
            <w:vAlign w:val="center"/>
          </w:tcPr>
          <w:p>
            <w:pPr>
              <w:rPr>
                <w:sz w:val="18"/>
                <w:szCs w:val="18"/>
              </w:rPr>
            </w:pPr>
          </w:p>
        </w:tc>
        <w:tc>
          <w:tcPr>
            <w:tcW w:w="2597" w:type="dxa"/>
            <w:tcBorders>
              <w:right w:val="single" w:color="auto" w:sz="12" w:space="0"/>
            </w:tcBorders>
            <w:shd w:val="clear" w:color="auto" w:fill="auto"/>
            <w:vAlign w:val="center"/>
          </w:tcPr>
          <w:p>
            <w:pPr>
              <w:jc w:val="lef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9" w:type="dxa"/>
            <w:tcBorders>
              <w:left w:val="single" w:color="auto" w:sz="12" w:space="0"/>
            </w:tcBorders>
            <w:shd w:val="clear" w:color="auto" w:fill="auto"/>
            <w:vAlign w:val="center"/>
          </w:tcPr>
          <w:p>
            <w:pPr>
              <w:rPr>
                <w:sz w:val="18"/>
                <w:szCs w:val="18"/>
              </w:rPr>
            </w:pPr>
          </w:p>
        </w:tc>
        <w:tc>
          <w:tcPr>
            <w:tcW w:w="2597" w:type="dxa"/>
            <w:tcBorders>
              <w:right w:val="single" w:color="auto" w:sz="12" w:space="0"/>
            </w:tcBorders>
            <w:shd w:val="clear" w:color="auto" w:fill="auto"/>
            <w:vAlign w:val="center"/>
          </w:tcPr>
          <w:p>
            <w:pPr>
              <w:rPr>
                <w:sz w:val="18"/>
                <w:szCs w:val="18"/>
              </w:rPr>
            </w:pPr>
          </w:p>
        </w:tc>
        <w:tc>
          <w:tcPr>
            <w:tcW w:w="656" w:type="dxa"/>
            <w:tcBorders>
              <w:left w:val="single" w:color="auto" w:sz="12" w:space="0"/>
            </w:tcBorders>
            <w:shd w:val="clear" w:color="auto" w:fill="auto"/>
            <w:vAlign w:val="center"/>
          </w:tcPr>
          <w:p>
            <w:pPr>
              <w:rPr>
                <w:sz w:val="18"/>
                <w:szCs w:val="18"/>
              </w:rPr>
            </w:pPr>
            <w:r>
              <w:rPr>
                <w:sz w:val="18"/>
                <w:szCs w:val="18"/>
              </w:rPr>
              <w:t>S11</w:t>
            </w:r>
          </w:p>
        </w:tc>
        <w:tc>
          <w:tcPr>
            <w:tcW w:w="2505" w:type="dxa"/>
            <w:tcBorders>
              <w:right w:val="single" w:color="auto" w:sz="12" w:space="0"/>
            </w:tcBorders>
            <w:shd w:val="clear" w:color="auto" w:fill="auto"/>
            <w:vAlign w:val="center"/>
          </w:tcPr>
          <w:p>
            <w:pPr>
              <w:jc w:val="left"/>
              <w:rPr>
                <w:sz w:val="18"/>
                <w:szCs w:val="18"/>
              </w:rPr>
            </w:pPr>
            <w:r>
              <w:rPr>
                <w:sz w:val="18"/>
                <w:szCs w:val="18"/>
              </w:rPr>
              <w:t>标识和可追溯性</w:t>
            </w:r>
          </w:p>
        </w:tc>
        <w:tc>
          <w:tcPr>
            <w:tcW w:w="699" w:type="dxa"/>
            <w:tcBorders>
              <w:left w:val="single" w:color="auto" w:sz="12" w:space="0"/>
            </w:tcBorders>
            <w:shd w:val="clear" w:color="auto" w:fill="auto"/>
            <w:vAlign w:val="center"/>
          </w:tcPr>
          <w:p>
            <w:pPr>
              <w:rPr>
                <w:sz w:val="18"/>
                <w:szCs w:val="18"/>
              </w:rPr>
            </w:pPr>
          </w:p>
        </w:tc>
        <w:tc>
          <w:tcPr>
            <w:tcW w:w="2597" w:type="dxa"/>
            <w:tcBorders>
              <w:right w:val="single" w:color="auto" w:sz="12" w:space="0"/>
            </w:tcBorders>
            <w:shd w:val="clear" w:color="auto" w:fill="auto"/>
            <w:vAlign w:val="center"/>
          </w:tcPr>
          <w:p>
            <w:pPr>
              <w:jc w:val="lef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9" w:type="dxa"/>
            <w:tcBorders>
              <w:left w:val="single" w:color="auto" w:sz="12" w:space="0"/>
            </w:tcBorders>
            <w:shd w:val="clear" w:color="auto" w:fill="auto"/>
            <w:vAlign w:val="center"/>
          </w:tcPr>
          <w:p>
            <w:pPr>
              <w:rPr>
                <w:sz w:val="18"/>
                <w:szCs w:val="18"/>
              </w:rPr>
            </w:pPr>
          </w:p>
        </w:tc>
        <w:tc>
          <w:tcPr>
            <w:tcW w:w="2597" w:type="dxa"/>
            <w:tcBorders>
              <w:right w:val="single" w:color="auto" w:sz="12" w:space="0"/>
            </w:tcBorders>
            <w:shd w:val="clear" w:color="auto" w:fill="auto"/>
            <w:vAlign w:val="center"/>
          </w:tcPr>
          <w:p>
            <w:pPr>
              <w:rPr>
                <w:sz w:val="18"/>
                <w:szCs w:val="18"/>
              </w:rPr>
            </w:pPr>
          </w:p>
        </w:tc>
        <w:tc>
          <w:tcPr>
            <w:tcW w:w="656" w:type="dxa"/>
            <w:tcBorders>
              <w:left w:val="single" w:color="auto" w:sz="12" w:space="0"/>
            </w:tcBorders>
            <w:shd w:val="clear" w:color="auto" w:fill="auto"/>
            <w:vAlign w:val="center"/>
          </w:tcPr>
          <w:p>
            <w:pPr>
              <w:rPr>
                <w:sz w:val="18"/>
                <w:szCs w:val="18"/>
              </w:rPr>
            </w:pPr>
            <w:r>
              <w:rPr>
                <w:sz w:val="18"/>
                <w:szCs w:val="18"/>
              </w:rPr>
              <w:t>S12</w:t>
            </w:r>
          </w:p>
        </w:tc>
        <w:tc>
          <w:tcPr>
            <w:tcW w:w="2505" w:type="dxa"/>
            <w:tcBorders>
              <w:right w:val="single" w:color="auto" w:sz="12" w:space="0"/>
            </w:tcBorders>
            <w:shd w:val="clear" w:color="auto" w:fill="auto"/>
            <w:vAlign w:val="center"/>
          </w:tcPr>
          <w:p>
            <w:pPr>
              <w:jc w:val="left"/>
              <w:rPr>
                <w:sz w:val="18"/>
                <w:szCs w:val="18"/>
              </w:rPr>
            </w:pPr>
            <w:r>
              <w:rPr>
                <w:sz w:val="18"/>
                <w:szCs w:val="18"/>
              </w:rPr>
              <w:t>顾客或外部供方的财产</w:t>
            </w:r>
          </w:p>
        </w:tc>
        <w:tc>
          <w:tcPr>
            <w:tcW w:w="699" w:type="dxa"/>
            <w:tcBorders>
              <w:left w:val="single" w:color="auto" w:sz="12" w:space="0"/>
            </w:tcBorders>
            <w:shd w:val="clear" w:color="auto" w:fill="auto"/>
            <w:vAlign w:val="center"/>
          </w:tcPr>
          <w:p>
            <w:pPr>
              <w:rPr>
                <w:sz w:val="18"/>
                <w:szCs w:val="18"/>
              </w:rPr>
            </w:pPr>
          </w:p>
        </w:tc>
        <w:tc>
          <w:tcPr>
            <w:tcW w:w="2597" w:type="dxa"/>
            <w:tcBorders>
              <w:right w:val="single" w:color="auto" w:sz="12" w:space="0"/>
            </w:tcBorders>
            <w:shd w:val="clear" w:color="auto" w:fill="auto"/>
            <w:vAlign w:val="center"/>
          </w:tcPr>
          <w:p>
            <w:pPr>
              <w:jc w:val="lef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9" w:type="dxa"/>
            <w:tcBorders>
              <w:left w:val="single" w:color="auto" w:sz="12" w:space="0"/>
            </w:tcBorders>
            <w:shd w:val="clear" w:color="auto" w:fill="auto"/>
            <w:vAlign w:val="center"/>
          </w:tcPr>
          <w:p>
            <w:pPr>
              <w:rPr>
                <w:sz w:val="18"/>
                <w:szCs w:val="18"/>
              </w:rPr>
            </w:pPr>
          </w:p>
        </w:tc>
        <w:tc>
          <w:tcPr>
            <w:tcW w:w="2597" w:type="dxa"/>
            <w:tcBorders>
              <w:right w:val="single" w:color="auto" w:sz="12" w:space="0"/>
            </w:tcBorders>
            <w:shd w:val="clear" w:color="auto" w:fill="auto"/>
            <w:vAlign w:val="center"/>
          </w:tcPr>
          <w:p>
            <w:pPr>
              <w:rPr>
                <w:sz w:val="18"/>
                <w:szCs w:val="18"/>
              </w:rPr>
            </w:pPr>
          </w:p>
        </w:tc>
        <w:tc>
          <w:tcPr>
            <w:tcW w:w="656" w:type="dxa"/>
            <w:tcBorders>
              <w:left w:val="single" w:color="auto" w:sz="12" w:space="0"/>
            </w:tcBorders>
            <w:shd w:val="clear" w:color="auto" w:fill="auto"/>
            <w:vAlign w:val="center"/>
          </w:tcPr>
          <w:p>
            <w:pPr>
              <w:rPr>
                <w:sz w:val="18"/>
                <w:szCs w:val="18"/>
              </w:rPr>
            </w:pPr>
            <w:r>
              <w:rPr>
                <w:sz w:val="18"/>
                <w:szCs w:val="18"/>
              </w:rPr>
              <w:t>S13</w:t>
            </w:r>
          </w:p>
        </w:tc>
        <w:tc>
          <w:tcPr>
            <w:tcW w:w="2505" w:type="dxa"/>
            <w:tcBorders>
              <w:right w:val="single" w:color="auto" w:sz="12" w:space="0"/>
            </w:tcBorders>
            <w:shd w:val="clear" w:color="auto" w:fill="auto"/>
            <w:vAlign w:val="center"/>
          </w:tcPr>
          <w:p>
            <w:pPr>
              <w:rPr>
                <w:sz w:val="18"/>
                <w:szCs w:val="18"/>
              </w:rPr>
            </w:pPr>
            <w:r>
              <w:rPr>
                <w:sz w:val="18"/>
                <w:szCs w:val="18"/>
              </w:rPr>
              <w:t>产品和服务放行</w:t>
            </w:r>
          </w:p>
        </w:tc>
        <w:tc>
          <w:tcPr>
            <w:tcW w:w="699" w:type="dxa"/>
            <w:tcBorders>
              <w:left w:val="single" w:color="auto" w:sz="12" w:space="0"/>
            </w:tcBorders>
            <w:shd w:val="clear" w:color="auto" w:fill="auto"/>
            <w:vAlign w:val="center"/>
          </w:tcPr>
          <w:p>
            <w:pPr>
              <w:rPr>
                <w:sz w:val="18"/>
                <w:szCs w:val="18"/>
              </w:rPr>
            </w:pPr>
          </w:p>
        </w:tc>
        <w:tc>
          <w:tcPr>
            <w:tcW w:w="2597" w:type="dxa"/>
            <w:tcBorders>
              <w:right w:val="single" w:color="auto" w:sz="12" w:space="0"/>
            </w:tcBorders>
            <w:shd w:val="clear" w:color="auto" w:fill="auto"/>
            <w:vAlign w:val="center"/>
          </w:tcPr>
          <w:p>
            <w:pPr>
              <w:jc w:val="lef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659" w:type="dxa"/>
            <w:tcBorders>
              <w:left w:val="single" w:color="auto" w:sz="12" w:space="0"/>
              <w:bottom w:val="single" w:color="auto" w:sz="12" w:space="0"/>
            </w:tcBorders>
            <w:shd w:val="clear" w:color="auto" w:fill="auto"/>
            <w:vAlign w:val="center"/>
          </w:tcPr>
          <w:p>
            <w:pPr>
              <w:rPr>
                <w:sz w:val="18"/>
                <w:szCs w:val="18"/>
              </w:rPr>
            </w:pPr>
          </w:p>
        </w:tc>
        <w:tc>
          <w:tcPr>
            <w:tcW w:w="2597" w:type="dxa"/>
            <w:tcBorders>
              <w:bottom w:val="single" w:color="auto" w:sz="12" w:space="0"/>
              <w:right w:val="single" w:color="auto" w:sz="12" w:space="0"/>
            </w:tcBorders>
            <w:shd w:val="clear" w:color="auto" w:fill="auto"/>
            <w:vAlign w:val="center"/>
          </w:tcPr>
          <w:p>
            <w:pPr>
              <w:rPr>
                <w:sz w:val="18"/>
                <w:szCs w:val="18"/>
              </w:rPr>
            </w:pPr>
          </w:p>
        </w:tc>
        <w:tc>
          <w:tcPr>
            <w:tcW w:w="656" w:type="dxa"/>
            <w:tcBorders>
              <w:left w:val="single" w:color="auto" w:sz="12" w:space="0"/>
              <w:bottom w:val="single" w:color="auto" w:sz="12" w:space="0"/>
            </w:tcBorders>
            <w:shd w:val="clear" w:color="auto" w:fill="auto"/>
            <w:vAlign w:val="center"/>
          </w:tcPr>
          <w:p>
            <w:pPr>
              <w:rPr>
                <w:sz w:val="18"/>
                <w:szCs w:val="18"/>
              </w:rPr>
            </w:pPr>
            <w:r>
              <w:rPr>
                <w:sz w:val="18"/>
                <w:szCs w:val="18"/>
              </w:rPr>
              <w:t>S14</w:t>
            </w:r>
          </w:p>
        </w:tc>
        <w:tc>
          <w:tcPr>
            <w:tcW w:w="2505" w:type="dxa"/>
            <w:tcBorders>
              <w:bottom w:val="single" w:color="auto" w:sz="12" w:space="0"/>
              <w:right w:val="single" w:color="auto" w:sz="12" w:space="0"/>
            </w:tcBorders>
            <w:shd w:val="clear" w:color="auto" w:fill="auto"/>
            <w:vAlign w:val="center"/>
          </w:tcPr>
          <w:p>
            <w:pPr>
              <w:rPr>
                <w:sz w:val="18"/>
                <w:szCs w:val="18"/>
              </w:rPr>
            </w:pPr>
            <w:r>
              <w:rPr>
                <w:sz w:val="18"/>
                <w:szCs w:val="18"/>
              </w:rPr>
              <w:t>不合格产品和服务</w:t>
            </w:r>
          </w:p>
        </w:tc>
        <w:tc>
          <w:tcPr>
            <w:tcW w:w="699" w:type="dxa"/>
            <w:tcBorders>
              <w:left w:val="single" w:color="auto" w:sz="12" w:space="0"/>
              <w:bottom w:val="single" w:color="auto" w:sz="12" w:space="0"/>
            </w:tcBorders>
            <w:shd w:val="clear" w:color="auto" w:fill="auto"/>
            <w:vAlign w:val="center"/>
          </w:tcPr>
          <w:p>
            <w:pPr>
              <w:rPr>
                <w:sz w:val="18"/>
                <w:szCs w:val="18"/>
              </w:rPr>
            </w:pPr>
          </w:p>
        </w:tc>
        <w:tc>
          <w:tcPr>
            <w:tcW w:w="2597" w:type="dxa"/>
            <w:tcBorders>
              <w:bottom w:val="single" w:color="auto" w:sz="12" w:space="0"/>
              <w:right w:val="single" w:color="auto" w:sz="12" w:space="0"/>
            </w:tcBorders>
            <w:shd w:val="clear" w:color="auto" w:fill="auto"/>
            <w:vAlign w:val="center"/>
          </w:tcPr>
          <w:p>
            <w:pPr>
              <w:jc w:val="left"/>
              <w:rPr>
                <w:sz w:val="18"/>
                <w:szCs w:val="18"/>
              </w:rPr>
            </w:pPr>
          </w:p>
        </w:tc>
      </w:tr>
    </w:tbl>
    <w:p>
      <w:pPr>
        <w:rPr>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color w:val="FF0000"/>
          <w:szCs w:val="21"/>
        </w:rPr>
      </w:pPr>
      <w:r>
        <w:rPr>
          <w:rFonts w:hint="eastAsia"/>
          <w:color w:val="FF0000"/>
          <w:szCs w:val="21"/>
        </w:rPr>
        <w:t>附录C</w:t>
      </w:r>
      <w:r>
        <w:rPr>
          <w:szCs w:val="21"/>
        </w:rPr>
        <w:t>过程与过程之间的相互关系</w:t>
      </w:r>
    </w:p>
    <w:tbl>
      <w:tblPr>
        <w:tblStyle w:val="21"/>
        <w:tblW w:w="102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577"/>
        <w:gridCol w:w="1473"/>
        <w:gridCol w:w="1374"/>
        <w:gridCol w:w="1653"/>
        <w:gridCol w:w="127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7" w:type="dxa"/>
            <w:gridSpan w:val="2"/>
            <w:vMerge w:val="restart"/>
            <w:tcBorders>
              <w:top w:val="single" w:color="auto" w:sz="12" w:space="0"/>
              <w:left w:val="single" w:color="auto" w:sz="12" w:space="0"/>
              <w:bottom w:val="single" w:color="auto" w:sz="2" w:space="0"/>
              <w:right w:val="single" w:color="auto" w:sz="2" w:space="0"/>
            </w:tcBorders>
            <w:shd w:val="clear" w:color="auto" w:fill="auto"/>
            <w:vAlign w:val="center"/>
          </w:tcPr>
          <w:p>
            <w:pPr>
              <w:jc w:val="center"/>
              <w:rPr>
                <w:sz w:val="18"/>
                <w:szCs w:val="18"/>
              </w:rPr>
            </w:pPr>
            <w:r>
              <w:rPr>
                <w:sz w:val="18"/>
                <w:szCs w:val="18"/>
              </w:rPr>
              <w:t>项目</w:t>
            </w:r>
          </w:p>
        </w:tc>
        <w:tc>
          <w:tcPr>
            <w:tcW w:w="1473" w:type="dxa"/>
            <w:tcBorders>
              <w:top w:val="single" w:color="auto" w:sz="12" w:space="0"/>
              <w:left w:val="single" w:color="auto" w:sz="2" w:space="0"/>
              <w:bottom w:val="single" w:color="auto" w:sz="2" w:space="0"/>
              <w:right w:val="single" w:color="auto" w:sz="2" w:space="0"/>
            </w:tcBorders>
            <w:shd w:val="clear" w:color="auto" w:fill="auto"/>
            <w:vAlign w:val="center"/>
          </w:tcPr>
          <w:p>
            <w:pPr>
              <w:jc w:val="center"/>
              <w:rPr>
                <w:sz w:val="18"/>
                <w:szCs w:val="18"/>
              </w:rPr>
            </w:pPr>
            <w:r>
              <w:rPr>
                <w:sz w:val="18"/>
                <w:szCs w:val="18"/>
              </w:rPr>
              <w:t>C1</w:t>
            </w:r>
          </w:p>
        </w:tc>
        <w:tc>
          <w:tcPr>
            <w:tcW w:w="1374" w:type="dxa"/>
            <w:tcBorders>
              <w:top w:val="single" w:color="auto" w:sz="12" w:space="0"/>
              <w:left w:val="single" w:color="auto" w:sz="2" w:space="0"/>
              <w:bottom w:val="single" w:color="auto" w:sz="2" w:space="0"/>
              <w:right w:val="single" w:color="auto" w:sz="2" w:space="0"/>
            </w:tcBorders>
            <w:shd w:val="clear" w:color="auto" w:fill="auto"/>
            <w:vAlign w:val="center"/>
          </w:tcPr>
          <w:p>
            <w:pPr>
              <w:jc w:val="center"/>
              <w:rPr>
                <w:sz w:val="18"/>
                <w:szCs w:val="18"/>
              </w:rPr>
            </w:pPr>
            <w:r>
              <w:rPr>
                <w:sz w:val="18"/>
                <w:szCs w:val="18"/>
              </w:rPr>
              <w:t>C2</w:t>
            </w:r>
          </w:p>
        </w:tc>
        <w:tc>
          <w:tcPr>
            <w:tcW w:w="1653" w:type="dxa"/>
            <w:tcBorders>
              <w:top w:val="single" w:color="auto" w:sz="12" w:space="0"/>
              <w:left w:val="single" w:color="auto" w:sz="2" w:space="0"/>
              <w:bottom w:val="single" w:color="auto" w:sz="2" w:space="0"/>
              <w:right w:val="single" w:color="auto" w:sz="2" w:space="0"/>
            </w:tcBorders>
            <w:shd w:val="clear" w:color="auto" w:fill="auto"/>
            <w:vAlign w:val="center"/>
          </w:tcPr>
          <w:p>
            <w:pPr>
              <w:jc w:val="center"/>
              <w:rPr>
                <w:sz w:val="18"/>
                <w:szCs w:val="18"/>
              </w:rPr>
            </w:pPr>
            <w:r>
              <w:rPr>
                <w:sz w:val="18"/>
                <w:szCs w:val="18"/>
              </w:rPr>
              <w:t>C3</w:t>
            </w:r>
          </w:p>
        </w:tc>
        <w:tc>
          <w:tcPr>
            <w:tcW w:w="1271" w:type="dxa"/>
            <w:tcBorders>
              <w:top w:val="single" w:color="auto" w:sz="12" w:space="0"/>
              <w:left w:val="single" w:color="auto" w:sz="2" w:space="0"/>
              <w:bottom w:val="single" w:color="auto" w:sz="2" w:space="0"/>
              <w:right w:val="single" w:color="auto" w:sz="4" w:space="0"/>
            </w:tcBorders>
            <w:shd w:val="clear" w:color="auto" w:fill="auto"/>
            <w:vAlign w:val="center"/>
          </w:tcPr>
          <w:p>
            <w:pPr>
              <w:jc w:val="center"/>
              <w:rPr>
                <w:sz w:val="18"/>
                <w:szCs w:val="18"/>
              </w:rPr>
            </w:pPr>
            <w:r>
              <w:rPr>
                <w:sz w:val="18"/>
                <w:szCs w:val="18"/>
              </w:rPr>
              <w:t>C4</w:t>
            </w:r>
          </w:p>
        </w:tc>
        <w:tc>
          <w:tcPr>
            <w:tcW w:w="1208" w:type="dxa"/>
            <w:tcBorders>
              <w:top w:val="single" w:color="auto" w:sz="12" w:space="0"/>
              <w:left w:val="single" w:color="auto" w:sz="4" w:space="0"/>
              <w:bottom w:val="single" w:color="auto" w:sz="2" w:space="0"/>
              <w:right w:val="single" w:color="auto" w:sz="12" w:space="0"/>
            </w:tcBorders>
            <w:shd w:val="clear" w:color="auto" w:fill="auto"/>
            <w:vAlign w:val="center"/>
          </w:tcPr>
          <w:p>
            <w:pPr>
              <w:jc w:val="center"/>
              <w:rPr>
                <w:sz w:val="18"/>
                <w:szCs w:val="18"/>
              </w:rPr>
            </w:pPr>
            <w:r>
              <w:rPr>
                <w:sz w:val="18"/>
                <w:szCs w:val="18"/>
              </w:rPr>
              <w: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7" w:type="dxa"/>
            <w:gridSpan w:val="2"/>
            <w:vMerge w:val="continue"/>
            <w:tcBorders>
              <w:top w:val="single" w:color="auto" w:sz="2" w:space="0"/>
              <w:left w:val="single" w:color="auto" w:sz="12" w:space="0"/>
              <w:bottom w:val="single" w:color="auto" w:sz="12" w:space="0"/>
              <w:right w:val="single" w:color="auto" w:sz="2" w:space="0"/>
            </w:tcBorders>
            <w:shd w:val="clear" w:color="auto" w:fill="auto"/>
            <w:vAlign w:val="center"/>
          </w:tcPr>
          <w:p>
            <w:pPr>
              <w:jc w:val="center"/>
              <w:rPr>
                <w:sz w:val="18"/>
                <w:szCs w:val="18"/>
              </w:rPr>
            </w:pPr>
          </w:p>
        </w:tc>
        <w:tc>
          <w:tcPr>
            <w:tcW w:w="1473" w:type="dxa"/>
            <w:tcBorders>
              <w:top w:val="single" w:color="auto" w:sz="2" w:space="0"/>
              <w:left w:val="single" w:color="auto" w:sz="2" w:space="0"/>
              <w:bottom w:val="single" w:color="auto" w:sz="12" w:space="0"/>
              <w:right w:val="single" w:color="auto" w:sz="2" w:space="0"/>
            </w:tcBorders>
            <w:shd w:val="clear" w:color="auto" w:fill="auto"/>
            <w:vAlign w:val="center"/>
          </w:tcPr>
          <w:p>
            <w:pPr>
              <w:jc w:val="center"/>
              <w:rPr>
                <w:sz w:val="18"/>
                <w:szCs w:val="18"/>
              </w:rPr>
            </w:pPr>
            <w:r>
              <w:rPr>
                <w:sz w:val="18"/>
                <w:szCs w:val="18"/>
              </w:rPr>
              <w:t>市场需求的确定</w:t>
            </w:r>
          </w:p>
        </w:tc>
        <w:tc>
          <w:tcPr>
            <w:tcW w:w="1374" w:type="dxa"/>
            <w:tcBorders>
              <w:top w:val="single" w:color="auto" w:sz="2" w:space="0"/>
              <w:left w:val="single" w:color="auto" w:sz="2" w:space="0"/>
              <w:bottom w:val="single" w:color="auto" w:sz="12" w:space="0"/>
              <w:right w:val="single" w:color="auto" w:sz="2" w:space="0"/>
            </w:tcBorders>
            <w:shd w:val="clear" w:color="auto" w:fill="auto"/>
            <w:vAlign w:val="center"/>
          </w:tcPr>
          <w:p>
            <w:pPr>
              <w:jc w:val="center"/>
              <w:rPr>
                <w:sz w:val="18"/>
                <w:szCs w:val="18"/>
              </w:rPr>
            </w:pPr>
            <w:r>
              <w:rPr>
                <w:sz w:val="18"/>
                <w:szCs w:val="18"/>
              </w:rPr>
              <w:t>产品和服务开发</w:t>
            </w:r>
          </w:p>
        </w:tc>
        <w:tc>
          <w:tcPr>
            <w:tcW w:w="1653" w:type="dxa"/>
            <w:tcBorders>
              <w:top w:val="single" w:color="auto" w:sz="2" w:space="0"/>
              <w:left w:val="single" w:color="auto" w:sz="2" w:space="0"/>
              <w:bottom w:val="single" w:color="auto" w:sz="12" w:space="0"/>
              <w:right w:val="single" w:color="auto" w:sz="2" w:space="0"/>
            </w:tcBorders>
            <w:shd w:val="clear" w:color="auto" w:fill="auto"/>
            <w:vAlign w:val="center"/>
          </w:tcPr>
          <w:p>
            <w:pPr>
              <w:jc w:val="center"/>
              <w:rPr>
                <w:sz w:val="18"/>
                <w:szCs w:val="18"/>
              </w:rPr>
            </w:pPr>
            <w:r>
              <w:rPr>
                <w:sz w:val="18"/>
                <w:szCs w:val="18"/>
              </w:rPr>
              <w:t>产品生产和服务提供的控制</w:t>
            </w:r>
          </w:p>
        </w:tc>
        <w:tc>
          <w:tcPr>
            <w:tcW w:w="1271" w:type="dxa"/>
            <w:tcBorders>
              <w:top w:val="single" w:color="auto" w:sz="2" w:space="0"/>
              <w:left w:val="single" w:color="auto" w:sz="2" w:space="0"/>
              <w:bottom w:val="single" w:color="auto" w:sz="12" w:space="0"/>
              <w:right w:val="single" w:color="auto" w:sz="4" w:space="0"/>
            </w:tcBorders>
            <w:shd w:val="clear" w:color="auto" w:fill="auto"/>
            <w:vAlign w:val="center"/>
          </w:tcPr>
          <w:p>
            <w:pPr>
              <w:jc w:val="center"/>
              <w:rPr>
                <w:sz w:val="18"/>
                <w:szCs w:val="18"/>
              </w:rPr>
            </w:pPr>
            <w:r>
              <w:rPr>
                <w:sz w:val="18"/>
                <w:szCs w:val="18"/>
              </w:rPr>
              <w:t>产品防护</w:t>
            </w:r>
          </w:p>
        </w:tc>
        <w:tc>
          <w:tcPr>
            <w:tcW w:w="1208" w:type="dxa"/>
            <w:tcBorders>
              <w:top w:val="single" w:color="auto" w:sz="2" w:space="0"/>
              <w:left w:val="single" w:color="auto" w:sz="4" w:space="0"/>
              <w:bottom w:val="single" w:color="auto" w:sz="12" w:space="0"/>
              <w:right w:val="single" w:color="auto" w:sz="12" w:space="0"/>
            </w:tcBorders>
            <w:shd w:val="clear" w:color="auto" w:fill="auto"/>
            <w:vAlign w:val="center"/>
          </w:tcPr>
          <w:p>
            <w:pPr>
              <w:jc w:val="center"/>
              <w:rPr>
                <w:sz w:val="18"/>
                <w:szCs w:val="18"/>
              </w:rPr>
            </w:pPr>
            <w:r>
              <w:rPr>
                <w:sz w:val="18"/>
                <w:szCs w:val="18"/>
              </w:rPr>
              <w:t>交付后的活动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top w:val="single" w:color="auto" w:sz="12" w:space="0"/>
              <w:left w:val="single" w:color="auto" w:sz="12" w:space="0"/>
              <w:bottom w:val="single" w:color="auto" w:sz="2" w:space="0"/>
              <w:right w:val="single" w:color="auto" w:sz="2" w:space="0"/>
            </w:tcBorders>
            <w:shd w:val="clear" w:color="auto" w:fill="auto"/>
            <w:vAlign w:val="center"/>
          </w:tcPr>
          <w:p>
            <w:pPr>
              <w:rPr>
                <w:sz w:val="18"/>
                <w:szCs w:val="18"/>
              </w:rPr>
            </w:pPr>
            <w:r>
              <w:rPr>
                <w:sz w:val="18"/>
                <w:szCs w:val="18"/>
              </w:rPr>
              <w:t>S1</w:t>
            </w:r>
          </w:p>
        </w:tc>
        <w:tc>
          <w:tcPr>
            <w:tcW w:w="2577" w:type="dxa"/>
            <w:tcBorders>
              <w:top w:val="single" w:color="auto" w:sz="12" w:space="0"/>
              <w:left w:val="single" w:color="auto" w:sz="2" w:space="0"/>
              <w:bottom w:val="single" w:color="auto" w:sz="2" w:space="0"/>
              <w:right w:val="single" w:color="auto" w:sz="2" w:space="0"/>
            </w:tcBorders>
            <w:shd w:val="clear" w:color="auto" w:fill="auto"/>
            <w:vAlign w:val="center"/>
          </w:tcPr>
          <w:p>
            <w:pPr>
              <w:jc w:val="left"/>
              <w:rPr>
                <w:sz w:val="18"/>
                <w:szCs w:val="18"/>
              </w:rPr>
            </w:pPr>
            <w:r>
              <w:rPr>
                <w:sz w:val="18"/>
                <w:szCs w:val="18"/>
              </w:rPr>
              <w:t>基础设施</w:t>
            </w:r>
          </w:p>
        </w:tc>
        <w:tc>
          <w:tcPr>
            <w:tcW w:w="1473" w:type="dxa"/>
            <w:tcBorders>
              <w:top w:val="single" w:color="auto" w:sz="12" w:space="0"/>
              <w:left w:val="single" w:color="auto" w:sz="2" w:space="0"/>
              <w:bottom w:val="single" w:color="auto" w:sz="2" w:space="0"/>
              <w:right w:val="single" w:color="auto" w:sz="2" w:space="0"/>
            </w:tcBorders>
            <w:shd w:val="clear" w:color="auto" w:fill="auto"/>
            <w:vAlign w:val="center"/>
          </w:tcPr>
          <w:p>
            <w:pPr>
              <w:rPr>
                <w:sz w:val="18"/>
                <w:szCs w:val="18"/>
              </w:rPr>
            </w:pPr>
          </w:p>
        </w:tc>
        <w:tc>
          <w:tcPr>
            <w:tcW w:w="1374" w:type="dxa"/>
            <w:tcBorders>
              <w:top w:val="single" w:color="auto" w:sz="12" w:space="0"/>
              <w:left w:val="single" w:color="auto" w:sz="2" w:space="0"/>
              <w:bottom w:val="single" w:color="auto" w:sz="2" w:space="0"/>
              <w:right w:val="single" w:color="auto" w:sz="2" w:space="0"/>
            </w:tcBorders>
            <w:shd w:val="clear" w:color="auto" w:fill="auto"/>
          </w:tcPr>
          <w:p>
            <w:pPr>
              <w:rPr>
                <w:sz w:val="18"/>
                <w:szCs w:val="18"/>
              </w:rPr>
            </w:pPr>
          </w:p>
        </w:tc>
        <w:tc>
          <w:tcPr>
            <w:tcW w:w="1653" w:type="dxa"/>
            <w:tcBorders>
              <w:top w:val="single" w:color="auto" w:sz="12" w:space="0"/>
              <w:left w:val="single" w:color="auto" w:sz="2" w:space="0"/>
              <w:bottom w:val="single" w:color="auto" w:sz="2" w:space="0"/>
              <w:right w:val="single" w:color="auto" w:sz="2" w:space="0"/>
            </w:tcBorders>
            <w:shd w:val="clear" w:color="auto" w:fill="auto"/>
          </w:tcPr>
          <w:p>
            <w:pPr>
              <w:rPr>
                <w:sz w:val="18"/>
                <w:szCs w:val="18"/>
              </w:rPr>
            </w:pPr>
            <w:r>
              <w:rPr>
                <w:sz w:val="18"/>
                <w:szCs w:val="18"/>
              </w:rPr>
              <w:t>×</w:t>
            </w:r>
          </w:p>
        </w:tc>
        <w:tc>
          <w:tcPr>
            <w:tcW w:w="1271" w:type="dxa"/>
            <w:tcBorders>
              <w:top w:val="single" w:color="auto" w:sz="12" w:space="0"/>
              <w:left w:val="single" w:color="auto" w:sz="2" w:space="0"/>
              <w:bottom w:val="single" w:color="auto" w:sz="2" w:space="0"/>
              <w:right w:val="single" w:color="auto" w:sz="4" w:space="0"/>
            </w:tcBorders>
            <w:shd w:val="clear" w:color="auto" w:fill="auto"/>
          </w:tcPr>
          <w:p>
            <w:pPr>
              <w:rPr>
                <w:sz w:val="18"/>
                <w:szCs w:val="18"/>
              </w:rPr>
            </w:pPr>
          </w:p>
        </w:tc>
        <w:tc>
          <w:tcPr>
            <w:tcW w:w="1208" w:type="dxa"/>
            <w:tcBorders>
              <w:top w:val="single" w:color="auto" w:sz="12" w:space="0"/>
              <w:left w:val="single" w:color="auto" w:sz="4" w:space="0"/>
              <w:bottom w:val="single" w:color="auto" w:sz="2" w:space="0"/>
              <w:right w:val="single" w:color="auto" w:sz="12" w:space="0"/>
            </w:tcBorders>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top w:val="single" w:color="auto" w:sz="2" w:space="0"/>
              <w:left w:val="single" w:color="auto" w:sz="12" w:space="0"/>
              <w:bottom w:val="single" w:color="auto" w:sz="2" w:space="0"/>
              <w:right w:val="single" w:color="auto" w:sz="2" w:space="0"/>
            </w:tcBorders>
            <w:shd w:val="clear" w:color="auto" w:fill="auto"/>
            <w:vAlign w:val="center"/>
          </w:tcPr>
          <w:p>
            <w:pPr>
              <w:rPr>
                <w:sz w:val="18"/>
                <w:szCs w:val="18"/>
              </w:rPr>
            </w:pPr>
            <w:r>
              <w:rPr>
                <w:sz w:val="18"/>
                <w:szCs w:val="18"/>
              </w:rPr>
              <w:t>S2</w:t>
            </w:r>
          </w:p>
        </w:tc>
        <w:tc>
          <w:tcPr>
            <w:tcW w:w="2577" w:type="dxa"/>
            <w:tcBorders>
              <w:top w:val="single" w:color="auto" w:sz="2" w:space="0"/>
              <w:left w:val="single" w:color="auto" w:sz="2" w:space="0"/>
              <w:bottom w:val="single" w:color="auto" w:sz="2" w:space="0"/>
              <w:right w:val="single" w:color="auto" w:sz="2" w:space="0"/>
            </w:tcBorders>
            <w:shd w:val="clear" w:color="auto" w:fill="auto"/>
            <w:vAlign w:val="center"/>
          </w:tcPr>
          <w:p>
            <w:pPr>
              <w:jc w:val="left"/>
              <w:rPr>
                <w:sz w:val="18"/>
                <w:szCs w:val="18"/>
              </w:rPr>
            </w:pPr>
            <w:r>
              <w:rPr>
                <w:sz w:val="18"/>
                <w:szCs w:val="18"/>
              </w:rPr>
              <w:t>过程环境</w:t>
            </w:r>
          </w:p>
        </w:tc>
        <w:tc>
          <w:tcPr>
            <w:tcW w:w="147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p>
        </w:tc>
        <w:tc>
          <w:tcPr>
            <w:tcW w:w="1374" w:type="dxa"/>
            <w:tcBorders>
              <w:top w:val="single" w:color="auto" w:sz="2" w:space="0"/>
              <w:left w:val="single" w:color="auto" w:sz="2" w:space="0"/>
              <w:bottom w:val="single" w:color="auto" w:sz="2" w:space="0"/>
              <w:right w:val="single" w:color="auto" w:sz="2" w:space="0"/>
            </w:tcBorders>
            <w:shd w:val="clear" w:color="auto" w:fill="auto"/>
          </w:tcPr>
          <w:p>
            <w:pPr>
              <w:rPr>
                <w:sz w:val="18"/>
                <w:szCs w:val="18"/>
              </w:rPr>
            </w:pPr>
          </w:p>
        </w:tc>
        <w:tc>
          <w:tcPr>
            <w:tcW w:w="1653" w:type="dxa"/>
            <w:tcBorders>
              <w:top w:val="single" w:color="auto" w:sz="2" w:space="0"/>
              <w:left w:val="single" w:color="auto" w:sz="2" w:space="0"/>
              <w:bottom w:val="single" w:color="auto" w:sz="2" w:space="0"/>
              <w:right w:val="single" w:color="auto" w:sz="2" w:space="0"/>
            </w:tcBorders>
            <w:shd w:val="clear" w:color="auto" w:fill="auto"/>
          </w:tcPr>
          <w:p>
            <w:pPr>
              <w:rPr>
                <w:sz w:val="18"/>
                <w:szCs w:val="18"/>
              </w:rPr>
            </w:pPr>
            <w:r>
              <w:rPr>
                <w:sz w:val="18"/>
                <w:szCs w:val="18"/>
              </w:rPr>
              <w:t>×</w:t>
            </w:r>
          </w:p>
        </w:tc>
        <w:tc>
          <w:tcPr>
            <w:tcW w:w="1271" w:type="dxa"/>
            <w:tcBorders>
              <w:top w:val="single" w:color="auto" w:sz="2" w:space="0"/>
              <w:left w:val="single" w:color="auto" w:sz="2" w:space="0"/>
              <w:bottom w:val="single" w:color="auto" w:sz="2" w:space="0"/>
              <w:right w:val="single" w:color="auto" w:sz="4" w:space="0"/>
            </w:tcBorders>
            <w:shd w:val="clear" w:color="auto" w:fill="auto"/>
          </w:tcPr>
          <w:p>
            <w:pPr>
              <w:rPr>
                <w:sz w:val="18"/>
                <w:szCs w:val="18"/>
              </w:rPr>
            </w:pPr>
          </w:p>
        </w:tc>
        <w:tc>
          <w:tcPr>
            <w:tcW w:w="1208" w:type="dxa"/>
            <w:tcBorders>
              <w:top w:val="single" w:color="auto" w:sz="2" w:space="0"/>
              <w:left w:val="single" w:color="auto" w:sz="4" w:space="0"/>
              <w:bottom w:val="single" w:color="auto" w:sz="2" w:space="0"/>
              <w:right w:val="single" w:color="auto" w:sz="12" w:space="0"/>
            </w:tcBorders>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top w:val="single" w:color="auto" w:sz="2" w:space="0"/>
              <w:left w:val="single" w:color="auto" w:sz="12" w:space="0"/>
              <w:bottom w:val="single" w:color="auto" w:sz="2" w:space="0"/>
              <w:right w:val="single" w:color="auto" w:sz="2" w:space="0"/>
            </w:tcBorders>
            <w:shd w:val="clear" w:color="auto" w:fill="auto"/>
            <w:vAlign w:val="center"/>
          </w:tcPr>
          <w:p>
            <w:pPr>
              <w:rPr>
                <w:sz w:val="18"/>
                <w:szCs w:val="18"/>
              </w:rPr>
            </w:pPr>
            <w:r>
              <w:rPr>
                <w:sz w:val="18"/>
                <w:szCs w:val="18"/>
              </w:rPr>
              <w:t>S3</w:t>
            </w:r>
          </w:p>
        </w:tc>
        <w:tc>
          <w:tcPr>
            <w:tcW w:w="2577" w:type="dxa"/>
            <w:tcBorders>
              <w:top w:val="single" w:color="auto" w:sz="2" w:space="0"/>
              <w:left w:val="single" w:color="auto" w:sz="2" w:space="0"/>
              <w:bottom w:val="single" w:color="auto" w:sz="2" w:space="0"/>
              <w:right w:val="single" w:color="auto" w:sz="2" w:space="0"/>
            </w:tcBorders>
            <w:shd w:val="clear" w:color="auto" w:fill="auto"/>
            <w:vAlign w:val="center"/>
          </w:tcPr>
          <w:p>
            <w:pPr>
              <w:jc w:val="left"/>
              <w:rPr>
                <w:sz w:val="18"/>
                <w:szCs w:val="18"/>
              </w:rPr>
            </w:pPr>
            <w:r>
              <w:rPr>
                <w:sz w:val="18"/>
                <w:szCs w:val="18"/>
              </w:rPr>
              <w:t>监视和测量设备</w:t>
            </w:r>
          </w:p>
        </w:tc>
        <w:tc>
          <w:tcPr>
            <w:tcW w:w="147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p>
        </w:tc>
        <w:tc>
          <w:tcPr>
            <w:tcW w:w="1374" w:type="dxa"/>
            <w:tcBorders>
              <w:top w:val="single" w:color="auto" w:sz="2" w:space="0"/>
              <w:left w:val="single" w:color="auto" w:sz="2" w:space="0"/>
              <w:bottom w:val="single" w:color="auto" w:sz="2" w:space="0"/>
              <w:right w:val="single" w:color="auto" w:sz="2" w:space="0"/>
            </w:tcBorders>
            <w:shd w:val="clear" w:color="auto" w:fill="auto"/>
          </w:tcPr>
          <w:p>
            <w:pPr>
              <w:rPr>
                <w:sz w:val="18"/>
                <w:szCs w:val="18"/>
              </w:rPr>
            </w:pPr>
          </w:p>
        </w:tc>
        <w:tc>
          <w:tcPr>
            <w:tcW w:w="1653" w:type="dxa"/>
            <w:tcBorders>
              <w:top w:val="single" w:color="auto" w:sz="2" w:space="0"/>
              <w:left w:val="single" w:color="auto" w:sz="2" w:space="0"/>
              <w:bottom w:val="single" w:color="auto" w:sz="2" w:space="0"/>
              <w:right w:val="single" w:color="auto" w:sz="2" w:space="0"/>
            </w:tcBorders>
            <w:shd w:val="clear" w:color="auto" w:fill="auto"/>
          </w:tcPr>
          <w:p>
            <w:pPr>
              <w:rPr>
                <w:sz w:val="18"/>
                <w:szCs w:val="18"/>
              </w:rPr>
            </w:pPr>
            <w:r>
              <w:rPr>
                <w:sz w:val="18"/>
                <w:szCs w:val="18"/>
              </w:rPr>
              <w:t>×</w:t>
            </w:r>
          </w:p>
        </w:tc>
        <w:tc>
          <w:tcPr>
            <w:tcW w:w="1271" w:type="dxa"/>
            <w:tcBorders>
              <w:top w:val="single" w:color="auto" w:sz="2" w:space="0"/>
              <w:left w:val="single" w:color="auto" w:sz="2" w:space="0"/>
              <w:bottom w:val="single" w:color="auto" w:sz="2" w:space="0"/>
              <w:right w:val="single" w:color="auto" w:sz="4" w:space="0"/>
            </w:tcBorders>
            <w:shd w:val="clear" w:color="auto" w:fill="auto"/>
          </w:tcPr>
          <w:p>
            <w:pPr>
              <w:rPr>
                <w:sz w:val="18"/>
                <w:szCs w:val="18"/>
              </w:rPr>
            </w:pPr>
          </w:p>
        </w:tc>
        <w:tc>
          <w:tcPr>
            <w:tcW w:w="1208" w:type="dxa"/>
            <w:tcBorders>
              <w:top w:val="single" w:color="auto" w:sz="2" w:space="0"/>
              <w:left w:val="single" w:color="auto" w:sz="4" w:space="0"/>
              <w:bottom w:val="single" w:color="auto" w:sz="2" w:space="0"/>
              <w:right w:val="single" w:color="auto" w:sz="12" w:space="0"/>
            </w:tcBorders>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top w:val="single" w:color="auto" w:sz="2" w:space="0"/>
              <w:left w:val="single" w:color="auto" w:sz="12" w:space="0"/>
              <w:bottom w:val="single" w:color="auto" w:sz="2" w:space="0"/>
              <w:right w:val="single" w:color="auto" w:sz="2" w:space="0"/>
            </w:tcBorders>
            <w:shd w:val="clear" w:color="auto" w:fill="auto"/>
            <w:vAlign w:val="center"/>
          </w:tcPr>
          <w:p>
            <w:pPr>
              <w:rPr>
                <w:sz w:val="18"/>
                <w:szCs w:val="18"/>
              </w:rPr>
            </w:pPr>
            <w:r>
              <w:rPr>
                <w:sz w:val="18"/>
                <w:szCs w:val="18"/>
              </w:rPr>
              <w:t>S4</w:t>
            </w:r>
          </w:p>
        </w:tc>
        <w:tc>
          <w:tcPr>
            <w:tcW w:w="2577" w:type="dxa"/>
            <w:tcBorders>
              <w:top w:val="single" w:color="auto" w:sz="2" w:space="0"/>
              <w:left w:val="single" w:color="auto" w:sz="2" w:space="0"/>
              <w:bottom w:val="single" w:color="auto" w:sz="2" w:space="0"/>
              <w:right w:val="single" w:color="auto" w:sz="2" w:space="0"/>
            </w:tcBorders>
            <w:shd w:val="clear" w:color="auto" w:fill="auto"/>
            <w:vAlign w:val="center"/>
          </w:tcPr>
          <w:p>
            <w:pPr>
              <w:jc w:val="left"/>
              <w:rPr>
                <w:sz w:val="18"/>
                <w:szCs w:val="18"/>
              </w:rPr>
            </w:pPr>
            <w:r>
              <w:rPr>
                <w:sz w:val="18"/>
                <w:szCs w:val="18"/>
              </w:rPr>
              <w:t>知识</w:t>
            </w:r>
          </w:p>
        </w:tc>
        <w:tc>
          <w:tcPr>
            <w:tcW w:w="147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p>
        </w:tc>
        <w:tc>
          <w:tcPr>
            <w:tcW w:w="1374" w:type="dxa"/>
            <w:tcBorders>
              <w:top w:val="single" w:color="auto" w:sz="2" w:space="0"/>
              <w:left w:val="single" w:color="auto" w:sz="2" w:space="0"/>
              <w:bottom w:val="single" w:color="auto" w:sz="2" w:space="0"/>
              <w:right w:val="single" w:color="auto" w:sz="2" w:space="0"/>
            </w:tcBorders>
            <w:shd w:val="clear" w:color="auto" w:fill="auto"/>
          </w:tcPr>
          <w:p>
            <w:pPr>
              <w:rPr>
                <w:sz w:val="18"/>
                <w:szCs w:val="18"/>
              </w:rPr>
            </w:pPr>
          </w:p>
        </w:tc>
        <w:tc>
          <w:tcPr>
            <w:tcW w:w="1653" w:type="dxa"/>
            <w:tcBorders>
              <w:top w:val="single" w:color="auto" w:sz="2" w:space="0"/>
              <w:left w:val="single" w:color="auto" w:sz="2" w:space="0"/>
              <w:bottom w:val="single" w:color="auto" w:sz="2" w:space="0"/>
              <w:right w:val="single" w:color="auto" w:sz="2" w:space="0"/>
            </w:tcBorders>
            <w:shd w:val="clear" w:color="auto" w:fill="auto"/>
          </w:tcPr>
          <w:p>
            <w:pPr>
              <w:rPr>
                <w:sz w:val="18"/>
                <w:szCs w:val="18"/>
              </w:rPr>
            </w:pPr>
          </w:p>
        </w:tc>
        <w:tc>
          <w:tcPr>
            <w:tcW w:w="1271" w:type="dxa"/>
            <w:tcBorders>
              <w:top w:val="single" w:color="auto" w:sz="2" w:space="0"/>
              <w:left w:val="single" w:color="auto" w:sz="2" w:space="0"/>
              <w:bottom w:val="single" w:color="auto" w:sz="2" w:space="0"/>
              <w:right w:val="single" w:color="auto" w:sz="4" w:space="0"/>
            </w:tcBorders>
            <w:shd w:val="clear" w:color="auto" w:fill="auto"/>
          </w:tcPr>
          <w:p>
            <w:pPr>
              <w:rPr>
                <w:sz w:val="18"/>
                <w:szCs w:val="18"/>
              </w:rPr>
            </w:pPr>
          </w:p>
        </w:tc>
        <w:tc>
          <w:tcPr>
            <w:tcW w:w="1208" w:type="dxa"/>
            <w:tcBorders>
              <w:top w:val="single" w:color="auto" w:sz="2" w:space="0"/>
              <w:left w:val="single" w:color="auto" w:sz="4" w:space="0"/>
              <w:bottom w:val="single" w:color="auto" w:sz="2" w:space="0"/>
              <w:right w:val="single" w:color="auto" w:sz="12" w:space="0"/>
            </w:tcBorders>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top w:val="single" w:color="auto" w:sz="2" w:space="0"/>
              <w:left w:val="single" w:color="auto" w:sz="12" w:space="0"/>
              <w:bottom w:val="single" w:color="auto" w:sz="2" w:space="0"/>
              <w:right w:val="single" w:color="auto" w:sz="2" w:space="0"/>
            </w:tcBorders>
            <w:shd w:val="clear" w:color="auto" w:fill="auto"/>
            <w:vAlign w:val="center"/>
          </w:tcPr>
          <w:p>
            <w:pPr>
              <w:rPr>
                <w:sz w:val="18"/>
                <w:szCs w:val="18"/>
              </w:rPr>
            </w:pPr>
            <w:r>
              <w:rPr>
                <w:sz w:val="18"/>
                <w:szCs w:val="18"/>
              </w:rPr>
              <w:t>S5</w:t>
            </w:r>
          </w:p>
        </w:tc>
        <w:tc>
          <w:tcPr>
            <w:tcW w:w="2577" w:type="dxa"/>
            <w:tcBorders>
              <w:top w:val="single" w:color="auto" w:sz="2" w:space="0"/>
              <w:left w:val="single" w:color="auto" w:sz="2" w:space="0"/>
              <w:bottom w:val="single" w:color="auto" w:sz="2" w:space="0"/>
              <w:right w:val="single" w:color="auto" w:sz="2" w:space="0"/>
            </w:tcBorders>
            <w:shd w:val="clear" w:color="auto" w:fill="auto"/>
            <w:vAlign w:val="center"/>
          </w:tcPr>
          <w:p>
            <w:pPr>
              <w:jc w:val="left"/>
              <w:rPr>
                <w:bCs/>
                <w:sz w:val="18"/>
                <w:szCs w:val="18"/>
              </w:rPr>
            </w:pPr>
            <w:r>
              <w:rPr>
                <w:sz w:val="18"/>
                <w:szCs w:val="18"/>
              </w:rPr>
              <w:t>能力</w:t>
            </w:r>
          </w:p>
        </w:tc>
        <w:tc>
          <w:tcPr>
            <w:tcW w:w="1473" w:type="dxa"/>
            <w:tcBorders>
              <w:top w:val="single" w:color="auto" w:sz="2" w:space="0"/>
              <w:left w:val="single" w:color="auto" w:sz="2" w:space="0"/>
              <w:bottom w:val="single" w:color="auto" w:sz="2" w:space="0"/>
              <w:right w:val="single" w:color="auto" w:sz="2" w:space="0"/>
            </w:tcBorders>
            <w:shd w:val="clear" w:color="auto" w:fill="auto"/>
            <w:vAlign w:val="center"/>
          </w:tcPr>
          <w:p>
            <w:pPr>
              <w:jc w:val="left"/>
              <w:rPr>
                <w:sz w:val="18"/>
                <w:szCs w:val="18"/>
              </w:rPr>
            </w:pPr>
          </w:p>
        </w:tc>
        <w:tc>
          <w:tcPr>
            <w:tcW w:w="1374" w:type="dxa"/>
            <w:tcBorders>
              <w:top w:val="single" w:color="auto" w:sz="2" w:space="0"/>
              <w:left w:val="single" w:color="auto" w:sz="2" w:space="0"/>
              <w:bottom w:val="single" w:color="auto" w:sz="2" w:space="0"/>
              <w:right w:val="single" w:color="auto" w:sz="2" w:space="0"/>
            </w:tcBorders>
            <w:shd w:val="clear" w:color="auto" w:fill="auto"/>
          </w:tcPr>
          <w:p>
            <w:pPr>
              <w:rPr>
                <w:sz w:val="18"/>
                <w:szCs w:val="18"/>
              </w:rPr>
            </w:pPr>
          </w:p>
        </w:tc>
        <w:tc>
          <w:tcPr>
            <w:tcW w:w="165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p>
        </w:tc>
        <w:tc>
          <w:tcPr>
            <w:tcW w:w="1271" w:type="dxa"/>
            <w:tcBorders>
              <w:top w:val="single" w:color="auto" w:sz="2" w:space="0"/>
              <w:left w:val="single" w:color="auto" w:sz="2" w:space="0"/>
              <w:bottom w:val="single" w:color="auto" w:sz="2" w:space="0"/>
              <w:right w:val="single" w:color="auto" w:sz="4" w:space="0"/>
            </w:tcBorders>
            <w:shd w:val="clear" w:color="auto" w:fill="auto"/>
          </w:tcPr>
          <w:p>
            <w:pPr>
              <w:rPr>
                <w:sz w:val="18"/>
                <w:szCs w:val="18"/>
              </w:rPr>
            </w:pPr>
          </w:p>
        </w:tc>
        <w:tc>
          <w:tcPr>
            <w:tcW w:w="1208" w:type="dxa"/>
            <w:tcBorders>
              <w:top w:val="single" w:color="auto" w:sz="2" w:space="0"/>
              <w:left w:val="single" w:color="auto" w:sz="4" w:space="0"/>
              <w:bottom w:val="single" w:color="auto" w:sz="2" w:space="0"/>
              <w:right w:val="single" w:color="auto" w:sz="12" w:space="0"/>
            </w:tcBorders>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top w:val="single" w:color="auto" w:sz="2" w:space="0"/>
              <w:left w:val="single" w:color="auto" w:sz="12" w:space="0"/>
              <w:bottom w:val="single" w:color="auto" w:sz="2" w:space="0"/>
              <w:right w:val="single" w:color="auto" w:sz="2" w:space="0"/>
            </w:tcBorders>
            <w:shd w:val="clear" w:color="auto" w:fill="auto"/>
            <w:vAlign w:val="center"/>
          </w:tcPr>
          <w:p>
            <w:pPr>
              <w:rPr>
                <w:sz w:val="18"/>
                <w:szCs w:val="18"/>
              </w:rPr>
            </w:pPr>
            <w:r>
              <w:rPr>
                <w:sz w:val="18"/>
                <w:szCs w:val="18"/>
              </w:rPr>
              <w:t>S6</w:t>
            </w:r>
          </w:p>
        </w:tc>
        <w:tc>
          <w:tcPr>
            <w:tcW w:w="2577" w:type="dxa"/>
            <w:tcBorders>
              <w:top w:val="single" w:color="auto" w:sz="2" w:space="0"/>
              <w:left w:val="single" w:color="auto" w:sz="2" w:space="0"/>
              <w:bottom w:val="single" w:color="auto" w:sz="2" w:space="0"/>
              <w:right w:val="single" w:color="auto" w:sz="2" w:space="0"/>
            </w:tcBorders>
            <w:shd w:val="clear" w:color="auto" w:fill="auto"/>
            <w:vAlign w:val="center"/>
          </w:tcPr>
          <w:p>
            <w:pPr>
              <w:jc w:val="left"/>
              <w:rPr>
                <w:bCs/>
                <w:sz w:val="18"/>
                <w:szCs w:val="18"/>
              </w:rPr>
            </w:pPr>
            <w:r>
              <w:rPr>
                <w:sz w:val="18"/>
                <w:szCs w:val="18"/>
              </w:rPr>
              <w:t>意识</w:t>
            </w:r>
          </w:p>
        </w:tc>
        <w:tc>
          <w:tcPr>
            <w:tcW w:w="1473" w:type="dxa"/>
            <w:tcBorders>
              <w:top w:val="single" w:color="auto" w:sz="2" w:space="0"/>
              <w:left w:val="single" w:color="auto" w:sz="2" w:space="0"/>
              <w:bottom w:val="single" w:color="auto" w:sz="2" w:space="0"/>
              <w:right w:val="single" w:color="auto" w:sz="2" w:space="0"/>
            </w:tcBorders>
            <w:shd w:val="clear" w:color="auto" w:fill="auto"/>
            <w:vAlign w:val="center"/>
          </w:tcPr>
          <w:p>
            <w:pPr>
              <w:jc w:val="left"/>
              <w:rPr>
                <w:sz w:val="18"/>
                <w:szCs w:val="18"/>
              </w:rPr>
            </w:pPr>
          </w:p>
        </w:tc>
        <w:tc>
          <w:tcPr>
            <w:tcW w:w="1374" w:type="dxa"/>
            <w:tcBorders>
              <w:top w:val="single" w:color="auto" w:sz="2" w:space="0"/>
              <w:left w:val="single" w:color="auto" w:sz="2" w:space="0"/>
              <w:bottom w:val="single" w:color="auto" w:sz="2" w:space="0"/>
              <w:right w:val="single" w:color="auto" w:sz="2" w:space="0"/>
            </w:tcBorders>
            <w:shd w:val="clear" w:color="auto" w:fill="auto"/>
          </w:tcPr>
          <w:p>
            <w:pPr>
              <w:rPr>
                <w:sz w:val="18"/>
                <w:szCs w:val="18"/>
              </w:rPr>
            </w:pPr>
          </w:p>
        </w:tc>
        <w:tc>
          <w:tcPr>
            <w:tcW w:w="165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p>
        </w:tc>
        <w:tc>
          <w:tcPr>
            <w:tcW w:w="1271" w:type="dxa"/>
            <w:tcBorders>
              <w:top w:val="single" w:color="auto" w:sz="2" w:space="0"/>
              <w:left w:val="single" w:color="auto" w:sz="2" w:space="0"/>
              <w:bottom w:val="single" w:color="auto" w:sz="2" w:space="0"/>
              <w:right w:val="single" w:color="auto" w:sz="4" w:space="0"/>
            </w:tcBorders>
            <w:shd w:val="clear" w:color="auto" w:fill="auto"/>
          </w:tcPr>
          <w:p>
            <w:pPr>
              <w:rPr>
                <w:sz w:val="18"/>
                <w:szCs w:val="18"/>
              </w:rPr>
            </w:pPr>
          </w:p>
        </w:tc>
        <w:tc>
          <w:tcPr>
            <w:tcW w:w="1208" w:type="dxa"/>
            <w:tcBorders>
              <w:top w:val="single" w:color="auto" w:sz="2" w:space="0"/>
              <w:left w:val="single" w:color="auto" w:sz="4" w:space="0"/>
              <w:bottom w:val="single" w:color="auto" w:sz="2" w:space="0"/>
              <w:right w:val="single" w:color="auto" w:sz="12" w:space="0"/>
            </w:tcBorders>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top w:val="single" w:color="auto" w:sz="2" w:space="0"/>
              <w:left w:val="single" w:color="auto" w:sz="12" w:space="0"/>
              <w:bottom w:val="single" w:color="auto" w:sz="2" w:space="0"/>
              <w:right w:val="single" w:color="auto" w:sz="2" w:space="0"/>
            </w:tcBorders>
            <w:shd w:val="clear" w:color="auto" w:fill="auto"/>
            <w:vAlign w:val="center"/>
          </w:tcPr>
          <w:p>
            <w:pPr>
              <w:rPr>
                <w:sz w:val="18"/>
                <w:szCs w:val="18"/>
              </w:rPr>
            </w:pPr>
            <w:r>
              <w:rPr>
                <w:sz w:val="18"/>
                <w:szCs w:val="18"/>
              </w:rPr>
              <w:t>S7</w:t>
            </w:r>
          </w:p>
        </w:tc>
        <w:tc>
          <w:tcPr>
            <w:tcW w:w="2577"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r>
              <w:rPr>
                <w:sz w:val="18"/>
                <w:szCs w:val="18"/>
              </w:rPr>
              <w:t>沟通</w:t>
            </w:r>
          </w:p>
        </w:tc>
        <w:tc>
          <w:tcPr>
            <w:tcW w:w="147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p>
        </w:tc>
        <w:tc>
          <w:tcPr>
            <w:tcW w:w="1374" w:type="dxa"/>
            <w:tcBorders>
              <w:top w:val="single" w:color="auto" w:sz="2" w:space="0"/>
              <w:left w:val="single" w:color="auto" w:sz="2" w:space="0"/>
              <w:bottom w:val="single" w:color="auto" w:sz="2" w:space="0"/>
              <w:right w:val="single" w:color="auto" w:sz="2" w:space="0"/>
            </w:tcBorders>
            <w:shd w:val="clear" w:color="auto" w:fill="auto"/>
          </w:tcPr>
          <w:p>
            <w:pPr>
              <w:rPr>
                <w:sz w:val="18"/>
                <w:szCs w:val="18"/>
              </w:rPr>
            </w:pPr>
          </w:p>
        </w:tc>
        <w:tc>
          <w:tcPr>
            <w:tcW w:w="165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p>
        </w:tc>
        <w:tc>
          <w:tcPr>
            <w:tcW w:w="1271" w:type="dxa"/>
            <w:tcBorders>
              <w:top w:val="single" w:color="auto" w:sz="2" w:space="0"/>
              <w:left w:val="single" w:color="auto" w:sz="2" w:space="0"/>
              <w:bottom w:val="single" w:color="auto" w:sz="2" w:space="0"/>
              <w:right w:val="single" w:color="auto" w:sz="4" w:space="0"/>
            </w:tcBorders>
            <w:shd w:val="clear" w:color="auto" w:fill="auto"/>
          </w:tcPr>
          <w:p>
            <w:pPr>
              <w:rPr>
                <w:sz w:val="18"/>
                <w:szCs w:val="18"/>
              </w:rPr>
            </w:pPr>
          </w:p>
        </w:tc>
        <w:tc>
          <w:tcPr>
            <w:tcW w:w="1208" w:type="dxa"/>
            <w:tcBorders>
              <w:top w:val="single" w:color="auto" w:sz="2" w:space="0"/>
              <w:left w:val="single" w:color="auto" w:sz="4" w:space="0"/>
              <w:bottom w:val="single" w:color="auto" w:sz="2" w:space="0"/>
              <w:right w:val="single" w:color="auto" w:sz="12" w:space="0"/>
            </w:tcBorders>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top w:val="single" w:color="auto" w:sz="2" w:space="0"/>
              <w:left w:val="single" w:color="auto" w:sz="12" w:space="0"/>
              <w:bottom w:val="single" w:color="auto" w:sz="2" w:space="0"/>
              <w:right w:val="single" w:color="auto" w:sz="2" w:space="0"/>
            </w:tcBorders>
            <w:shd w:val="clear" w:color="auto" w:fill="auto"/>
            <w:vAlign w:val="center"/>
          </w:tcPr>
          <w:p>
            <w:pPr>
              <w:rPr>
                <w:sz w:val="18"/>
                <w:szCs w:val="18"/>
              </w:rPr>
            </w:pPr>
            <w:r>
              <w:rPr>
                <w:sz w:val="18"/>
                <w:szCs w:val="18"/>
              </w:rPr>
              <w:t>S8</w:t>
            </w:r>
          </w:p>
        </w:tc>
        <w:tc>
          <w:tcPr>
            <w:tcW w:w="2577"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r>
              <w:rPr>
                <w:sz w:val="18"/>
                <w:szCs w:val="18"/>
              </w:rPr>
              <w:t>形成文件的信息</w:t>
            </w:r>
          </w:p>
        </w:tc>
        <w:tc>
          <w:tcPr>
            <w:tcW w:w="1473" w:type="dxa"/>
            <w:tcBorders>
              <w:top w:val="single" w:color="auto" w:sz="2" w:space="0"/>
              <w:left w:val="single" w:color="auto" w:sz="2" w:space="0"/>
              <w:bottom w:val="single" w:color="auto" w:sz="2" w:space="0"/>
              <w:right w:val="single" w:color="auto" w:sz="2" w:space="0"/>
            </w:tcBorders>
            <w:shd w:val="clear" w:color="auto" w:fill="auto"/>
            <w:vAlign w:val="center"/>
          </w:tcPr>
          <w:p>
            <w:pPr>
              <w:jc w:val="left"/>
              <w:rPr>
                <w:sz w:val="18"/>
                <w:szCs w:val="18"/>
              </w:rPr>
            </w:pPr>
          </w:p>
        </w:tc>
        <w:tc>
          <w:tcPr>
            <w:tcW w:w="1374" w:type="dxa"/>
            <w:tcBorders>
              <w:top w:val="single" w:color="auto" w:sz="2" w:space="0"/>
              <w:left w:val="single" w:color="auto" w:sz="2" w:space="0"/>
              <w:bottom w:val="single" w:color="auto" w:sz="2" w:space="0"/>
              <w:right w:val="single" w:color="auto" w:sz="2" w:space="0"/>
            </w:tcBorders>
            <w:shd w:val="clear" w:color="auto" w:fill="auto"/>
          </w:tcPr>
          <w:p>
            <w:pPr>
              <w:rPr>
                <w:sz w:val="18"/>
                <w:szCs w:val="18"/>
              </w:rPr>
            </w:pPr>
          </w:p>
        </w:tc>
        <w:tc>
          <w:tcPr>
            <w:tcW w:w="165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p>
        </w:tc>
        <w:tc>
          <w:tcPr>
            <w:tcW w:w="1271" w:type="dxa"/>
            <w:tcBorders>
              <w:top w:val="single" w:color="auto" w:sz="2" w:space="0"/>
              <w:left w:val="single" w:color="auto" w:sz="2" w:space="0"/>
              <w:bottom w:val="single" w:color="auto" w:sz="2" w:space="0"/>
              <w:right w:val="single" w:color="auto" w:sz="4" w:space="0"/>
            </w:tcBorders>
            <w:shd w:val="clear" w:color="auto" w:fill="auto"/>
          </w:tcPr>
          <w:p>
            <w:pPr>
              <w:rPr>
                <w:sz w:val="18"/>
                <w:szCs w:val="18"/>
              </w:rPr>
            </w:pPr>
          </w:p>
        </w:tc>
        <w:tc>
          <w:tcPr>
            <w:tcW w:w="1208" w:type="dxa"/>
            <w:tcBorders>
              <w:top w:val="single" w:color="auto" w:sz="2" w:space="0"/>
              <w:left w:val="single" w:color="auto" w:sz="4" w:space="0"/>
              <w:bottom w:val="single" w:color="auto" w:sz="2" w:space="0"/>
              <w:right w:val="single" w:color="auto" w:sz="12" w:space="0"/>
            </w:tcBorders>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top w:val="single" w:color="auto" w:sz="2" w:space="0"/>
              <w:left w:val="single" w:color="auto" w:sz="12" w:space="0"/>
              <w:bottom w:val="single" w:color="auto" w:sz="2" w:space="0"/>
              <w:right w:val="single" w:color="auto" w:sz="2" w:space="0"/>
            </w:tcBorders>
            <w:shd w:val="clear" w:color="auto" w:fill="auto"/>
            <w:vAlign w:val="center"/>
          </w:tcPr>
          <w:p>
            <w:pPr>
              <w:rPr>
                <w:sz w:val="18"/>
                <w:szCs w:val="18"/>
              </w:rPr>
            </w:pPr>
            <w:r>
              <w:rPr>
                <w:sz w:val="18"/>
                <w:szCs w:val="18"/>
              </w:rPr>
              <w:t>S9</w:t>
            </w:r>
          </w:p>
        </w:tc>
        <w:tc>
          <w:tcPr>
            <w:tcW w:w="2577" w:type="dxa"/>
            <w:tcBorders>
              <w:top w:val="single" w:color="auto" w:sz="2" w:space="0"/>
              <w:left w:val="single" w:color="auto" w:sz="2" w:space="0"/>
              <w:bottom w:val="single" w:color="auto" w:sz="2" w:space="0"/>
              <w:right w:val="single" w:color="auto" w:sz="2" w:space="0"/>
            </w:tcBorders>
            <w:shd w:val="clear" w:color="auto" w:fill="auto"/>
            <w:vAlign w:val="center"/>
          </w:tcPr>
          <w:p>
            <w:pPr>
              <w:jc w:val="left"/>
              <w:rPr>
                <w:bCs/>
                <w:sz w:val="18"/>
                <w:szCs w:val="18"/>
              </w:rPr>
            </w:pPr>
            <w:r>
              <w:rPr>
                <w:sz w:val="18"/>
                <w:szCs w:val="18"/>
              </w:rPr>
              <w:t>运行策划过程</w:t>
            </w:r>
          </w:p>
        </w:tc>
        <w:tc>
          <w:tcPr>
            <w:tcW w:w="147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p>
        </w:tc>
        <w:tc>
          <w:tcPr>
            <w:tcW w:w="1374" w:type="dxa"/>
            <w:tcBorders>
              <w:top w:val="single" w:color="auto" w:sz="2" w:space="0"/>
              <w:left w:val="single" w:color="auto" w:sz="2" w:space="0"/>
              <w:bottom w:val="single" w:color="auto" w:sz="2" w:space="0"/>
              <w:right w:val="single" w:color="auto" w:sz="2" w:space="0"/>
            </w:tcBorders>
            <w:shd w:val="clear" w:color="auto" w:fill="auto"/>
          </w:tcPr>
          <w:p>
            <w:pPr>
              <w:rPr>
                <w:sz w:val="18"/>
                <w:szCs w:val="18"/>
              </w:rPr>
            </w:pPr>
            <w:r>
              <w:rPr>
                <w:sz w:val="18"/>
                <w:szCs w:val="18"/>
              </w:rPr>
              <w:t>×</w:t>
            </w:r>
          </w:p>
        </w:tc>
        <w:tc>
          <w:tcPr>
            <w:tcW w:w="165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r>
              <w:rPr>
                <w:sz w:val="18"/>
                <w:szCs w:val="18"/>
              </w:rPr>
              <w:t>×</w:t>
            </w:r>
          </w:p>
        </w:tc>
        <w:tc>
          <w:tcPr>
            <w:tcW w:w="1271" w:type="dxa"/>
            <w:tcBorders>
              <w:top w:val="single" w:color="auto" w:sz="2" w:space="0"/>
              <w:left w:val="single" w:color="auto" w:sz="2" w:space="0"/>
              <w:bottom w:val="single" w:color="auto" w:sz="2" w:space="0"/>
              <w:right w:val="single" w:color="auto" w:sz="4" w:space="0"/>
            </w:tcBorders>
            <w:shd w:val="clear" w:color="auto" w:fill="auto"/>
          </w:tcPr>
          <w:p>
            <w:pPr>
              <w:rPr>
                <w:sz w:val="18"/>
                <w:szCs w:val="18"/>
              </w:rPr>
            </w:pPr>
          </w:p>
        </w:tc>
        <w:tc>
          <w:tcPr>
            <w:tcW w:w="1208" w:type="dxa"/>
            <w:tcBorders>
              <w:top w:val="single" w:color="auto" w:sz="2" w:space="0"/>
              <w:left w:val="single" w:color="auto" w:sz="4" w:space="0"/>
              <w:bottom w:val="single" w:color="auto" w:sz="2" w:space="0"/>
              <w:right w:val="single" w:color="auto" w:sz="12" w:space="0"/>
            </w:tcBorders>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top w:val="single" w:color="auto" w:sz="2" w:space="0"/>
              <w:left w:val="single" w:color="auto" w:sz="12" w:space="0"/>
              <w:bottom w:val="single" w:color="auto" w:sz="2" w:space="0"/>
              <w:right w:val="single" w:color="auto" w:sz="2" w:space="0"/>
            </w:tcBorders>
            <w:shd w:val="clear" w:color="auto" w:fill="auto"/>
            <w:vAlign w:val="center"/>
          </w:tcPr>
          <w:p>
            <w:pPr>
              <w:rPr>
                <w:sz w:val="18"/>
                <w:szCs w:val="18"/>
              </w:rPr>
            </w:pPr>
            <w:r>
              <w:rPr>
                <w:sz w:val="18"/>
                <w:szCs w:val="18"/>
              </w:rPr>
              <w:t>S10</w:t>
            </w:r>
          </w:p>
        </w:tc>
        <w:tc>
          <w:tcPr>
            <w:tcW w:w="2577" w:type="dxa"/>
            <w:tcBorders>
              <w:top w:val="single" w:color="auto" w:sz="2" w:space="0"/>
              <w:left w:val="single" w:color="auto" w:sz="2" w:space="0"/>
              <w:bottom w:val="single" w:color="auto" w:sz="2" w:space="0"/>
              <w:right w:val="single" w:color="auto" w:sz="2" w:space="0"/>
            </w:tcBorders>
            <w:shd w:val="clear" w:color="auto" w:fill="auto"/>
            <w:vAlign w:val="center"/>
          </w:tcPr>
          <w:p>
            <w:pPr>
              <w:jc w:val="left"/>
              <w:rPr>
                <w:bCs/>
                <w:sz w:val="18"/>
                <w:szCs w:val="18"/>
              </w:rPr>
            </w:pPr>
            <w:r>
              <w:rPr>
                <w:sz w:val="18"/>
                <w:szCs w:val="18"/>
              </w:rPr>
              <w:t>外部供应产品和服务的控制</w:t>
            </w:r>
          </w:p>
        </w:tc>
        <w:tc>
          <w:tcPr>
            <w:tcW w:w="147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p>
        </w:tc>
        <w:tc>
          <w:tcPr>
            <w:tcW w:w="1374" w:type="dxa"/>
            <w:tcBorders>
              <w:top w:val="single" w:color="auto" w:sz="2" w:space="0"/>
              <w:left w:val="single" w:color="auto" w:sz="2" w:space="0"/>
              <w:bottom w:val="single" w:color="auto" w:sz="2" w:space="0"/>
              <w:right w:val="single" w:color="auto" w:sz="2" w:space="0"/>
            </w:tcBorders>
            <w:shd w:val="clear" w:color="auto" w:fill="auto"/>
          </w:tcPr>
          <w:p>
            <w:pPr>
              <w:rPr>
                <w:sz w:val="18"/>
                <w:szCs w:val="18"/>
              </w:rPr>
            </w:pPr>
          </w:p>
        </w:tc>
        <w:tc>
          <w:tcPr>
            <w:tcW w:w="165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r>
              <w:rPr>
                <w:sz w:val="18"/>
                <w:szCs w:val="18"/>
              </w:rPr>
              <w:t>×</w:t>
            </w:r>
          </w:p>
        </w:tc>
        <w:tc>
          <w:tcPr>
            <w:tcW w:w="1271" w:type="dxa"/>
            <w:tcBorders>
              <w:top w:val="single" w:color="auto" w:sz="2" w:space="0"/>
              <w:left w:val="single" w:color="auto" w:sz="2" w:space="0"/>
              <w:bottom w:val="single" w:color="auto" w:sz="2" w:space="0"/>
              <w:right w:val="single" w:color="auto" w:sz="4" w:space="0"/>
            </w:tcBorders>
            <w:shd w:val="clear" w:color="auto" w:fill="auto"/>
          </w:tcPr>
          <w:p>
            <w:pPr>
              <w:rPr>
                <w:sz w:val="18"/>
                <w:szCs w:val="18"/>
              </w:rPr>
            </w:pPr>
          </w:p>
        </w:tc>
        <w:tc>
          <w:tcPr>
            <w:tcW w:w="1208" w:type="dxa"/>
            <w:tcBorders>
              <w:top w:val="single" w:color="auto" w:sz="2" w:space="0"/>
              <w:left w:val="single" w:color="auto" w:sz="4" w:space="0"/>
              <w:bottom w:val="single" w:color="auto" w:sz="2" w:space="0"/>
              <w:right w:val="single" w:color="auto" w:sz="12" w:space="0"/>
            </w:tcBorders>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top w:val="single" w:color="auto" w:sz="2" w:space="0"/>
              <w:left w:val="single" w:color="auto" w:sz="12" w:space="0"/>
              <w:bottom w:val="single" w:color="auto" w:sz="2" w:space="0"/>
              <w:right w:val="single" w:color="auto" w:sz="2" w:space="0"/>
            </w:tcBorders>
            <w:shd w:val="clear" w:color="auto" w:fill="auto"/>
            <w:vAlign w:val="center"/>
          </w:tcPr>
          <w:p>
            <w:pPr>
              <w:rPr>
                <w:sz w:val="18"/>
                <w:szCs w:val="18"/>
              </w:rPr>
            </w:pPr>
            <w:r>
              <w:rPr>
                <w:sz w:val="18"/>
                <w:szCs w:val="18"/>
              </w:rPr>
              <w:t>S11</w:t>
            </w:r>
          </w:p>
        </w:tc>
        <w:tc>
          <w:tcPr>
            <w:tcW w:w="2577" w:type="dxa"/>
            <w:tcBorders>
              <w:top w:val="single" w:color="auto" w:sz="2" w:space="0"/>
              <w:left w:val="single" w:color="auto" w:sz="2" w:space="0"/>
              <w:bottom w:val="single" w:color="auto" w:sz="2" w:space="0"/>
              <w:right w:val="single" w:color="auto" w:sz="2" w:space="0"/>
            </w:tcBorders>
            <w:shd w:val="clear" w:color="auto" w:fill="auto"/>
            <w:vAlign w:val="center"/>
          </w:tcPr>
          <w:p>
            <w:pPr>
              <w:jc w:val="left"/>
              <w:rPr>
                <w:sz w:val="18"/>
                <w:szCs w:val="18"/>
              </w:rPr>
            </w:pPr>
            <w:r>
              <w:rPr>
                <w:sz w:val="18"/>
                <w:szCs w:val="18"/>
              </w:rPr>
              <w:t>标识和可追溯性</w:t>
            </w:r>
          </w:p>
        </w:tc>
        <w:tc>
          <w:tcPr>
            <w:tcW w:w="147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p>
        </w:tc>
        <w:tc>
          <w:tcPr>
            <w:tcW w:w="1374" w:type="dxa"/>
            <w:tcBorders>
              <w:top w:val="single" w:color="auto" w:sz="2" w:space="0"/>
              <w:left w:val="single" w:color="auto" w:sz="2" w:space="0"/>
              <w:bottom w:val="single" w:color="auto" w:sz="2" w:space="0"/>
              <w:right w:val="single" w:color="auto" w:sz="2" w:space="0"/>
            </w:tcBorders>
            <w:shd w:val="clear" w:color="auto" w:fill="auto"/>
          </w:tcPr>
          <w:p>
            <w:pPr>
              <w:rPr>
                <w:sz w:val="18"/>
                <w:szCs w:val="18"/>
              </w:rPr>
            </w:pPr>
          </w:p>
        </w:tc>
        <w:tc>
          <w:tcPr>
            <w:tcW w:w="165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r>
              <w:rPr>
                <w:sz w:val="18"/>
                <w:szCs w:val="18"/>
              </w:rPr>
              <w:t>×</w:t>
            </w:r>
          </w:p>
        </w:tc>
        <w:tc>
          <w:tcPr>
            <w:tcW w:w="1271" w:type="dxa"/>
            <w:tcBorders>
              <w:top w:val="single" w:color="auto" w:sz="2" w:space="0"/>
              <w:left w:val="single" w:color="auto" w:sz="2" w:space="0"/>
              <w:bottom w:val="single" w:color="auto" w:sz="2" w:space="0"/>
              <w:right w:val="single" w:color="auto" w:sz="4" w:space="0"/>
            </w:tcBorders>
            <w:shd w:val="clear" w:color="auto" w:fill="auto"/>
          </w:tcPr>
          <w:p>
            <w:pPr>
              <w:rPr>
                <w:sz w:val="18"/>
                <w:szCs w:val="18"/>
              </w:rPr>
            </w:pPr>
            <w:r>
              <w:rPr>
                <w:sz w:val="18"/>
                <w:szCs w:val="18"/>
              </w:rPr>
              <w:t>×</w:t>
            </w:r>
          </w:p>
        </w:tc>
        <w:tc>
          <w:tcPr>
            <w:tcW w:w="1208" w:type="dxa"/>
            <w:tcBorders>
              <w:top w:val="single" w:color="auto" w:sz="2" w:space="0"/>
              <w:left w:val="single" w:color="auto" w:sz="4" w:space="0"/>
              <w:bottom w:val="single" w:color="auto" w:sz="2" w:space="0"/>
              <w:right w:val="single" w:color="auto" w:sz="12" w:space="0"/>
            </w:tcBorders>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top w:val="single" w:color="auto" w:sz="2" w:space="0"/>
              <w:left w:val="single" w:color="auto" w:sz="12" w:space="0"/>
              <w:bottom w:val="single" w:color="auto" w:sz="2" w:space="0"/>
              <w:right w:val="single" w:color="auto" w:sz="2" w:space="0"/>
            </w:tcBorders>
            <w:shd w:val="clear" w:color="auto" w:fill="auto"/>
            <w:vAlign w:val="center"/>
          </w:tcPr>
          <w:p>
            <w:pPr>
              <w:rPr>
                <w:sz w:val="18"/>
                <w:szCs w:val="18"/>
              </w:rPr>
            </w:pPr>
            <w:r>
              <w:rPr>
                <w:sz w:val="18"/>
                <w:szCs w:val="18"/>
              </w:rPr>
              <w:t>S12</w:t>
            </w:r>
          </w:p>
        </w:tc>
        <w:tc>
          <w:tcPr>
            <w:tcW w:w="2577" w:type="dxa"/>
            <w:tcBorders>
              <w:top w:val="single" w:color="auto" w:sz="2" w:space="0"/>
              <w:left w:val="single" w:color="auto" w:sz="2" w:space="0"/>
              <w:bottom w:val="single" w:color="auto" w:sz="2" w:space="0"/>
              <w:right w:val="single" w:color="auto" w:sz="2" w:space="0"/>
            </w:tcBorders>
            <w:shd w:val="clear" w:color="auto" w:fill="auto"/>
            <w:vAlign w:val="center"/>
          </w:tcPr>
          <w:p>
            <w:pPr>
              <w:jc w:val="left"/>
              <w:rPr>
                <w:sz w:val="18"/>
                <w:szCs w:val="18"/>
              </w:rPr>
            </w:pPr>
            <w:r>
              <w:rPr>
                <w:sz w:val="18"/>
                <w:szCs w:val="18"/>
              </w:rPr>
              <w:t>顾客或外部供方的财产</w:t>
            </w:r>
          </w:p>
        </w:tc>
        <w:tc>
          <w:tcPr>
            <w:tcW w:w="147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r>
              <w:rPr>
                <w:sz w:val="18"/>
                <w:szCs w:val="18"/>
              </w:rPr>
              <w:t>×</w:t>
            </w:r>
          </w:p>
        </w:tc>
        <w:tc>
          <w:tcPr>
            <w:tcW w:w="1374" w:type="dxa"/>
            <w:tcBorders>
              <w:top w:val="single" w:color="auto" w:sz="2" w:space="0"/>
              <w:left w:val="single" w:color="auto" w:sz="2" w:space="0"/>
              <w:bottom w:val="single" w:color="auto" w:sz="2" w:space="0"/>
              <w:right w:val="single" w:color="auto" w:sz="2" w:space="0"/>
            </w:tcBorders>
            <w:shd w:val="clear" w:color="auto" w:fill="auto"/>
          </w:tcPr>
          <w:p>
            <w:pPr>
              <w:rPr>
                <w:sz w:val="18"/>
                <w:szCs w:val="18"/>
              </w:rPr>
            </w:pPr>
          </w:p>
        </w:tc>
        <w:tc>
          <w:tcPr>
            <w:tcW w:w="165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p>
        </w:tc>
        <w:tc>
          <w:tcPr>
            <w:tcW w:w="1271" w:type="dxa"/>
            <w:tcBorders>
              <w:top w:val="single" w:color="auto" w:sz="2" w:space="0"/>
              <w:left w:val="single" w:color="auto" w:sz="2" w:space="0"/>
              <w:bottom w:val="single" w:color="auto" w:sz="2" w:space="0"/>
              <w:right w:val="single" w:color="auto" w:sz="4" w:space="0"/>
            </w:tcBorders>
            <w:shd w:val="clear" w:color="auto" w:fill="auto"/>
          </w:tcPr>
          <w:p>
            <w:pPr>
              <w:rPr>
                <w:sz w:val="18"/>
                <w:szCs w:val="18"/>
              </w:rPr>
            </w:pPr>
          </w:p>
        </w:tc>
        <w:tc>
          <w:tcPr>
            <w:tcW w:w="1208" w:type="dxa"/>
            <w:tcBorders>
              <w:top w:val="single" w:color="auto" w:sz="2" w:space="0"/>
              <w:left w:val="single" w:color="auto" w:sz="4" w:space="0"/>
              <w:bottom w:val="single" w:color="auto" w:sz="2" w:space="0"/>
              <w:right w:val="single" w:color="auto" w:sz="12" w:space="0"/>
            </w:tcBorders>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top w:val="single" w:color="auto" w:sz="2" w:space="0"/>
              <w:left w:val="single" w:color="auto" w:sz="12" w:space="0"/>
              <w:bottom w:val="single" w:color="auto" w:sz="2" w:space="0"/>
              <w:right w:val="single" w:color="auto" w:sz="2" w:space="0"/>
            </w:tcBorders>
            <w:shd w:val="clear" w:color="auto" w:fill="auto"/>
            <w:vAlign w:val="center"/>
          </w:tcPr>
          <w:p>
            <w:pPr>
              <w:rPr>
                <w:sz w:val="18"/>
                <w:szCs w:val="18"/>
              </w:rPr>
            </w:pPr>
            <w:r>
              <w:rPr>
                <w:sz w:val="18"/>
                <w:szCs w:val="18"/>
              </w:rPr>
              <w:t>S13</w:t>
            </w:r>
          </w:p>
        </w:tc>
        <w:tc>
          <w:tcPr>
            <w:tcW w:w="2577"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r>
              <w:rPr>
                <w:sz w:val="18"/>
                <w:szCs w:val="18"/>
              </w:rPr>
              <w:t>产品和服务放行</w:t>
            </w:r>
          </w:p>
        </w:tc>
        <w:tc>
          <w:tcPr>
            <w:tcW w:w="147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r>
              <w:rPr>
                <w:sz w:val="18"/>
                <w:szCs w:val="18"/>
              </w:rPr>
              <w:t>×</w:t>
            </w:r>
          </w:p>
        </w:tc>
        <w:tc>
          <w:tcPr>
            <w:tcW w:w="1374" w:type="dxa"/>
            <w:tcBorders>
              <w:top w:val="single" w:color="auto" w:sz="2" w:space="0"/>
              <w:left w:val="single" w:color="auto" w:sz="2" w:space="0"/>
              <w:bottom w:val="single" w:color="auto" w:sz="2" w:space="0"/>
              <w:right w:val="single" w:color="auto" w:sz="2" w:space="0"/>
            </w:tcBorders>
            <w:shd w:val="clear" w:color="auto" w:fill="auto"/>
          </w:tcPr>
          <w:p>
            <w:pPr>
              <w:rPr>
                <w:sz w:val="18"/>
                <w:szCs w:val="18"/>
              </w:rPr>
            </w:pPr>
          </w:p>
        </w:tc>
        <w:tc>
          <w:tcPr>
            <w:tcW w:w="165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r>
              <w:rPr>
                <w:sz w:val="18"/>
                <w:szCs w:val="18"/>
              </w:rPr>
              <w:t>×</w:t>
            </w:r>
          </w:p>
        </w:tc>
        <w:tc>
          <w:tcPr>
            <w:tcW w:w="1271" w:type="dxa"/>
            <w:tcBorders>
              <w:top w:val="single" w:color="auto" w:sz="2" w:space="0"/>
              <w:left w:val="single" w:color="auto" w:sz="2" w:space="0"/>
              <w:bottom w:val="single" w:color="auto" w:sz="2" w:space="0"/>
              <w:right w:val="single" w:color="auto" w:sz="4" w:space="0"/>
            </w:tcBorders>
            <w:shd w:val="clear" w:color="auto" w:fill="auto"/>
          </w:tcPr>
          <w:p>
            <w:pPr>
              <w:rPr>
                <w:sz w:val="18"/>
                <w:szCs w:val="18"/>
              </w:rPr>
            </w:pPr>
          </w:p>
        </w:tc>
        <w:tc>
          <w:tcPr>
            <w:tcW w:w="1208" w:type="dxa"/>
            <w:tcBorders>
              <w:top w:val="single" w:color="auto" w:sz="2" w:space="0"/>
              <w:left w:val="single" w:color="auto" w:sz="4" w:space="0"/>
              <w:bottom w:val="single" w:color="auto" w:sz="2" w:space="0"/>
              <w:right w:val="single" w:color="auto" w:sz="12" w:space="0"/>
            </w:tcBorders>
            <w:shd w:val="clear" w:color="auto" w:fill="auto"/>
          </w:tcPr>
          <w:p>
            <w:pP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710" w:type="dxa"/>
            <w:tcBorders>
              <w:top w:val="single" w:color="auto" w:sz="2" w:space="0"/>
              <w:left w:val="single" w:color="auto" w:sz="12" w:space="0"/>
              <w:bottom w:val="single" w:color="auto" w:sz="2" w:space="0"/>
              <w:right w:val="single" w:color="auto" w:sz="2" w:space="0"/>
            </w:tcBorders>
            <w:shd w:val="clear" w:color="auto" w:fill="auto"/>
            <w:vAlign w:val="center"/>
          </w:tcPr>
          <w:p>
            <w:pPr>
              <w:rPr>
                <w:sz w:val="18"/>
                <w:szCs w:val="18"/>
              </w:rPr>
            </w:pPr>
            <w:r>
              <w:rPr>
                <w:sz w:val="18"/>
                <w:szCs w:val="18"/>
              </w:rPr>
              <w:t>S14</w:t>
            </w:r>
          </w:p>
        </w:tc>
        <w:tc>
          <w:tcPr>
            <w:tcW w:w="2577"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r>
              <w:rPr>
                <w:sz w:val="18"/>
                <w:szCs w:val="18"/>
              </w:rPr>
              <w:t>不合格产品和服务</w:t>
            </w:r>
          </w:p>
        </w:tc>
        <w:tc>
          <w:tcPr>
            <w:tcW w:w="147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r>
              <w:rPr>
                <w:sz w:val="18"/>
                <w:szCs w:val="18"/>
              </w:rPr>
              <w:t>×</w:t>
            </w:r>
          </w:p>
        </w:tc>
        <w:tc>
          <w:tcPr>
            <w:tcW w:w="1374" w:type="dxa"/>
            <w:tcBorders>
              <w:top w:val="single" w:color="auto" w:sz="2" w:space="0"/>
              <w:left w:val="single" w:color="auto" w:sz="2" w:space="0"/>
              <w:bottom w:val="single" w:color="auto" w:sz="2" w:space="0"/>
              <w:right w:val="single" w:color="auto" w:sz="2" w:space="0"/>
            </w:tcBorders>
            <w:shd w:val="clear" w:color="auto" w:fill="auto"/>
          </w:tcPr>
          <w:p>
            <w:pPr>
              <w:rPr>
                <w:sz w:val="18"/>
                <w:szCs w:val="18"/>
              </w:rPr>
            </w:pPr>
          </w:p>
        </w:tc>
        <w:tc>
          <w:tcPr>
            <w:tcW w:w="1653" w:type="dxa"/>
            <w:tcBorders>
              <w:top w:val="single" w:color="auto" w:sz="2" w:space="0"/>
              <w:left w:val="single" w:color="auto" w:sz="2" w:space="0"/>
              <w:bottom w:val="single" w:color="auto" w:sz="2" w:space="0"/>
              <w:right w:val="single" w:color="auto" w:sz="2" w:space="0"/>
            </w:tcBorders>
            <w:shd w:val="clear" w:color="auto" w:fill="auto"/>
            <w:vAlign w:val="center"/>
          </w:tcPr>
          <w:p>
            <w:pPr>
              <w:rPr>
                <w:sz w:val="18"/>
                <w:szCs w:val="18"/>
              </w:rPr>
            </w:pPr>
            <w:r>
              <w:rPr>
                <w:sz w:val="18"/>
                <w:szCs w:val="18"/>
              </w:rPr>
              <w:t>×</w:t>
            </w:r>
          </w:p>
        </w:tc>
        <w:tc>
          <w:tcPr>
            <w:tcW w:w="1271" w:type="dxa"/>
            <w:tcBorders>
              <w:top w:val="single" w:color="auto" w:sz="2" w:space="0"/>
              <w:left w:val="single" w:color="auto" w:sz="2" w:space="0"/>
              <w:bottom w:val="single" w:color="auto" w:sz="2" w:space="0"/>
              <w:right w:val="single" w:color="auto" w:sz="4" w:space="0"/>
            </w:tcBorders>
            <w:shd w:val="clear" w:color="auto" w:fill="auto"/>
          </w:tcPr>
          <w:p>
            <w:pPr>
              <w:rPr>
                <w:sz w:val="18"/>
                <w:szCs w:val="18"/>
              </w:rPr>
            </w:pPr>
          </w:p>
        </w:tc>
        <w:tc>
          <w:tcPr>
            <w:tcW w:w="1208" w:type="dxa"/>
            <w:tcBorders>
              <w:top w:val="single" w:color="auto" w:sz="2" w:space="0"/>
              <w:left w:val="single" w:color="auto" w:sz="4" w:space="0"/>
              <w:bottom w:val="single" w:color="auto" w:sz="2" w:space="0"/>
              <w:right w:val="single" w:color="auto" w:sz="12" w:space="0"/>
            </w:tcBorders>
            <w:shd w:val="clear" w:color="auto" w:fill="auto"/>
          </w:tcPr>
          <w:p>
            <w:pP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top w:val="single" w:color="auto" w:sz="2" w:space="0"/>
              <w:left w:val="single" w:color="auto" w:sz="12" w:space="0"/>
              <w:bottom w:val="single" w:color="auto" w:sz="12" w:space="0"/>
              <w:right w:val="single" w:color="auto" w:sz="2" w:space="0"/>
            </w:tcBorders>
            <w:shd w:val="clear" w:color="auto" w:fill="auto"/>
            <w:vAlign w:val="center"/>
          </w:tcPr>
          <w:p>
            <w:pPr>
              <w:rPr>
                <w:sz w:val="18"/>
                <w:szCs w:val="18"/>
              </w:rPr>
            </w:pPr>
            <w:r>
              <w:rPr>
                <w:sz w:val="18"/>
                <w:szCs w:val="18"/>
              </w:rPr>
              <w:t>管理过程</w:t>
            </w:r>
          </w:p>
        </w:tc>
        <w:tc>
          <w:tcPr>
            <w:tcW w:w="9556" w:type="dxa"/>
            <w:gridSpan w:val="6"/>
            <w:tcBorders>
              <w:top w:val="single" w:color="auto" w:sz="2" w:space="0"/>
              <w:left w:val="single" w:color="auto" w:sz="2" w:space="0"/>
              <w:bottom w:val="single" w:color="auto" w:sz="12" w:space="0"/>
              <w:right w:val="single" w:color="auto" w:sz="12" w:space="0"/>
            </w:tcBorders>
            <w:shd w:val="clear" w:color="auto" w:fill="auto"/>
            <w:vAlign w:val="center"/>
          </w:tcPr>
          <w:p>
            <w:pPr>
              <w:spacing w:line="240" w:lineRule="atLeast"/>
              <w:rPr>
                <w:sz w:val="18"/>
                <w:szCs w:val="18"/>
              </w:rPr>
            </w:pPr>
            <w:r>
              <w:rPr>
                <w:sz w:val="18"/>
                <w:szCs w:val="18"/>
              </w:rPr>
              <w:t>M1风险和机遇的应对措施; M2质量目标及其实施的策划; M3顾客满意; M4数据分析与评价; M5内部审核; M6管理评审; M7不符合和纠正措施; M8改进</w:t>
            </w:r>
          </w:p>
          <w:p>
            <w:pPr>
              <w:spacing w:line="240" w:lineRule="atLeast"/>
              <w:rPr>
                <w:b/>
                <w:sz w:val="15"/>
                <w:szCs w:val="15"/>
              </w:rPr>
            </w:pPr>
            <w:r>
              <w:rPr>
                <w:b/>
                <w:sz w:val="15"/>
                <w:szCs w:val="15"/>
              </w:rPr>
              <w:t>注：管理过程与所有过程相关</w:t>
            </w:r>
          </w:p>
        </w:tc>
      </w:tr>
    </w:tbl>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rFonts w:hint="eastAsia"/>
          <w:color w:val="FF0000"/>
          <w:szCs w:val="21"/>
        </w:rPr>
      </w:pPr>
    </w:p>
    <w:p>
      <w:pPr>
        <w:rPr>
          <w:color w:val="FF0000"/>
          <w:szCs w:val="21"/>
        </w:rPr>
      </w:pPr>
      <w:r>
        <w:rPr>
          <w:rFonts w:hint="eastAsia"/>
          <w:color w:val="FF0000"/>
          <w:szCs w:val="21"/>
        </w:rPr>
        <w:t>附录D</w:t>
      </w:r>
      <w:r>
        <w:rPr>
          <w:szCs w:val="21"/>
        </w:rPr>
        <w:t>质量管理体系过程职责分配与过程关系表</w:t>
      </w:r>
    </w:p>
    <w:tbl>
      <w:tblPr>
        <w:tblStyle w:val="21"/>
        <w:tblW w:w="10100" w:type="dxa"/>
        <w:jc w:val="center"/>
        <w:tblLayout w:type="fixed"/>
        <w:tblCellMar>
          <w:top w:w="0" w:type="dxa"/>
          <w:left w:w="108" w:type="dxa"/>
          <w:bottom w:w="0" w:type="dxa"/>
          <w:right w:w="108" w:type="dxa"/>
        </w:tblCellMar>
      </w:tblPr>
      <w:tblGrid>
        <w:gridCol w:w="1080"/>
        <w:gridCol w:w="2540"/>
        <w:gridCol w:w="1080"/>
        <w:gridCol w:w="1080"/>
        <w:gridCol w:w="1080"/>
        <w:gridCol w:w="1080"/>
        <w:gridCol w:w="1080"/>
        <w:gridCol w:w="1080"/>
      </w:tblGrid>
      <w:tr>
        <w:tblPrEx>
          <w:tblCellMar>
            <w:top w:w="0" w:type="dxa"/>
            <w:left w:w="108" w:type="dxa"/>
            <w:bottom w:w="0" w:type="dxa"/>
            <w:right w:w="108" w:type="dxa"/>
          </w:tblCellMar>
        </w:tblPrEx>
        <w:trPr>
          <w:trHeight w:val="270" w:hRule="atLeast"/>
          <w:jc w:val="center"/>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章节</w:t>
            </w:r>
          </w:p>
        </w:tc>
        <w:tc>
          <w:tcPr>
            <w:tcW w:w="25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条款（</w:t>
            </w:r>
            <w:r>
              <w:rPr>
                <w:rFonts w:hint="eastAsia" w:ascii="宋体" w:hAnsi="宋体" w:cs="宋体"/>
                <w:color w:val="000000"/>
                <w:kern w:val="0"/>
                <w:sz w:val="15"/>
                <w:szCs w:val="15"/>
                <w:lang w:eastAsia="zh-CN"/>
              </w:rPr>
              <w:t>ISO9001：2015 GB/T19001-2016</w:t>
            </w:r>
            <w:r>
              <w:rPr>
                <w:rFonts w:hint="eastAsia" w:ascii="宋体" w:hAnsi="宋体" w:cs="宋体"/>
                <w:color w:val="000000"/>
                <w:kern w:val="0"/>
                <w:sz w:val="15"/>
                <w:szCs w:val="15"/>
              </w:rPr>
              <w:t>）</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过程</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管理层</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eastAsia="zh-CN"/>
              </w:rPr>
            </w:pPr>
            <w:r>
              <w:rPr>
                <w:rFonts w:hint="eastAsia" w:ascii="宋体" w:hAnsi="宋体" w:cs="宋体"/>
                <w:color w:val="000000"/>
                <w:kern w:val="0"/>
                <w:sz w:val="15"/>
                <w:szCs w:val="15"/>
                <w:lang w:eastAsia="zh-CN"/>
              </w:rPr>
              <w:t>行政部</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5"/>
                <w:szCs w:val="15"/>
                <w:lang w:val="en-US" w:eastAsia="zh-CN"/>
              </w:rPr>
            </w:pPr>
            <w:r>
              <w:rPr>
                <w:rFonts w:hint="eastAsia" w:ascii="宋体" w:hAnsi="宋体" w:cs="宋体"/>
                <w:color w:val="000000"/>
                <w:kern w:val="0"/>
                <w:sz w:val="15"/>
                <w:szCs w:val="15"/>
                <w:lang w:eastAsia="zh-CN"/>
              </w:rPr>
              <w:t>营销</w:t>
            </w:r>
            <w:r>
              <w:rPr>
                <w:rFonts w:hint="eastAsia" w:ascii="宋体" w:hAnsi="宋体" w:cs="宋体"/>
                <w:color w:val="000000"/>
                <w:kern w:val="0"/>
                <w:sz w:val="15"/>
                <w:szCs w:val="15"/>
                <w:lang w:val="en-US" w:eastAsia="zh-CN"/>
              </w:rPr>
              <w:t>部</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15"/>
                <w:szCs w:val="15"/>
                <w:lang w:val="en-US" w:eastAsia="zh-CN"/>
              </w:rPr>
            </w:pPr>
            <w:r>
              <w:rPr>
                <w:rFonts w:hint="eastAsia" w:ascii="宋体" w:hAnsi="宋体" w:cs="宋体"/>
                <w:color w:val="000000"/>
                <w:kern w:val="0"/>
                <w:sz w:val="15"/>
                <w:szCs w:val="15"/>
                <w:lang w:val="en-US" w:eastAsia="zh-CN"/>
              </w:rPr>
              <w:t>技术部</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15"/>
                <w:szCs w:val="15"/>
                <w:lang w:val="en-US" w:eastAsia="zh-CN"/>
              </w:rPr>
            </w:pPr>
            <w:r>
              <w:rPr>
                <w:rFonts w:hint="eastAsia" w:ascii="宋体" w:hAnsi="宋体" w:cs="宋体"/>
                <w:color w:val="000000"/>
                <w:kern w:val="0"/>
                <w:sz w:val="15"/>
                <w:szCs w:val="15"/>
                <w:lang w:val="en-US" w:eastAsia="zh-CN"/>
              </w:rPr>
              <w:t>生产部</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rPr>
                <w:color w:val="000000"/>
                <w:kern w:val="0"/>
                <w:sz w:val="18"/>
                <w:szCs w:val="18"/>
              </w:rPr>
            </w:pPr>
            <w:r>
              <w:rPr>
                <w:color w:val="000000"/>
                <w:kern w:val="0"/>
                <w:sz w:val="18"/>
                <w:szCs w:val="18"/>
              </w:rPr>
              <w:t>4</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公司环境</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4.1</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理解公司及其环境</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4.2</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理解相关方的需求和期望</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4.3</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确定质量管理体系的范围</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4.4</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质量管理体系及其过程</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4.4.1</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总则</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4.4.2</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过程方法</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5</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领导作用</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5.1</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领导作用和承诺</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45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5.1.1</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针对质量管理体系的领导作用与承诺</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45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5.1.2</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针对顾客需求和期望的领导作用与承诺</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5.2</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质量方针</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5.3</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公司的作用、职责和权限</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策划</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6.1</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风险和机遇的应对措施</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M1</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6.2</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质量目标及其实施的策划</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M2</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6.3</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变更的策划</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支持</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1"/>
                <w:szCs w:val="21"/>
                <w:lang w:val="en-US" w:eastAsia="zh-CN" w:bidi="ar-SA"/>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1"/>
                <w:szCs w:val="21"/>
                <w:lang w:val="en-US" w:eastAsia="zh-CN" w:bidi="ar-SA"/>
              </w:rPr>
            </w:pP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7.1</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资源</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7.1.1</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总则</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7.1.2</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人员</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7.1.3</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基础设施</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S1</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7.1.4</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过程环境</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S2</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7.1.5</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监视和测量设备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S3</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5"/>
                <w:szCs w:val="15"/>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7.1.6</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知识</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S4</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7.2</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能力</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S5</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7.3</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意识</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S6</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7.4</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沟通</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S7</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7.5</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形成文件的信息</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S8</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7.5.1</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总则</w:t>
            </w:r>
          </w:p>
        </w:tc>
        <w:tc>
          <w:tcPr>
            <w:tcW w:w="1080"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7.5.2</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创建和更新</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7.5.3</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文件化信息的控制</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运行</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8.1</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运行的策划和控制</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8.2</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产品和服务的要求</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C1</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w:t>
            </w:r>
            <w:r>
              <w:rPr>
                <w:rFonts w:hint="eastAsia"/>
                <w:color w:val="000000"/>
                <w:kern w:val="0"/>
                <w:sz w:val="18"/>
                <w:szCs w:val="18"/>
                <w:lang w:val="en-US" w:eastAsia="zh-CN"/>
              </w:rPr>
              <w:t>2</w:t>
            </w:r>
            <w:r>
              <w:rPr>
                <w:color w:val="000000"/>
                <w:kern w:val="0"/>
                <w:sz w:val="18"/>
                <w:szCs w:val="18"/>
              </w:rPr>
              <w:t>.1</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顾客沟通</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8.2.2</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与产品和服务有关要求的确定</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8.2.3</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与产品和服务有关要求的评审</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8.2.4</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产品和服务要求的更改</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8.3</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产品和服务的设计和开发</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C2</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15"/>
                <w:szCs w:val="15"/>
              </w:rPr>
              <w:t>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15"/>
                <w:szCs w:val="15"/>
              </w:rPr>
              <w:t>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15"/>
                <w:szCs w:val="15"/>
              </w:rPr>
              <w:t>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15"/>
                <w:szCs w:val="15"/>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8.3.1</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总则</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宋体" w:cs="Times New Roman"/>
                <w:color w:val="000000"/>
                <w:kern w:val="0"/>
                <w:sz w:val="18"/>
                <w:szCs w:val="18"/>
                <w:lang w:val="en-US" w:eastAsia="zh-CN" w:bidi="ar-SA"/>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8.3.2</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设计和开发策划</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宋体" w:cs="Times New Roman"/>
                <w:color w:val="000000"/>
                <w:kern w:val="0"/>
                <w:sz w:val="18"/>
                <w:szCs w:val="18"/>
                <w:lang w:val="en-US" w:eastAsia="zh-CN" w:bidi="ar-SA"/>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8.3.3</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设计和开发输入</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宋体" w:cs="Times New Roman"/>
                <w:color w:val="000000"/>
                <w:kern w:val="0"/>
                <w:sz w:val="18"/>
                <w:szCs w:val="18"/>
                <w:lang w:val="en-US" w:eastAsia="zh-CN" w:bidi="ar-SA"/>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8.3.4</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设计和开发控制</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宋体" w:cs="Times New Roman"/>
                <w:color w:val="000000"/>
                <w:kern w:val="0"/>
                <w:sz w:val="18"/>
                <w:szCs w:val="18"/>
                <w:lang w:val="en-US" w:eastAsia="zh-CN" w:bidi="ar-SA"/>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8.3.5</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设计和开发输出</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宋体" w:cs="Times New Roman"/>
                <w:color w:val="000000"/>
                <w:kern w:val="0"/>
                <w:sz w:val="18"/>
                <w:szCs w:val="18"/>
                <w:lang w:val="en-US" w:eastAsia="zh-CN" w:bidi="ar-SA"/>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8.3.6</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设计和开发变更</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宋体" w:cs="Times New Roman"/>
                <w:color w:val="000000"/>
                <w:kern w:val="0"/>
                <w:sz w:val="18"/>
                <w:szCs w:val="18"/>
                <w:lang w:val="en-US" w:eastAsia="zh-CN" w:bidi="ar-SA"/>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8.4</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外部供应产品和服务的控制</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S10</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 w:val="18"/>
                <w:szCs w:val="18"/>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8.4.1</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总则</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 w:val="18"/>
                <w:szCs w:val="18"/>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8.4.2</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外部供方的控制类型和程度</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 w:val="18"/>
                <w:szCs w:val="18"/>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8.4.3</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提供外部供方的文件信息</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 w:val="18"/>
                <w:szCs w:val="18"/>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8.5</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产品生产和服务提供</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8.5.1</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产品生产和服务提供的控制</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C3</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8.5.2</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标识和可追溯性</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S11</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8.5.3</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顾客或外部供方的财产</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S12</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8.5.4</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产品防护</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C4</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8.5.5</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交付后的活动</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C5</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8.5.6</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变更控制</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8.6</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产品和服务放行</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S13</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8.7</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不合格输出的控制</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S14</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9</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绩效评价</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9.1</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监视、测量、分析和评价</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9.1.1</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总则</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9.1.2</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顾客满意</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M3</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9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9.1.3</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数据分析与评价</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M4</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9.2</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内部审核</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M5</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9.3</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管理评审</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M6</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10</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改进</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　</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10.1</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总则</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10.2</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不符合和纠正措施</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M7</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10.3</w:t>
            </w:r>
          </w:p>
        </w:tc>
        <w:tc>
          <w:tcPr>
            <w:tcW w:w="2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持续改进</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M8</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bl>
    <w:p>
      <w:pPr>
        <w:rPr>
          <w:bCs/>
          <w:szCs w:val="21"/>
        </w:rPr>
      </w:pPr>
    </w:p>
    <w:p>
      <w:pPr>
        <w:jc w:val="center"/>
        <w:rPr>
          <w:szCs w:val="21"/>
        </w:rPr>
      </w:pPr>
      <w:r>
        <w:rPr>
          <w:bCs/>
          <w:szCs w:val="21"/>
        </w:rPr>
        <w:t>●</w:t>
      </w:r>
      <w:r>
        <w:rPr>
          <w:szCs w:val="21"/>
        </w:rPr>
        <w:t>：主管部门或主管责任人；</w:t>
      </w:r>
      <w:r>
        <w:rPr>
          <w:bCs/>
          <w:szCs w:val="21"/>
        </w:rPr>
        <w:t>〇</w:t>
      </w:r>
      <w:r>
        <w:rPr>
          <w:szCs w:val="21"/>
        </w:rPr>
        <w:t>：配合部门或人员。</w:t>
      </w:r>
    </w:p>
    <w:p>
      <w:pPr>
        <w:ind w:firstLine="525" w:firstLineChars="250"/>
        <w:rPr>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rFonts w:hint="eastAsia"/>
          <w:color w:val="FF0000"/>
          <w:szCs w:val="21"/>
        </w:rPr>
      </w:pPr>
    </w:p>
    <w:p>
      <w:pPr>
        <w:ind w:firstLine="525" w:firstLineChars="250"/>
        <w:rPr>
          <w:szCs w:val="21"/>
        </w:rPr>
      </w:pPr>
      <w:r>
        <w:rPr>
          <w:rFonts w:hint="eastAsia"/>
          <w:color w:val="FF0000"/>
          <w:szCs w:val="21"/>
        </w:rPr>
        <w:t>附录E</w:t>
      </w:r>
      <w:r>
        <w:rPr>
          <w:szCs w:val="21"/>
        </w:rPr>
        <w:t>环境</w:t>
      </w:r>
      <w:r>
        <w:rPr>
          <w:rFonts w:hint="eastAsia"/>
          <w:szCs w:val="21"/>
        </w:rPr>
        <w:t>安全</w:t>
      </w:r>
      <w:r>
        <w:rPr>
          <w:szCs w:val="21"/>
        </w:rPr>
        <w:t>管理体系过程职责分配与过程关系表</w:t>
      </w:r>
    </w:p>
    <w:tbl>
      <w:tblPr>
        <w:tblStyle w:val="21"/>
        <w:tblW w:w="10240" w:type="dxa"/>
        <w:jc w:val="center"/>
        <w:tblLayout w:type="fixed"/>
        <w:tblCellMar>
          <w:top w:w="0" w:type="dxa"/>
          <w:left w:w="108" w:type="dxa"/>
          <w:bottom w:w="0" w:type="dxa"/>
          <w:right w:w="108" w:type="dxa"/>
        </w:tblCellMar>
      </w:tblPr>
      <w:tblGrid>
        <w:gridCol w:w="1067"/>
        <w:gridCol w:w="2140"/>
        <w:gridCol w:w="1491"/>
        <w:gridCol w:w="1052"/>
        <w:gridCol w:w="898"/>
        <w:gridCol w:w="898"/>
        <w:gridCol w:w="898"/>
        <w:gridCol w:w="898"/>
        <w:gridCol w:w="898"/>
      </w:tblGrid>
      <w:tr>
        <w:tblPrEx>
          <w:tblCellMar>
            <w:top w:w="0" w:type="dxa"/>
            <w:left w:w="108" w:type="dxa"/>
            <w:bottom w:w="0" w:type="dxa"/>
            <w:right w:w="108" w:type="dxa"/>
          </w:tblCellMar>
        </w:tblPrEx>
        <w:trPr>
          <w:trHeight w:val="420" w:hRule="atLeast"/>
          <w:jc w:val="center"/>
        </w:trPr>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章节</w:t>
            </w:r>
          </w:p>
        </w:tc>
        <w:tc>
          <w:tcPr>
            <w:tcW w:w="21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条款（</w:t>
            </w:r>
            <w:r>
              <w:rPr>
                <w:rFonts w:hint="eastAsia" w:ascii="宋体" w:hAnsi="宋体" w:cs="宋体"/>
                <w:color w:val="000000"/>
                <w:kern w:val="0"/>
                <w:sz w:val="15"/>
                <w:szCs w:val="15"/>
                <w:lang w:eastAsia="zh-CN"/>
              </w:rPr>
              <w:t>ISO14001：2015 GB/T24001-2016</w:t>
            </w:r>
            <w:r>
              <w:rPr>
                <w:rFonts w:hint="eastAsia" w:ascii="宋体" w:hAnsi="宋体" w:cs="宋体"/>
                <w:color w:val="000000"/>
                <w:kern w:val="0"/>
                <w:sz w:val="15"/>
                <w:szCs w:val="15"/>
              </w:rPr>
              <w:t>）</w:t>
            </w:r>
          </w:p>
        </w:tc>
        <w:tc>
          <w:tcPr>
            <w:tcW w:w="14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条款（</w:t>
            </w:r>
            <w:r>
              <w:rPr>
                <w:rFonts w:hint="eastAsia" w:ascii="宋体" w:hAnsi="宋体" w:cs="宋体"/>
                <w:color w:val="000000"/>
                <w:kern w:val="0"/>
                <w:sz w:val="15"/>
                <w:szCs w:val="15"/>
                <w:lang w:eastAsia="zh-CN"/>
              </w:rPr>
              <w:t>ISO45001:2018 GB/T45001-2020</w:t>
            </w:r>
            <w:r>
              <w:rPr>
                <w:rFonts w:hint="eastAsia" w:ascii="宋体" w:hAnsi="宋体" w:cs="宋体"/>
                <w:color w:val="000000"/>
                <w:kern w:val="0"/>
                <w:sz w:val="15"/>
                <w:szCs w:val="15"/>
              </w:rPr>
              <w:t>）</w:t>
            </w:r>
          </w:p>
        </w:tc>
        <w:tc>
          <w:tcPr>
            <w:tcW w:w="105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过程</w:t>
            </w: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管理层</w:t>
            </w: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eastAsia="zh-CN"/>
              </w:rPr>
            </w:pPr>
            <w:r>
              <w:rPr>
                <w:rFonts w:hint="eastAsia" w:ascii="宋体" w:hAnsi="宋体" w:cs="宋体"/>
                <w:color w:val="000000"/>
                <w:kern w:val="0"/>
                <w:sz w:val="15"/>
                <w:szCs w:val="15"/>
                <w:lang w:eastAsia="zh-CN"/>
              </w:rPr>
              <w:t>行政部</w:t>
            </w: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eastAsia="zh-CN"/>
              </w:rPr>
            </w:pPr>
            <w:r>
              <w:rPr>
                <w:rFonts w:hint="eastAsia" w:ascii="宋体" w:hAnsi="宋体" w:cs="宋体"/>
                <w:color w:val="000000"/>
                <w:kern w:val="0"/>
                <w:sz w:val="15"/>
                <w:szCs w:val="15"/>
                <w:lang w:eastAsia="zh-CN"/>
              </w:rPr>
              <w:t>营销</w:t>
            </w:r>
            <w:r>
              <w:rPr>
                <w:rFonts w:hint="eastAsia" w:ascii="宋体" w:hAnsi="宋体" w:cs="宋体"/>
                <w:color w:val="000000"/>
                <w:kern w:val="0"/>
                <w:sz w:val="15"/>
                <w:szCs w:val="15"/>
                <w:lang w:val="en-US" w:eastAsia="zh-CN"/>
              </w:rPr>
              <w:t>部</w:t>
            </w: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lang w:val="en-US" w:eastAsia="zh-CN"/>
              </w:rPr>
              <w:t>技术部</w:t>
            </w: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lang w:val="en-US" w:eastAsia="zh-CN"/>
              </w:rPr>
              <w:t>生产部</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rPr>
                <w:color w:val="000000"/>
                <w:kern w:val="0"/>
                <w:sz w:val="18"/>
                <w:szCs w:val="18"/>
              </w:rPr>
            </w:pPr>
            <w:r>
              <w:rPr>
                <w:color w:val="000000"/>
                <w:kern w:val="0"/>
                <w:sz w:val="18"/>
                <w:szCs w:val="18"/>
              </w:rPr>
              <w:t>4</w:t>
            </w:r>
          </w:p>
        </w:tc>
        <w:tc>
          <w:tcPr>
            <w:tcW w:w="3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公司环境</w:t>
            </w:r>
          </w:p>
        </w:tc>
        <w:tc>
          <w:tcPr>
            <w:tcW w:w="1052"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　</w:t>
            </w: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4.1</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理解公司及其环境</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4.1</w:t>
            </w:r>
          </w:p>
        </w:tc>
        <w:tc>
          <w:tcPr>
            <w:tcW w:w="105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4.2</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理解相关方的需求和期望</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4.2</w:t>
            </w:r>
          </w:p>
        </w:tc>
        <w:tc>
          <w:tcPr>
            <w:tcW w:w="105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4.3</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确定环境管理体系的范围</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4.3</w:t>
            </w:r>
          </w:p>
        </w:tc>
        <w:tc>
          <w:tcPr>
            <w:tcW w:w="105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4.4</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环境管理体系及其过程</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4.4</w:t>
            </w:r>
          </w:p>
        </w:tc>
        <w:tc>
          <w:tcPr>
            <w:tcW w:w="105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xml:space="preserve">4.4.1 </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总则</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xml:space="preserve">4.4.1 </w:t>
            </w:r>
          </w:p>
        </w:tc>
        <w:tc>
          <w:tcPr>
            <w:tcW w:w="105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xml:space="preserve">4.4.2 </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过程方法</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xml:space="preserve">4.4.2 </w:t>
            </w:r>
          </w:p>
        </w:tc>
        <w:tc>
          <w:tcPr>
            <w:tcW w:w="105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5</w:t>
            </w:r>
          </w:p>
        </w:tc>
        <w:tc>
          <w:tcPr>
            <w:tcW w:w="3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领导作用</w:t>
            </w:r>
          </w:p>
        </w:tc>
        <w:tc>
          <w:tcPr>
            <w:tcW w:w="1052"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　</w:t>
            </w: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eastAsia="宋体" w:cs="宋体"/>
                <w:color w:val="000000"/>
                <w:kern w:val="0"/>
                <w:sz w:val="21"/>
                <w:szCs w:val="21"/>
                <w:lang w:val="en-US" w:eastAsia="zh-CN" w:bidi="ar-SA"/>
              </w:rPr>
            </w:pP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5.1</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领导作用和承诺</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5.1</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45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xml:space="preserve">5.1.1 </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针对环境管理体系的领导作用与承诺</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45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xml:space="preserve">5.1.2 </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针对顾客需求和期望的领导作用与承诺</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5.2</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环境方针</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5.2</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5.3</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公司的作用、职责和权限</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5.3</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5.4</w:t>
            </w:r>
            <w:r>
              <w:rPr>
                <w:rFonts w:hint="eastAsia" w:ascii="宋体" w:hAnsi="宋体"/>
                <w:color w:val="000000"/>
                <w:kern w:val="0"/>
                <w:sz w:val="18"/>
                <w:szCs w:val="18"/>
              </w:rPr>
              <w:t>参与和协商</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w:t>
            </w:r>
          </w:p>
        </w:tc>
        <w:tc>
          <w:tcPr>
            <w:tcW w:w="3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策划</w:t>
            </w:r>
          </w:p>
        </w:tc>
        <w:tc>
          <w:tcPr>
            <w:tcW w:w="1052"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　</w:t>
            </w: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eastAsia="宋体" w:cs="宋体"/>
                <w:color w:val="000000"/>
                <w:kern w:val="0"/>
                <w:sz w:val="21"/>
                <w:szCs w:val="21"/>
                <w:lang w:val="en-US" w:eastAsia="zh-CN" w:bidi="ar-SA"/>
              </w:rPr>
            </w:pP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6.1</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风险和机遇的应对措施</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6.1</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M1</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6.1.1</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总则</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6.1.1</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6.1.2</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环境因素/危险源</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6.1.2</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5"/>
                <w:szCs w:val="15"/>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93"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6.1.3</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合规义务</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6.1.3</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6.2</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环境目标及其实施的策划</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6.2</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M2</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6.2.1</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环境目标</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6.2.1</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6.2.2</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实现环境目标措施的策划</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6.2.2</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6.3</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变更的策划</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6.3</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w:t>
            </w:r>
          </w:p>
        </w:tc>
        <w:tc>
          <w:tcPr>
            <w:tcW w:w="3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支持</w:t>
            </w:r>
          </w:p>
        </w:tc>
        <w:tc>
          <w:tcPr>
            <w:tcW w:w="1052"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　</w:t>
            </w: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7.1</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资源</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7.1</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7.2</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能力</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7.2</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S5</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7.3</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意识</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7.3</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S6</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7.4</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信息交流</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7.4</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S7</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7.5</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文件化信息</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7.5</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S8</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xml:space="preserve">7.5.1 </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总则</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xml:space="preserve">7.5.1 </w:t>
            </w:r>
          </w:p>
        </w:tc>
        <w:tc>
          <w:tcPr>
            <w:tcW w:w="1052"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xml:space="preserve">7.5.2 </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创建和更新</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xml:space="preserve">7.5.2 </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xml:space="preserve">7.5.3 </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文件化信息的控制</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xml:space="preserve">7.5.3 </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w:t>
            </w:r>
          </w:p>
        </w:tc>
        <w:tc>
          <w:tcPr>
            <w:tcW w:w="3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运行</w:t>
            </w:r>
          </w:p>
        </w:tc>
        <w:tc>
          <w:tcPr>
            <w:tcW w:w="1052"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　</w:t>
            </w: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8.1</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运行的策划和控制</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8.1</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5"/>
                <w:szCs w:val="15"/>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8.1.2</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8.1.2</w:t>
            </w:r>
            <w:r>
              <w:rPr>
                <w:rFonts w:hint="eastAsia" w:ascii="宋体" w:hAnsi="宋体"/>
                <w:color w:val="000000"/>
                <w:kern w:val="0"/>
                <w:sz w:val="18"/>
                <w:szCs w:val="18"/>
              </w:rPr>
              <w:t>变更管理</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8.1.2</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C1</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8.1.3</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8.1.3</w:t>
            </w:r>
            <w:r>
              <w:rPr>
                <w:rFonts w:hint="eastAsia" w:ascii="宋体" w:hAnsi="宋体"/>
                <w:color w:val="000000"/>
                <w:kern w:val="0"/>
                <w:sz w:val="18"/>
                <w:szCs w:val="18"/>
              </w:rPr>
              <w:t>外包</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8.1.3</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5"/>
                <w:szCs w:val="15"/>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8.1.4</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8.1.4</w:t>
            </w:r>
            <w:r>
              <w:rPr>
                <w:rFonts w:hint="eastAsia" w:ascii="宋体" w:hAnsi="宋体"/>
                <w:color w:val="000000"/>
                <w:kern w:val="0"/>
                <w:sz w:val="18"/>
                <w:szCs w:val="18"/>
              </w:rPr>
              <w:t>采购</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8.1.4</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8.1.4.1</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8.1.4.1</w:t>
            </w:r>
            <w:r>
              <w:rPr>
                <w:rFonts w:hint="eastAsia" w:ascii="宋体" w:hAnsi="宋体"/>
                <w:color w:val="000000"/>
                <w:kern w:val="0"/>
                <w:sz w:val="18"/>
                <w:szCs w:val="18"/>
              </w:rPr>
              <w:t>承包商</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8.1.4.1</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465"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8.2</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应急准备和响应</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8.2</w:t>
            </w:r>
            <w:r>
              <w:rPr>
                <w:rFonts w:hint="eastAsia" w:ascii="宋体" w:hAnsi="宋体"/>
                <w:color w:val="000000"/>
                <w:kern w:val="0"/>
                <w:sz w:val="18"/>
                <w:szCs w:val="18"/>
              </w:rPr>
              <w:t>应急准备和响应</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9</w:t>
            </w:r>
          </w:p>
        </w:tc>
        <w:tc>
          <w:tcPr>
            <w:tcW w:w="3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绩效评价</w:t>
            </w:r>
          </w:p>
        </w:tc>
        <w:tc>
          <w:tcPr>
            <w:tcW w:w="1052"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　</w:t>
            </w: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9.1</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监视、测量、分析和评价</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9.1</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xml:space="preserve">9.1.1 </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总则</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xml:space="preserve">9.1.1 </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xml:space="preserve">9.1.2 </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合规性评价</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xml:space="preserve">9.1.2 </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M3</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9.2</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内部审核</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9.2</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M5</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9.3</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管理评审</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9.3</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M6</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10</w:t>
            </w:r>
          </w:p>
        </w:tc>
        <w:tc>
          <w:tcPr>
            <w:tcW w:w="3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改进</w:t>
            </w:r>
          </w:p>
        </w:tc>
        <w:tc>
          <w:tcPr>
            <w:tcW w:w="1052"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　</w:t>
            </w: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000000"/>
                <w:kern w:val="0"/>
                <w:szCs w:val="21"/>
              </w:rPr>
            </w:pP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10.1</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总则</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M7</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10.2</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不符合和纠正措施</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10.1</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M7</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r>
        <w:tblPrEx>
          <w:tblCellMar>
            <w:top w:w="0" w:type="dxa"/>
            <w:left w:w="108" w:type="dxa"/>
            <w:bottom w:w="0" w:type="dxa"/>
            <w:right w:w="108" w:type="dxa"/>
          </w:tblCellMar>
        </w:tblPrEx>
        <w:trPr>
          <w:trHeight w:val="270" w:hRule="atLeast"/>
          <w:jc w:val="center"/>
        </w:trPr>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10.3</w:t>
            </w:r>
          </w:p>
        </w:tc>
        <w:tc>
          <w:tcPr>
            <w:tcW w:w="2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持续改进</w:t>
            </w:r>
          </w:p>
        </w:tc>
        <w:tc>
          <w:tcPr>
            <w:tcW w:w="1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10.2</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M8</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5"/>
                <w:szCs w:val="15"/>
                <w:lang w:val="en-US" w:eastAsia="zh-CN" w:bidi="ar-SA"/>
              </w:rPr>
            </w:pPr>
            <w:r>
              <w:rPr>
                <w:rFonts w:hint="eastAsia" w:ascii="宋体" w:hAnsi="宋体" w:cs="宋体"/>
                <w:color w:val="000000"/>
                <w:kern w:val="0"/>
                <w:sz w:val="15"/>
                <w:szCs w:val="15"/>
              </w:rPr>
              <w:t>〇</w:t>
            </w:r>
          </w:p>
        </w:tc>
      </w:tr>
    </w:tbl>
    <w:p>
      <w:pPr>
        <w:ind w:firstLine="525" w:firstLineChars="250"/>
        <w:rPr>
          <w:rFonts w:hint="eastAsia"/>
          <w:bCs/>
          <w:szCs w:val="21"/>
        </w:rPr>
      </w:pPr>
    </w:p>
    <w:p>
      <w:pPr>
        <w:ind w:firstLine="525" w:firstLineChars="250"/>
        <w:rPr>
          <w:color w:val="FF0000"/>
          <w:szCs w:val="21"/>
        </w:rPr>
      </w:pPr>
      <w:r>
        <w:rPr>
          <w:bCs/>
          <w:szCs w:val="21"/>
        </w:rPr>
        <w:t>●</w:t>
      </w:r>
      <w:r>
        <w:rPr>
          <w:szCs w:val="21"/>
        </w:rPr>
        <w:t>：主管部门或主管责任人；</w:t>
      </w:r>
      <w:r>
        <w:rPr>
          <w:bCs/>
          <w:szCs w:val="21"/>
        </w:rPr>
        <w:t>〇</w:t>
      </w:r>
      <w:r>
        <w:rPr>
          <w:szCs w:val="21"/>
        </w:rPr>
        <w:t>：配合部门或人员。</w:t>
      </w:r>
    </w:p>
    <w:sectPr>
      <w:headerReference r:id="rId6" w:type="first"/>
      <w:footerReference r:id="rId9" w:type="first"/>
      <w:headerReference r:id="rId4" w:type="default"/>
      <w:footerReference r:id="rId7" w:type="default"/>
      <w:headerReference r:id="rId5" w:type="even"/>
      <w:footerReference r:id="rId8" w:type="even"/>
      <w:pgSz w:w="11907" w:h="16840"/>
      <w:pgMar w:top="567" w:right="1134" w:bottom="1440" w:left="1276" w:header="851"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简体">
    <w:altName w:val="宋体"/>
    <w:panose1 w:val="02010601030101010101"/>
    <w:charset w:val="86"/>
    <w:family w:val="auto"/>
    <w:pitch w:val="default"/>
    <w:sig w:usb0="00000000" w:usb1="00000000" w:usb2="00000010" w:usb3="00000000" w:csb0="00040000" w:csb1="00000000"/>
  </w:font>
  <w:font w:name="楷体_GB2312">
    <w:altName w:val="楷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58</w:t>
                </w:r>
                <w:r>
                  <w:rPr>
                    <w:rFonts w:hint="eastAsia"/>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049"/>
      <w:docPartObj>
        <w:docPartGallery w:val="autotext"/>
      </w:docPartObj>
    </w:sdtPr>
    <w:sdtContent>
      <w:p>
        <w:pPr>
          <w:pStyle w:val="17"/>
          <w:jc w:val="center"/>
        </w:pPr>
        <w:r>
          <w:fldChar w:fldCharType="begin"/>
        </w:r>
        <w:r>
          <w:instrText xml:space="preserve"> PAGE   \* MERGEFORMAT </w:instrText>
        </w:r>
        <w:r>
          <w:fldChar w:fldCharType="separate"/>
        </w:r>
        <w:r>
          <w:rPr>
            <w:lang w:val="zh-CN"/>
          </w:rPr>
          <w:t>27</w:t>
        </w:r>
        <w:r>
          <w:rPr>
            <w:lang w:val="zh-CN"/>
          </w:rPr>
          <w:fldChar w:fldCharType="end"/>
        </w:r>
      </w:p>
    </w:sdtContent>
  </w:sdt>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450" w:firstLineChars="250"/>
      <w:jc w:val="left"/>
    </w:pPr>
    <w:r>
      <w:rPr>
        <w:rFonts w:hint="eastAsia"/>
        <w:lang w:eastAsia="zh-CN"/>
      </w:rPr>
      <w:t>重庆泓美仪表有限责任公司</w:t>
    </w:r>
    <w:r>
      <w:rPr>
        <w:rFonts w:hint="eastAsia"/>
      </w:rPr>
      <w:t xml:space="preserve">                    管理手册                                页码： </w:t>
    </w:r>
    <w:r>
      <w:fldChar w:fldCharType="begin"/>
    </w:r>
    <w:r>
      <w:instrText xml:space="preserve"> PAGE   \* MERGEFORMAT </w:instrText>
    </w:r>
    <w:r>
      <w:fldChar w:fldCharType="separate"/>
    </w:r>
    <w:r>
      <w:rPr>
        <w:lang w:val="zh-CN"/>
      </w:rPr>
      <w:t>27</w:t>
    </w:r>
    <w:r>
      <w:rPr>
        <w:lang w:val="zh-CN"/>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51587"/>
    <w:rsid w:val="00000749"/>
    <w:rsid w:val="0001347D"/>
    <w:rsid w:val="000444CF"/>
    <w:rsid w:val="00047886"/>
    <w:rsid w:val="00051049"/>
    <w:rsid w:val="00062F0C"/>
    <w:rsid w:val="00070150"/>
    <w:rsid w:val="00075B51"/>
    <w:rsid w:val="000847BE"/>
    <w:rsid w:val="000910E4"/>
    <w:rsid w:val="000913DD"/>
    <w:rsid w:val="000A2953"/>
    <w:rsid w:val="000A6395"/>
    <w:rsid w:val="000A6F4B"/>
    <w:rsid w:val="000C0F19"/>
    <w:rsid w:val="000C57F3"/>
    <w:rsid w:val="000D542F"/>
    <w:rsid w:val="000F0EB4"/>
    <w:rsid w:val="0010259E"/>
    <w:rsid w:val="00105521"/>
    <w:rsid w:val="00110514"/>
    <w:rsid w:val="00126494"/>
    <w:rsid w:val="00134D05"/>
    <w:rsid w:val="00142155"/>
    <w:rsid w:val="001515E5"/>
    <w:rsid w:val="0015207F"/>
    <w:rsid w:val="001718E4"/>
    <w:rsid w:val="001751FF"/>
    <w:rsid w:val="00175D94"/>
    <w:rsid w:val="00182A45"/>
    <w:rsid w:val="00186175"/>
    <w:rsid w:val="001A0C83"/>
    <w:rsid w:val="001C126E"/>
    <w:rsid w:val="001D268E"/>
    <w:rsid w:val="001D678A"/>
    <w:rsid w:val="001E58F7"/>
    <w:rsid w:val="001F001D"/>
    <w:rsid w:val="001F468C"/>
    <w:rsid w:val="002103D8"/>
    <w:rsid w:val="00210E0A"/>
    <w:rsid w:val="00216F18"/>
    <w:rsid w:val="00217840"/>
    <w:rsid w:val="0022093E"/>
    <w:rsid w:val="00225B91"/>
    <w:rsid w:val="0022619F"/>
    <w:rsid w:val="00230A87"/>
    <w:rsid w:val="002357DE"/>
    <w:rsid w:val="00235E91"/>
    <w:rsid w:val="002411FF"/>
    <w:rsid w:val="00243501"/>
    <w:rsid w:val="00260F96"/>
    <w:rsid w:val="00266E03"/>
    <w:rsid w:val="00267BC0"/>
    <w:rsid w:val="002751F8"/>
    <w:rsid w:val="00282BE9"/>
    <w:rsid w:val="00283341"/>
    <w:rsid w:val="00284AB4"/>
    <w:rsid w:val="002875F5"/>
    <w:rsid w:val="002A3CBD"/>
    <w:rsid w:val="002A7002"/>
    <w:rsid w:val="002B1099"/>
    <w:rsid w:val="002B414C"/>
    <w:rsid w:val="002B741C"/>
    <w:rsid w:val="002C2EB1"/>
    <w:rsid w:val="002C3921"/>
    <w:rsid w:val="002C3FCA"/>
    <w:rsid w:val="002D0179"/>
    <w:rsid w:val="002D2535"/>
    <w:rsid w:val="002F1BF6"/>
    <w:rsid w:val="00314012"/>
    <w:rsid w:val="00324AC2"/>
    <w:rsid w:val="003312B3"/>
    <w:rsid w:val="00344510"/>
    <w:rsid w:val="00356064"/>
    <w:rsid w:val="00360DD5"/>
    <w:rsid w:val="00370D50"/>
    <w:rsid w:val="003735B7"/>
    <w:rsid w:val="003747C3"/>
    <w:rsid w:val="00377224"/>
    <w:rsid w:val="00380C3F"/>
    <w:rsid w:val="00384248"/>
    <w:rsid w:val="00385F17"/>
    <w:rsid w:val="00387142"/>
    <w:rsid w:val="00387157"/>
    <w:rsid w:val="00394470"/>
    <w:rsid w:val="003B2454"/>
    <w:rsid w:val="003E6B4D"/>
    <w:rsid w:val="003E7CF1"/>
    <w:rsid w:val="003F01D0"/>
    <w:rsid w:val="003F0719"/>
    <w:rsid w:val="003F38CF"/>
    <w:rsid w:val="003F4ED8"/>
    <w:rsid w:val="004060A2"/>
    <w:rsid w:val="00407F27"/>
    <w:rsid w:val="00422625"/>
    <w:rsid w:val="00440109"/>
    <w:rsid w:val="0044138E"/>
    <w:rsid w:val="00445232"/>
    <w:rsid w:val="004468D4"/>
    <w:rsid w:val="00446CBD"/>
    <w:rsid w:val="0045199E"/>
    <w:rsid w:val="0047344C"/>
    <w:rsid w:val="0048211A"/>
    <w:rsid w:val="0048582F"/>
    <w:rsid w:val="0048688C"/>
    <w:rsid w:val="00496E7E"/>
    <w:rsid w:val="004970C1"/>
    <w:rsid w:val="004A27A6"/>
    <w:rsid w:val="004A4CDB"/>
    <w:rsid w:val="004A6698"/>
    <w:rsid w:val="004B2D97"/>
    <w:rsid w:val="004C0136"/>
    <w:rsid w:val="004D2D88"/>
    <w:rsid w:val="004D5AC2"/>
    <w:rsid w:val="004F0E13"/>
    <w:rsid w:val="004F6518"/>
    <w:rsid w:val="004F6946"/>
    <w:rsid w:val="005012F4"/>
    <w:rsid w:val="0052448D"/>
    <w:rsid w:val="00536545"/>
    <w:rsid w:val="00536AD6"/>
    <w:rsid w:val="00551587"/>
    <w:rsid w:val="00553569"/>
    <w:rsid w:val="005556EC"/>
    <w:rsid w:val="00561BD4"/>
    <w:rsid w:val="005635B3"/>
    <w:rsid w:val="00563D19"/>
    <w:rsid w:val="00566D20"/>
    <w:rsid w:val="005719CB"/>
    <w:rsid w:val="0057242F"/>
    <w:rsid w:val="0058107B"/>
    <w:rsid w:val="005926E5"/>
    <w:rsid w:val="00592B90"/>
    <w:rsid w:val="005A3871"/>
    <w:rsid w:val="005A662A"/>
    <w:rsid w:val="005C0B8E"/>
    <w:rsid w:val="005C7AB8"/>
    <w:rsid w:val="005D0967"/>
    <w:rsid w:val="005E0069"/>
    <w:rsid w:val="005E03C3"/>
    <w:rsid w:val="005E254F"/>
    <w:rsid w:val="005E3C64"/>
    <w:rsid w:val="005E7B54"/>
    <w:rsid w:val="005F3FC8"/>
    <w:rsid w:val="006032DF"/>
    <w:rsid w:val="006053B6"/>
    <w:rsid w:val="00607C0F"/>
    <w:rsid w:val="006134FB"/>
    <w:rsid w:val="006218AD"/>
    <w:rsid w:val="00622176"/>
    <w:rsid w:val="00622EC6"/>
    <w:rsid w:val="006265F8"/>
    <w:rsid w:val="006329DA"/>
    <w:rsid w:val="00642297"/>
    <w:rsid w:val="00655384"/>
    <w:rsid w:val="00655C5D"/>
    <w:rsid w:val="00663D05"/>
    <w:rsid w:val="006753ED"/>
    <w:rsid w:val="006762B5"/>
    <w:rsid w:val="00686E08"/>
    <w:rsid w:val="006870E5"/>
    <w:rsid w:val="00691D4B"/>
    <w:rsid w:val="006A16BA"/>
    <w:rsid w:val="006A1BFD"/>
    <w:rsid w:val="006A72F3"/>
    <w:rsid w:val="006B758D"/>
    <w:rsid w:val="006D4B58"/>
    <w:rsid w:val="006E0858"/>
    <w:rsid w:val="006E2361"/>
    <w:rsid w:val="006E6AD9"/>
    <w:rsid w:val="006F081D"/>
    <w:rsid w:val="00712A65"/>
    <w:rsid w:val="00713BC6"/>
    <w:rsid w:val="0072513B"/>
    <w:rsid w:val="00725348"/>
    <w:rsid w:val="007277E7"/>
    <w:rsid w:val="00730B39"/>
    <w:rsid w:val="007317E6"/>
    <w:rsid w:val="00731B76"/>
    <w:rsid w:val="00740187"/>
    <w:rsid w:val="00742E35"/>
    <w:rsid w:val="007450C5"/>
    <w:rsid w:val="00753CDA"/>
    <w:rsid w:val="007617C5"/>
    <w:rsid w:val="007642B8"/>
    <w:rsid w:val="00765066"/>
    <w:rsid w:val="0076743C"/>
    <w:rsid w:val="0077227D"/>
    <w:rsid w:val="00797835"/>
    <w:rsid w:val="007A56A3"/>
    <w:rsid w:val="007A68A5"/>
    <w:rsid w:val="007B15EA"/>
    <w:rsid w:val="007B5F81"/>
    <w:rsid w:val="007C61AC"/>
    <w:rsid w:val="007D0369"/>
    <w:rsid w:val="007D3889"/>
    <w:rsid w:val="007D674C"/>
    <w:rsid w:val="007F1EC9"/>
    <w:rsid w:val="0080387D"/>
    <w:rsid w:val="0080517D"/>
    <w:rsid w:val="008107A9"/>
    <w:rsid w:val="00834315"/>
    <w:rsid w:val="00852497"/>
    <w:rsid w:val="00856D98"/>
    <w:rsid w:val="00860CEC"/>
    <w:rsid w:val="0087557A"/>
    <w:rsid w:val="00885680"/>
    <w:rsid w:val="008A3B5D"/>
    <w:rsid w:val="008B642A"/>
    <w:rsid w:val="008C077B"/>
    <w:rsid w:val="008C1484"/>
    <w:rsid w:val="008C75F0"/>
    <w:rsid w:val="008D383C"/>
    <w:rsid w:val="008E0EFD"/>
    <w:rsid w:val="008E6A6D"/>
    <w:rsid w:val="008E7417"/>
    <w:rsid w:val="008F1B35"/>
    <w:rsid w:val="008F3D3B"/>
    <w:rsid w:val="009301C3"/>
    <w:rsid w:val="00933A64"/>
    <w:rsid w:val="00935EE5"/>
    <w:rsid w:val="009370B3"/>
    <w:rsid w:val="0093732E"/>
    <w:rsid w:val="00950911"/>
    <w:rsid w:val="00952F98"/>
    <w:rsid w:val="00954281"/>
    <w:rsid w:val="00955758"/>
    <w:rsid w:val="00955B9F"/>
    <w:rsid w:val="009575F9"/>
    <w:rsid w:val="00966052"/>
    <w:rsid w:val="0096741F"/>
    <w:rsid w:val="009700A5"/>
    <w:rsid w:val="00973D68"/>
    <w:rsid w:val="009744DC"/>
    <w:rsid w:val="00982357"/>
    <w:rsid w:val="009863DC"/>
    <w:rsid w:val="009950F3"/>
    <w:rsid w:val="009A5E08"/>
    <w:rsid w:val="009A60A6"/>
    <w:rsid w:val="009B0CF0"/>
    <w:rsid w:val="009B336F"/>
    <w:rsid w:val="009C7A8F"/>
    <w:rsid w:val="009D3F52"/>
    <w:rsid w:val="009E2F4F"/>
    <w:rsid w:val="009E3A95"/>
    <w:rsid w:val="009F3B30"/>
    <w:rsid w:val="009F5AC1"/>
    <w:rsid w:val="009F7904"/>
    <w:rsid w:val="00A023FC"/>
    <w:rsid w:val="00A02D1C"/>
    <w:rsid w:val="00A03A1C"/>
    <w:rsid w:val="00A12DBD"/>
    <w:rsid w:val="00A20245"/>
    <w:rsid w:val="00A33627"/>
    <w:rsid w:val="00A36223"/>
    <w:rsid w:val="00A401F4"/>
    <w:rsid w:val="00A64ECC"/>
    <w:rsid w:val="00A75E25"/>
    <w:rsid w:val="00AA531A"/>
    <w:rsid w:val="00AA7CC6"/>
    <w:rsid w:val="00AB749A"/>
    <w:rsid w:val="00AC2A7D"/>
    <w:rsid w:val="00AC3AF0"/>
    <w:rsid w:val="00AD7163"/>
    <w:rsid w:val="00AE121A"/>
    <w:rsid w:val="00AE42BC"/>
    <w:rsid w:val="00AE5B9F"/>
    <w:rsid w:val="00AF2DE0"/>
    <w:rsid w:val="00B05AEA"/>
    <w:rsid w:val="00B326C8"/>
    <w:rsid w:val="00B32FA7"/>
    <w:rsid w:val="00B34985"/>
    <w:rsid w:val="00B41246"/>
    <w:rsid w:val="00B4231E"/>
    <w:rsid w:val="00B646FF"/>
    <w:rsid w:val="00B7183E"/>
    <w:rsid w:val="00B80454"/>
    <w:rsid w:val="00B81EEB"/>
    <w:rsid w:val="00B871A4"/>
    <w:rsid w:val="00B91E2E"/>
    <w:rsid w:val="00B93885"/>
    <w:rsid w:val="00B96424"/>
    <w:rsid w:val="00BA066F"/>
    <w:rsid w:val="00BA1229"/>
    <w:rsid w:val="00BB18C1"/>
    <w:rsid w:val="00BB1FCF"/>
    <w:rsid w:val="00BE0E7B"/>
    <w:rsid w:val="00BE58BB"/>
    <w:rsid w:val="00C02617"/>
    <w:rsid w:val="00C13BBB"/>
    <w:rsid w:val="00C16F38"/>
    <w:rsid w:val="00C30241"/>
    <w:rsid w:val="00C3108D"/>
    <w:rsid w:val="00C31796"/>
    <w:rsid w:val="00C322A2"/>
    <w:rsid w:val="00C3371B"/>
    <w:rsid w:val="00C35DE0"/>
    <w:rsid w:val="00C56178"/>
    <w:rsid w:val="00C60C21"/>
    <w:rsid w:val="00C60EFA"/>
    <w:rsid w:val="00C65015"/>
    <w:rsid w:val="00C66B67"/>
    <w:rsid w:val="00C85299"/>
    <w:rsid w:val="00C9274C"/>
    <w:rsid w:val="00C92EE9"/>
    <w:rsid w:val="00C93907"/>
    <w:rsid w:val="00CA6615"/>
    <w:rsid w:val="00CB2EEB"/>
    <w:rsid w:val="00CB3835"/>
    <w:rsid w:val="00CD59C3"/>
    <w:rsid w:val="00CE0F94"/>
    <w:rsid w:val="00CE7F04"/>
    <w:rsid w:val="00CF0CF6"/>
    <w:rsid w:val="00CF30E5"/>
    <w:rsid w:val="00CF58F7"/>
    <w:rsid w:val="00CF6DF4"/>
    <w:rsid w:val="00D11A75"/>
    <w:rsid w:val="00D32909"/>
    <w:rsid w:val="00D403CD"/>
    <w:rsid w:val="00D5405B"/>
    <w:rsid w:val="00D732D1"/>
    <w:rsid w:val="00D73FD8"/>
    <w:rsid w:val="00D76E86"/>
    <w:rsid w:val="00D8275C"/>
    <w:rsid w:val="00D93010"/>
    <w:rsid w:val="00D94A68"/>
    <w:rsid w:val="00D95062"/>
    <w:rsid w:val="00D966D4"/>
    <w:rsid w:val="00DA6974"/>
    <w:rsid w:val="00DB4CE5"/>
    <w:rsid w:val="00DC61EB"/>
    <w:rsid w:val="00DD69E9"/>
    <w:rsid w:val="00DE2B53"/>
    <w:rsid w:val="00DF590C"/>
    <w:rsid w:val="00E11217"/>
    <w:rsid w:val="00E24A61"/>
    <w:rsid w:val="00E2590E"/>
    <w:rsid w:val="00E263E7"/>
    <w:rsid w:val="00E26B93"/>
    <w:rsid w:val="00E31B6C"/>
    <w:rsid w:val="00E418D3"/>
    <w:rsid w:val="00E55756"/>
    <w:rsid w:val="00E64F86"/>
    <w:rsid w:val="00E6722E"/>
    <w:rsid w:val="00E858E9"/>
    <w:rsid w:val="00E93D57"/>
    <w:rsid w:val="00EB4D98"/>
    <w:rsid w:val="00EB635F"/>
    <w:rsid w:val="00EB6785"/>
    <w:rsid w:val="00EC454E"/>
    <w:rsid w:val="00EE175E"/>
    <w:rsid w:val="00EE770E"/>
    <w:rsid w:val="00EF095B"/>
    <w:rsid w:val="00EF37D3"/>
    <w:rsid w:val="00EF3FA9"/>
    <w:rsid w:val="00EF41DD"/>
    <w:rsid w:val="00F0197F"/>
    <w:rsid w:val="00F03E13"/>
    <w:rsid w:val="00F3161C"/>
    <w:rsid w:val="00F3167B"/>
    <w:rsid w:val="00F32164"/>
    <w:rsid w:val="00F505ED"/>
    <w:rsid w:val="00F50B76"/>
    <w:rsid w:val="00F51EB0"/>
    <w:rsid w:val="00F532F6"/>
    <w:rsid w:val="00F631ED"/>
    <w:rsid w:val="00F641D3"/>
    <w:rsid w:val="00F71372"/>
    <w:rsid w:val="00F81FBA"/>
    <w:rsid w:val="00F91795"/>
    <w:rsid w:val="00F9316B"/>
    <w:rsid w:val="00F94A1A"/>
    <w:rsid w:val="00FA1360"/>
    <w:rsid w:val="00FA3D8D"/>
    <w:rsid w:val="00FC3349"/>
    <w:rsid w:val="00FC522F"/>
    <w:rsid w:val="00FC64EC"/>
    <w:rsid w:val="00FC715F"/>
    <w:rsid w:val="00FD1483"/>
    <w:rsid w:val="00FD60AE"/>
    <w:rsid w:val="00FE3E1B"/>
    <w:rsid w:val="00FF1923"/>
    <w:rsid w:val="01631642"/>
    <w:rsid w:val="02A91BCD"/>
    <w:rsid w:val="048D00C6"/>
    <w:rsid w:val="049234CC"/>
    <w:rsid w:val="05CF5E00"/>
    <w:rsid w:val="05E00200"/>
    <w:rsid w:val="05F618E1"/>
    <w:rsid w:val="063530FC"/>
    <w:rsid w:val="06561E38"/>
    <w:rsid w:val="07782F92"/>
    <w:rsid w:val="07A36963"/>
    <w:rsid w:val="08B3482C"/>
    <w:rsid w:val="0B446287"/>
    <w:rsid w:val="0B482658"/>
    <w:rsid w:val="0CBB7175"/>
    <w:rsid w:val="0E554B3D"/>
    <w:rsid w:val="0F4D10AA"/>
    <w:rsid w:val="0FA6580B"/>
    <w:rsid w:val="0FE833C4"/>
    <w:rsid w:val="14192CB8"/>
    <w:rsid w:val="14962900"/>
    <w:rsid w:val="14FF3592"/>
    <w:rsid w:val="15555672"/>
    <w:rsid w:val="1568668F"/>
    <w:rsid w:val="1612496C"/>
    <w:rsid w:val="195E5326"/>
    <w:rsid w:val="1A8D0563"/>
    <w:rsid w:val="1B774113"/>
    <w:rsid w:val="1BE22DA0"/>
    <w:rsid w:val="1C8F4906"/>
    <w:rsid w:val="1D81733B"/>
    <w:rsid w:val="1DBE3A3A"/>
    <w:rsid w:val="1E022B27"/>
    <w:rsid w:val="20116A06"/>
    <w:rsid w:val="20550180"/>
    <w:rsid w:val="206405F6"/>
    <w:rsid w:val="20DA3B11"/>
    <w:rsid w:val="2229384B"/>
    <w:rsid w:val="250C10FA"/>
    <w:rsid w:val="252C02B2"/>
    <w:rsid w:val="273E407A"/>
    <w:rsid w:val="28664C8A"/>
    <w:rsid w:val="29502FDC"/>
    <w:rsid w:val="29C639C8"/>
    <w:rsid w:val="2A406ACF"/>
    <w:rsid w:val="2AB05831"/>
    <w:rsid w:val="2B7175E3"/>
    <w:rsid w:val="2B9C17F1"/>
    <w:rsid w:val="2D2A13A5"/>
    <w:rsid w:val="2E760C0C"/>
    <w:rsid w:val="2F0706AE"/>
    <w:rsid w:val="2F584D5E"/>
    <w:rsid w:val="31BC700D"/>
    <w:rsid w:val="34367E71"/>
    <w:rsid w:val="34943300"/>
    <w:rsid w:val="37E07F38"/>
    <w:rsid w:val="3BA50CDB"/>
    <w:rsid w:val="3CE84F26"/>
    <w:rsid w:val="3CEB2A6A"/>
    <w:rsid w:val="3DD2790B"/>
    <w:rsid w:val="3E4B0B8B"/>
    <w:rsid w:val="3EA044E7"/>
    <w:rsid w:val="3EBA41E9"/>
    <w:rsid w:val="3FE077FE"/>
    <w:rsid w:val="409560F5"/>
    <w:rsid w:val="41542E5C"/>
    <w:rsid w:val="42B83F07"/>
    <w:rsid w:val="42D9683D"/>
    <w:rsid w:val="43351122"/>
    <w:rsid w:val="45BF508E"/>
    <w:rsid w:val="473309B6"/>
    <w:rsid w:val="47B00E31"/>
    <w:rsid w:val="482715FC"/>
    <w:rsid w:val="48D9448E"/>
    <w:rsid w:val="48EE6B9B"/>
    <w:rsid w:val="4A2E283E"/>
    <w:rsid w:val="4BB55E86"/>
    <w:rsid w:val="4C9E4940"/>
    <w:rsid w:val="4CC0070F"/>
    <w:rsid w:val="4EB06724"/>
    <w:rsid w:val="4F5F21D3"/>
    <w:rsid w:val="4F8F0154"/>
    <w:rsid w:val="4FE5224D"/>
    <w:rsid w:val="4FF17A83"/>
    <w:rsid w:val="519D288F"/>
    <w:rsid w:val="5295436B"/>
    <w:rsid w:val="531A58D7"/>
    <w:rsid w:val="54475BEF"/>
    <w:rsid w:val="54D04201"/>
    <w:rsid w:val="550E133E"/>
    <w:rsid w:val="551C64F4"/>
    <w:rsid w:val="55A060ED"/>
    <w:rsid w:val="55C31A8D"/>
    <w:rsid w:val="58226B1D"/>
    <w:rsid w:val="58EA6E63"/>
    <w:rsid w:val="5A3415E0"/>
    <w:rsid w:val="5A4F3586"/>
    <w:rsid w:val="5BAA7620"/>
    <w:rsid w:val="5CE12C3B"/>
    <w:rsid w:val="5CEA2CD3"/>
    <w:rsid w:val="5EBD7809"/>
    <w:rsid w:val="60375D3F"/>
    <w:rsid w:val="604852E4"/>
    <w:rsid w:val="608C6B57"/>
    <w:rsid w:val="61E463CA"/>
    <w:rsid w:val="62294A22"/>
    <w:rsid w:val="629C70D6"/>
    <w:rsid w:val="62BB5D7B"/>
    <w:rsid w:val="63D27BCE"/>
    <w:rsid w:val="64ED4E75"/>
    <w:rsid w:val="65B72BA2"/>
    <w:rsid w:val="66D94C78"/>
    <w:rsid w:val="688E6D41"/>
    <w:rsid w:val="68A17253"/>
    <w:rsid w:val="6920786F"/>
    <w:rsid w:val="692A1CC6"/>
    <w:rsid w:val="6A034510"/>
    <w:rsid w:val="6AA3108F"/>
    <w:rsid w:val="6C694A22"/>
    <w:rsid w:val="6D6E23D4"/>
    <w:rsid w:val="6E334677"/>
    <w:rsid w:val="6EF42EF8"/>
    <w:rsid w:val="6FA65E02"/>
    <w:rsid w:val="6FAF6420"/>
    <w:rsid w:val="701B1F99"/>
    <w:rsid w:val="70305BCB"/>
    <w:rsid w:val="71257E11"/>
    <w:rsid w:val="718068DC"/>
    <w:rsid w:val="71B202EB"/>
    <w:rsid w:val="728C5FCA"/>
    <w:rsid w:val="739665AC"/>
    <w:rsid w:val="73D96025"/>
    <w:rsid w:val="76843F11"/>
    <w:rsid w:val="76E41239"/>
    <w:rsid w:val="77902DAE"/>
    <w:rsid w:val="77A71A21"/>
    <w:rsid w:val="77AD3B21"/>
    <w:rsid w:val="785D25CA"/>
    <w:rsid w:val="7A6728B1"/>
    <w:rsid w:val="7A957C76"/>
    <w:rsid w:val="7C3328AC"/>
    <w:rsid w:val="7FA519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9"/>
    <w:qFormat/>
    <w:uiPriority w:val="0"/>
    <w:pPr>
      <w:keepNext/>
      <w:keepLines/>
      <w:spacing w:before="260" w:after="260" w:line="416" w:lineRule="auto"/>
      <w:outlineLvl w:val="2"/>
    </w:pPr>
    <w:rPr>
      <w:b/>
      <w:bCs/>
      <w:kern w:val="0"/>
      <w:sz w:val="32"/>
      <w:szCs w:val="32"/>
    </w:rPr>
  </w:style>
  <w:style w:type="paragraph" w:styleId="5">
    <w:name w:val="heading 4"/>
    <w:basedOn w:val="1"/>
    <w:next w:val="1"/>
    <w:link w:val="3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39"/>
    <w:qFormat/>
    <w:uiPriority w:val="0"/>
    <w:pPr>
      <w:keepNext/>
      <w:keepLines/>
      <w:tabs>
        <w:tab w:val="left" w:pos="1008"/>
      </w:tabs>
      <w:spacing w:before="280" w:after="290" w:line="376" w:lineRule="auto"/>
      <w:ind w:left="1008" w:hanging="1008"/>
      <w:outlineLvl w:val="4"/>
    </w:pPr>
    <w:rPr>
      <w:b/>
      <w:bCs/>
      <w:sz w:val="28"/>
      <w:szCs w:val="28"/>
    </w:rPr>
  </w:style>
  <w:style w:type="paragraph" w:styleId="7">
    <w:name w:val="heading 6"/>
    <w:basedOn w:val="1"/>
    <w:next w:val="1"/>
    <w:link w:val="40"/>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8">
    <w:name w:val="heading 7"/>
    <w:basedOn w:val="1"/>
    <w:next w:val="1"/>
    <w:link w:val="41"/>
    <w:qFormat/>
    <w:uiPriority w:val="0"/>
    <w:pPr>
      <w:keepNext/>
      <w:keepLines/>
      <w:tabs>
        <w:tab w:val="left" w:pos="1296"/>
      </w:tabs>
      <w:spacing w:before="240" w:after="64" w:line="320" w:lineRule="auto"/>
      <w:ind w:left="1296" w:hanging="1296"/>
      <w:outlineLvl w:val="6"/>
    </w:pPr>
    <w:rPr>
      <w:b/>
      <w:bCs/>
      <w:sz w:val="24"/>
    </w:rPr>
  </w:style>
  <w:style w:type="paragraph" w:styleId="9">
    <w:name w:val="heading 8"/>
    <w:basedOn w:val="1"/>
    <w:next w:val="1"/>
    <w:link w:val="42"/>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0">
    <w:name w:val="heading 9"/>
    <w:basedOn w:val="1"/>
    <w:next w:val="1"/>
    <w:link w:val="43"/>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45"/>
    <w:qFormat/>
    <w:uiPriority w:val="0"/>
    <w:rPr>
      <w:sz w:val="15"/>
    </w:rPr>
  </w:style>
  <w:style w:type="paragraph" w:styleId="12">
    <w:name w:val="Body Text Indent"/>
    <w:basedOn w:val="1"/>
    <w:link w:val="48"/>
    <w:qFormat/>
    <w:uiPriority w:val="0"/>
    <w:pPr>
      <w:spacing w:after="120"/>
      <w:ind w:left="420" w:leftChars="200"/>
    </w:pPr>
    <w:rPr>
      <w:szCs w:val="20"/>
    </w:rPr>
  </w:style>
  <w:style w:type="paragraph" w:styleId="13">
    <w:name w:val="Block Text"/>
    <w:basedOn w:val="1"/>
    <w:qFormat/>
    <w:uiPriority w:val="0"/>
    <w:pPr>
      <w:spacing w:line="288" w:lineRule="auto"/>
      <w:ind w:left="662" w:right="240" w:hanging="420"/>
    </w:pPr>
    <w:rPr>
      <w:sz w:val="24"/>
      <w:szCs w:val="20"/>
    </w:rPr>
  </w:style>
  <w:style w:type="paragraph" w:styleId="14">
    <w:name w:val="Plain Text"/>
    <w:basedOn w:val="1"/>
    <w:link w:val="60"/>
    <w:qFormat/>
    <w:uiPriority w:val="99"/>
    <w:rPr>
      <w:rFonts w:ascii="宋体" w:hAnsi="Courier New"/>
      <w:szCs w:val="20"/>
    </w:rPr>
  </w:style>
  <w:style w:type="paragraph" w:styleId="15">
    <w:name w:val="Date"/>
    <w:basedOn w:val="1"/>
    <w:next w:val="1"/>
    <w:link w:val="46"/>
    <w:qFormat/>
    <w:uiPriority w:val="0"/>
    <w:pPr>
      <w:ind w:left="100" w:leftChars="2500"/>
    </w:pPr>
  </w:style>
  <w:style w:type="paragraph" w:styleId="16">
    <w:name w:val="Balloon Text"/>
    <w:basedOn w:val="1"/>
    <w:link w:val="32"/>
    <w:unhideWhenUsed/>
    <w:qFormat/>
    <w:uiPriority w:val="99"/>
    <w:rPr>
      <w:rFonts w:eastAsiaTheme="minorEastAsia" w:cstheme="minorBidi"/>
      <w:sz w:val="18"/>
      <w:szCs w:val="18"/>
    </w:rPr>
  </w:style>
  <w:style w:type="paragraph" w:styleId="17">
    <w:name w:val="footer"/>
    <w:basedOn w:val="1"/>
    <w:link w:val="31"/>
    <w:unhideWhenUsed/>
    <w:qFormat/>
    <w:uiPriority w:val="99"/>
    <w:pPr>
      <w:tabs>
        <w:tab w:val="center" w:pos="4153"/>
        <w:tab w:val="right" w:pos="8306"/>
      </w:tabs>
      <w:snapToGrid w:val="0"/>
      <w:jc w:val="left"/>
    </w:pPr>
    <w:rPr>
      <w:sz w:val="18"/>
      <w:szCs w:val="18"/>
    </w:rPr>
  </w:style>
  <w:style w:type="paragraph" w:styleId="18">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Body Text 2"/>
    <w:basedOn w:val="1"/>
    <w:link w:val="49"/>
    <w:qFormat/>
    <w:uiPriority w:val="0"/>
    <w:pPr>
      <w:spacing w:after="120" w:line="480" w:lineRule="auto"/>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22">
    <w:name w:val="Table Grid"/>
    <w:basedOn w:val="2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22"/>
    <w:rPr>
      <w:b/>
      <w:bCs/>
    </w:rPr>
  </w:style>
  <w:style w:type="character" w:styleId="25">
    <w:name w:val="page number"/>
    <w:basedOn w:val="23"/>
    <w:qFormat/>
    <w:uiPriority w:val="0"/>
  </w:style>
  <w:style w:type="character" w:styleId="26">
    <w:name w:val="Hyperlink"/>
    <w:basedOn w:val="23"/>
    <w:qFormat/>
    <w:uiPriority w:val="0"/>
    <w:rPr>
      <w:color w:val="0000FF"/>
      <w:u w:val="single"/>
    </w:rPr>
  </w:style>
  <w:style w:type="character" w:customStyle="1" w:styleId="27">
    <w:name w:val="标题 1 Char"/>
    <w:basedOn w:val="23"/>
    <w:link w:val="2"/>
    <w:qFormat/>
    <w:uiPriority w:val="9"/>
    <w:rPr>
      <w:rFonts w:ascii="Times New Roman" w:hAnsi="Times New Roman" w:eastAsia="宋体" w:cs="Times New Roman"/>
      <w:b/>
      <w:bCs/>
      <w:kern w:val="44"/>
      <w:sz w:val="44"/>
      <w:szCs w:val="44"/>
    </w:rPr>
  </w:style>
  <w:style w:type="character" w:customStyle="1" w:styleId="28">
    <w:name w:val="标题 2 Char"/>
    <w:basedOn w:val="23"/>
    <w:link w:val="3"/>
    <w:qFormat/>
    <w:uiPriority w:val="9"/>
    <w:rPr>
      <w:rFonts w:ascii="Cambria" w:hAnsi="Cambria" w:eastAsia="宋体" w:cs="Times New Roman"/>
      <w:b/>
      <w:bCs/>
      <w:kern w:val="0"/>
      <w:sz w:val="32"/>
      <w:szCs w:val="32"/>
    </w:rPr>
  </w:style>
  <w:style w:type="character" w:customStyle="1" w:styleId="29">
    <w:name w:val="标题 3 Char"/>
    <w:basedOn w:val="23"/>
    <w:link w:val="4"/>
    <w:qFormat/>
    <w:uiPriority w:val="9"/>
    <w:rPr>
      <w:rFonts w:ascii="Times New Roman" w:hAnsi="Times New Roman" w:eastAsia="宋体" w:cs="Times New Roman"/>
      <w:b/>
      <w:bCs/>
      <w:kern w:val="0"/>
      <w:sz w:val="32"/>
      <w:szCs w:val="32"/>
    </w:rPr>
  </w:style>
  <w:style w:type="character" w:customStyle="1" w:styleId="30">
    <w:name w:val="页眉 Char"/>
    <w:link w:val="18"/>
    <w:qFormat/>
    <w:uiPriority w:val="99"/>
    <w:rPr>
      <w:rFonts w:ascii="Times New Roman" w:hAnsi="Times New Roman" w:eastAsia="宋体" w:cs="Times New Roman"/>
      <w:sz w:val="18"/>
      <w:szCs w:val="18"/>
    </w:rPr>
  </w:style>
  <w:style w:type="character" w:customStyle="1" w:styleId="31">
    <w:name w:val="页脚 Char"/>
    <w:link w:val="17"/>
    <w:qFormat/>
    <w:uiPriority w:val="99"/>
    <w:rPr>
      <w:rFonts w:ascii="Times New Roman" w:hAnsi="Times New Roman" w:eastAsia="宋体" w:cs="Times New Roman"/>
      <w:sz w:val="18"/>
      <w:szCs w:val="18"/>
    </w:rPr>
  </w:style>
  <w:style w:type="character" w:customStyle="1" w:styleId="32">
    <w:name w:val="批注框文本 Char"/>
    <w:link w:val="16"/>
    <w:qFormat/>
    <w:uiPriority w:val="99"/>
    <w:rPr>
      <w:rFonts w:ascii="Times New Roman" w:hAnsi="Times New Roman"/>
      <w:sz w:val="18"/>
      <w:szCs w:val="18"/>
    </w:rPr>
  </w:style>
  <w:style w:type="paragraph" w:customStyle="1" w:styleId="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34">
    <w:name w:val="页眉 Char1"/>
    <w:basedOn w:val="23"/>
    <w:semiHidden/>
    <w:qFormat/>
    <w:uiPriority w:val="99"/>
    <w:rPr>
      <w:rFonts w:ascii="Times New Roman" w:hAnsi="Times New Roman" w:eastAsia="宋体" w:cs="Times New Roman"/>
      <w:sz w:val="18"/>
      <w:szCs w:val="18"/>
    </w:rPr>
  </w:style>
  <w:style w:type="character" w:customStyle="1" w:styleId="35">
    <w:name w:val="批注框文本 Char1"/>
    <w:basedOn w:val="23"/>
    <w:semiHidden/>
    <w:qFormat/>
    <w:uiPriority w:val="99"/>
    <w:rPr>
      <w:rFonts w:ascii="Times New Roman" w:hAnsi="Times New Roman" w:eastAsia="宋体" w:cs="Times New Roman"/>
      <w:sz w:val="18"/>
      <w:szCs w:val="18"/>
    </w:rPr>
  </w:style>
  <w:style w:type="character" w:customStyle="1" w:styleId="36">
    <w:name w:val="页脚 Char1"/>
    <w:basedOn w:val="23"/>
    <w:semiHidden/>
    <w:qFormat/>
    <w:uiPriority w:val="99"/>
    <w:rPr>
      <w:rFonts w:ascii="Times New Roman" w:hAnsi="Times New Roman" w:eastAsia="宋体" w:cs="Times New Roman"/>
      <w:sz w:val="18"/>
      <w:szCs w:val="18"/>
    </w:rPr>
  </w:style>
  <w:style w:type="paragraph" w:styleId="3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38">
    <w:name w:val="标题 4 Char"/>
    <w:basedOn w:val="23"/>
    <w:link w:val="5"/>
    <w:qFormat/>
    <w:uiPriority w:val="0"/>
    <w:rPr>
      <w:rFonts w:ascii="Arial" w:hAnsi="Arial" w:eastAsia="黑体" w:cs="Times New Roman"/>
      <w:b/>
      <w:bCs/>
      <w:sz w:val="28"/>
      <w:szCs w:val="28"/>
    </w:rPr>
  </w:style>
  <w:style w:type="character" w:customStyle="1" w:styleId="39">
    <w:name w:val="标题 5 Char"/>
    <w:basedOn w:val="23"/>
    <w:link w:val="6"/>
    <w:qFormat/>
    <w:uiPriority w:val="0"/>
    <w:rPr>
      <w:rFonts w:ascii="Times New Roman" w:hAnsi="Times New Roman" w:eastAsia="宋体" w:cs="Times New Roman"/>
      <w:b/>
      <w:bCs/>
      <w:sz w:val="28"/>
      <w:szCs w:val="28"/>
    </w:rPr>
  </w:style>
  <w:style w:type="character" w:customStyle="1" w:styleId="40">
    <w:name w:val="标题 6 Char"/>
    <w:basedOn w:val="23"/>
    <w:link w:val="7"/>
    <w:qFormat/>
    <w:uiPriority w:val="0"/>
    <w:rPr>
      <w:rFonts w:ascii="Arial" w:hAnsi="Arial" w:eastAsia="黑体" w:cs="Times New Roman"/>
      <w:b/>
      <w:bCs/>
      <w:sz w:val="24"/>
      <w:szCs w:val="24"/>
    </w:rPr>
  </w:style>
  <w:style w:type="character" w:customStyle="1" w:styleId="41">
    <w:name w:val="标题 7 Char"/>
    <w:basedOn w:val="23"/>
    <w:link w:val="8"/>
    <w:qFormat/>
    <w:uiPriority w:val="0"/>
    <w:rPr>
      <w:rFonts w:ascii="Times New Roman" w:hAnsi="Times New Roman" w:eastAsia="宋体" w:cs="Times New Roman"/>
      <w:b/>
      <w:bCs/>
      <w:sz w:val="24"/>
      <w:szCs w:val="24"/>
    </w:rPr>
  </w:style>
  <w:style w:type="character" w:customStyle="1" w:styleId="42">
    <w:name w:val="标题 8 Char"/>
    <w:basedOn w:val="23"/>
    <w:link w:val="9"/>
    <w:qFormat/>
    <w:uiPriority w:val="0"/>
    <w:rPr>
      <w:rFonts w:ascii="Arial" w:hAnsi="Arial" w:eastAsia="黑体" w:cs="Times New Roman"/>
      <w:sz w:val="24"/>
      <w:szCs w:val="24"/>
    </w:rPr>
  </w:style>
  <w:style w:type="character" w:customStyle="1" w:styleId="43">
    <w:name w:val="标题 9 Char"/>
    <w:basedOn w:val="23"/>
    <w:link w:val="10"/>
    <w:qFormat/>
    <w:uiPriority w:val="0"/>
    <w:rPr>
      <w:rFonts w:ascii="Arial" w:hAnsi="Arial" w:eastAsia="黑体" w:cs="Times New Roman"/>
      <w:szCs w:val="21"/>
    </w:rPr>
  </w:style>
  <w:style w:type="paragraph" w:customStyle="1" w:styleId="44">
    <w:name w:val="1"/>
    <w:basedOn w:val="1"/>
    <w:qFormat/>
    <w:uiPriority w:val="0"/>
    <w:pPr>
      <w:widowControl/>
      <w:spacing w:after="160" w:line="240" w:lineRule="exact"/>
      <w:jc w:val="left"/>
    </w:pPr>
  </w:style>
  <w:style w:type="character" w:customStyle="1" w:styleId="45">
    <w:name w:val="正文文本 Char"/>
    <w:basedOn w:val="23"/>
    <w:link w:val="11"/>
    <w:qFormat/>
    <w:uiPriority w:val="0"/>
    <w:rPr>
      <w:rFonts w:ascii="Times New Roman" w:hAnsi="Times New Roman" w:eastAsia="宋体" w:cs="Times New Roman"/>
      <w:sz w:val="15"/>
      <w:szCs w:val="24"/>
    </w:rPr>
  </w:style>
  <w:style w:type="character" w:customStyle="1" w:styleId="46">
    <w:name w:val="日期 Char"/>
    <w:basedOn w:val="23"/>
    <w:link w:val="15"/>
    <w:qFormat/>
    <w:uiPriority w:val="0"/>
    <w:rPr>
      <w:rFonts w:ascii="Times New Roman" w:hAnsi="Times New Roman" w:eastAsia="宋体" w:cs="Times New Roman"/>
      <w:szCs w:val="24"/>
    </w:rPr>
  </w:style>
  <w:style w:type="paragraph" w:customStyle="1" w:styleId="47">
    <w:name w:val="Char Char Char1 Char"/>
    <w:basedOn w:val="1"/>
    <w:qFormat/>
    <w:uiPriority w:val="0"/>
    <w:pPr>
      <w:widowControl/>
      <w:spacing w:after="160" w:line="240" w:lineRule="exact"/>
      <w:jc w:val="left"/>
    </w:pPr>
    <w:rPr>
      <w:rFonts w:ascii="Verdana" w:hAnsi="Verdana"/>
      <w:kern w:val="0"/>
      <w:sz w:val="18"/>
      <w:szCs w:val="20"/>
      <w:lang w:eastAsia="en-US"/>
    </w:rPr>
  </w:style>
  <w:style w:type="character" w:customStyle="1" w:styleId="48">
    <w:name w:val="正文文本缩进 Char"/>
    <w:basedOn w:val="23"/>
    <w:link w:val="12"/>
    <w:qFormat/>
    <w:uiPriority w:val="0"/>
    <w:rPr>
      <w:rFonts w:ascii="Times New Roman" w:hAnsi="Times New Roman" w:eastAsia="宋体" w:cs="Times New Roman"/>
      <w:szCs w:val="20"/>
    </w:rPr>
  </w:style>
  <w:style w:type="character" w:customStyle="1" w:styleId="49">
    <w:name w:val="正文文本 2 Char"/>
    <w:basedOn w:val="23"/>
    <w:link w:val="19"/>
    <w:qFormat/>
    <w:uiPriority w:val="0"/>
    <w:rPr>
      <w:rFonts w:ascii="Times New Roman" w:hAnsi="Times New Roman" w:eastAsia="宋体" w:cs="Times New Roman"/>
      <w:szCs w:val="24"/>
    </w:rPr>
  </w:style>
  <w:style w:type="paragraph" w:customStyle="1" w:styleId="50">
    <w:name w:val="Char Char Char1 Char1"/>
    <w:basedOn w:val="1"/>
    <w:qFormat/>
    <w:uiPriority w:val="0"/>
    <w:pPr>
      <w:widowControl/>
      <w:spacing w:after="160" w:line="240" w:lineRule="exact"/>
      <w:jc w:val="left"/>
    </w:pPr>
  </w:style>
  <w:style w:type="paragraph" w:customStyle="1" w:styleId="51">
    <w:name w:val="reader-word-layer reader-word-s1-9"/>
    <w:basedOn w:val="1"/>
    <w:qFormat/>
    <w:uiPriority w:val="0"/>
    <w:pPr>
      <w:widowControl/>
      <w:spacing w:before="100" w:beforeAutospacing="1" w:after="100" w:afterAutospacing="1"/>
      <w:jc w:val="left"/>
    </w:pPr>
    <w:rPr>
      <w:rFonts w:ascii="宋体" w:hAnsi="宋体" w:cs="宋体"/>
      <w:kern w:val="0"/>
      <w:sz w:val="24"/>
    </w:rPr>
  </w:style>
  <w:style w:type="paragraph" w:customStyle="1" w:styleId="52">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53">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54">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55">
    <w:name w:val="reader-word-layer reader-word-s2-5"/>
    <w:basedOn w:val="1"/>
    <w:qFormat/>
    <w:uiPriority w:val="0"/>
    <w:pPr>
      <w:widowControl/>
      <w:spacing w:before="100" w:beforeAutospacing="1" w:after="100" w:afterAutospacing="1"/>
      <w:jc w:val="left"/>
    </w:pPr>
    <w:rPr>
      <w:rFonts w:ascii="宋体" w:hAnsi="宋体" w:cs="宋体"/>
      <w:kern w:val="0"/>
      <w:sz w:val="24"/>
    </w:rPr>
  </w:style>
  <w:style w:type="paragraph" w:customStyle="1" w:styleId="56">
    <w:name w:val="reader-word-layer reader-word-s2-3"/>
    <w:basedOn w:val="1"/>
    <w:qFormat/>
    <w:uiPriority w:val="0"/>
    <w:pPr>
      <w:widowControl/>
      <w:spacing w:before="100" w:beforeAutospacing="1" w:after="100" w:afterAutospacing="1"/>
      <w:jc w:val="left"/>
    </w:pPr>
    <w:rPr>
      <w:rFonts w:ascii="宋体" w:hAnsi="宋体" w:cs="宋体"/>
      <w:kern w:val="0"/>
      <w:sz w:val="24"/>
    </w:rPr>
  </w:style>
  <w:style w:type="paragraph" w:styleId="57">
    <w:name w:val="List Paragraph"/>
    <w:basedOn w:val="1"/>
    <w:qFormat/>
    <w:uiPriority w:val="0"/>
    <w:pPr>
      <w:ind w:firstLine="420" w:firstLineChars="200"/>
    </w:pPr>
    <w:rPr>
      <w:rFonts w:ascii="Calibri" w:hAnsi="Calibri"/>
      <w:szCs w:val="22"/>
    </w:rPr>
  </w:style>
  <w:style w:type="paragraph" w:customStyle="1" w:styleId="58">
    <w:name w:val="Char Char Char Char Char Char Char Char Char"/>
    <w:basedOn w:val="1"/>
    <w:qFormat/>
    <w:uiPriority w:val="0"/>
    <w:pPr>
      <w:tabs>
        <w:tab w:val="left" w:pos="360"/>
      </w:tabs>
      <w:snapToGrid w:val="0"/>
    </w:pPr>
  </w:style>
  <w:style w:type="paragraph" w:customStyle="1" w:styleId="59">
    <w:name w:val="Char Char Char Char Char Char Char Char Char Char Char Char Char Char Char Char"/>
    <w:basedOn w:val="1"/>
    <w:qFormat/>
    <w:uiPriority w:val="0"/>
    <w:pPr>
      <w:tabs>
        <w:tab w:val="left" w:pos="360"/>
      </w:tabs>
      <w:ind w:firstLine="420" w:firstLineChars="150"/>
    </w:pPr>
    <w:rPr>
      <w:rFonts w:ascii="Arial" w:hAnsi="Arial" w:cs="Arial"/>
      <w:sz w:val="20"/>
      <w:szCs w:val="20"/>
    </w:rPr>
  </w:style>
  <w:style w:type="character" w:customStyle="1" w:styleId="60">
    <w:name w:val="纯文本 Char"/>
    <w:basedOn w:val="23"/>
    <w:link w:val="14"/>
    <w:qFormat/>
    <w:uiPriority w:val="99"/>
    <w:rPr>
      <w:rFonts w:ascii="宋体" w:hAnsi="Courier New" w:eastAsia="宋体" w:cs="Times New Roman"/>
      <w:szCs w:val="20"/>
    </w:rPr>
  </w:style>
  <w:style w:type="paragraph" w:customStyle="1" w:styleId="61">
    <w:name w:val="正文5号(SAIERCOM)"/>
    <w:basedOn w:val="1"/>
    <w:qFormat/>
    <w:uiPriority w:val="0"/>
    <w:pPr>
      <w:wordWrap w:val="0"/>
      <w:spacing w:beforeLines="50" w:afterLines="50" w:line="360" w:lineRule="auto"/>
      <w:ind w:firstLine="20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diagramColors" Target="diagrams/colors1.xml"/><Relationship Id="rId13" Type="http://schemas.openxmlformats.org/officeDocument/2006/relationships/diagramQuickStyle" Target="diagrams/quickStyle1.xml"/><Relationship Id="rId12" Type="http://schemas.openxmlformats.org/officeDocument/2006/relationships/diagramLayout" Target="diagrams/layout1.xml"/><Relationship Id="rId11" Type="http://schemas.openxmlformats.org/officeDocument/2006/relationships/diagramData" Target="diagrams/data1.xml"/><Relationship Id="rId10" Type="http://schemas.openxmlformats.org/officeDocument/2006/relationships/theme" Target="theme/theme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9AF40B69-2F3C-4A9A-9FD8-4A8D5884F5B6}" type="doc">
      <dgm:prSet loTypeId="hierarchy" loCatId="hierarchy" qsTypeId="urn:microsoft.com/office/officeart/2005/8/quickstyle/simple1" qsCatId="simple" csTypeId="urn:microsoft.com/office/officeart/2005/8/colors/accent1_2" csCatId="accent1" phldr="1"/>
      <dgm:spPr/>
      <dgm:t>
        <a:bodyPr/>
        <a:p>
          <a:endParaRPr lang="zh-CN" altLang="en-US"/>
        </a:p>
      </dgm:t>
    </dgm:pt>
    <dgm:pt modelId="{B1ECC6AD-E5F9-4CE5-8838-807BBA4B198C}">
      <dgm:prSet phldrT="[文本]"/>
      <dgm:spPr/>
      <dgm:t>
        <a:bodyPr/>
        <a:p>
          <a:r>
            <a:rPr lang="zh-CN" altLang="en-US"/>
            <a:t>总经理</a:t>
          </a:r>
        </a:p>
      </dgm:t>
    </dgm:pt>
    <dgm:pt modelId="{2CD3C66D-4CA4-4AD4-AB08-1452C27241E0}" cxnId="{CDED6F54-3BD5-4220-B1D0-B54293FCC4BF}" type="parTrans">
      <dgm:prSet/>
      <dgm:spPr/>
      <dgm:t>
        <a:bodyPr/>
        <a:p>
          <a:endParaRPr lang="zh-CN" altLang="en-US"/>
        </a:p>
      </dgm:t>
    </dgm:pt>
    <dgm:pt modelId="{0B9B290A-9304-44D7-9F43-7B7E01F46A09}" cxnId="{CDED6F54-3BD5-4220-B1D0-B54293FCC4BF}" type="sibTrans">
      <dgm:prSet/>
      <dgm:spPr/>
      <dgm:t>
        <a:bodyPr/>
        <a:p>
          <a:endParaRPr lang="zh-CN" altLang="en-US"/>
        </a:p>
      </dgm:t>
    </dgm:pt>
    <dgm:pt modelId="{B4617C1E-C706-42DA-B787-616AB04F4416}" type="asst">
      <dgm:prSet phldrT="[文本]"/>
      <dgm:spPr/>
      <dgm:t>
        <a:bodyPr/>
        <a:p>
          <a:r>
            <a:rPr lang="zh-CN" altLang="en-US"/>
            <a:t>管代</a:t>
          </a:r>
        </a:p>
      </dgm:t>
    </dgm:pt>
    <dgm:pt modelId="{C9DF2DD3-83D5-4FA9-B362-8FE074992DD8}" cxnId="{30FAB2AF-F9D6-4275-8576-49236A5B3476}" type="parTrans">
      <dgm:prSet/>
      <dgm:spPr/>
      <dgm:t>
        <a:bodyPr/>
        <a:p>
          <a:endParaRPr lang="zh-CN" altLang="en-US"/>
        </a:p>
      </dgm:t>
    </dgm:pt>
    <dgm:pt modelId="{46976012-34A0-46FE-9124-06AD86A1A7AE}" cxnId="{30FAB2AF-F9D6-4275-8576-49236A5B3476}" type="sibTrans">
      <dgm:prSet/>
      <dgm:spPr/>
      <dgm:t>
        <a:bodyPr/>
        <a:p>
          <a:endParaRPr lang="zh-CN" altLang="en-US"/>
        </a:p>
      </dgm:t>
    </dgm:pt>
    <dgm:pt modelId="{55DEBB8F-BD54-441F-97DC-DC5C43E6C0A7}">
      <dgm:prSet phldrT="[文本]" phldr="0" custT="0"/>
      <dgm:spPr/>
      <dgm:t>
        <a:bodyPr vert="horz" wrap="square"/>
        <a:p>
          <a:pPr>
            <a:lnSpc>
              <a:spcPct val="100000"/>
            </a:lnSpc>
            <a:spcBef>
              <a:spcPct val="0"/>
            </a:spcBef>
            <a:spcAft>
              <a:spcPct val="35000"/>
            </a:spcAft>
          </a:pPr>
          <a:r>
            <a:rPr lang="zh-CN"/>
            <a:t>行政</a:t>
          </a:r>
          <a:r>
            <a:rPr lang="zh-CN"/>
            <a:t>部</a:t>
          </a:r>
          <a:r>
            <a:rPr lang="zh-CN"/>
            <a:t/>
          </a:r>
          <a:endParaRPr lang="zh-CN"/>
        </a:p>
      </dgm:t>
    </dgm:pt>
    <dgm:pt modelId="{90CDB2BD-E761-4894-9DE3-E13D4A51EDF8}" cxnId="{0D32A109-EEA6-4F02-82C2-132DA2ED860E}" type="parTrans">
      <dgm:prSet/>
      <dgm:spPr/>
      <dgm:t>
        <a:bodyPr/>
        <a:p>
          <a:endParaRPr lang="zh-CN" altLang="en-US"/>
        </a:p>
      </dgm:t>
    </dgm:pt>
    <dgm:pt modelId="{CA74B306-F65B-4316-A398-62B6E9AA25AF}" cxnId="{0D32A109-EEA6-4F02-82C2-132DA2ED860E}" type="sibTrans">
      <dgm:prSet/>
      <dgm:spPr/>
      <dgm:t>
        <a:bodyPr/>
        <a:p>
          <a:endParaRPr lang="zh-CN" altLang="en-US"/>
        </a:p>
      </dgm:t>
    </dgm:pt>
    <dgm:pt modelId="{97AB67E1-120D-4E11-83C4-4D1A6BD50969}">
      <dgm:prSet phldr="0" custT="0"/>
      <dgm:spPr/>
      <dgm:t>
        <a:bodyPr vert="horz" wrap="square"/>
        <a:p>
          <a:pPr>
            <a:lnSpc>
              <a:spcPct val="100000"/>
            </a:lnSpc>
            <a:spcBef>
              <a:spcPct val="0"/>
            </a:spcBef>
            <a:spcAft>
              <a:spcPct val="35000"/>
            </a:spcAft>
          </a:pPr>
          <a:r>
            <a:rPr lang="zh-CN" altLang="en-US"/>
            <a:t>技术部</a:t>
          </a:r>
          <a:r>
            <a:rPr lang="zh-CN" altLang="en-US"/>
            <a:t/>
          </a:r>
          <a:endParaRPr lang="zh-CN" altLang="en-US"/>
        </a:p>
      </dgm:t>
    </dgm:pt>
    <dgm:pt modelId="{9803B863-B2D4-4E0B-8B6D-153616AA18AF}" cxnId="{CD8C4E66-FB57-4E19-998E-5A8ADFF9868F}" type="parTrans">
      <dgm:prSet/>
      <dgm:spPr/>
      <dgm:t>
        <a:bodyPr/>
        <a:p>
          <a:endParaRPr lang="zh-CN" altLang="en-US"/>
        </a:p>
      </dgm:t>
    </dgm:pt>
    <dgm:pt modelId="{A1B7FCF9-333E-47E0-82FB-BF2764A77830}" cxnId="{CD8C4E66-FB57-4E19-998E-5A8ADFF9868F}" type="sibTrans">
      <dgm:prSet/>
      <dgm:spPr/>
      <dgm:t>
        <a:bodyPr/>
        <a:p>
          <a:endParaRPr lang="zh-CN" altLang="en-US"/>
        </a:p>
      </dgm:t>
    </dgm:pt>
    <dgm:pt modelId="{E1EE786F-CCAF-4C3A-B37A-FEC7189D2C87}">
      <dgm:prSet phldr="0" custT="0"/>
      <dgm:spPr/>
      <dgm:t>
        <a:bodyPr vert="horz" wrap="square"/>
        <a:p>
          <a:pPr>
            <a:lnSpc>
              <a:spcPct val="100000"/>
            </a:lnSpc>
            <a:spcBef>
              <a:spcPct val="0"/>
            </a:spcBef>
            <a:spcAft>
              <a:spcPct val="35000"/>
            </a:spcAft>
          </a:pPr>
          <a:r>
            <a:rPr lang="zh-CN"/>
            <a:t>营销</a:t>
          </a:r>
          <a:r>
            <a:rPr lang="zh-CN"/>
            <a:t>部</a:t>
          </a:r>
          <a:r>
            <a:rPr altLang="en-US"/>
            <a:t/>
          </a:r>
          <a:endParaRPr altLang="en-US"/>
        </a:p>
      </dgm:t>
    </dgm:pt>
    <dgm:pt modelId="{25C048EB-88A5-4EED-893C-B0CFA386D88D}" cxnId="{72F256DB-7BBC-4A07-B946-D22FF63EBC9C}" type="parTrans">
      <dgm:prSet/>
      <dgm:spPr/>
    </dgm:pt>
    <dgm:pt modelId="{E9079198-2AA6-4038-BCEE-A050FE711AC3}" cxnId="{72F256DB-7BBC-4A07-B946-D22FF63EBC9C}" type="sibTrans">
      <dgm:prSet/>
      <dgm:spPr/>
    </dgm:pt>
    <dgm:pt modelId="{0523ABAA-F93A-4555-8309-A2A4A375A05C}">
      <dgm:prSet phldr="0" custT="0"/>
      <dgm:spPr/>
      <dgm:t>
        <a:bodyPr vert="horz" wrap="square"/>
        <a:p>
          <a:pPr>
            <a:lnSpc>
              <a:spcPct val="100000"/>
            </a:lnSpc>
            <a:spcBef>
              <a:spcPct val="0"/>
            </a:spcBef>
            <a:spcAft>
              <a:spcPct val="35000"/>
            </a:spcAft>
          </a:pPr>
          <a:r>
            <a:rPr lang="zh-CN"/>
            <a:t>财务部</a:t>
          </a:r>
          <a:r>
            <a:rPr altLang="en-US"/>
            <a:t/>
          </a:r>
          <a:endParaRPr altLang="en-US"/>
        </a:p>
      </dgm:t>
    </dgm:pt>
    <dgm:pt modelId="{04292EE2-4B49-48C3-97DD-71BC4F7995E7}" cxnId="{F8711F5F-FC23-4C87-8735-72CB40FF9734}" type="parTrans">
      <dgm:prSet/>
      <dgm:spPr/>
    </dgm:pt>
    <dgm:pt modelId="{5C9ADB4F-682A-4B5C-8216-0C6A0E528296}" cxnId="{F8711F5F-FC23-4C87-8735-72CB40FF9734}" type="sibTrans">
      <dgm:prSet/>
      <dgm:spPr/>
    </dgm:pt>
    <dgm:pt modelId="{D4207EE4-6985-4AD4-A8EA-00271BDE81EF}">
      <dgm:prSet phldr="0" custT="0"/>
      <dgm:spPr/>
      <dgm:t>
        <a:bodyPr vert="horz" wrap="square"/>
        <a:p>
          <a:pPr>
            <a:lnSpc>
              <a:spcPct val="100000"/>
            </a:lnSpc>
            <a:spcBef>
              <a:spcPct val="0"/>
            </a:spcBef>
            <a:spcAft>
              <a:spcPct val="35000"/>
            </a:spcAft>
          </a:pPr>
          <a:r>
            <a:rPr lang="zh-CN"/>
            <a:t>生产部</a:t>
          </a:r>
          <a:r>
            <a:rPr altLang="en-US"/>
            <a:t/>
          </a:r>
          <a:endParaRPr altLang="en-US"/>
        </a:p>
      </dgm:t>
    </dgm:pt>
    <dgm:pt modelId="{A4A1A110-C501-41B7-B65C-A3FEBDBE47F5}" cxnId="{73078F81-0278-4CD1-995B-E0460CB27061}" type="parTrans">
      <dgm:prSet/>
      <dgm:spPr/>
    </dgm:pt>
    <dgm:pt modelId="{DB861430-0BBD-42B4-AE2E-4FE6B54D250B}" cxnId="{73078F81-0278-4CD1-995B-E0460CB27061}" type="sibTrans">
      <dgm:prSet/>
      <dgm:spPr/>
    </dgm:pt>
    <dgm:pt modelId="{3B7F570D-3AA5-48D1-9FC5-BA891BC46E6D}" type="asst">
      <dgm:prSet/>
      <dgm:spPr/>
      <dgm:t>
        <a:bodyPr/>
        <a:p>
          <a:r>
            <a:rPr lang="zh-CN" altLang="en-US"/>
            <a:t>安全事务代表</a:t>
          </a:r>
        </a:p>
      </dgm:t>
    </dgm:pt>
    <dgm:pt modelId="{58ADE605-5DC1-4FF2-A619-2D106AA0DC07}" cxnId="{996A30B6-CEA2-4AA9-9C98-0C6C13678E04}" type="parTrans">
      <dgm:prSet/>
      <dgm:spPr/>
      <dgm:t>
        <a:bodyPr/>
        <a:p>
          <a:endParaRPr lang="zh-CN" altLang="en-US"/>
        </a:p>
      </dgm:t>
    </dgm:pt>
    <dgm:pt modelId="{65F89904-C494-45AB-B94B-DDB49CF72F32}" cxnId="{996A30B6-CEA2-4AA9-9C98-0C6C13678E04}" type="sibTrans">
      <dgm:prSet/>
      <dgm:spPr/>
      <dgm:t>
        <a:bodyPr/>
        <a:p>
          <a:endParaRPr lang="zh-CN" altLang="en-US"/>
        </a:p>
      </dgm:t>
    </dgm:pt>
    <dgm:pt modelId="{36884D8A-A78E-4D35-BBA7-28A80B915BE8}" type="pres">
      <dgm:prSet presAssocID="{9AF40B69-2F3C-4A9A-9FD8-4A8D5884F5B6}" presName="hierChild1" presStyleCnt="0">
        <dgm:presLayoutVars>
          <dgm:orgChart val="1"/>
          <dgm:chPref val="1"/>
          <dgm:dir/>
          <dgm:animOne val="branch"/>
          <dgm:animLvl val="lvl"/>
          <dgm:resizeHandles/>
        </dgm:presLayoutVars>
      </dgm:prSet>
      <dgm:spPr/>
      <dgm:t>
        <a:bodyPr/>
        <a:p>
          <a:endParaRPr lang="zh-CN" altLang="en-US"/>
        </a:p>
      </dgm:t>
    </dgm:pt>
    <dgm:pt modelId="{DAB705CF-7F55-4D1C-A339-3ABBDA16CA39}" type="pres">
      <dgm:prSet presAssocID="{B1ECC6AD-E5F9-4CE5-8838-807BBA4B198C}" presName="hierRoot1" presStyleCnt="0">
        <dgm:presLayoutVars>
          <dgm:hierBranch val="init"/>
        </dgm:presLayoutVars>
      </dgm:prSet>
      <dgm:spPr/>
    </dgm:pt>
    <dgm:pt modelId="{A8186A9B-7B2D-4719-8383-95C6D1898770}" type="pres">
      <dgm:prSet presAssocID="{B1ECC6AD-E5F9-4CE5-8838-807BBA4B198C}" presName="rootComposite1" presStyleCnt="0"/>
      <dgm:spPr/>
    </dgm:pt>
    <dgm:pt modelId="{B703BEFE-595C-4D1F-A3AE-6B9D9C7E18F2}" type="pres">
      <dgm:prSet presAssocID="{B1ECC6AD-E5F9-4CE5-8838-807BBA4B198C}" presName="rootText1" presStyleLbl="node0" presStyleIdx="0" presStyleCnt="1">
        <dgm:presLayoutVars>
          <dgm:chPref val="3"/>
        </dgm:presLayoutVars>
      </dgm:prSet>
      <dgm:spPr/>
      <dgm:t>
        <a:bodyPr/>
        <a:p>
          <a:endParaRPr lang="zh-CN" altLang="en-US"/>
        </a:p>
      </dgm:t>
    </dgm:pt>
    <dgm:pt modelId="{098AC73B-69F8-4116-8A49-920871796AE9}" type="pres">
      <dgm:prSet presAssocID="{B1ECC6AD-E5F9-4CE5-8838-807BBA4B198C}" presName="rootConnector1" presStyleCnt="0"/>
      <dgm:spPr/>
      <dgm:t>
        <a:bodyPr/>
        <a:p>
          <a:endParaRPr lang="zh-CN" altLang="en-US"/>
        </a:p>
      </dgm:t>
    </dgm:pt>
    <dgm:pt modelId="{4C8A6324-4237-48D1-9C8F-44847CE01AC1}" type="pres">
      <dgm:prSet presAssocID="{B1ECC6AD-E5F9-4CE5-8838-807BBA4B198C}" presName="hierChild2" presStyleCnt="0"/>
      <dgm:spPr/>
    </dgm:pt>
    <dgm:pt modelId="{85B56362-2EDF-4048-B162-C7D66083F40E}" type="pres">
      <dgm:prSet presAssocID="{90CDB2BD-E761-4894-9DE3-E13D4A51EDF8}" presName="Name37" presStyleLbl="parChTrans1D2" presStyleIdx="0" presStyleCnt="7"/>
      <dgm:spPr/>
      <dgm:t>
        <a:bodyPr/>
        <a:p>
          <a:endParaRPr lang="zh-CN" altLang="en-US"/>
        </a:p>
      </dgm:t>
    </dgm:pt>
    <dgm:pt modelId="{7E9F221D-B90D-42E2-AD53-5F331B76773C}" type="pres">
      <dgm:prSet presAssocID="{55DEBB8F-BD54-441F-97DC-DC5C43E6C0A7}" presName="hierRoot2" presStyleCnt="0">
        <dgm:presLayoutVars>
          <dgm:hierBranch val="init"/>
        </dgm:presLayoutVars>
      </dgm:prSet>
      <dgm:spPr/>
    </dgm:pt>
    <dgm:pt modelId="{DFC4AC48-D758-46F1-9522-193C1C6C7017}" type="pres">
      <dgm:prSet presAssocID="{55DEBB8F-BD54-441F-97DC-DC5C43E6C0A7}" presName="rootComposite" presStyleCnt="0"/>
      <dgm:spPr/>
    </dgm:pt>
    <dgm:pt modelId="{C27A570F-6D8E-43CD-93C0-5F3DBDA67462}" type="pres">
      <dgm:prSet presAssocID="{55DEBB8F-BD54-441F-97DC-DC5C43E6C0A7}" presName="rootText" presStyleLbl="node2" presStyleIdx="0" presStyleCnt="5">
        <dgm:presLayoutVars>
          <dgm:chPref val="3"/>
        </dgm:presLayoutVars>
      </dgm:prSet>
      <dgm:spPr/>
      <dgm:t>
        <a:bodyPr/>
        <a:p>
          <a:endParaRPr lang="zh-CN" altLang="en-US"/>
        </a:p>
      </dgm:t>
    </dgm:pt>
    <dgm:pt modelId="{FD6B0BC8-8828-4CBD-9275-5A15D8803B97}" type="pres">
      <dgm:prSet presAssocID="{55DEBB8F-BD54-441F-97DC-DC5C43E6C0A7}" presName="rootConnector" presStyleCnt="0"/>
      <dgm:spPr/>
      <dgm:t>
        <a:bodyPr/>
        <a:p>
          <a:endParaRPr lang="zh-CN" altLang="en-US"/>
        </a:p>
      </dgm:t>
    </dgm:pt>
    <dgm:pt modelId="{00578C2E-DA58-4F66-9598-C8ECCFEF2678}" type="pres">
      <dgm:prSet presAssocID="{55DEBB8F-BD54-441F-97DC-DC5C43E6C0A7}" presName="hierChild4" presStyleCnt="0"/>
      <dgm:spPr/>
    </dgm:pt>
    <dgm:pt modelId="{6B26E7A9-D06C-4799-86F1-077F7510B8B3}" type="pres">
      <dgm:prSet presAssocID="{55DEBB8F-BD54-441F-97DC-DC5C43E6C0A7}" presName="hierChild5" presStyleCnt="0"/>
      <dgm:spPr/>
    </dgm:pt>
    <dgm:pt modelId="{898F5CAF-07E1-45F4-B56E-E04159AB0977}" type="pres">
      <dgm:prSet presAssocID="{9803B863-B2D4-4E0B-8B6D-153616AA18AF}" presName="Name37" presStyleLbl="parChTrans1D2" presStyleIdx="1" presStyleCnt="7"/>
      <dgm:spPr/>
      <dgm:t>
        <a:bodyPr/>
        <a:p>
          <a:endParaRPr lang="zh-CN" altLang="en-US"/>
        </a:p>
      </dgm:t>
    </dgm:pt>
    <dgm:pt modelId="{3696886D-703C-4602-9F59-D0A4224EE58F}" type="pres">
      <dgm:prSet presAssocID="{97AB67E1-120D-4E11-83C4-4D1A6BD50969}" presName="hierRoot2" presStyleCnt="0">
        <dgm:presLayoutVars>
          <dgm:hierBranch val="init"/>
        </dgm:presLayoutVars>
      </dgm:prSet>
      <dgm:spPr/>
    </dgm:pt>
    <dgm:pt modelId="{6FA2F4A9-C762-42A5-9F34-A54A10A7345A}" type="pres">
      <dgm:prSet presAssocID="{97AB67E1-120D-4E11-83C4-4D1A6BD50969}" presName="rootComposite" presStyleCnt="0"/>
      <dgm:spPr/>
    </dgm:pt>
    <dgm:pt modelId="{68E60F7A-2500-440D-AECC-30C91689F43D}" type="pres">
      <dgm:prSet presAssocID="{97AB67E1-120D-4E11-83C4-4D1A6BD50969}" presName="rootText" presStyleLbl="node2" presStyleIdx="1" presStyleCnt="5">
        <dgm:presLayoutVars>
          <dgm:chPref val="3"/>
        </dgm:presLayoutVars>
      </dgm:prSet>
      <dgm:spPr/>
      <dgm:t>
        <a:bodyPr/>
        <a:p>
          <a:endParaRPr lang="zh-CN" altLang="en-US"/>
        </a:p>
      </dgm:t>
    </dgm:pt>
    <dgm:pt modelId="{DD635A7A-6CEE-4563-8454-E3F996321DC5}" type="pres">
      <dgm:prSet presAssocID="{97AB67E1-120D-4E11-83C4-4D1A6BD50969}" presName="rootConnector" presStyleCnt="0"/>
      <dgm:spPr/>
      <dgm:t>
        <a:bodyPr/>
        <a:p>
          <a:endParaRPr lang="zh-CN" altLang="en-US"/>
        </a:p>
      </dgm:t>
    </dgm:pt>
    <dgm:pt modelId="{A43D21CB-E9B7-4D14-8CBD-A86428E7638B}" type="pres">
      <dgm:prSet presAssocID="{97AB67E1-120D-4E11-83C4-4D1A6BD50969}" presName="hierChild4" presStyleCnt="0"/>
      <dgm:spPr/>
    </dgm:pt>
    <dgm:pt modelId="{E29324D9-CC68-4F09-8B3C-3CA09D5104BA}" type="pres">
      <dgm:prSet presAssocID="{97AB67E1-120D-4E11-83C4-4D1A6BD50969}" presName="hierChild5" presStyleCnt="0"/>
      <dgm:spPr/>
    </dgm:pt>
    <dgm:pt modelId="{C3F7247F-12D5-4FDC-A743-50B1EDBEFDF1}" type="pres">
      <dgm:prSet presAssocID="{25C048EB-88A5-4EED-893C-B0CFA386D88D}" presName="Name37" presStyleLbl="parChTrans1D2" presStyleIdx="2" presStyleCnt="7"/>
      <dgm:spPr/>
    </dgm:pt>
    <dgm:pt modelId="{85157519-05AD-472F-A106-B78E146D0506}" type="pres">
      <dgm:prSet presAssocID="{E1EE786F-CCAF-4C3A-B37A-FEC7189D2C87}" presName="hierRoot2" presStyleCnt="0">
        <dgm:presLayoutVars>
          <dgm:hierBranch val="init"/>
        </dgm:presLayoutVars>
      </dgm:prSet>
      <dgm:spPr/>
    </dgm:pt>
    <dgm:pt modelId="{44A6BE0A-3426-4915-BB22-04378FB996E9}" type="pres">
      <dgm:prSet presAssocID="{E1EE786F-CCAF-4C3A-B37A-FEC7189D2C87}" presName="rootComposite" presStyleCnt="0"/>
      <dgm:spPr/>
    </dgm:pt>
    <dgm:pt modelId="{5525813C-8324-4721-9B45-7989FBECECAA}" type="pres">
      <dgm:prSet presAssocID="{E1EE786F-CCAF-4C3A-B37A-FEC7189D2C87}" presName="rootText" presStyleLbl="node2" presStyleIdx="2" presStyleCnt="5">
        <dgm:presLayoutVars>
          <dgm:chPref val="3"/>
        </dgm:presLayoutVars>
      </dgm:prSet>
      <dgm:spPr/>
    </dgm:pt>
    <dgm:pt modelId="{71016E7E-07C2-4767-AAF2-032CF43206F2}" type="pres">
      <dgm:prSet presAssocID="{E1EE786F-CCAF-4C3A-B37A-FEC7189D2C87}" presName="rootConnector" presStyleCnt="0"/>
      <dgm:spPr/>
    </dgm:pt>
    <dgm:pt modelId="{4E9A27CB-E25F-42DA-82E2-62975D92CC6A}" type="pres">
      <dgm:prSet presAssocID="{E1EE786F-CCAF-4C3A-B37A-FEC7189D2C87}" presName="hierChild4" presStyleCnt="0"/>
      <dgm:spPr/>
    </dgm:pt>
    <dgm:pt modelId="{D49AC74C-B54E-40A7-9629-71CAC2A34E94}" type="pres">
      <dgm:prSet presAssocID="{E1EE786F-CCAF-4C3A-B37A-FEC7189D2C87}" presName="hierChild5" presStyleCnt="0"/>
      <dgm:spPr/>
    </dgm:pt>
    <dgm:pt modelId="{EB7A3283-1A0B-4FD4-8FA8-510F85012953}" type="pres">
      <dgm:prSet presAssocID="{04292EE2-4B49-48C3-97DD-71BC4F7995E7}" presName="Name37" presStyleLbl="parChTrans1D2" presStyleIdx="3" presStyleCnt="7"/>
      <dgm:spPr/>
    </dgm:pt>
    <dgm:pt modelId="{EF6442C4-A218-4096-8997-7360BBB82EB0}" type="pres">
      <dgm:prSet presAssocID="{0523ABAA-F93A-4555-8309-A2A4A375A05C}" presName="hierRoot2" presStyleCnt="0">
        <dgm:presLayoutVars>
          <dgm:hierBranch val="init"/>
        </dgm:presLayoutVars>
      </dgm:prSet>
      <dgm:spPr/>
    </dgm:pt>
    <dgm:pt modelId="{8A2B7909-ABAC-4A7A-B09C-A8884DCF87D8}" type="pres">
      <dgm:prSet presAssocID="{0523ABAA-F93A-4555-8309-A2A4A375A05C}" presName="rootComposite" presStyleCnt="0"/>
      <dgm:spPr/>
    </dgm:pt>
    <dgm:pt modelId="{2412971E-BC32-4736-A23A-A38D48565F23}" type="pres">
      <dgm:prSet presAssocID="{0523ABAA-F93A-4555-8309-A2A4A375A05C}" presName="rootText" presStyleLbl="node2" presStyleIdx="3" presStyleCnt="5">
        <dgm:presLayoutVars>
          <dgm:chPref val="3"/>
        </dgm:presLayoutVars>
      </dgm:prSet>
      <dgm:spPr/>
    </dgm:pt>
    <dgm:pt modelId="{540BCDDD-2CB8-4331-B277-C3470EF5BAF6}" type="pres">
      <dgm:prSet presAssocID="{0523ABAA-F93A-4555-8309-A2A4A375A05C}" presName="rootConnector" presStyleCnt="0"/>
      <dgm:spPr/>
    </dgm:pt>
    <dgm:pt modelId="{B7E33563-FA31-465F-A240-2CAD1352A68F}" type="pres">
      <dgm:prSet presAssocID="{0523ABAA-F93A-4555-8309-A2A4A375A05C}" presName="hierChild4" presStyleCnt="0"/>
      <dgm:spPr/>
    </dgm:pt>
    <dgm:pt modelId="{FEC147A5-3C00-4FE9-95E6-F89B1B096DBA}" type="pres">
      <dgm:prSet presAssocID="{0523ABAA-F93A-4555-8309-A2A4A375A05C}" presName="hierChild5" presStyleCnt="0"/>
      <dgm:spPr/>
    </dgm:pt>
    <dgm:pt modelId="{AFAF4916-ACA9-4C28-BDBC-0100B5F0D0B0}" type="pres">
      <dgm:prSet presAssocID="{A4A1A110-C501-41B7-B65C-A3FEBDBE47F5}" presName="Name37" presStyleLbl="parChTrans1D2" presStyleIdx="4" presStyleCnt="7"/>
      <dgm:spPr/>
    </dgm:pt>
    <dgm:pt modelId="{B769AEAC-9481-4327-B986-009F4B1CE731}" type="pres">
      <dgm:prSet presAssocID="{D4207EE4-6985-4AD4-A8EA-00271BDE81EF}" presName="hierRoot2" presStyleCnt="0">
        <dgm:presLayoutVars>
          <dgm:hierBranch val="init"/>
        </dgm:presLayoutVars>
      </dgm:prSet>
      <dgm:spPr/>
    </dgm:pt>
    <dgm:pt modelId="{8450A20C-293D-455D-B9D3-0E2C3E9F1009}" type="pres">
      <dgm:prSet presAssocID="{D4207EE4-6985-4AD4-A8EA-00271BDE81EF}" presName="rootComposite" presStyleCnt="0"/>
      <dgm:spPr/>
    </dgm:pt>
    <dgm:pt modelId="{CF520854-FA03-43B4-8798-A8B61AFEEF54}" type="pres">
      <dgm:prSet presAssocID="{D4207EE4-6985-4AD4-A8EA-00271BDE81EF}" presName="rootText" presStyleLbl="node2" presStyleIdx="4" presStyleCnt="5">
        <dgm:presLayoutVars>
          <dgm:chPref val="3"/>
        </dgm:presLayoutVars>
      </dgm:prSet>
      <dgm:spPr/>
    </dgm:pt>
    <dgm:pt modelId="{1DC943A8-FE5C-484E-885C-F5056C028B38}" type="pres">
      <dgm:prSet presAssocID="{D4207EE4-6985-4AD4-A8EA-00271BDE81EF}" presName="rootConnector" presStyleCnt="0"/>
      <dgm:spPr/>
    </dgm:pt>
    <dgm:pt modelId="{523B7722-1B45-4788-ADA7-9FFF8528C03E}" type="pres">
      <dgm:prSet presAssocID="{D4207EE4-6985-4AD4-A8EA-00271BDE81EF}" presName="hierChild4" presStyleCnt="0"/>
      <dgm:spPr/>
    </dgm:pt>
    <dgm:pt modelId="{B5223FD9-C602-42DF-B735-6FBD159465D8}" type="pres">
      <dgm:prSet presAssocID="{D4207EE4-6985-4AD4-A8EA-00271BDE81EF}" presName="hierChild5" presStyleCnt="0"/>
      <dgm:spPr/>
    </dgm:pt>
    <dgm:pt modelId="{0C385248-BC7B-42D0-9D8C-FFB9E40CA15D}" type="pres">
      <dgm:prSet presAssocID="{B1ECC6AD-E5F9-4CE5-8838-807BBA4B198C}" presName="hierChild3" presStyleCnt="0"/>
      <dgm:spPr/>
    </dgm:pt>
    <dgm:pt modelId="{72BF2EFC-A001-44C0-9051-9E31A5BAA739}" type="pres">
      <dgm:prSet presAssocID="{C9DF2DD3-83D5-4FA9-B362-8FE074992DD8}" presName="Name111" presStyleLbl="parChTrans1D2" presStyleIdx="5" presStyleCnt="7"/>
      <dgm:spPr/>
      <dgm:t>
        <a:bodyPr/>
        <a:p>
          <a:endParaRPr lang="zh-CN" altLang="en-US"/>
        </a:p>
      </dgm:t>
    </dgm:pt>
    <dgm:pt modelId="{E38DADA3-2280-4830-A6FD-33A16CF59621}" type="pres">
      <dgm:prSet presAssocID="{B4617C1E-C706-42DA-B787-616AB04F4416}" presName="hierRoot3" presStyleCnt="0">
        <dgm:presLayoutVars>
          <dgm:hierBranch val="init"/>
        </dgm:presLayoutVars>
      </dgm:prSet>
      <dgm:spPr/>
    </dgm:pt>
    <dgm:pt modelId="{D97E023E-8226-41D9-916C-344B9ADA34ED}" type="pres">
      <dgm:prSet presAssocID="{B4617C1E-C706-42DA-B787-616AB04F4416}" presName="rootComposite3" presStyleCnt="0"/>
      <dgm:spPr/>
    </dgm:pt>
    <dgm:pt modelId="{C917DA84-CC21-4223-88C7-C3414C31D8C7}" type="pres">
      <dgm:prSet presAssocID="{B4617C1E-C706-42DA-B787-616AB04F4416}" presName="rootText3" presStyleLbl="asst1" presStyleIdx="0" presStyleCnt="2">
        <dgm:presLayoutVars>
          <dgm:chPref val="3"/>
        </dgm:presLayoutVars>
      </dgm:prSet>
      <dgm:spPr/>
      <dgm:t>
        <a:bodyPr/>
        <a:p>
          <a:endParaRPr lang="zh-CN" altLang="en-US"/>
        </a:p>
      </dgm:t>
    </dgm:pt>
    <dgm:pt modelId="{78742086-20B6-40D1-AF72-A90EAF63F099}" type="pres">
      <dgm:prSet presAssocID="{B4617C1E-C706-42DA-B787-616AB04F4416}" presName="rootConnector3" presStyleCnt="0"/>
      <dgm:spPr/>
      <dgm:t>
        <a:bodyPr/>
        <a:p>
          <a:endParaRPr lang="zh-CN" altLang="en-US"/>
        </a:p>
      </dgm:t>
    </dgm:pt>
    <dgm:pt modelId="{9C308E23-36BD-42D0-9B39-DE25405DC533}" type="pres">
      <dgm:prSet presAssocID="{B4617C1E-C706-42DA-B787-616AB04F4416}" presName="hierChild6" presStyleCnt="0"/>
      <dgm:spPr/>
    </dgm:pt>
    <dgm:pt modelId="{B2D4D5F8-8FF4-4EF6-B9FA-9A5B1212FECA}" type="pres">
      <dgm:prSet presAssocID="{B4617C1E-C706-42DA-B787-616AB04F4416}" presName="hierChild7" presStyleCnt="0"/>
      <dgm:spPr/>
    </dgm:pt>
    <dgm:pt modelId="{0F85A629-9FD5-48C1-A451-59B14BD664B6}" type="pres">
      <dgm:prSet presAssocID="{58ADE605-5DC1-4FF2-A619-2D106AA0DC07}" presName="Name111" presStyleLbl="parChTrans1D2" presStyleIdx="6" presStyleCnt="7"/>
      <dgm:spPr/>
      <dgm:t>
        <a:bodyPr/>
        <a:p>
          <a:endParaRPr lang="zh-CN" altLang="en-US"/>
        </a:p>
      </dgm:t>
    </dgm:pt>
    <dgm:pt modelId="{E1373DC9-4D55-4F93-95B4-4BD8FD6FCDE1}" type="pres">
      <dgm:prSet presAssocID="{3B7F570D-3AA5-48D1-9FC5-BA891BC46E6D}" presName="hierRoot3" presStyleCnt="0">
        <dgm:presLayoutVars>
          <dgm:hierBranch val="init"/>
        </dgm:presLayoutVars>
      </dgm:prSet>
      <dgm:spPr/>
    </dgm:pt>
    <dgm:pt modelId="{EF747C90-C66D-4213-88C7-1BC2C2754D33}" type="pres">
      <dgm:prSet presAssocID="{3B7F570D-3AA5-48D1-9FC5-BA891BC46E6D}" presName="rootComposite3" presStyleCnt="0"/>
      <dgm:spPr/>
    </dgm:pt>
    <dgm:pt modelId="{A3F0D15A-F26B-4ED9-AA8C-6C66F2DABB29}" type="pres">
      <dgm:prSet presAssocID="{3B7F570D-3AA5-48D1-9FC5-BA891BC46E6D}" presName="rootText3" presStyleLbl="asst1" presStyleIdx="1" presStyleCnt="2">
        <dgm:presLayoutVars>
          <dgm:chPref val="3"/>
        </dgm:presLayoutVars>
      </dgm:prSet>
      <dgm:spPr/>
      <dgm:t>
        <a:bodyPr/>
        <a:p>
          <a:endParaRPr lang="zh-CN" altLang="en-US"/>
        </a:p>
      </dgm:t>
    </dgm:pt>
    <dgm:pt modelId="{CED74FB4-502C-4A57-A7EF-483FCB3D515C}" type="pres">
      <dgm:prSet presAssocID="{3B7F570D-3AA5-48D1-9FC5-BA891BC46E6D}" presName="rootConnector3" presStyleCnt="0"/>
      <dgm:spPr/>
      <dgm:t>
        <a:bodyPr/>
        <a:p>
          <a:endParaRPr lang="zh-CN" altLang="en-US"/>
        </a:p>
      </dgm:t>
    </dgm:pt>
    <dgm:pt modelId="{01059E6B-3FED-4A72-BDFD-34D2F44AF464}" type="pres">
      <dgm:prSet presAssocID="{3B7F570D-3AA5-48D1-9FC5-BA891BC46E6D}" presName="hierChild6" presStyleCnt="0"/>
      <dgm:spPr/>
    </dgm:pt>
    <dgm:pt modelId="{26F4BA7C-76EA-43C7-931B-1A49EAD68BE2}" type="pres">
      <dgm:prSet presAssocID="{3B7F570D-3AA5-48D1-9FC5-BA891BC46E6D}" presName="hierChild7" presStyleCnt="0"/>
      <dgm:spPr/>
    </dgm:pt>
  </dgm:ptLst>
  <dgm:cxnLst>
    <dgm:cxn modelId="{CDED6F54-3BD5-4220-B1D0-B54293FCC4BF}" srcId="{9AF40B69-2F3C-4A9A-9FD8-4A8D5884F5B6}" destId="{B1ECC6AD-E5F9-4CE5-8838-807BBA4B198C}" srcOrd="0" destOrd="0" parTransId="{2CD3C66D-4CA4-4AD4-AB08-1452C27241E0}" sibTransId="{0B9B290A-9304-44D7-9F43-7B7E01F46A09}"/>
    <dgm:cxn modelId="{30FAB2AF-F9D6-4275-8576-49236A5B3476}" srcId="{B1ECC6AD-E5F9-4CE5-8838-807BBA4B198C}" destId="{B4617C1E-C706-42DA-B787-616AB04F4416}" srcOrd="0" destOrd="0" parTransId="{C9DF2DD3-83D5-4FA9-B362-8FE074992DD8}" sibTransId="{46976012-34A0-46FE-9124-06AD86A1A7AE}"/>
    <dgm:cxn modelId="{0D32A109-EEA6-4F02-82C2-132DA2ED860E}" srcId="{B1ECC6AD-E5F9-4CE5-8838-807BBA4B198C}" destId="{55DEBB8F-BD54-441F-97DC-DC5C43E6C0A7}" srcOrd="1" destOrd="0" parTransId="{90CDB2BD-E761-4894-9DE3-E13D4A51EDF8}" sibTransId="{CA74B306-F65B-4316-A398-62B6E9AA25AF}"/>
    <dgm:cxn modelId="{CD8C4E66-FB57-4E19-998E-5A8ADFF9868F}" srcId="{B1ECC6AD-E5F9-4CE5-8838-807BBA4B198C}" destId="{97AB67E1-120D-4E11-83C4-4D1A6BD50969}" srcOrd="2" destOrd="0" parTransId="{9803B863-B2D4-4E0B-8B6D-153616AA18AF}" sibTransId="{A1B7FCF9-333E-47E0-82FB-BF2764A77830}"/>
    <dgm:cxn modelId="{72F256DB-7BBC-4A07-B946-D22FF63EBC9C}" srcId="{B1ECC6AD-E5F9-4CE5-8838-807BBA4B198C}" destId="{E1EE786F-CCAF-4C3A-B37A-FEC7189D2C87}" srcOrd="3" destOrd="0" parTransId="{25C048EB-88A5-4EED-893C-B0CFA386D88D}" sibTransId="{E9079198-2AA6-4038-BCEE-A050FE711AC3}"/>
    <dgm:cxn modelId="{F8711F5F-FC23-4C87-8735-72CB40FF9734}" srcId="{B1ECC6AD-E5F9-4CE5-8838-807BBA4B198C}" destId="{0523ABAA-F93A-4555-8309-A2A4A375A05C}" srcOrd="4" destOrd="0" parTransId="{04292EE2-4B49-48C3-97DD-71BC4F7995E7}" sibTransId="{5C9ADB4F-682A-4B5C-8216-0C6A0E528296}"/>
    <dgm:cxn modelId="{73078F81-0278-4CD1-995B-E0460CB27061}" srcId="{B1ECC6AD-E5F9-4CE5-8838-807BBA4B198C}" destId="{D4207EE4-6985-4AD4-A8EA-00271BDE81EF}" srcOrd="5" destOrd="0" parTransId="{A4A1A110-C501-41B7-B65C-A3FEBDBE47F5}" sibTransId="{DB861430-0BBD-42B4-AE2E-4FE6B54D250B}"/>
    <dgm:cxn modelId="{996A30B6-CEA2-4AA9-9C98-0C6C13678E04}" srcId="{B1ECC6AD-E5F9-4CE5-8838-807BBA4B198C}" destId="{3B7F570D-3AA5-48D1-9FC5-BA891BC46E6D}" srcOrd="6" destOrd="0" parTransId="{58ADE605-5DC1-4FF2-A619-2D106AA0DC07}" sibTransId="{65F89904-C494-45AB-B94B-DDB49CF72F32}"/>
    <dgm:cxn modelId="{F9804652-9B64-4C6E-82FB-BB2AC69853AA}" type="presOf" srcId="{9AF40B69-2F3C-4A9A-9FD8-4A8D5884F5B6}" destId="{36884D8A-A78E-4D35-BBA7-28A80B915BE8}" srcOrd="0" destOrd="0" presId="urn:microsoft.com/office/officeart/2005/8/layout/orgChart1"/>
    <dgm:cxn modelId="{716EE6A9-404D-431C-A65E-35658BB2AE30}" type="presParOf" srcId="{36884D8A-A78E-4D35-BBA7-28A80B915BE8}" destId="{DAB705CF-7F55-4D1C-A339-3ABBDA16CA39}" srcOrd="0" destOrd="0" presId="urn:microsoft.com/office/officeart/2005/8/layout/orgChart1"/>
    <dgm:cxn modelId="{194CFDA0-9A36-4950-BDFC-71A6E8724C73}" type="presParOf" srcId="{DAB705CF-7F55-4D1C-A339-3ABBDA16CA39}" destId="{A8186A9B-7B2D-4719-8383-95C6D1898770}" srcOrd="0" destOrd="0" presId="urn:microsoft.com/office/officeart/2005/8/layout/orgChart1"/>
    <dgm:cxn modelId="{2EB95D85-F293-4A36-A67E-19DD9AA2AA9B}" type="presOf" srcId="{B1ECC6AD-E5F9-4CE5-8838-807BBA4B198C}" destId="{A8186A9B-7B2D-4719-8383-95C6D1898770}" srcOrd="0" destOrd="0" presId="urn:microsoft.com/office/officeart/2005/8/layout/orgChart1"/>
    <dgm:cxn modelId="{84DE73CF-D604-406C-99BD-8D0C336D7C82}" type="presParOf" srcId="{A8186A9B-7B2D-4719-8383-95C6D1898770}" destId="{B703BEFE-595C-4D1F-A3AE-6B9D9C7E18F2}" srcOrd="0" destOrd="0" presId="urn:microsoft.com/office/officeart/2005/8/layout/orgChart1"/>
    <dgm:cxn modelId="{7674966A-CC48-4FCA-82FB-95A0E68D0CE1}" type="presOf" srcId="{B1ECC6AD-E5F9-4CE5-8838-807BBA4B198C}" destId="{B703BEFE-595C-4D1F-A3AE-6B9D9C7E18F2}" srcOrd="0" destOrd="0" presId="urn:microsoft.com/office/officeart/2005/8/layout/orgChart1"/>
    <dgm:cxn modelId="{4B3BCE57-FFD5-4CD1-BF46-D0158DCF8286}" type="presParOf" srcId="{A8186A9B-7B2D-4719-8383-95C6D1898770}" destId="{098AC73B-69F8-4116-8A49-920871796AE9}" srcOrd="1" destOrd="0" presId="urn:microsoft.com/office/officeart/2005/8/layout/orgChart1"/>
    <dgm:cxn modelId="{B551DA7E-543B-450C-8198-E59B3E0DE9DB}" type="presOf" srcId="{B1ECC6AD-E5F9-4CE5-8838-807BBA4B198C}" destId="{098AC73B-69F8-4116-8A49-920871796AE9}" srcOrd="0" destOrd="0" presId="urn:microsoft.com/office/officeart/2005/8/layout/orgChart1"/>
    <dgm:cxn modelId="{E84B24C1-643D-4644-82A0-7D63E6931D3C}" type="presParOf" srcId="{DAB705CF-7F55-4D1C-A339-3ABBDA16CA39}" destId="{4C8A6324-4237-48D1-9C8F-44847CE01AC1}" srcOrd="1" destOrd="0" presId="urn:microsoft.com/office/officeart/2005/8/layout/orgChart1"/>
    <dgm:cxn modelId="{F737DDBA-01C4-4EAF-BEAB-227B2ACDCD96}" type="presParOf" srcId="{4C8A6324-4237-48D1-9C8F-44847CE01AC1}" destId="{85B56362-2EDF-4048-B162-C7D66083F40E}" srcOrd="0" destOrd="1" presId="urn:microsoft.com/office/officeart/2005/8/layout/orgChart1"/>
    <dgm:cxn modelId="{4FF9FEE0-183C-4B1F-A7D9-30DDEEF3368A}" type="presOf" srcId="{90CDB2BD-E761-4894-9DE3-E13D4A51EDF8}" destId="{85B56362-2EDF-4048-B162-C7D66083F40E}" srcOrd="0" destOrd="0" presId="urn:microsoft.com/office/officeart/2005/8/layout/orgChart1"/>
    <dgm:cxn modelId="{B61F6636-C7C6-4DF4-8B51-8CB123150F4D}" type="presParOf" srcId="{4C8A6324-4237-48D1-9C8F-44847CE01AC1}" destId="{7E9F221D-B90D-42E2-AD53-5F331B76773C}" srcOrd="1" destOrd="1" presId="urn:microsoft.com/office/officeart/2005/8/layout/orgChart1"/>
    <dgm:cxn modelId="{3D4B5325-EAB8-451A-AADD-114F01387FEC}" type="presParOf" srcId="{7E9F221D-B90D-42E2-AD53-5F331B76773C}" destId="{DFC4AC48-D758-46F1-9522-193C1C6C7017}" srcOrd="0" destOrd="1" presId="urn:microsoft.com/office/officeart/2005/8/layout/orgChart1"/>
    <dgm:cxn modelId="{F5990E8C-8348-462B-AA7A-C8202DEDD8EE}" type="presOf" srcId="{55DEBB8F-BD54-441F-97DC-DC5C43E6C0A7}" destId="{DFC4AC48-D758-46F1-9522-193C1C6C7017}" srcOrd="0" destOrd="0" presId="urn:microsoft.com/office/officeart/2005/8/layout/orgChart1"/>
    <dgm:cxn modelId="{5FBA7262-C9F6-4ED9-8C64-61B98C41F6FD}" type="presParOf" srcId="{DFC4AC48-D758-46F1-9522-193C1C6C7017}" destId="{C27A570F-6D8E-43CD-93C0-5F3DBDA67462}" srcOrd="0" destOrd="0" presId="urn:microsoft.com/office/officeart/2005/8/layout/orgChart1"/>
    <dgm:cxn modelId="{D988A37B-FBCA-4EAB-9AEF-4294A52B4060}" type="presOf" srcId="{55DEBB8F-BD54-441F-97DC-DC5C43E6C0A7}" destId="{C27A570F-6D8E-43CD-93C0-5F3DBDA67462}" srcOrd="0" destOrd="0" presId="urn:microsoft.com/office/officeart/2005/8/layout/orgChart1"/>
    <dgm:cxn modelId="{3E964448-E8EB-4BA9-BDCC-B081B751A48A}" type="presParOf" srcId="{DFC4AC48-D758-46F1-9522-193C1C6C7017}" destId="{FD6B0BC8-8828-4CBD-9275-5A15D8803B97}" srcOrd="1" destOrd="0" presId="urn:microsoft.com/office/officeart/2005/8/layout/orgChart1"/>
    <dgm:cxn modelId="{91AF13C4-B978-4612-89D1-86CF1FD79743}" type="presOf" srcId="{55DEBB8F-BD54-441F-97DC-DC5C43E6C0A7}" destId="{FD6B0BC8-8828-4CBD-9275-5A15D8803B97}" srcOrd="0" destOrd="0" presId="urn:microsoft.com/office/officeart/2005/8/layout/orgChart1"/>
    <dgm:cxn modelId="{18B1C3E4-75A8-4878-8810-98A439E1D73E}" type="presParOf" srcId="{7E9F221D-B90D-42E2-AD53-5F331B76773C}" destId="{00578C2E-DA58-4F66-9598-C8ECCFEF2678}" srcOrd="1" destOrd="1" presId="urn:microsoft.com/office/officeart/2005/8/layout/orgChart1"/>
    <dgm:cxn modelId="{1AFE2A8B-7708-431E-8324-B74A4D1BE498}" type="presParOf" srcId="{7E9F221D-B90D-42E2-AD53-5F331B76773C}" destId="{6B26E7A9-D06C-4799-86F1-077F7510B8B3}" srcOrd="2" destOrd="1" presId="urn:microsoft.com/office/officeart/2005/8/layout/orgChart1"/>
    <dgm:cxn modelId="{64EE775B-72A6-453D-ADC9-9FB27ACAD102}" type="presParOf" srcId="{4C8A6324-4237-48D1-9C8F-44847CE01AC1}" destId="{898F5CAF-07E1-45F4-B56E-E04159AB0977}" srcOrd="2" destOrd="1" presId="urn:microsoft.com/office/officeart/2005/8/layout/orgChart1"/>
    <dgm:cxn modelId="{B273C6AB-2EB8-4BBF-BAEF-50EA3818CD1D}" type="presOf" srcId="{9803B863-B2D4-4E0B-8B6D-153616AA18AF}" destId="{898F5CAF-07E1-45F4-B56E-E04159AB0977}" srcOrd="0" destOrd="0" presId="urn:microsoft.com/office/officeart/2005/8/layout/orgChart1"/>
    <dgm:cxn modelId="{867289FE-31BD-4B36-AB3A-0802735AE70D}" type="presParOf" srcId="{4C8A6324-4237-48D1-9C8F-44847CE01AC1}" destId="{3696886D-703C-4602-9F59-D0A4224EE58F}" srcOrd="3" destOrd="1" presId="urn:microsoft.com/office/officeart/2005/8/layout/orgChart1"/>
    <dgm:cxn modelId="{42DA4A9F-940E-42BC-9DD7-F22FDDDAABD8}" type="presParOf" srcId="{3696886D-703C-4602-9F59-D0A4224EE58F}" destId="{6FA2F4A9-C762-42A5-9F34-A54A10A7345A}" srcOrd="0" destOrd="3" presId="urn:microsoft.com/office/officeart/2005/8/layout/orgChart1"/>
    <dgm:cxn modelId="{BC6D8695-3E83-482E-AD65-B7E314FCF65A}" type="presOf" srcId="{97AB67E1-120D-4E11-83C4-4D1A6BD50969}" destId="{6FA2F4A9-C762-42A5-9F34-A54A10A7345A}" srcOrd="0" destOrd="0" presId="urn:microsoft.com/office/officeart/2005/8/layout/orgChart1"/>
    <dgm:cxn modelId="{EFDE04D8-759D-40F7-B9AD-E0C5794284A4}" type="presParOf" srcId="{6FA2F4A9-C762-42A5-9F34-A54A10A7345A}" destId="{68E60F7A-2500-440D-AECC-30C91689F43D}" srcOrd="0" destOrd="0" presId="urn:microsoft.com/office/officeart/2005/8/layout/orgChart1"/>
    <dgm:cxn modelId="{9A8B4B9E-7EBD-494A-93F6-0C298337DECC}" type="presOf" srcId="{97AB67E1-120D-4E11-83C4-4D1A6BD50969}" destId="{68E60F7A-2500-440D-AECC-30C91689F43D}" srcOrd="0" destOrd="0" presId="urn:microsoft.com/office/officeart/2005/8/layout/orgChart1"/>
    <dgm:cxn modelId="{F7472492-A1E3-4BF8-930B-BF4BAC0EBB58}" type="presParOf" srcId="{6FA2F4A9-C762-42A5-9F34-A54A10A7345A}" destId="{DD635A7A-6CEE-4563-8454-E3F996321DC5}" srcOrd="1" destOrd="0" presId="urn:microsoft.com/office/officeart/2005/8/layout/orgChart1"/>
    <dgm:cxn modelId="{D76053E2-E641-46DC-803E-DD1C0334A8EE}" type="presOf" srcId="{97AB67E1-120D-4E11-83C4-4D1A6BD50969}" destId="{DD635A7A-6CEE-4563-8454-E3F996321DC5}" srcOrd="0" destOrd="0" presId="urn:microsoft.com/office/officeart/2005/8/layout/orgChart1"/>
    <dgm:cxn modelId="{8612235C-D4D6-4913-ACE9-45FB8E342D5C}" type="presParOf" srcId="{3696886D-703C-4602-9F59-D0A4224EE58F}" destId="{A43D21CB-E9B7-4D14-8CBD-A86428E7638B}" srcOrd="1" destOrd="3" presId="urn:microsoft.com/office/officeart/2005/8/layout/orgChart1"/>
    <dgm:cxn modelId="{B83D570A-1192-40F8-89AF-362F7EE1E190}" type="presParOf" srcId="{3696886D-703C-4602-9F59-D0A4224EE58F}" destId="{E29324D9-CC68-4F09-8B3C-3CA09D5104BA}" srcOrd="2" destOrd="3" presId="urn:microsoft.com/office/officeart/2005/8/layout/orgChart1"/>
    <dgm:cxn modelId="{33A5CEF3-CD93-4C83-A811-7C837918BF84}" type="presParOf" srcId="{4C8A6324-4237-48D1-9C8F-44847CE01AC1}" destId="{C3F7247F-12D5-4FDC-A743-50B1EDBEFDF1}" srcOrd="4" destOrd="1" presId="urn:microsoft.com/office/officeart/2005/8/layout/orgChart1"/>
    <dgm:cxn modelId="{D07765F9-007E-4809-99AE-0A1194D5FCEB}" type="presOf" srcId="{25C048EB-88A5-4EED-893C-B0CFA386D88D}" destId="{C3F7247F-12D5-4FDC-A743-50B1EDBEFDF1}" srcOrd="0" destOrd="0" presId="urn:microsoft.com/office/officeart/2005/8/layout/orgChart1"/>
    <dgm:cxn modelId="{4FA47CDF-9FD9-48E9-99DA-BE2C9F86F283}" type="presParOf" srcId="{4C8A6324-4237-48D1-9C8F-44847CE01AC1}" destId="{85157519-05AD-472F-A106-B78E146D0506}" srcOrd="5" destOrd="1" presId="urn:microsoft.com/office/officeart/2005/8/layout/orgChart1"/>
    <dgm:cxn modelId="{E5308669-7B0D-4A99-ABEB-3E6BF404A33C}" type="presParOf" srcId="{85157519-05AD-472F-A106-B78E146D0506}" destId="{44A6BE0A-3426-4915-BB22-04378FB996E9}" srcOrd="0" destOrd="5" presId="urn:microsoft.com/office/officeart/2005/8/layout/orgChart1"/>
    <dgm:cxn modelId="{000DE60C-5E9C-4535-88A9-BEBA347AA995}" type="presOf" srcId="{E1EE786F-CCAF-4C3A-B37A-FEC7189D2C87}" destId="{44A6BE0A-3426-4915-BB22-04378FB996E9}" srcOrd="0" destOrd="0" presId="urn:microsoft.com/office/officeart/2005/8/layout/orgChart1"/>
    <dgm:cxn modelId="{E2D8D8F4-3B28-411F-BEA0-687D52B37102}" type="presParOf" srcId="{44A6BE0A-3426-4915-BB22-04378FB996E9}" destId="{5525813C-8324-4721-9B45-7989FBECECAA}" srcOrd="0" destOrd="0" presId="urn:microsoft.com/office/officeart/2005/8/layout/orgChart1"/>
    <dgm:cxn modelId="{457D129E-CC92-4362-A8FC-DB5F0130C3C8}" type="presOf" srcId="{E1EE786F-CCAF-4C3A-B37A-FEC7189D2C87}" destId="{5525813C-8324-4721-9B45-7989FBECECAA}" srcOrd="0" destOrd="0" presId="urn:microsoft.com/office/officeart/2005/8/layout/orgChart1"/>
    <dgm:cxn modelId="{81C5B4AC-2FFD-4CC8-8B3C-5DF4696F124F}" type="presParOf" srcId="{44A6BE0A-3426-4915-BB22-04378FB996E9}" destId="{71016E7E-07C2-4767-AAF2-032CF43206F2}" srcOrd="1" destOrd="0" presId="urn:microsoft.com/office/officeart/2005/8/layout/orgChart1"/>
    <dgm:cxn modelId="{D0FAA72A-0C0B-4D84-9E72-42C20233B01C}" type="presOf" srcId="{E1EE786F-CCAF-4C3A-B37A-FEC7189D2C87}" destId="{71016E7E-07C2-4767-AAF2-032CF43206F2}" srcOrd="0" destOrd="0" presId="urn:microsoft.com/office/officeart/2005/8/layout/orgChart1"/>
    <dgm:cxn modelId="{919BFABF-BD00-4D50-BD1D-BD5963C72F69}" type="presParOf" srcId="{85157519-05AD-472F-A106-B78E146D0506}" destId="{4E9A27CB-E25F-42DA-82E2-62975D92CC6A}" srcOrd="1" destOrd="5" presId="urn:microsoft.com/office/officeart/2005/8/layout/orgChart1"/>
    <dgm:cxn modelId="{3CE95249-9E5D-4CF0-86A9-4318F10B83ED}" type="presParOf" srcId="{85157519-05AD-472F-A106-B78E146D0506}" destId="{D49AC74C-B54E-40A7-9629-71CAC2A34E94}" srcOrd="2" destOrd="5" presId="urn:microsoft.com/office/officeart/2005/8/layout/orgChart1"/>
    <dgm:cxn modelId="{BF6D5766-8043-456C-ADD0-A09D0BDA9995}" type="presParOf" srcId="{4C8A6324-4237-48D1-9C8F-44847CE01AC1}" destId="{EB7A3283-1A0B-4FD4-8FA8-510F85012953}" srcOrd="6" destOrd="1" presId="urn:microsoft.com/office/officeart/2005/8/layout/orgChart1"/>
    <dgm:cxn modelId="{6AA63633-CA7B-4DCC-82E4-D18C3F5C1573}" type="presOf" srcId="{04292EE2-4B49-48C3-97DD-71BC4F7995E7}" destId="{EB7A3283-1A0B-4FD4-8FA8-510F85012953}" srcOrd="0" destOrd="0" presId="urn:microsoft.com/office/officeart/2005/8/layout/orgChart1"/>
    <dgm:cxn modelId="{C880593D-7533-4590-BE80-299A8728501A}" type="presParOf" srcId="{4C8A6324-4237-48D1-9C8F-44847CE01AC1}" destId="{EF6442C4-A218-4096-8997-7360BBB82EB0}" srcOrd="7" destOrd="1" presId="urn:microsoft.com/office/officeart/2005/8/layout/orgChart1"/>
    <dgm:cxn modelId="{F38DD8F3-B3F0-4904-B634-17AF4B970D5B}" type="presParOf" srcId="{EF6442C4-A218-4096-8997-7360BBB82EB0}" destId="{8A2B7909-ABAC-4A7A-B09C-A8884DCF87D8}" srcOrd="0" destOrd="7" presId="urn:microsoft.com/office/officeart/2005/8/layout/orgChart1"/>
    <dgm:cxn modelId="{9F296338-6F24-4F88-A649-EF13AECCDAE2}" type="presOf" srcId="{0523ABAA-F93A-4555-8309-A2A4A375A05C}" destId="{8A2B7909-ABAC-4A7A-B09C-A8884DCF87D8}" srcOrd="0" destOrd="0" presId="urn:microsoft.com/office/officeart/2005/8/layout/orgChart1"/>
    <dgm:cxn modelId="{C58BFB3D-DC37-4BD2-BD1D-7522B1FC5F0A}" type="presParOf" srcId="{8A2B7909-ABAC-4A7A-B09C-A8884DCF87D8}" destId="{2412971E-BC32-4736-A23A-A38D48565F23}" srcOrd="0" destOrd="0" presId="urn:microsoft.com/office/officeart/2005/8/layout/orgChart1"/>
    <dgm:cxn modelId="{F30CF9B1-4250-4553-B6B9-1B94EC37BE85}" type="presOf" srcId="{0523ABAA-F93A-4555-8309-A2A4A375A05C}" destId="{2412971E-BC32-4736-A23A-A38D48565F23}" srcOrd="0" destOrd="0" presId="urn:microsoft.com/office/officeart/2005/8/layout/orgChart1"/>
    <dgm:cxn modelId="{F59F3790-F828-4892-8183-23C7FBCA8814}" type="presParOf" srcId="{8A2B7909-ABAC-4A7A-B09C-A8884DCF87D8}" destId="{540BCDDD-2CB8-4331-B277-C3470EF5BAF6}" srcOrd="1" destOrd="0" presId="urn:microsoft.com/office/officeart/2005/8/layout/orgChart1"/>
    <dgm:cxn modelId="{4EC89AF7-8170-40A4-8CFA-D301398437CD}" type="presOf" srcId="{0523ABAA-F93A-4555-8309-A2A4A375A05C}" destId="{540BCDDD-2CB8-4331-B277-C3470EF5BAF6}" srcOrd="0" destOrd="0" presId="urn:microsoft.com/office/officeart/2005/8/layout/orgChart1"/>
    <dgm:cxn modelId="{1F8D7CA4-ADA7-4CA8-BB7D-7D44CEB7D4D0}" type="presParOf" srcId="{EF6442C4-A218-4096-8997-7360BBB82EB0}" destId="{B7E33563-FA31-465F-A240-2CAD1352A68F}" srcOrd="1" destOrd="7" presId="urn:microsoft.com/office/officeart/2005/8/layout/orgChart1"/>
    <dgm:cxn modelId="{EFA88FD5-DCB2-4274-A0E6-741DACCD1533}" type="presParOf" srcId="{EF6442C4-A218-4096-8997-7360BBB82EB0}" destId="{FEC147A5-3C00-4FE9-95E6-F89B1B096DBA}" srcOrd="2" destOrd="7" presId="urn:microsoft.com/office/officeart/2005/8/layout/orgChart1"/>
    <dgm:cxn modelId="{A22E4303-C823-4831-8003-5D0075D6A600}" type="presParOf" srcId="{4C8A6324-4237-48D1-9C8F-44847CE01AC1}" destId="{AFAF4916-ACA9-4C28-BDBC-0100B5F0D0B0}" srcOrd="8" destOrd="1" presId="urn:microsoft.com/office/officeart/2005/8/layout/orgChart1"/>
    <dgm:cxn modelId="{18376FF3-7B10-4AF0-B90F-6F17ED5B7040}" type="presOf" srcId="{A4A1A110-C501-41B7-B65C-A3FEBDBE47F5}" destId="{AFAF4916-ACA9-4C28-BDBC-0100B5F0D0B0}" srcOrd="0" destOrd="0" presId="urn:microsoft.com/office/officeart/2005/8/layout/orgChart1"/>
    <dgm:cxn modelId="{33A9C49A-D70C-48E4-BC08-95F1056F2E68}" type="presParOf" srcId="{4C8A6324-4237-48D1-9C8F-44847CE01AC1}" destId="{B769AEAC-9481-4327-B986-009F4B1CE731}" srcOrd="9" destOrd="1" presId="urn:microsoft.com/office/officeart/2005/8/layout/orgChart1"/>
    <dgm:cxn modelId="{5F4446A8-6DF1-49AA-9034-D86BA29024DA}" type="presParOf" srcId="{B769AEAC-9481-4327-B986-009F4B1CE731}" destId="{8450A20C-293D-455D-B9D3-0E2C3E9F1009}" srcOrd="0" destOrd="9" presId="urn:microsoft.com/office/officeart/2005/8/layout/orgChart1"/>
    <dgm:cxn modelId="{C0B4809D-FB56-4F55-86B3-F6111803D87E}" type="presOf" srcId="{D4207EE4-6985-4AD4-A8EA-00271BDE81EF}" destId="{8450A20C-293D-455D-B9D3-0E2C3E9F1009}" srcOrd="0" destOrd="0" presId="urn:microsoft.com/office/officeart/2005/8/layout/orgChart1"/>
    <dgm:cxn modelId="{11DC1E4C-1892-4294-ACD3-4EB23FCDE7BC}" type="presParOf" srcId="{8450A20C-293D-455D-B9D3-0E2C3E9F1009}" destId="{CF520854-FA03-43B4-8798-A8B61AFEEF54}" srcOrd="0" destOrd="0" presId="urn:microsoft.com/office/officeart/2005/8/layout/orgChart1"/>
    <dgm:cxn modelId="{E5F53360-8B93-4AA5-9B0B-00861546D60D}" type="presOf" srcId="{D4207EE4-6985-4AD4-A8EA-00271BDE81EF}" destId="{CF520854-FA03-43B4-8798-A8B61AFEEF54}" srcOrd="0" destOrd="0" presId="urn:microsoft.com/office/officeart/2005/8/layout/orgChart1"/>
    <dgm:cxn modelId="{C47170F6-0259-4181-A468-D6BF3EFCCD6A}" type="presParOf" srcId="{8450A20C-293D-455D-B9D3-0E2C3E9F1009}" destId="{1DC943A8-FE5C-484E-885C-F5056C028B38}" srcOrd="1" destOrd="0" presId="urn:microsoft.com/office/officeart/2005/8/layout/orgChart1"/>
    <dgm:cxn modelId="{FA5C5F4A-5C8A-4691-A387-C7A0B6CCAB6A}" type="presOf" srcId="{D4207EE4-6985-4AD4-A8EA-00271BDE81EF}" destId="{1DC943A8-FE5C-484E-885C-F5056C028B38}" srcOrd="0" destOrd="0" presId="urn:microsoft.com/office/officeart/2005/8/layout/orgChart1"/>
    <dgm:cxn modelId="{9454FFBF-88DB-4ADF-86C6-9DF8F41756F0}" type="presParOf" srcId="{B769AEAC-9481-4327-B986-009F4B1CE731}" destId="{523B7722-1B45-4788-ADA7-9FFF8528C03E}" srcOrd="1" destOrd="9" presId="urn:microsoft.com/office/officeart/2005/8/layout/orgChart1"/>
    <dgm:cxn modelId="{4809C8DD-8CBE-4D75-81C0-66FB5152146B}" type="presParOf" srcId="{B769AEAC-9481-4327-B986-009F4B1CE731}" destId="{B5223FD9-C602-42DF-B735-6FBD159465D8}" srcOrd="2" destOrd="9" presId="urn:microsoft.com/office/officeart/2005/8/layout/orgChart1"/>
    <dgm:cxn modelId="{B626BA2C-D7A6-48A0-9560-05CB5ED0BB72}" type="presParOf" srcId="{DAB705CF-7F55-4D1C-A339-3ABBDA16CA39}" destId="{0C385248-BC7B-42D0-9D8C-FFB9E40CA15D}" srcOrd="2" destOrd="0" presId="urn:microsoft.com/office/officeart/2005/8/layout/orgChart1"/>
    <dgm:cxn modelId="{DD1D5212-709C-443D-B2F9-783889C00130}" type="presParOf" srcId="{0C385248-BC7B-42D0-9D8C-FFB9E40CA15D}" destId="{72BF2EFC-A001-44C0-9051-9E31A5BAA739}" srcOrd="0" destOrd="2" presId="urn:microsoft.com/office/officeart/2005/8/layout/orgChart1"/>
    <dgm:cxn modelId="{8D8847DF-081D-4496-A7C4-7DF882DB9A8F}" type="presOf" srcId="{C9DF2DD3-83D5-4FA9-B362-8FE074992DD8}" destId="{72BF2EFC-A001-44C0-9051-9E31A5BAA739}" srcOrd="0" destOrd="0" presId="urn:microsoft.com/office/officeart/2005/8/layout/orgChart1"/>
    <dgm:cxn modelId="{9CE659AD-9B00-45D0-A5E9-8A1922348401}" type="presParOf" srcId="{0C385248-BC7B-42D0-9D8C-FFB9E40CA15D}" destId="{E38DADA3-2280-4830-A6FD-33A16CF59621}" srcOrd="1" destOrd="2" presId="urn:microsoft.com/office/officeart/2005/8/layout/orgChart1"/>
    <dgm:cxn modelId="{45518BB0-D86A-4024-8825-E69A68A2A2A1}" type="presParOf" srcId="{E38DADA3-2280-4830-A6FD-33A16CF59621}" destId="{D97E023E-8226-41D9-916C-344B9ADA34ED}" srcOrd="0" destOrd="1" presId="urn:microsoft.com/office/officeart/2005/8/layout/orgChart1"/>
    <dgm:cxn modelId="{70D834C5-0DD6-4E0E-8E72-1B39B8020B54}" type="presOf" srcId="{B4617C1E-C706-42DA-B787-616AB04F4416}" destId="{D97E023E-8226-41D9-916C-344B9ADA34ED}" srcOrd="0" destOrd="0" presId="urn:microsoft.com/office/officeart/2005/8/layout/orgChart1"/>
    <dgm:cxn modelId="{EB8D3DBD-7FFE-4878-ADCA-9C6C64941F13}" type="presParOf" srcId="{D97E023E-8226-41D9-916C-344B9ADA34ED}" destId="{C917DA84-CC21-4223-88C7-C3414C31D8C7}" srcOrd="0" destOrd="0" presId="urn:microsoft.com/office/officeart/2005/8/layout/orgChart1"/>
    <dgm:cxn modelId="{AD45CFF5-5616-4451-AEDD-FBD851022714}" type="presOf" srcId="{B4617C1E-C706-42DA-B787-616AB04F4416}" destId="{C917DA84-CC21-4223-88C7-C3414C31D8C7}" srcOrd="0" destOrd="0" presId="urn:microsoft.com/office/officeart/2005/8/layout/orgChart1"/>
    <dgm:cxn modelId="{69AF2D31-80A4-4705-A4BE-0CEBE4881E94}" type="presParOf" srcId="{D97E023E-8226-41D9-916C-344B9ADA34ED}" destId="{78742086-20B6-40D1-AF72-A90EAF63F099}" srcOrd="1" destOrd="0" presId="urn:microsoft.com/office/officeart/2005/8/layout/orgChart1"/>
    <dgm:cxn modelId="{9D63853E-0800-40CB-98CB-95B10870EE23}" type="presOf" srcId="{B4617C1E-C706-42DA-B787-616AB04F4416}" destId="{78742086-20B6-40D1-AF72-A90EAF63F099}" srcOrd="0" destOrd="0" presId="urn:microsoft.com/office/officeart/2005/8/layout/orgChart1"/>
    <dgm:cxn modelId="{FF21E683-AF11-4AA7-9A19-4012779E61DB}" type="presParOf" srcId="{E38DADA3-2280-4830-A6FD-33A16CF59621}" destId="{9C308E23-36BD-42D0-9B39-DE25405DC533}" srcOrd="1" destOrd="1" presId="urn:microsoft.com/office/officeart/2005/8/layout/orgChart1"/>
    <dgm:cxn modelId="{AEEDA7C4-E0E0-4E1E-8F37-9BC5C27543C3}" type="presParOf" srcId="{E38DADA3-2280-4830-A6FD-33A16CF59621}" destId="{B2D4D5F8-8FF4-4EF6-B9FA-9A5B1212FECA}" srcOrd="2" destOrd="1" presId="urn:microsoft.com/office/officeart/2005/8/layout/orgChart1"/>
    <dgm:cxn modelId="{79F9028B-4611-44D1-89EA-6CEE219FFD31}" type="presParOf" srcId="{0C385248-BC7B-42D0-9D8C-FFB9E40CA15D}" destId="{0F85A629-9FD5-48C1-A451-59B14BD664B6}" srcOrd="2" destOrd="2" presId="urn:microsoft.com/office/officeart/2005/8/layout/orgChart1"/>
    <dgm:cxn modelId="{2BDC5FB7-4EEA-47A4-AB8D-71025E174B8E}" type="presOf" srcId="{58ADE605-5DC1-4FF2-A619-2D106AA0DC07}" destId="{0F85A629-9FD5-48C1-A451-59B14BD664B6}" srcOrd="0" destOrd="0" presId="urn:microsoft.com/office/officeart/2005/8/layout/orgChart1"/>
    <dgm:cxn modelId="{DD8C97F1-856D-4CCB-8BA4-72644D974C21}" type="presParOf" srcId="{0C385248-BC7B-42D0-9D8C-FFB9E40CA15D}" destId="{E1373DC9-4D55-4F93-95B4-4BD8FD6FCDE1}" srcOrd="3" destOrd="2" presId="urn:microsoft.com/office/officeart/2005/8/layout/orgChart1"/>
    <dgm:cxn modelId="{A87D5A17-71A8-4AEB-8A06-4666C1476861}" type="presParOf" srcId="{E1373DC9-4D55-4F93-95B4-4BD8FD6FCDE1}" destId="{EF747C90-C66D-4213-88C7-1BC2C2754D33}" srcOrd="0" destOrd="3" presId="urn:microsoft.com/office/officeart/2005/8/layout/orgChart1"/>
    <dgm:cxn modelId="{81A31369-8A8F-42D9-A2F1-1AEDE8613243}" type="presOf" srcId="{3B7F570D-3AA5-48D1-9FC5-BA891BC46E6D}" destId="{EF747C90-C66D-4213-88C7-1BC2C2754D33}" srcOrd="0" destOrd="0" presId="urn:microsoft.com/office/officeart/2005/8/layout/orgChart1"/>
    <dgm:cxn modelId="{465C1C81-0FE8-468A-9D9F-C387916E6388}" type="presParOf" srcId="{EF747C90-C66D-4213-88C7-1BC2C2754D33}" destId="{A3F0D15A-F26B-4ED9-AA8C-6C66F2DABB29}" srcOrd="0" destOrd="0" presId="urn:microsoft.com/office/officeart/2005/8/layout/orgChart1"/>
    <dgm:cxn modelId="{34CB8178-00E1-4611-AF83-A65CC9981D7A}" type="presOf" srcId="{3B7F570D-3AA5-48D1-9FC5-BA891BC46E6D}" destId="{A3F0D15A-F26B-4ED9-AA8C-6C66F2DABB29}" srcOrd="0" destOrd="0" presId="urn:microsoft.com/office/officeart/2005/8/layout/orgChart1"/>
    <dgm:cxn modelId="{0A35A45A-F6DA-4FF4-8D68-18AB2AC5308B}" type="presParOf" srcId="{EF747C90-C66D-4213-88C7-1BC2C2754D33}" destId="{CED74FB4-502C-4A57-A7EF-483FCB3D515C}" srcOrd="1" destOrd="0" presId="urn:microsoft.com/office/officeart/2005/8/layout/orgChart1"/>
    <dgm:cxn modelId="{F2521833-24CF-47BA-9FC5-96AB764A1D15}" type="presOf" srcId="{3B7F570D-3AA5-48D1-9FC5-BA891BC46E6D}" destId="{CED74FB4-502C-4A57-A7EF-483FCB3D515C}" srcOrd="0" destOrd="0" presId="urn:microsoft.com/office/officeart/2005/8/layout/orgChart1"/>
    <dgm:cxn modelId="{2E222914-0BB8-46C5-8DB6-BE31C15B8FC1}" type="presParOf" srcId="{E1373DC9-4D55-4F93-95B4-4BD8FD6FCDE1}" destId="{01059E6B-3FED-4A72-BDFD-34D2F44AF464}" srcOrd="1" destOrd="3" presId="urn:microsoft.com/office/officeart/2005/8/layout/orgChart1"/>
    <dgm:cxn modelId="{381231C2-CC6C-42CA-B83F-FF396C7F13E6}" type="presParOf" srcId="{E1373DC9-4D55-4F93-95B4-4BD8FD6FCDE1}" destId="{26F4BA7C-76EA-43C7-931B-1A49EAD68BE2}" srcOrd="2" destOrd="3" presId="urn:microsoft.com/office/officeart/2005/8/layout/orgChart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F85A629-9FD5-48C1-A451-59B14BD664B6}">
      <dsp:nvSpPr>
        <dsp:cNvPr id="0" name=""/>
        <dsp:cNvSpPr/>
      </dsp:nvSpPr>
      <dsp:spPr>
        <a:xfrm>
          <a:off x="2743200" y="1055678"/>
          <a:ext cx="124292" cy="544521"/>
        </a:xfrm>
        <a:custGeom>
          <a:avLst/>
          <a:gdLst/>
          <a:ahLst/>
          <a:cxnLst/>
          <a:rect l="0" t="0" r="0" b="0"/>
          <a:pathLst>
            <a:path>
              <a:moveTo>
                <a:pt x="0" y="0"/>
              </a:moveTo>
              <a:lnTo>
                <a:pt x="0" y="544521"/>
              </a:lnTo>
              <a:lnTo>
                <a:pt x="124292" y="54452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2BF2EFC-A001-44C0-9051-9E31A5BAA739}">
      <dsp:nvSpPr>
        <dsp:cNvPr id="0" name=""/>
        <dsp:cNvSpPr/>
      </dsp:nvSpPr>
      <dsp:spPr>
        <a:xfrm>
          <a:off x="2618907" y="1055678"/>
          <a:ext cx="124292" cy="544521"/>
        </a:xfrm>
        <a:custGeom>
          <a:avLst/>
          <a:gdLst/>
          <a:ahLst/>
          <a:cxnLst/>
          <a:rect l="0" t="0" r="0" b="0"/>
          <a:pathLst>
            <a:path>
              <a:moveTo>
                <a:pt x="124292" y="0"/>
              </a:moveTo>
              <a:lnTo>
                <a:pt x="124292" y="544521"/>
              </a:lnTo>
              <a:lnTo>
                <a:pt x="0" y="54452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8F5CAF-07E1-45F4-B56E-E04159AB0977}">
      <dsp:nvSpPr>
        <dsp:cNvPr id="0" name=""/>
        <dsp:cNvSpPr/>
      </dsp:nvSpPr>
      <dsp:spPr>
        <a:xfrm>
          <a:off x="2743200" y="1055678"/>
          <a:ext cx="2148491" cy="1089042"/>
        </a:xfrm>
        <a:custGeom>
          <a:avLst/>
          <a:gdLst/>
          <a:ahLst/>
          <a:cxnLst/>
          <a:rect l="0" t="0" r="0" b="0"/>
          <a:pathLst>
            <a:path>
              <a:moveTo>
                <a:pt x="0" y="0"/>
              </a:moveTo>
              <a:lnTo>
                <a:pt x="0" y="964749"/>
              </a:lnTo>
              <a:lnTo>
                <a:pt x="2148491" y="964749"/>
              </a:lnTo>
              <a:lnTo>
                <a:pt x="2148491" y="10890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5DC8E4D-20C9-42EF-8384-93471ED91831}">
      <dsp:nvSpPr>
        <dsp:cNvPr id="0" name=""/>
        <dsp:cNvSpPr/>
      </dsp:nvSpPr>
      <dsp:spPr>
        <a:xfrm>
          <a:off x="2743200" y="1055678"/>
          <a:ext cx="716163" cy="1089042"/>
        </a:xfrm>
        <a:custGeom>
          <a:avLst/>
          <a:gdLst/>
          <a:ahLst/>
          <a:cxnLst/>
          <a:rect l="0" t="0" r="0" b="0"/>
          <a:pathLst>
            <a:path>
              <a:moveTo>
                <a:pt x="0" y="0"/>
              </a:moveTo>
              <a:lnTo>
                <a:pt x="0" y="964749"/>
              </a:lnTo>
              <a:lnTo>
                <a:pt x="716163" y="964749"/>
              </a:lnTo>
              <a:lnTo>
                <a:pt x="716163" y="10890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586AE3-E2FB-456A-969E-F9F1ABF27129}">
      <dsp:nvSpPr>
        <dsp:cNvPr id="0" name=""/>
        <dsp:cNvSpPr/>
      </dsp:nvSpPr>
      <dsp:spPr>
        <a:xfrm>
          <a:off x="2027036" y="1055678"/>
          <a:ext cx="716163" cy="1089042"/>
        </a:xfrm>
        <a:custGeom>
          <a:avLst/>
          <a:gdLst/>
          <a:ahLst/>
          <a:cxnLst/>
          <a:rect l="0" t="0" r="0" b="0"/>
          <a:pathLst>
            <a:path>
              <a:moveTo>
                <a:pt x="716163" y="0"/>
              </a:moveTo>
              <a:lnTo>
                <a:pt x="716163" y="964749"/>
              </a:lnTo>
              <a:lnTo>
                <a:pt x="0" y="964749"/>
              </a:lnTo>
              <a:lnTo>
                <a:pt x="0" y="10890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5B56362-2EDF-4048-B162-C7D66083F40E}">
      <dsp:nvSpPr>
        <dsp:cNvPr id="0" name=""/>
        <dsp:cNvSpPr/>
      </dsp:nvSpPr>
      <dsp:spPr>
        <a:xfrm>
          <a:off x="594708" y="1055678"/>
          <a:ext cx="2148491" cy="1089042"/>
        </a:xfrm>
        <a:custGeom>
          <a:avLst/>
          <a:gdLst/>
          <a:ahLst/>
          <a:cxnLst/>
          <a:rect l="0" t="0" r="0" b="0"/>
          <a:pathLst>
            <a:path>
              <a:moveTo>
                <a:pt x="2148491" y="0"/>
              </a:moveTo>
              <a:lnTo>
                <a:pt x="2148491" y="964749"/>
              </a:lnTo>
              <a:lnTo>
                <a:pt x="0" y="964749"/>
              </a:lnTo>
              <a:lnTo>
                <a:pt x="0" y="10890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703BEFE-595C-4D1F-A3AE-6B9D9C7E18F2}">
      <dsp:nvSpPr>
        <dsp:cNvPr id="0" name=""/>
        <dsp:cNvSpPr/>
      </dsp:nvSpPr>
      <dsp:spPr>
        <a:xfrm>
          <a:off x="2151329" y="463807"/>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065" tIns="12065" rIns="12065" bIns="12065" numCol="1" spcCol="1270" anchor="ctr" anchorCtr="0">
          <a:noAutofit/>
        </a:bodyPr>
        <a:lstStyle/>
        <a:p>
          <a:pPr lvl="0" algn="ctr" defTabSz="844550">
            <a:lnSpc>
              <a:spcPct val="90000"/>
            </a:lnSpc>
            <a:spcBef>
              <a:spcPct val="0"/>
            </a:spcBef>
            <a:spcAft>
              <a:spcPct val="35000"/>
            </a:spcAft>
          </a:pPr>
          <a:r>
            <a:rPr lang="zh-CN" altLang="en-US" sz="1900" kern="1200"/>
            <a:t>总经理</a:t>
          </a:r>
        </a:p>
      </dsp:txBody>
      <dsp:txXfrm>
        <a:off x="2151329" y="463807"/>
        <a:ext cx="1183741" cy="591870"/>
      </dsp:txXfrm>
    </dsp:sp>
    <dsp:sp modelId="{C27A570F-6D8E-43CD-93C0-5F3DBDA67462}">
      <dsp:nvSpPr>
        <dsp:cNvPr id="0" name=""/>
        <dsp:cNvSpPr/>
      </dsp:nvSpPr>
      <dsp:spPr>
        <a:xfrm>
          <a:off x="2837" y="21447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065" tIns="12065" rIns="12065" bIns="12065" numCol="1" spcCol="1270" anchor="ctr" anchorCtr="0">
          <a:noAutofit/>
        </a:bodyPr>
        <a:lstStyle/>
        <a:p>
          <a:pPr lvl="0" algn="ctr" defTabSz="844550">
            <a:lnSpc>
              <a:spcPct val="90000"/>
            </a:lnSpc>
            <a:spcBef>
              <a:spcPct val="0"/>
            </a:spcBef>
            <a:spcAft>
              <a:spcPct val="35000"/>
            </a:spcAft>
          </a:pPr>
          <a:r>
            <a:rPr lang="zh-CN" altLang="en-US" sz="1900" kern="1200"/>
            <a:t>行政部</a:t>
          </a:r>
        </a:p>
      </dsp:txBody>
      <dsp:txXfrm>
        <a:off x="2837" y="2144721"/>
        <a:ext cx="1183741" cy="591870"/>
      </dsp:txXfrm>
    </dsp:sp>
    <dsp:sp modelId="{C3B311C4-2393-49E2-B573-30BC9688FB6F}">
      <dsp:nvSpPr>
        <dsp:cNvPr id="0" name=""/>
        <dsp:cNvSpPr/>
      </dsp:nvSpPr>
      <dsp:spPr>
        <a:xfrm>
          <a:off x="1435165" y="21447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065" tIns="12065" rIns="12065" bIns="12065" numCol="1" spcCol="1270" anchor="ctr" anchorCtr="0">
          <a:noAutofit/>
        </a:bodyPr>
        <a:lstStyle/>
        <a:p>
          <a:pPr lvl="0" algn="ctr" defTabSz="844550">
            <a:lnSpc>
              <a:spcPct val="90000"/>
            </a:lnSpc>
            <a:spcBef>
              <a:spcPct val="0"/>
            </a:spcBef>
            <a:spcAft>
              <a:spcPct val="35000"/>
            </a:spcAft>
          </a:pPr>
          <a:r>
            <a:rPr lang="zh-CN" altLang="en-US" sz="1900" kern="1200"/>
            <a:t>财务</a:t>
          </a:r>
          <a:r>
            <a:rPr lang="zh-CN" sz="1900" kern="1200"/>
            <a:t>部</a:t>
          </a:r>
          <a:endParaRPr lang="zh-CN" altLang="en-US" sz="1900" kern="1200"/>
        </a:p>
      </dsp:txBody>
      <dsp:txXfrm>
        <a:off x="1435165" y="2144721"/>
        <a:ext cx="1183741" cy="591870"/>
      </dsp:txXfrm>
    </dsp:sp>
    <dsp:sp modelId="{A800DA4C-249F-439B-825A-E917AC1FA5CA}">
      <dsp:nvSpPr>
        <dsp:cNvPr id="0" name=""/>
        <dsp:cNvSpPr/>
      </dsp:nvSpPr>
      <dsp:spPr>
        <a:xfrm>
          <a:off x="2867492" y="21447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065" tIns="12065" rIns="12065" bIns="12065" numCol="1" spcCol="1270" anchor="ctr" anchorCtr="0">
          <a:noAutofit/>
        </a:bodyPr>
        <a:lstStyle/>
        <a:p>
          <a:pPr lvl="0" algn="ctr" defTabSz="844550">
            <a:lnSpc>
              <a:spcPct val="90000"/>
            </a:lnSpc>
            <a:spcBef>
              <a:spcPct val="0"/>
            </a:spcBef>
            <a:spcAft>
              <a:spcPct val="35000"/>
            </a:spcAft>
          </a:pPr>
          <a:r>
            <a:rPr lang="zh-CN" altLang="en-US" sz="1900" kern="1200"/>
            <a:t>销售部</a:t>
          </a:r>
        </a:p>
      </dsp:txBody>
      <dsp:txXfrm>
        <a:off x="2867492" y="2144721"/>
        <a:ext cx="1183741" cy="591870"/>
      </dsp:txXfrm>
    </dsp:sp>
    <dsp:sp modelId="{68E60F7A-2500-440D-AECC-30C91689F43D}">
      <dsp:nvSpPr>
        <dsp:cNvPr id="0" name=""/>
        <dsp:cNvSpPr/>
      </dsp:nvSpPr>
      <dsp:spPr>
        <a:xfrm>
          <a:off x="4299820" y="21447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065" tIns="12065" rIns="12065" bIns="12065" numCol="1" spcCol="1270" anchor="ctr" anchorCtr="0">
          <a:noAutofit/>
        </a:bodyPr>
        <a:lstStyle/>
        <a:p>
          <a:pPr lvl="0" algn="ctr" defTabSz="844550">
            <a:lnSpc>
              <a:spcPct val="90000"/>
            </a:lnSpc>
            <a:spcBef>
              <a:spcPct val="0"/>
            </a:spcBef>
            <a:spcAft>
              <a:spcPct val="35000"/>
            </a:spcAft>
          </a:pPr>
          <a:r>
            <a:rPr lang="zh-CN" sz="1900" kern="1200"/>
            <a:t>工程部</a:t>
          </a:r>
          <a:endParaRPr lang="zh-CN" altLang="en-US" sz="1900" kern="1200"/>
        </a:p>
      </dsp:txBody>
      <dsp:txXfrm>
        <a:off x="4299820" y="2144721"/>
        <a:ext cx="1183741" cy="591870"/>
      </dsp:txXfrm>
    </dsp:sp>
    <dsp:sp modelId="{C917DA84-CC21-4223-88C7-C3414C31D8C7}">
      <dsp:nvSpPr>
        <dsp:cNvPr id="0" name=""/>
        <dsp:cNvSpPr/>
      </dsp:nvSpPr>
      <dsp:spPr>
        <a:xfrm>
          <a:off x="1435165" y="1304264"/>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065" tIns="12065" rIns="12065" bIns="12065" numCol="1" spcCol="1270" anchor="ctr" anchorCtr="0">
          <a:noAutofit/>
        </a:bodyPr>
        <a:lstStyle/>
        <a:p>
          <a:pPr lvl="0" algn="ctr" defTabSz="844550">
            <a:lnSpc>
              <a:spcPct val="90000"/>
            </a:lnSpc>
            <a:spcBef>
              <a:spcPct val="0"/>
            </a:spcBef>
            <a:spcAft>
              <a:spcPct val="35000"/>
            </a:spcAft>
          </a:pPr>
          <a:r>
            <a:rPr lang="zh-CN" altLang="en-US" sz="1900" kern="1200"/>
            <a:t>管代</a:t>
          </a:r>
        </a:p>
      </dsp:txBody>
      <dsp:txXfrm>
        <a:off x="1435165" y="1304264"/>
        <a:ext cx="1183741" cy="591870"/>
      </dsp:txXfrm>
    </dsp:sp>
    <dsp:sp modelId="{A3F0D15A-F26B-4ED9-AA8C-6C66F2DABB29}">
      <dsp:nvSpPr>
        <dsp:cNvPr id="0" name=""/>
        <dsp:cNvSpPr/>
      </dsp:nvSpPr>
      <dsp:spPr>
        <a:xfrm>
          <a:off x="2867492" y="1304264"/>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065" tIns="12065" rIns="12065" bIns="12065" numCol="1" spcCol="1270" anchor="ctr" anchorCtr="0">
          <a:noAutofit/>
        </a:bodyPr>
        <a:lstStyle/>
        <a:p>
          <a:pPr lvl="0" algn="ctr" defTabSz="844550">
            <a:lnSpc>
              <a:spcPct val="90000"/>
            </a:lnSpc>
            <a:spcBef>
              <a:spcPct val="0"/>
            </a:spcBef>
            <a:spcAft>
              <a:spcPct val="35000"/>
            </a:spcAft>
          </a:pPr>
          <a:r>
            <a:rPr lang="zh-CN" altLang="en-US" sz="1900" kern="1200"/>
            <a:t>安全事务代表</a:t>
          </a:r>
        </a:p>
      </dsp:txBody>
      <dsp:txXfrm>
        <a:off x="2867492" y="1304264"/>
        <a:ext cx="1183741" cy="59187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rSet qsTypeId="urn:microsoft.com/office/officeart/2005/8/quickstyle/simple5"/>
        </dgm:pt>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8580EB-ECAC-40FC-81FF-487FC6973B68}">
  <ds:schemaRefs/>
</ds:datastoreItem>
</file>

<file path=docProps/app.xml><?xml version="1.0" encoding="utf-8"?>
<Properties xmlns="http://schemas.openxmlformats.org/officeDocument/2006/extended-properties" xmlns:vt="http://schemas.openxmlformats.org/officeDocument/2006/docPropsVTypes">
  <Template>Normal</Template>
  <Company>EACC FZ</Company>
  <Pages>27</Pages>
  <Words>3838</Words>
  <Characters>21878</Characters>
  <Lines>182</Lines>
  <Paragraphs>51</Paragraphs>
  <TotalTime>0</TotalTime>
  <ScaleCrop>false</ScaleCrop>
  <LinksUpToDate>false</LinksUpToDate>
  <CharactersWithSpaces>25665</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2019-05-28T03:09:00Z</dcterms:created>
  <dc:creator>Sky123.Org</dc:creator>
  <cp:lastModifiedBy>qq</cp:lastModifiedBy>
  <cp:lastPrinted>2016-11-02T08:33:00Z</cp:lastPrinted>
  <dcterms:modified xsi:type="dcterms:W3CDTF">2020-06-03T13:59:25Z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