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rPr>
      </w:pPr>
    </w:p>
    <w:p>
      <w:pPr>
        <w:rPr>
          <w:sz w:val="28"/>
        </w:rPr>
      </w:pPr>
    </w:p>
    <w:p>
      <w:pPr>
        <w:spacing w:line="360" w:lineRule="auto"/>
        <w:jc w:val="center"/>
        <w:rPr>
          <w:rFonts w:hint="eastAsia" w:eastAsia="黑体"/>
          <w:b/>
          <w:sz w:val="48"/>
          <w:szCs w:val="48"/>
          <w:u w:val="double"/>
          <w:lang w:eastAsia="zh-CN"/>
        </w:rPr>
      </w:pPr>
      <w:r>
        <w:rPr>
          <w:rFonts w:hint="eastAsia" w:eastAsia="黑体"/>
          <w:b/>
          <w:sz w:val="48"/>
          <w:szCs w:val="48"/>
          <w:u w:val="double"/>
          <w:lang w:eastAsia="zh-CN"/>
        </w:rPr>
        <w:t>四川恒升信达科技有限公司</w:t>
      </w: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rFonts w:eastAsia="楷体_GB2312"/>
          <w:b/>
          <w:color w:val="0070C0"/>
          <w:sz w:val="52"/>
          <w:szCs w:val="52"/>
        </w:rPr>
      </w:pPr>
      <w:r>
        <w:rPr>
          <w:rFonts w:hint="eastAsia" w:eastAsia="楷体_GB2312"/>
          <w:b/>
          <w:color w:val="0070C0"/>
          <w:sz w:val="52"/>
          <w:szCs w:val="52"/>
        </w:rPr>
        <w:t>质量/</w:t>
      </w:r>
      <w:r>
        <w:rPr>
          <w:rFonts w:eastAsia="楷体_GB2312"/>
          <w:b/>
          <w:color w:val="0070C0"/>
          <w:sz w:val="52"/>
          <w:szCs w:val="52"/>
        </w:rPr>
        <w:t>环境/安全管理手册</w:t>
      </w:r>
    </w:p>
    <w:p>
      <w:pPr>
        <w:jc w:val="center"/>
        <w:rPr>
          <w:rFonts w:eastAsia="汉仪行楷简"/>
          <w:b/>
          <w:sz w:val="36"/>
        </w:rPr>
      </w:pPr>
    </w:p>
    <w:p>
      <w:pPr>
        <w:ind w:firstLine="3373" w:firstLineChars="1200"/>
        <w:rPr>
          <w:rFonts w:eastAsia="汉仪行楷简"/>
          <w:b/>
          <w:sz w:val="28"/>
          <w:szCs w:val="28"/>
        </w:rPr>
      </w:pPr>
      <w:r>
        <w:rPr>
          <w:rFonts w:eastAsia="汉仪行楷简"/>
          <w:b/>
          <w:sz w:val="28"/>
          <w:szCs w:val="28"/>
        </w:rPr>
        <w:t>文件编号：</w:t>
      </w:r>
      <w:r>
        <w:rPr>
          <w:rFonts w:hint="eastAsia" w:eastAsia="汉仪行楷简"/>
          <w:sz w:val="28"/>
          <w:szCs w:val="28"/>
          <w:lang w:eastAsia="zh-CN"/>
        </w:rPr>
        <w:t>HSXD</w:t>
      </w:r>
      <w:r>
        <w:rPr>
          <w:sz w:val="28"/>
          <w:szCs w:val="28"/>
        </w:rPr>
        <w:t>-</w:t>
      </w:r>
      <w:r>
        <w:rPr>
          <w:rFonts w:hint="eastAsia"/>
          <w:sz w:val="28"/>
          <w:szCs w:val="28"/>
          <w:lang w:val="en-US" w:eastAsia="zh-CN"/>
        </w:rPr>
        <w:t>QES</w:t>
      </w:r>
      <w:r>
        <w:rPr>
          <w:sz w:val="28"/>
          <w:szCs w:val="28"/>
        </w:rPr>
        <w:t>-201</w:t>
      </w:r>
      <w:r>
        <w:rPr>
          <w:rFonts w:hint="eastAsia"/>
          <w:sz w:val="28"/>
          <w:szCs w:val="28"/>
        </w:rPr>
        <w:t>9</w:t>
      </w:r>
    </w:p>
    <w:p>
      <w:pPr>
        <w:ind w:firstLine="3514" w:firstLineChars="1250"/>
        <w:rPr>
          <w:rFonts w:eastAsia="汉仪行楷简"/>
          <w:b/>
          <w:sz w:val="28"/>
          <w:szCs w:val="28"/>
        </w:rPr>
      </w:pPr>
      <w:r>
        <w:rPr>
          <w:rFonts w:eastAsia="汉仪行楷简"/>
          <w:b/>
          <w:sz w:val="28"/>
          <w:szCs w:val="28"/>
        </w:rPr>
        <w:t>版本：A/0</w:t>
      </w:r>
    </w:p>
    <w:p>
      <w:pPr>
        <w:ind w:firstLine="3570" w:firstLineChars="1270"/>
        <w:rPr>
          <w:rFonts w:hint="eastAsia" w:eastAsia="汉仪行楷简"/>
          <w:b/>
          <w:sz w:val="28"/>
          <w:szCs w:val="28"/>
          <w:u w:val="single"/>
          <w:lang w:eastAsia="zh-CN"/>
        </w:rPr>
      </w:pPr>
      <w:r>
        <w:rPr>
          <w:rFonts w:eastAsia="汉仪行楷简"/>
          <w:b/>
          <w:sz w:val="28"/>
          <w:szCs w:val="28"/>
        </w:rPr>
        <w:t>编制：</w:t>
      </w:r>
      <w:r>
        <w:rPr>
          <w:rFonts w:hint="eastAsia" w:eastAsia="汉仪行楷简"/>
          <w:b/>
          <w:sz w:val="28"/>
          <w:szCs w:val="28"/>
          <w:lang w:val="en-US" w:eastAsia="zh-CN"/>
        </w:rPr>
        <w:t>综合部</w:t>
      </w:r>
    </w:p>
    <w:p>
      <w:pPr>
        <w:ind w:firstLine="3570" w:firstLineChars="1270"/>
        <w:rPr>
          <w:rFonts w:hint="eastAsia" w:eastAsia="汉仪行楷简"/>
          <w:b/>
          <w:sz w:val="28"/>
          <w:szCs w:val="28"/>
          <w:u w:val="single"/>
          <w:lang w:eastAsia="zh-CN"/>
        </w:rPr>
      </w:pPr>
      <w:r>
        <w:rPr>
          <w:rFonts w:eastAsia="汉仪行楷简"/>
          <w:b/>
          <w:sz w:val="28"/>
          <w:szCs w:val="28"/>
        </w:rPr>
        <w:t>审核：</w:t>
      </w:r>
      <w:r>
        <w:rPr>
          <w:rFonts w:hint="eastAsia" w:eastAsia="汉仪行楷简"/>
          <w:b/>
          <w:sz w:val="28"/>
          <w:szCs w:val="28"/>
          <w:lang w:eastAsia="zh-CN"/>
        </w:rPr>
        <w:t>雷悦</w:t>
      </w:r>
    </w:p>
    <w:p>
      <w:pPr>
        <w:ind w:firstLine="3570" w:firstLineChars="1270"/>
        <w:rPr>
          <w:rFonts w:hint="eastAsia" w:eastAsia="汉仪行楷简"/>
          <w:b/>
          <w:sz w:val="28"/>
          <w:szCs w:val="28"/>
          <w:u w:val="single"/>
          <w:lang w:eastAsia="zh-CN"/>
        </w:rPr>
      </w:pPr>
      <w:r>
        <w:rPr>
          <w:rFonts w:eastAsia="汉仪行楷简"/>
          <w:b/>
          <w:sz w:val="28"/>
          <w:szCs w:val="28"/>
        </w:rPr>
        <w:t>批准：</w:t>
      </w:r>
      <w:r>
        <w:rPr>
          <w:rFonts w:hint="eastAsia" w:eastAsia="汉仪行楷简"/>
          <w:b/>
          <w:sz w:val="28"/>
          <w:szCs w:val="28"/>
          <w:lang w:eastAsia="zh-CN"/>
        </w:rPr>
        <w:t>蒋小波</w:t>
      </w: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rFonts w:hint="eastAsia" w:eastAsia="楷体_GB2312"/>
          <w:b/>
          <w:sz w:val="28"/>
          <w:szCs w:val="28"/>
          <w:lang w:eastAsia="zh-CN"/>
        </w:rPr>
      </w:pPr>
      <w:r>
        <w:rPr>
          <w:rFonts w:eastAsia="楷体_GB2312"/>
          <w:b/>
          <w:sz w:val="28"/>
          <w:szCs w:val="28"/>
        </w:rPr>
        <w:t>发布日期：</w:t>
      </w:r>
      <w:r>
        <w:rPr>
          <w:rFonts w:hint="eastAsia" w:eastAsia="楷体_GB2312"/>
          <w:b/>
          <w:sz w:val="28"/>
          <w:szCs w:val="28"/>
          <w:lang w:eastAsia="zh-CN"/>
        </w:rPr>
        <w:t>2019.9.20</w:t>
      </w:r>
      <w:r>
        <w:rPr>
          <w:rFonts w:hint="eastAsia" w:eastAsia="楷体_GB2312"/>
          <w:b/>
          <w:sz w:val="28"/>
          <w:szCs w:val="28"/>
        </w:rPr>
        <w:t xml:space="preserve">    </w:t>
      </w:r>
      <w:r>
        <w:rPr>
          <w:rFonts w:hint="eastAsia" w:eastAsia="楷体_GB2312"/>
          <w:b/>
          <w:sz w:val="28"/>
          <w:szCs w:val="28"/>
          <w:lang w:val="en-US" w:eastAsia="zh-CN"/>
        </w:rPr>
        <w:t xml:space="preserve">            </w:t>
      </w:r>
      <w:r>
        <w:rPr>
          <w:rFonts w:hint="eastAsia" w:eastAsia="楷体_GB2312"/>
          <w:b/>
          <w:sz w:val="28"/>
          <w:szCs w:val="28"/>
        </w:rPr>
        <w:t xml:space="preserve"> </w:t>
      </w:r>
      <w:r>
        <w:rPr>
          <w:rFonts w:eastAsia="楷体_GB2312"/>
          <w:b/>
          <w:sz w:val="28"/>
          <w:szCs w:val="28"/>
        </w:rPr>
        <w:t>实施日期：</w:t>
      </w:r>
      <w:r>
        <w:rPr>
          <w:rFonts w:hint="eastAsia" w:eastAsia="楷体_GB2312"/>
          <w:b/>
          <w:sz w:val="28"/>
          <w:szCs w:val="28"/>
          <w:lang w:eastAsia="zh-CN"/>
        </w:rPr>
        <w:t>2019.9.20</w:t>
      </w:r>
    </w:p>
    <w:p>
      <w:pPr>
        <w:jc w:val="center"/>
        <w:rPr>
          <w:rFonts w:eastAsia="楷体_GB2312"/>
          <w:b/>
          <w:sz w:val="36"/>
          <w:szCs w:val="36"/>
          <w:shd w:val="pct10" w:color="auto" w:fill="FFFFFF"/>
        </w:rPr>
      </w:pPr>
    </w:p>
    <w:p>
      <w:pPr>
        <w:jc w:val="center"/>
        <w:rPr>
          <w:rFonts w:eastAsia="楷体_GB2312"/>
          <w:b/>
          <w:sz w:val="36"/>
          <w:szCs w:val="36"/>
          <w:shd w:val="pct10" w:color="auto" w:fill="FFFFFF"/>
        </w:rPr>
      </w:pPr>
    </w:p>
    <w:p>
      <w:pPr>
        <w:jc w:val="center"/>
        <w:rPr>
          <w:rFonts w:eastAsia="黑体"/>
          <w:b/>
          <w:sz w:val="36"/>
          <w:szCs w:val="36"/>
          <w:shd w:val="pct10" w:color="auto" w:fill="FFFFFF"/>
        </w:rPr>
      </w:pPr>
    </w:p>
    <w:p>
      <w:pPr>
        <w:jc w:val="center"/>
        <w:rPr>
          <w:rFonts w:hint="eastAsia" w:eastAsia="黑体"/>
          <w:b/>
          <w:sz w:val="36"/>
          <w:szCs w:val="36"/>
          <w:shd w:val="pct10" w:color="auto" w:fill="FFFFFF"/>
          <w:lang w:eastAsia="zh-CN"/>
        </w:rPr>
      </w:pPr>
      <w:r>
        <w:rPr>
          <w:rFonts w:hint="eastAsia" w:eastAsia="黑体"/>
          <w:b/>
          <w:sz w:val="36"/>
          <w:szCs w:val="36"/>
          <w:shd w:val="pct10" w:color="auto" w:fill="FFFFFF"/>
          <w:lang w:eastAsia="zh-CN"/>
        </w:rPr>
        <w:t>四川恒升信达科技有限公司</w:t>
      </w:r>
    </w:p>
    <w:tbl>
      <w:tblPr>
        <w:tblStyle w:val="21"/>
        <w:tblpPr w:leftFromText="180" w:rightFromText="180" w:vertAnchor="text" w:horzAnchor="page" w:tblpX="1182" w:tblpY="207"/>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20"/>
        <w:gridCol w:w="1980"/>
        <w:gridCol w:w="864"/>
        <w:gridCol w:w="2232"/>
        <w:gridCol w:w="182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145" w:type="dxa"/>
            <w:gridSpan w:val="7"/>
            <w:tcBorders>
              <w:top w:val="single" w:color="auto" w:sz="24" w:space="0"/>
              <w:left w:val="single" w:color="auto" w:sz="24" w:space="0"/>
              <w:bottom w:val="single" w:color="auto" w:sz="6" w:space="0"/>
              <w:right w:val="single" w:color="auto" w:sz="24" w:space="0"/>
            </w:tcBorders>
            <w:vAlign w:val="center"/>
          </w:tcPr>
          <w:p>
            <w:pPr>
              <w:jc w:val="center"/>
              <w:rPr>
                <w:b/>
                <w:szCs w:val="21"/>
              </w:rPr>
            </w:pPr>
            <w:r>
              <w:rPr>
                <w:rFonts w:hAnsi="宋体"/>
                <w:b/>
                <w:szCs w:val="21"/>
              </w:rPr>
              <w:t>文件修订页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r>
              <w:rPr>
                <w:rFonts w:hAnsi="宋体"/>
                <w:szCs w:val="21"/>
              </w:rPr>
              <w:t>序号</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版本</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修订日期</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条款</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right="-317" w:rightChars="-151"/>
              <w:jc w:val="center"/>
              <w:rPr>
                <w:szCs w:val="21"/>
              </w:rPr>
            </w:pPr>
            <w:r>
              <w:rPr>
                <w:rFonts w:hAnsi="宋体"/>
                <w:szCs w:val="21"/>
              </w:rPr>
              <w:t>修订内容</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r>
              <w:rPr>
                <w:rFonts w:hAnsi="宋体"/>
                <w:szCs w:val="21"/>
              </w:rPr>
              <w:t>修订者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eastAsia="zh-CN"/>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580" w:type="dxa"/>
            <w:gridSpan w:val="3"/>
            <w:tcBorders>
              <w:top w:val="single" w:color="auto" w:sz="6" w:space="0"/>
              <w:left w:val="single" w:color="auto" w:sz="24" w:space="0"/>
              <w:bottom w:val="single" w:color="auto" w:sz="24" w:space="0"/>
              <w:right w:val="single" w:color="auto" w:sz="6" w:space="0"/>
            </w:tcBorders>
          </w:tcPr>
          <w:p>
            <w:pPr>
              <w:rPr>
                <w:rFonts w:hint="eastAsia" w:eastAsia="宋体"/>
                <w:szCs w:val="21"/>
                <w:lang w:eastAsia="zh-CN"/>
              </w:rPr>
            </w:pPr>
            <w:r>
              <w:rPr>
                <w:rFonts w:hAnsi="宋体"/>
                <w:szCs w:val="21"/>
              </w:rPr>
              <w:t>编写：</w:t>
            </w:r>
            <w:r>
              <w:rPr>
                <w:rFonts w:hint="eastAsia" w:hAnsi="宋体"/>
                <w:szCs w:val="21"/>
                <w:lang w:eastAsia="zh-CN"/>
              </w:rPr>
              <w:t>温忠伟</w:t>
            </w:r>
          </w:p>
        </w:tc>
        <w:tc>
          <w:tcPr>
            <w:tcW w:w="3096" w:type="dxa"/>
            <w:gridSpan w:val="2"/>
            <w:tcBorders>
              <w:top w:val="single" w:color="auto" w:sz="6" w:space="0"/>
              <w:left w:val="single" w:color="auto" w:sz="6" w:space="0"/>
              <w:bottom w:val="single" w:color="auto" w:sz="24" w:space="0"/>
              <w:right w:val="single" w:color="auto" w:sz="6" w:space="0"/>
            </w:tcBorders>
          </w:tcPr>
          <w:p>
            <w:pPr>
              <w:rPr>
                <w:rFonts w:hint="eastAsia" w:eastAsia="宋体"/>
                <w:szCs w:val="21"/>
                <w:lang w:eastAsia="zh-CN"/>
              </w:rPr>
            </w:pPr>
            <w:r>
              <w:rPr>
                <w:rFonts w:hAnsi="宋体"/>
                <w:szCs w:val="21"/>
              </w:rPr>
              <w:t>审核：</w:t>
            </w:r>
            <w:r>
              <w:rPr>
                <w:rFonts w:hint="eastAsia" w:hAnsi="宋体"/>
                <w:szCs w:val="21"/>
                <w:lang w:eastAsia="zh-CN"/>
              </w:rPr>
              <w:t>雷悦</w:t>
            </w:r>
          </w:p>
          <w:p>
            <w:pPr>
              <w:rPr>
                <w:szCs w:val="21"/>
              </w:rPr>
            </w:pPr>
          </w:p>
        </w:tc>
        <w:tc>
          <w:tcPr>
            <w:tcW w:w="3469" w:type="dxa"/>
            <w:gridSpan w:val="2"/>
            <w:tcBorders>
              <w:top w:val="single" w:color="auto" w:sz="6" w:space="0"/>
              <w:left w:val="single" w:color="auto" w:sz="6" w:space="0"/>
              <w:bottom w:val="single" w:color="auto" w:sz="24" w:space="0"/>
              <w:right w:val="single" w:color="auto" w:sz="24" w:space="0"/>
            </w:tcBorders>
          </w:tcPr>
          <w:p>
            <w:pPr>
              <w:rPr>
                <w:rFonts w:hint="eastAsia" w:eastAsia="宋体"/>
                <w:szCs w:val="21"/>
                <w:lang w:eastAsia="zh-CN"/>
              </w:rPr>
            </w:pPr>
            <w:r>
              <w:rPr>
                <w:rFonts w:hAnsi="宋体"/>
                <w:szCs w:val="21"/>
              </w:rPr>
              <w:t>核准：</w:t>
            </w:r>
            <w:r>
              <w:rPr>
                <w:rFonts w:hint="eastAsia" w:hAnsi="宋体"/>
                <w:szCs w:val="21"/>
                <w:lang w:eastAsia="zh-CN"/>
              </w:rPr>
              <w:t>蒋小波</w:t>
            </w:r>
          </w:p>
          <w:p>
            <w:pPr>
              <w:rPr>
                <w:szCs w:val="21"/>
              </w:rPr>
            </w:pPr>
          </w:p>
        </w:tc>
      </w:tr>
    </w:tbl>
    <w:p>
      <w:pPr>
        <w:rPr>
          <w:rFonts w:eastAsia="仿宋_GB2312"/>
        </w:rPr>
      </w:pPr>
    </w:p>
    <w:p>
      <w:pPr>
        <w:rPr>
          <w:rFonts w:eastAsia="仿宋_GB2312"/>
        </w:rPr>
      </w:pPr>
    </w:p>
    <w:p>
      <w:pPr>
        <w:jc w:val="center"/>
        <w:rPr>
          <w:b/>
          <w:szCs w:val="21"/>
        </w:rPr>
      </w:pPr>
      <w:r>
        <w:rPr>
          <w:b/>
          <w:szCs w:val="21"/>
        </w:rPr>
        <w:t>0  目录</w:t>
      </w:r>
      <w:bookmarkStart w:id="0" w:name="_范围："/>
      <w:bookmarkEnd w:id="0"/>
    </w:p>
    <w:p>
      <w:pPr>
        <w:rPr>
          <w:sz w:val="18"/>
          <w:szCs w:val="18"/>
        </w:rPr>
      </w:pPr>
    </w:p>
    <w:p>
      <w:pPr>
        <w:ind w:firstLine="489" w:firstLineChars="233"/>
        <w:rPr>
          <w:szCs w:val="21"/>
        </w:rPr>
      </w:pPr>
      <w:r>
        <w:rPr>
          <w:szCs w:val="21"/>
        </w:rPr>
        <w:t xml:space="preserve">1 </w:t>
      </w:r>
      <w:r>
        <w:rPr>
          <w:rFonts w:hAnsi="宋体"/>
          <w:szCs w:val="21"/>
        </w:rPr>
        <w:t>范围</w:t>
      </w:r>
    </w:p>
    <w:p>
      <w:pPr>
        <w:ind w:firstLine="489" w:firstLineChars="233"/>
        <w:rPr>
          <w:szCs w:val="21"/>
        </w:rPr>
      </w:pPr>
      <w:r>
        <w:rPr>
          <w:szCs w:val="21"/>
        </w:rPr>
        <w:t xml:space="preserve">2 </w:t>
      </w:r>
      <w:r>
        <w:rPr>
          <w:rFonts w:hAnsi="宋体"/>
          <w:szCs w:val="21"/>
        </w:rPr>
        <w:t>规范性引用文件</w:t>
      </w:r>
    </w:p>
    <w:p>
      <w:pPr>
        <w:ind w:firstLine="489" w:firstLineChars="233"/>
        <w:rPr>
          <w:szCs w:val="21"/>
        </w:rPr>
      </w:pPr>
      <w:r>
        <w:rPr>
          <w:szCs w:val="21"/>
        </w:rPr>
        <w:t xml:space="preserve">3 </w:t>
      </w:r>
      <w:r>
        <w:rPr>
          <w:rFonts w:hAnsi="宋体"/>
          <w:szCs w:val="21"/>
        </w:rPr>
        <w:t>术语和定义</w:t>
      </w:r>
    </w:p>
    <w:p>
      <w:pPr>
        <w:ind w:firstLine="489" w:firstLineChars="233"/>
        <w:rPr>
          <w:szCs w:val="21"/>
        </w:rPr>
      </w:pPr>
      <w:r>
        <w:rPr>
          <w:szCs w:val="21"/>
        </w:rPr>
        <w:t xml:space="preserve">4 </w:t>
      </w:r>
      <w:r>
        <w:rPr>
          <w:rFonts w:hAnsi="宋体"/>
          <w:szCs w:val="21"/>
        </w:rPr>
        <w:t>公司的背景</w:t>
      </w:r>
    </w:p>
    <w:p>
      <w:pPr>
        <w:ind w:firstLine="489" w:firstLineChars="233"/>
        <w:rPr>
          <w:szCs w:val="21"/>
        </w:rPr>
      </w:pPr>
      <w:r>
        <w:rPr>
          <w:szCs w:val="21"/>
        </w:rPr>
        <w:t xml:space="preserve">4.1 </w:t>
      </w:r>
      <w:r>
        <w:rPr>
          <w:rFonts w:hAnsi="宋体"/>
          <w:szCs w:val="21"/>
        </w:rPr>
        <w:t>理解公司及其背景</w:t>
      </w:r>
    </w:p>
    <w:p>
      <w:pPr>
        <w:ind w:firstLine="489" w:firstLineChars="233"/>
        <w:rPr>
          <w:szCs w:val="21"/>
        </w:rPr>
      </w:pPr>
      <w:r>
        <w:rPr>
          <w:szCs w:val="21"/>
        </w:rPr>
        <w:t xml:space="preserve">4.2 </w:t>
      </w:r>
      <w:r>
        <w:rPr>
          <w:rFonts w:hAnsi="宋体"/>
          <w:szCs w:val="21"/>
        </w:rPr>
        <w:t>理解相关方的需求和期望</w:t>
      </w:r>
    </w:p>
    <w:p>
      <w:pPr>
        <w:ind w:firstLine="489" w:firstLineChars="233"/>
        <w:rPr>
          <w:szCs w:val="21"/>
        </w:rPr>
      </w:pPr>
      <w:r>
        <w:rPr>
          <w:szCs w:val="21"/>
        </w:rPr>
        <w:t>4.3</w:t>
      </w:r>
      <w:r>
        <w:rPr>
          <w:rFonts w:hAnsi="宋体"/>
          <w:szCs w:val="21"/>
        </w:rPr>
        <w:t>质量/环境/安全管理体系范围的确定</w:t>
      </w:r>
    </w:p>
    <w:p>
      <w:pPr>
        <w:ind w:firstLine="489" w:firstLineChars="233"/>
        <w:rPr>
          <w:szCs w:val="21"/>
        </w:rPr>
      </w:pPr>
      <w:r>
        <w:rPr>
          <w:szCs w:val="21"/>
        </w:rPr>
        <w:t>4.4</w:t>
      </w:r>
      <w:r>
        <w:rPr>
          <w:rFonts w:hAnsi="宋体"/>
          <w:szCs w:val="21"/>
        </w:rPr>
        <w:t>质量/环境/安全管理体系</w:t>
      </w:r>
    </w:p>
    <w:p>
      <w:pPr>
        <w:ind w:firstLine="489" w:firstLineChars="233"/>
        <w:rPr>
          <w:szCs w:val="21"/>
        </w:rPr>
      </w:pPr>
      <w:r>
        <w:rPr>
          <w:szCs w:val="21"/>
        </w:rPr>
        <w:t xml:space="preserve">5 </w:t>
      </w:r>
      <w:r>
        <w:rPr>
          <w:rFonts w:hAnsi="宋体"/>
          <w:szCs w:val="21"/>
        </w:rPr>
        <w:t>领导作用</w:t>
      </w:r>
    </w:p>
    <w:p>
      <w:pPr>
        <w:ind w:firstLine="489" w:firstLineChars="233"/>
        <w:rPr>
          <w:szCs w:val="21"/>
        </w:rPr>
      </w:pPr>
      <w:r>
        <w:rPr>
          <w:szCs w:val="21"/>
        </w:rPr>
        <w:t xml:space="preserve">5.1 </w:t>
      </w:r>
      <w:r>
        <w:rPr>
          <w:rFonts w:hAnsi="宋体"/>
          <w:szCs w:val="21"/>
        </w:rPr>
        <w:t>领导作用和承诺</w:t>
      </w:r>
    </w:p>
    <w:p>
      <w:pPr>
        <w:ind w:firstLine="489" w:firstLineChars="233"/>
        <w:rPr>
          <w:szCs w:val="21"/>
        </w:rPr>
      </w:pPr>
      <w:r>
        <w:rPr>
          <w:szCs w:val="21"/>
        </w:rPr>
        <w:t xml:space="preserve">5.2 </w:t>
      </w:r>
      <w:r>
        <w:rPr>
          <w:rFonts w:hAnsi="宋体"/>
          <w:szCs w:val="21"/>
        </w:rPr>
        <w:t>质量/环境/安全方针</w:t>
      </w:r>
    </w:p>
    <w:p>
      <w:pPr>
        <w:ind w:firstLine="489" w:firstLineChars="233"/>
        <w:rPr>
          <w:szCs w:val="21"/>
        </w:rPr>
      </w:pPr>
      <w:r>
        <w:rPr>
          <w:szCs w:val="21"/>
        </w:rPr>
        <w:t xml:space="preserve">5.3 </w:t>
      </w:r>
      <w:r>
        <w:rPr>
          <w:rFonts w:hAnsi="宋体"/>
          <w:szCs w:val="21"/>
        </w:rPr>
        <w:t>公司的作用、职责和权限</w:t>
      </w:r>
    </w:p>
    <w:p>
      <w:pPr>
        <w:ind w:firstLine="489" w:firstLineChars="233"/>
        <w:rPr>
          <w:szCs w:val="21"/>
        </w:rPr>
      </w:pPr>
      <w:r>
        <w:rPr>
          <w:szCs w:val="21"/>
        </w:rPr>
        <w:t xml:space="preserve">6 </w:t>
      </w:r>
      <w:r>
        <w:rPr>
          <w:rFonts w:hAnsi="宋体"/>
          <w:szCs w:val="21"/>
        </w:rPr>
        <w:t>策划</w:t>
      </w:r>
    </w:p>
    <w:p>
      <w:pPr>
        <w:ind w:firstLine="489" w:firstLineChars="233"/>
        <w:rPr>
          <w:szCs w:val="21"/>
        </w:rPr>
      </w:pPr>
      <w:r>
        <w:rPr>
          <w:szCs w:val="21"/>
        </w:rPr>
        <w:t xml:space="preserve">6.1 </w:t>
      </w:r>
      <w:r>
        <w:rPr>
          <w:rFonts w:hAnsi="宋体"/>
          <w:szCs w:val="21"/>
        </w:rPr>
        <w:t>风险应对和机遇的措施</w:t>
      </w:r>
    </w:p>
    <w:p>
      <w:pPr>
        <w:ind w:firstLine="489" w:firstLineChars="233"/>
        <w:rPr>
          <w:rFonts w:eastAsiaTheme="minorEastAsia"/>
          <w:szCs w:val="21"/>
        </w:rPr>
      </w:pPr>
      <w:r>
        <w:rPr>
          <w:color w:val="000000"/>
        </w:rPr>
        <w:t>6.</w:t>
      </w:r>
      <w:r>
        <w:rPr>
          <w:rFonts w:hint="eastAsia"/>
          <w:color w:val="000000"/>
        </w:rPr>
        <w:t>2</w:t>
      </w:r>
      <w:r>
        <w:rPr>
          <w:rFonts w:hAnsi="宋体"/>
          <w:szCs w:val="21"/>
        </w:rPr>
        <w:t>质量/环境/安全目标及其实施的策划</w:t>
      </w:r>
    </w:p>
    <w:p>
      <w:pPr>
        <w:ind w:firstLine="489" w:firstLineChars="233"/>
        <w:rPr>
          <w:szCs w:val="21"/>
        </w:rPr>
      </w:pPr>
      <w:r>
        <w:rPr>
          <w:szCs w:val="21"/>
        </w:rPr>
        <w:t>6.</w:t>
      </w:r>
      <w:r>
        <w:rPr>
          <w:rFonts w:hint="eastAsia"/>
          <w:szCs w:val="21"/>
        </w:rPr>
        <w:t>3</w:t>
      </w:r>
      <w:r>
        <w:rPr>
          <w:rFonts w:hAnsi="宋体"/>
          <w:szCs w:val="21"/>
        </w:rPr>
        <w:t>变更的策划</w:t>
      </w:r>
    </w:p>
    <w:p>
      <w:pPr>
        <w:ind w:firstLine="489" w:firstLineChars="233"/>
        <w:rPr>
          <w:szCs w:val="21"/>
        </w:rPr>
      </w:pPr>
      <w:r>
        <w:rPr>
          <w:szCs w:val="21"/>
        </w:rPr>
        <w:t xml:space="preserve">7 </w:t>
      </w:r>
      <w:r>
        <w:rPr>
          <w:rFonts w:hAnsi="宋体"/>
          <w:szCs w:val="21"/>
        </w:rPr>
        <w:t>支持</w:t>
      </w:r>
    </w:p>
    <w:p>
      <w:pPr>
        <w:ind w:firstLine="489" w:firstLineChars="233"/>
        <w:rPr>
          <w:szCs w:val="21"/>
        </w:rPr>
      </w:pPr>
      <w:r>
        <w:rPr>
          <w:szCs w:val="21"/>
        </w:rPr>
        <w:t xml:space="preserve">7.1 </w:t>
      </w:r>
      <w:r>
        <w:rPr>
          <w:rFonts w:hAnsi="宋体"/>
          <w:szCs w:val="21"/>
        </w:rPr>
        <w:t>资源</w:t>
      </w:r>
    </w:p>
    <w:p>
      <w:pPr>
        <w:ind w:firstLine="489" w:firstLineChars="233"/>
        <w:rPr>
          <w:szCs w:val="21"/>
        </w:rPr>
      </w:pPr>
      <w:r>
        <w:rPr>
          <w:szCs w:val="21"/>
        </w:rPr>
        <w:t xml:space="preserve">7.2 </w:t>
      </w:r>
      <w:r>
        <w:rPr>
          <w:rFonts w:hAnsi="宋体"/>
          <w:szCs w:val="21"/>
        </w:rPr>
        <w:t>能力</w:t>
      </w:r>
    </w:p>
    <w:p>
      <w:pPr>
        <w:ind w:firstLine="489" w:firstLineChars="233"/>
        <w:rPr>
          <w:szCs w:val="21"/>
        </w:rPr>
      </w:pPr>
      <w:r>
        <w:rPr>
          <w:szCs w:val="21"/>
        </w:rPr>
        <w:t xml:space="preserve">7.3 </w:t>
      </w:r>
      <w:r>
        <w:rPr>
          <w:rFonts w:hAnsi="宋体"/>
          <w:szCs w:val="21"/>
        </w:rPr>
        <w:t>意识</w:t>
      </w:r>
    </w:p>
    <w:p>
      <w:pPr>
        <w:ind w:firstLine="489" w:firstLineChars="233"/>
        <w:rPr>
          <w:szCs w:val="21"/>
        </w:rPr>
      </w:pPr>
      <w:r>
        <w:rPr>
          <w:szCs w:val="21"/>
        </w:rPr>
        <w:t xml:space="preserve">7.4 </w:t>
      </w:r>
      <w:r>
        <w:rPr>
          <w:rFonts w:hAnsi="宋体"/>
          <w:szCs w:val="21"/>
        </w:rPr>
        <w:t>沟通</w:t>
      </w:r>
      <w:r>
        <w:rPr>
          <w:szCs w:val="21"/>
        </w:rPr>
        <w:t>/</w:t>
      </w:r>
      <w:r>
        <w:rPr>
          <w:rFonts w:hAnsi="宋体"/>
          <w:szCs w:val="21"/>
        </w:rPr>
        <w:t>信息交流</w:t>
      </w:r>
    </w:p>
    <w:p>
      <w:pPr>
        <w:ind w:firstLine="489" w:firstLineChars="233"/>
        <w:rPr>
          <w:szCs w:val="21"/>
        </w:rPr>
      </w:pPr>
      <w:r>
        <w:rPr>
          <w:szCs w:val="21"/>
        </w:rPr>
        <w:t xml:space="preserve">7.5 </w:t>
      </w:r>
      <w:r>
        <w:rPr>
          <w:rFonts w:hAnsi="宋体"/>
          <w:szCs w:val="21"/>
        </w:rPr>
        <w:t>文件化信息</w:t>
      </w:r>
    </w:p>
    <w:p>
      <w:pPr>
        <w:ind w:firstLine="489" w:firstLineChars="233"/>
        <w:rPr>
          <w:szCs w:val="21"/>
        </w:rPr>
      </w:pPr>
      <w:r>
        <w:rPr>
          <w:szCs w:val="21"/>
        </w:rPr>
        <w:t xml:space="preserve">8 </w:t>
      </w:r>
      <w:r>
        <w:rPr>
          <w:rFonts w:hAnsi="宋体"/>
          <w:szCs w:val="21"/>
        </w:rPr>
        <w:t>运行</w:t>
      </w:r>
    </w:p>
    <w:p>
      <w:pPr>
        <w:ind w:firstLine="489" w:firstLineChars="233"/>
        <w:rPr>
          <w:szCs w:val="21"/>
        </w:rPr>
      </w:pPr>
      <w:r>
        <w:rPr>
          <w:szCs w:val="21"/>
        </w:rPr>
        <w:t xml:space="preserve">8.1 </w:t>
      </w:r>
      <w:r>
        <w:rPr>
          <w:rFonts w:hAnsi="宋体"/>
          <w:szCs w:val="21"/>
        </w:rPr>
        <w:t>运行的策划和控制</w:t>
      </w:r>
    </w:p>
    <w:p>
      <w:pPr>
        <w:ind w:firstLine="489" w:firstLineChars="233"/>
        <w:rPr>
          <w:szCs w:val="21"/>
        </w:rPr>
      </w:pPr>
      <w:r>
        <w:rPr>
          <w:szCs w:val="21"/>
        </w:rPr>
        <w:t xml:space="preserve">8.2 </w:t>
      </w:r>
      <w:r>
        <w:rPr>
          <w:rFonts w:hAnsi="宋体"/>
          <w:szCs w:val="21"/>
        </w:rPr>
        <w:t>市场需求的确定和顾客沟通</w:t>
      </w:r>
    </w:p>
    <w:p>
      <w:pPr>
        <w:ind w:firstLine="489" w:firstLineChars="233"/>
        <w:rPr>
          <w:szCs w:val="21"/>
        </w:rPr>
      </w:pPr>
      <w:r>
        <w:rPr>
          <w:szCs w:val="21"/>
        </w:rPr>
        <w:t xml:space="preserve">8.3 </w:t>
      </w:r>
      <w:r>
        <w:rPr>
          <w:rFonts w:hAnsi="宋体"/>
          <w:szCs w:val="21"/>
        </w:rPr>
        <w:t>产品和服务的设计开发</w:t>
      </w:r>
    </w:p>
    <w:p>
      <w:pPr>
        <w:ind w:firstLine="489" w:firstLineChars="233"/>
        <w:rPr>
          <w:szCs w:val="21"/>
        </w:rPr>
      </w:pPr>
      <w:r>
        <w:rPr>
          <w:szCs w:val="21"/>
        </w:rPr>
        <w:t xml:space="preserve">8.4 </w:t>
      </w:r>
      <w:r>
        <w:rPr>
          <w:rFonts w:hAnsi="宋体"/>
          <w:szCs w:val="21"/>
        </w:rPr>
        <w:t>外部供应过程、产品和服务的控制</w:t>
      </w:r>
    </w:p>
    <w:p>
      <w:pPr>
        <w:ind w:firstLine="489" w:firstLineChars="233"/>
        <w:rPr>
          <w:szCs w:val="21"/>
        </w:rPr>
      </w:pPr>
      <w:r>
        <w:rPr>
          <w:szCs w:val="21"/>
        </w:rPr>
        <w:t xml:space="preserve">8.5 </w:t>
      </w:r>
      <w:r>
        <w:rPr>
          <w:rFonts w:hAnsi="宋体"/>
          <w:szCs w:val="21"/>
        </w:rPr>
        <w:t>生产和服务提供</w:t>
      </w:r>
    </w:p>
    <w:p>
      <w:pPr>
        <w:ind w:firstLine="489" w:firstLineChars="233"/>
        <w:rPr>
          <w:szCs w:val="21"/>
        </w:rPr>
      </w:pPr>
      <w:r>
        <w:rPr>
          <w:szCs w:val="21"/>
        </w:rPr>
        <w:t xml:space="preserve">8.6 </w:t>
      </w:r>
      <w:r>
        <w:rPr>
          <w:rFonts w:hAnsi="宋体"/>
          <w:szCs w:val="21"/>
        </w:rPr>
        <w:t>产品和服务旅行</w:t>
      </w:r>
    </w:p>
    <w:p>
      <w:pPr>
        <w:ind w:firstLine="489" w:firstLineChars="233"/>
        <w:rPr>
          <w:rFonts w:hAnsi="宋体"/>
          <w:szCs w:val="21"/>
        </w:rPr>
      </w:pPr>
      <w:r>
        <w:rPr>
          <w:szCs w:val="21"/>
        </w:rPr>
        <w:t xml:space="preserve">8.7 </w:t>
      </w:r>
      <w:r>
        <w:rPr>
          <w:rFonts w:hAnsi="宋体"/>
          <w:szCs w:val="21"/>
        </w:rPr>
        <w:t>不合格输出的控制</w:t>
      </w:r>
    </w:p>
    <w:p>
      <w:pPr>
        <w:ind w:firstLine="489" w:firstLineChars="233"/>
        <w:rPr>
          <w:szCs w:val="21"/>
        </w:rPr>
      </w:pPr>
      <w:r>
        <w:rPr>
          <w:szCs w:val="21"/>
        </w:rPr>
        <w:t>8.</w:t>
      </w:r>
      <w:r>
        <w:rPr>
          <w:rFonts w:hint="eastAsia"/>
          <w:szCs w:val="21"/>
        </w:rPr>
        <w:t>8</w:t>
      </w:r>
      <w:r>
        <w:rPr>
          <w:rFonts w:hAnsi="宋体"/>
          <w:color w:val="000000"/>
        </w:rPr>
        <w:t>应急准备和响应</w:t>
      </w:r>
    </w:p>
    <w:p>
      <w:pPr>
        <w:ind w:firstLine="489" w:firstLineChars="233"/>
        <w:rPr>
          <w:szCs w:val="21"/>
        </w:rPr>
      </w:pPr>
      <w:r>
        <w:rPr>
          <w:szCs w:val="21"/>
        </w:rPr>
        <w:t xml:space="preserve">9 </w:t>
      </w:r>
      <w:r>
        <w:rPr>
          <w:rFonts w:hAnsi="宋体"/>
          <w:szCs w:val="21"/>
        </w:rPr>
        <w:t>绩效评价</w:t>
      </w:r>
    </w:p>
    <w:p>
      <w:pPr>
        <w:ind w:firstLine="489" w:firstLineChars="233"/>
        <w:rPr>
          <w:szCs w:val="21"/>
        </w:rPr>
      </w:pPr>
      <w:r>
        <w:rPr>
          <w:szCs w:val="21"/>
        </w:rPr>
        <w:t xml:space="preserve">9.1 </w:t>
      </w:r>
      <w:r>
        <w:rPr>
          <w:rFonts w:hAnsi="宋体"/>
          <w:szCs w:val="21"/>
        </w:rPr>
        <w:t>监视、测量、分析和评价</w:t>
      </w:r>
    </w:p>
    <w:p>
      <w:pPr>
        <w:ind w:firstLine="489" w:firstLineChars="233"/>
        <w:rPr>
          <w:szCs w:val="21"/>
        </w:rPr>
      </w:pPr>
      <w:r>
        <w:rPr>
          <w:szCs w:val="21"/>
        </w:rPr>
        <w:t xml:space="preserve">9.2 </w:t>
      </w:r>
      <w:r>
        <w:rPr>
          <w:rFonts w:hAnsi="宋体"/>
          <w:szCs w:val="21"/>
        </w:rPr>
        <w:t>内部审核</w:t>
      </w:r>
    </w:p>
    <w:p>
      <w:pPr>
        <w:ind w:firstLine="489" w:firstLineChars="233"/>
        <w:rPr>
          <w:szCs w:val="21"/>
        </w:rPr>
      </w:pPr>
      <w:r>
        <w:rPr>
          <w:szCs w:val="21"/>
        </w:rPr>
        <w:t xml:space="preserve">9.3 </w:t>
      </w:r>
      <w:r>
        <w:rPr>
          <w:rFonts w:hAnsi="宋体"/>
          <w:szCs w:val="21"/>
        </w:rPr>
        <w:t>管理评审</w:t>
      </w:r>
    </w:p>
    <w:p>
      <w:pPr>
        <w:ind w:firstLine="489" w:firstLineChars="233"/>
        <w:rPr>
          <w:szCs w:val="21"/>
        </w:rPr>
      </w:pPr>
      <w:r>
        <w:rPr>
          <w:szCs w:val="21"/>
        </w:rPr>
        <w:t xml:space="preserve">10 </w:t>
      </w:r>
      <w:r>
        <w:rPr>
          <w:rFonts w:hAnsi="宋体"/>
          <w:szCs w:val="21"/>
        </w:rPr>
        <w:t>改进</w:t>
      </w:r>
    </w:p>
    <w:p>
      <w:pPr>
        <w:ind w:firstLine="489" w:firstLineChars="233"/>
        <w:rPr>
          <w:szCs w:val="21"/>
        </w:rPr>
      </w:pPr>
      <w:r>
        <w:rPr>
          <w:szCs w:val="21"/>
        </w:rPr>
        <w:t xml:space="preserve">10.1 </w:t>
      </w:r>
      <w:r>
        <w:rPr>
          <w:rFonts w:hAnsi="宋体"/>
          <w:szCs w:val="21"/>
        </w:rPr>
        <w:t>总则</w:t>
      </w:r>
    </w:p>
    <w:p>
      <w:pPr>
        <w:ind w:firstLine="489" w:firstLineChars="233"/>
        <w:rPr>
          <w:szCs w:val="21"/>
        </w:rPr>
      </w:pPr>
      <w:r>
        <w:rPr>
          <w:szCs w:val="21"/>
        </w:rPr>
        <w:t>10.2</w:t>
      </w:r>
      <w:r>
        <w:rPr>
          <w:rFonts w:hAnsi="宋体"/>
          <w:szCs w:val="21"/>
        </w:rPr>
        <w:t>不符合和纠正措施</w:t>
      </w:r>
    </w:p>
    <w:p>
      <w:pPr>
        <w:ind w:firstLine="489" w:firstLineChars="233"/>
        <w:rPr>
          <w:sz w:val="18"/>
          <w:szCs w:val="18"/>
        </w:rPr>
      </w:pPr>
      <w:r>
        <w:rPr>
          <w:szCs w:val="21"/>
        </w:rPr>
        <w:t>10.3持续改进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60"/>
        <w:rPr>
          <w:b/>
          <w:szCs w:val="21"/>
        </w:rPr>
      </w:pPr>
      <w:r>
        <w:rPr>
          <w:b/>
          <w:szCs w:val="21"/>
        </w:rPr>
        <w:t>1范围</w:t>
      </w:r>
    </w:p>
    <w:p>
      <w:pPr>
        <w:ind w:left="525" w:leftChars="250"/>
        <w:rPr>
          <w:szCs w:val="21"/>
        </w:rPr>
      </w:pPr>
      <w:r>
        <w:rPr>
          <w:szCs w:val="21"/>
        </w:rPr>
        <w:t>本手册适用于本公司质量/环境/安全管理全过程，公司依据ISO9001：2015</w:t>
      </w:r>
      <w:r>
        <w:rPr>
          <w:rFonts w:hint="eastAsia"/>
          <w:szCs w:val="21"/>
        </w:rPr>
        <w:t>，</w:t>
      </w:r>
      <w:r>
        <w:rPr>
          <w:szCs w:val="21"/>
        </w:rPr>
        <w:t>ISO14001:2015</w:t>
      </w:r>
      <w:r>
        <w:rPr>
          <w:rFonts w:hint="eastAsia"/>
          <w:szCs w:val="21"/>
        </w:rPr>
        <w:t>，ISO45001-2018</w:t>
      </w:r>
      <w:r>
        <w:rPr>
          <w:szCs w:val="21"/>
        </w:rPr>
        <w:t>标准要求建立并保持质量/环境/安全管理体系，制定质量/环境/安全方针和目标，运用过程方法及各过程的输入、输出、管理职责、工作要求、绩效考核，并形成文件的信息。通过对质量/环境/安全管理体系全过程的管理，遵守</w:t>
      </w:r>
      <w:r>
        <w:rPr>
          <w:rFonts w:hint="eastAsia"/>
          <w:szCs w:val="21"/>
        </w:rPr>
        <w:t>合规义务</w:t>
      </w:r>
      <w:r>
        <w:rPr>
          <w:szCs w:val="21"/>
        </w:rPr>
        <w:t>和其他相关要求，以证实本公司具有不断提高顾客满意度和持续改进质量/环境/安全管理体系及产品和服务质量/环境/安全水平的能力。</w:t>
      </w:r>
    </w:p>
    <w:p>
      <w:pPr>
        <w:ind w:firstLine="560"/>
        <w:rPr>
          <w:b/>
          <w:szCs w:val="21"/>
        </w:rPr>
      </w:pPr>
      <w:r>
        <w:rPr>
          <w:b/>
          <w:szCs w:val="21"/>
        </w:rPr>
        <w:t>2规范性引用文件</w:t>
      </w:r>
    </w:p>
    <w:p>
      <w:pPr>
        <w:ind w:firstLine="560"/>
        <w:rPr>
          <w:szCs w:val="21"/>
        </w:rPr>
      </w:pPr>
      <w:r>
        <w:rPr>
          <w:szCs w:val="21"/>
        </w:rPr>
        <w:t>ISO9000：2015</w:t>
      </w:r>
      <w:r>
        <w:rPr>
          <w:rFonts w:hint="eastAsia"/>
          <w:szCs w:val="21"/>
        </w:rPr>
        <w:t>;I</w:t>
      </w:r>
      <w:r>
        <w:rPr>
          <w:szCs w:val="21"/>
        </w:rPr>
        <w:t>SO14001:2015</w:t>
      </w:r>
      <w:r>
        <w:rPr>
          <w:rFonts w:hint="eastAsia"/>
          <w:szCs w:val="21"/>
        </w:rPr>
        <w:t>，ISO45001-2018</w:t>
      </w:r>
      <w:r>
        <w:rPr>
          <w:szCs w:val="21"/>
        </w:rPr>
        <w:t>体系基础和术语及行业规范、标准。</w:t>
      </w:r>
    </w:p>
    <w:p>
      <w:pPr>
        <w:ind w:firstLine="560"/>
        <w:rPr>
          <w:b/>
          <w:szCs w:val="21"/>
        </w:rPr>
      </w:pPr>
      <w:r>
        <w:rPr>
          <w:b/>
          <w:szCs w:val="21"/>
        </w:rPr>
        <w:t>3术语和定义</w:t>
      </w:r>
    </w:p>
    <w:p>
      <w:pPr>
        <w:ind w:left="559" w:leftChars="266"/>
        <w:rPr>
          <w:szCs w:val="21"/>
        </w:rPr>
      </w:pPr>
      <w:r>
        <w:rPr>
          <w:szCs w:val="21"/>
        </w:rPr>
        <w:t xml:space="preserve">本手册采用 ISO9000：2015 </w:t>
      </w:r>
      <w:r>
        <w:rPr>
          <w:rFonts w:hint="eastAsia"/>
          <w:szCs w:val="21"/>
        </w:rPr>
        <w:t>I</w:t>
      </w:r>
      <w:r>
        <w:rPr>
          <w:szCs w:val="21"/>
        </w:rPr>
        <w:t>SO14001:2015</w:t>
      </w:r>
      <w:r>
        <w:rPr>
          <w:rFonts w:hint="eastAsia"/>
          <w:szCs w:val="21"/>
        </w:rPr>
        <w:t>，ISO45001-2018</w:t>
      </w:r>
      <w:r>
        <w:rPr>
          <w:szCs w:val="21"/>
        </w:rPr>
        <w:t>中所确立的术语和定义及行业通用的术语和定义。</w:t>
      </w:r>
    </w:p>
    <w:p>
      <w:pPr>
        <w:ind w:firstLine="560"/>
        <w:rPr>
          <w:b/>
          <w:szCs w:val="21"/>
        </w:rPr>
      </w:pPr>
      <w:r>
        <w:rPr>
          <w:b/>
          <w:szCs w:val="21"/>
        </w:rPr>
        <w:t>4公司的环境</w:t>
      </w:r>
    </w:p>
    <w:p>
      <w:pPr>
        <w:ind w:firstLine="560"/>
        <w:rPr>
          <w:b/>
          <w:szCs w:val="21"/>
        </w:rPr>
      </w:pPr>
      <w:r>
        <w:rPr>
          <w:b/>
          <w:szCs w:val="21"/>
        </w:rPr>
        <w:t>4.1理解公司及其环境</w:t>
      </w:r>
    </w:p>
    <w:p>
      <w:pPr>
        <w:ind w:firstLine="560"/>
        <w:rPr>
          <w:szCs w:val="21"/>
        </w:rPr>
      </w:pPr>
      <w:r>
        <w:rPr>
          <w:szCs w:val="21"/>
        </w:rPr>
        <w:t>4.1.1公司简介</w:t>
      </w:r>
    </w:p>
    <w:p>
      <w:pPr>
        <w:ind w:left="525" w:leftChars="250"/>
        <w:rPr>
          <w:rFonts w:hint="eastAsia"/>
          <w:szCs w:val="21"/>
        </w:rPr>
      </w:pPr>
      <w:r>
        <w:rPr>
          <w:rFonts w:hint="eastAsia"/>
          <w:szCs w:val="21"/>
        </w:rPr>
        <w:t>四川恒升信达科技有限公司（简称：恒升信达），成立于2015，公司致力于互联网+政务应用领域的智慧政务系统开发与集成。集产品研发，制造，解决方案提供与一体的高新技术企业。</w:t>
      </w:r>
    </w:p>
    <w:p>
      <w:pPr>
        <w:ind w:left="525" w:leftChars="250"/>
        <w:rPr>
          <w:rFonts w:hint="eastAsia"/>
          <w:szCs w:val="21"/>
        </w:rPr>
      </w:pPr>
      <w:r>
        <w:rPr>
          <w:rFonts w:hint="eastAsia"/>
          <w:szCs w:val="21"/>
        </w:rPr>
        <w:t>恒升信达拥有一支高素质研发团队，95%以上拥有本科学历，并已获得多项“软件著作权”，“质量体系、环境体系、健康体系认证”，“商标专利”，“产品检测报告”等资质。</w:t>
      </w:r>
    </w:p>
    <w:p>
      <w:pPr>
        <w:ind w:left="525" w:leftChars="250"/>
        <w:rPr>
          <w:rFonts w:hint="eastAsia"/>
          <w:szCs w:val="21"/>
        </w:rPr>
      </w:pPr>
      <w:r>
        <w:rPr>
          <w:rFonts w:hint="eastAsia"/>
          <w:szCs w:val="21"/>
        </w:rPr>
        <w:t>2016年以来，国家、省级政务部门大力推进“互联网+政务服务”体系建设，并相继出台一系列政策文件，各级政府持续深化“放管服”改革，深入推进审批服务便民化，大力实施“一门一窗一网、集成服务、马上办”，努力实现“只进一扇门”、“只到一个窗”、“最多跑一次”、“全程网办”、“掌上办”。</w:t>
      </w:r>
    </w:p>
    <w:p>
      <w:pPr>
        <w:ind w:left="525" w:leftChars="250"/>
        <w:rPr>
          <w:rFonts w:hint="eastAsia"/>
          <w:szCs w:val="21"/>
        </w:rPr>
      </w:pPr>
      <w:r>
        <w:rPr>
          <w:rFonts w:hint="eastAsia"/>
          <w:szCs w:val="21"/>
        </w:rPr>
        <w:t>恒升信达应用互联网、云计算，大数据，物联网，移动互联网、人工智能等新技术，致力于不断提升政府办公，服务，监督，决策的政务服务水平，在一体化政务平台和其他业务系统基础上叠加特色应用，特为客户提供优质、贴切、全面的“互联网+智慧政务”整体解决方案。</w:t>
      </w:r>
    </w:p>
    <w:p>
      <w:pPr>
        <w:ind w:left="525" w:leftChars="250"/>
        <w:rPr>
          <w:rFonts w:hint="eastAsia"/>
          <w:szCs w:val="21"/>
        </w:rPr>
      </w:pPr>
      <w:r>
        <w:rPr>
          <w:rFonts w:hint="eastAsia"/>
          <w:szCs w:val="21"/>
        </w:rPr>
        <w:t>一直以来，恒升信达坚持以 “诚信、创新、服务、共赢”为企业宗旨；坚持“以人为本、用户至上”的经营方针；始终坚持“精心组织、规范施工、周到服务”的质量方针；并形成一套完整的设计、安装、调试、培训、维护一站式服务体系。</w:t>
      </w:r>
    </w:p>
    <w:p>
      <w:pPr>
        <w:ind w:left="573" w:leftChars="273"/>
        <w:rPr>
          <w:szCs w:val="21"/>
        </w:rPr>
      </w:pPr>
      <w:r>
        <w:rPr>
          <w:szCs w:val="21"/>
        </w:rPr>
        <w:t>4.1.2公司发展和战略</w:t>
      </w:r>
      <w:bookmarkStart w:id="1" w:name="sub1_2_1"/>
      <w:bookmarkEnd w:id="1"/>
      <w:bookmarkStart w:id="2" w:name="2_1"/>
      <w:bookmarkEnd w:id="2"/>
      <w:r>
        <w:rPr>
          <w:szCs w:val="21"/>
        </w:rPr>
        <w:br w:type="textWrapping"/>
      </w:r>
      <w:r>
        <w:rPr>
          <w:szCs w:val="21"/>
        </w:rPr>
        <w:t>企业宗旨：管理就是高标准，服务就是创一流。</w:t>
      </w:r>
      <w:r>
        <w:rPr>
          <w:szCs w:val="21"/>
        </w:rPr>
        <w:br w:type="textWrapping"/>
      </w:r>
      <w:r>
        <w:rPr>
          <w:szCs w:val="21"/>
        </w:rPr>
        <w:t>经营理念：品牌信誉为先，实力质量为本。</w:t>
      </w:r>
      <w:r>
        <w:rPr>
          <w:szCs w:val="21"/>
        </w:rPr>
        <w:br w:type="textWrapping"/>
      </w:r>
      <w:r>
        <w:rPr>
          <w:szCs w:val="21"/>
        </w:rPr>
        <w:t>企业目标：现代化管理，高品质服务。</w:t>
      </w:r>
    </w:p>
    <w:p>
      <w:pPr>
        <w:ind w:left="525" w:leftChars="250" w:firstLine="33" w:firstLineChars="16"/>
        <w:rPr>
          <w:szCs w:val="21"/>
        </w:rPr>
      </w:pPr>
      <w:r>
        <w:rPr>
          <w:szCs w:val="21"/>
        </w:rPr>
        <w:t>4.1.3影响本公司质量/环境/安全管理体系实现预期结果的外部因素有：市场变化、原材料供应、行业发展、消费习惯、金融和货币政策、国家的规划和计划等；内部因素有：产能、企业文化、薪酬制度、工作习惯和效率等。</w:t>
      </w:r>
    </w:p>
    <w:p>
      <w:pPr>
        <w:ind w:left="525" w:leftChars="250" w:firstLine="33" w:firstLineChars="16"/>
        <w:rPr>
          <w:szCs w:val="21"/>
        </w:rPr>
      </w:pPr>
      <w:r>
        <w:rPr>
          <w:szCs w:val="21"/>
        </w:rPr>
        <w:t>4.1.4公司按照各项管理制度的要求对这些内外部因素的相关信息进行监视、获取，通过定期例会或管理评审分析、制定计划予以应对内外部变化，并根据上述决策或计划动态调整质量/环境/安全管理体系，使质量/环境/安全管理体系与公司的环境动态变化相匹配，提高管理体系的保障力、应变力、生命力和竞争力。</w:t>
      </w:r>
    </w:p>
    <w:p>
      <w:pPr>
        <w:ind w:firstLine="527" w:firstLineChars="250"/>
        <w:rPr>
          <w:b/>
          <w:szCs w:val="21"/>
        </w:rPr>
      </w:pPr>
      <w:r>
        <w:rPr>
          <w:b/>
          <w:szCs w:val="21"/>
        </w:rPr>
        <w:t>4.2理解相关方的需求和期望</w:t>
      </w:r>
    </w:p>
    <w:p>
      <w:pPr>
        <w:ind w:left="567" w:leftChars="270"/>
        <w:rPr>
          <w:szCs w:val="21"/>
        </w:rPr>
      </w:pPr>
      <w:r>
        <w:rPr>
          <w:szCs w:val="21"/>
        </w:rPr>
        <w:t>4.7.1公司确定与质量/环境/安全管理体系有关的相关方及相关方的要求，此类相关方包括但不限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ind w:left="567" w:leftChars="270"/>
        <w:rPr>
          <w:szCs w:val="21"/>
        </w:rPr>
      </w:pPr>
      <w:r>
        <w:rPr>
          <w:szCs w:val="21"/>
        </w:rPr>
        <w:t>4.2.2公司确定与上述相关方的要求，以避免相关方对公司持续提供符合顾客要求和适用法律法规要求的产品和服务的能力影响或潜在影响。</w:t>
      </w:r>
    </w:p>
    <w:p>
      <w:pPr>
        <w:ind w:firstLine="560"/>
        <w:rPr>
          <w:szCs w:val="21"/>
        </w:rPr>
      </w:pPr>
      <w:r>
        <w:rPr>
          <w:szCs w:val="21"/>
        </w:rPr>
        <w:t>4.2.3公司定期对这些相关方及其要求的相关信息进行监视和评审。</w:t>
      </w:r>
    </w:p>
    <w:p>
      <w:pPr>
        <w:ind w:firstLine="560"/>
        <w:rPr>
          <w:szCs w:val="21"/>
        </w:rPr>
      </w:pPr>
      <w:r>
        <w:rPr>
          <w:szCs w:val="21"/>
        </w:rPr>
        <w:t>4.2.4公司定期更新以上确定的结果，以便于理解和满足影响顾客要求和顾客满意度的需求和期望。</w:t>
      </w:r>
    </w:p>
    <w:p>
      <w:pPr>
        <w:ind w:firstLine="560"/>
        <w:rPr>
          <w:szCs w:val="21"/>
        </w:rPr>
      </w:pPr>
      <w:r>
        <w:rPr>
          <w:szCs w:val="21"/>
        </w:rPr>
        <w:t>4.2.5公司要识别应对当前的和预期的未来需求可导致改进和变革的机会。</w:t>
      </w:r>
    </w:p>
    <w:p>
      <w:pPr>
        <w:ind w:firstLine="560"/>
        <w:rPr>
          <w:b/>
          <w:szCs w:val="21"/>
        </w:rPr>
      </w:pPr>
      <w:r>
        <w:rPr>
          <w:b/>
          <w:szCs w:val="21"/>
        </w:rPr>
        <w:t>4.3质量/环境/安全管理体系的范围的确定</w:t>
      </w:r>
    </w:p>
    <w:p>
      <w:pPr>
        <w:ind w:left="559" w:leftChars="266"/>
        <w:rPr>
          <w:szCs w:val="21"/>
        </w:rPr>
      </w:pPr>
      <w:r>
        <w:rPr>
          <w:szCs w:val="21"/>
        </w:rPr>
        <w:t>a)本手册所覆盖的产品和服务：</w:t>
      </w:r>
      <w:r>
        <w:rPr>
          <w:rFonts w:hint="eastAsia"/>
          <w:szCs w:val="21"/>
          <w:u w:val="single"/>
          <w:lang w:eastAsia="zh-CN"/>
        </w:rPr>
        <w:t>计算机软件开发，信息系统集成，电子产品销售</w:t>
      </w:r>
      <w:r>
        <w:rPr>
          <w:rFonts w:hint="eastAsia" w:ascii="宋体" w:hAnsi="宋体"/>
          <w:color w:val="000000"/>
        </w:rPr>
        <w:t>；</w:t>
      </w:r>
      <w:r>
        <w:rPr>
          <w:rFonts w:hint="eastAsia" w:ascii="宋体" w:hAnsi="宋体" w:cs="Arial"/>
          <w:szCs w:val="21"/>
        </w:rPr>
        <w:t xml:space="preserve"> </w:t>
      </w:r>
    </w:p>
    <w:p>
      <w:pPr>
        <w:ind w:left="559" w:leftChars="266"/>
        <w:rPr>
          <w:rFonts w:hint="eastAsia" w:eastAsia="宋体"/>
          <w:szCs w:val="21"/>
          <w:u w:val="single"/>
          <w:lang w:eastAsia="zh-CN"/>
        </w:rPr>
      </w:pPr>
      <w:r>
        <w:rPr>
          <w:rFonts w:hint="eastAsia"/>
          <w:szCs w:val="21"/>
        </w:rPr>
        <w:t>b</w:t>
      </w:r>
      <w:r>
        <w:rPr>
          <w:szCs w:val="21"/>
        </w:rPr>
        <w:t>)本手册所覆盖的产品和服务</w:t>
      </w:r>
      <w:r>
        <w:rPr>
          <w:rFonts w:hint="eastAsia"/>
          <w:szCs w:val="21"/>
        </w:rPr>
        <w:t>的区域范围</w:t>
      </w:r>
      <w:r>
        <w:rPr>
          <w:szCs w:val="21"/>
        </w:rPr>
        <w:t>：</w:t>
      </w:r>
      <w:r>
        <w:rPr>
          <w:rFonts w:hint="eastAsia" w:ascii="宋体" w:hAnsi="宋体"/>
          <w:color w:val="000000"/>
          <w:u w:val="single"/>
          <w:lang w:eastAsia="zh-CN"/>
        </w:rPr>
        <w:t>四川省成都市高新区天益街38号理想中心3栋1708号</w:t>
      </w:r>
    </w:p>
    <w:p>
      <w:pPr>
        <w:ind w:left="565" w:leftChars="269"/>
        <w:rPr>
          <w:rFonts w:hint="eastAsia"/>
          <w:szCs w:val="21"/>
        </w:rPr>
      </w:pPr>
      <w:r>
        <w:rPr>
          <w:rFonts w:hint="eastAsia"/>
          <w:szCs w:val="21"/>
        </w:rPr>
        <w:t>c</w:t>
      </w:r>
      <w:r>
        <w:rPr>
          <w:szCs w:val="21"/>
        </w:rPr>
        <w:t>) ISO9001:2015版8.3条款适用于本公司</w:t>
      </w:r>
    </w:p>
    <w:p>
      <w:pPr>
        <w:ind w:left="565" w:leftChars="269"/>
        <w:rPr>
          <w:szCs w:val="21"/>
        </w:rPr>
      </w:pPr>
    </w:p>
    <w:p>
      <w:pPr>
        <w:ind w:left="565" w:leftChars="269"/>
        <w:rPr>
          <w:szCs w:val="21"/>
        </w:rPr>
      </w:pPr>
    </w:p>
    <w:p>
      <w:pPr>
        <w:ind w:firstLine="560"/>
        <w:rPr>
          <w:b/>
          <w:szCs w:val="21"/>
        </w:rPr>
      </w:pPr>
      <w:r>
        <w:rPr>
          <w:b/>
          <w:szCs w:val="21"/>
        </w:rPr>
        <w:t>4.4质量/环境/安全管理体系及其过程</w:t>
      </w:r>
    </w:p>
    <w:p>
      <w:pPr>
        <w:ind w:left="559" w:leftChars="266"/>
        <w:rPr>
          <w:szCs w:val="21"/>
        </w:rPr>
      </w:pPr>
      <w:r>
        <w:rPr>
          <w:szCs w:val="21"/>
        </w:rPr>
        <w:t>4.4.1</w:t>
      </w:r>
      <w:r>
        <w:rPr>
          <w:rFonts w:hint="eastAsia"/>
          <w:szCs w:val="21"/>
        </w:rPr>
        <w:t>在本手册4.3界定的范围内，本</w:t>
      </w:r>
      <w:r>
        <w:rPr>
          <w:szCs w:val="21"/>
        </w:rPr>
        <w:t>公司按照</w:t>
      </w:r>
      <w:r>
        <w:rPr>
          <w:rFonts w:hint="eastAsia"/>
          <w:szCs w:val="21"/>
        </w:rPr>
        <w:t>I</w:t>
      </w:r>
      <w:r>
        <w:rPr>
          <w:szCs w:val="21"/>
        </w:rPr>
        <w:t>SO9001:2015</w:t>
      </w:r>
      <w:r>
        <w:rPr>
          <w:rFonts w:hint="eastAsia"/>
          <w:szCs w:val="21"/>
        </w:rPr>
        <w:t>，</w:t>
      </w:r>
      <w:r>
        <w:rPr>
          <w:szCs w:val="21"/>
        </w:rPr>
        <w:t>ISO14001:2015</w:t>
      </w:r>
      <w:r>
        <w:rPr>
          <w:rFonts w:hint="eastAsia"/>
          <w:szCs w:val="21"/>
        </w:rPr>
        <w:t>，ISO45001-2018</w:t>
      </w:r>
      <w:r>
        <w:rPr>
          <w:szCs w:val="21"/>
        </w:rPr>
        <w:t>建立质量/环境/安全管理体系、过程及其相互作用，加以实施和保持，并持续改进。</w:t>
      </w:r>
    </w:p>
    <w:p>
      <w:pPr>
        <w:ind w:left="525" w:leftChars="250" w:firstLine="33" w:firstLineChars="16"/>
        <w:rPr>
          <w:szCs w:val="21"/>
        </w:rPr>
      </w:pPr>
      <w:r>
        <w:rPr>
          <w:szCs w:val="21"/>
        </w:rPr>
        <w:t>公司按照过程方法建立质量/环境/安全管理体系。并使策划、识别、确定的各过程与公司诸业务流程保持一致，确保质量/环境/安全管理体系的要求纳入公司的实际经营运作；</w:t>
      </w:r>
    </w:p>
    <w:p>
      <w:pPr>
        <w:ind w:left="525" w:leftChars="250" w:firstLine="33" w:firstLineChars="16"/>
        <w:rPr>
          <w:szCs w:val="21"/>
        </w:rPr>
      </w:pPr>
      <w:r>
        <w:rPr>
          <w:szCs w:val="21"/>
        </w:rPr>
        <w:t>a)确定质量/环境/安全管理体系所需的过程及其在整个公司中的应用，对公司现有运行过程进行识别，确定主要销售过程；</w:t>
      </w:r>
    </w:p>
    <w:p>
      <w:pPr>
        <w:ind w:firstLine="560"/>
        <w:rPr>
          <w:szCs w:val="21"/>
        </w:rPr>
      </w:pPr>
      <w:r>
        <w:rPr>
          <w:szCs w:val="21"/>
        </w:rPr>
        <w:t>b)确定每个过程所需的输入和期望的输出；</w:t>
      </w:r>
    </w:p>
    <w:p>
      <w:pPr>
        <w:ind w:firstLine="560"/>
        <w:rPr>
          <w:szCs w:val="21"/>
        </w:rPr>
      </w:pPr>
      <w:r>
        <w:rPr>
          <w:szCs w:val="21"/>
        </w:rPr>
        <w:t>c)确定这些过程的顺序和相互作用，对过程之间的关系进行清理；</w:t>
      </w:r>
    </w:p>
    <w:p>
      <w:pPr>
        <w:ind w:left="559" w:leftChars="266"/>
        <w:rPr>
          <w:szCs w:val="21"/>
        </w:rPr>
      </w:pPr>
      <w:r>
        <w:rPr>
          <w:szCs w:val="21"/>
        </w:rPr>
        <w:t>d)确定运行所需的准则、方法（包括监视、测量和相关的绩效指标），以确保这些过程的运行和有效控制；</w:t>
      </w:r>
    </w:p>
    <w:p>
      <w:pPr>
        <w:ind w:firstLine="560"/>
        <w:rPr>
          <w:szCs w:val="21"/>
        </w:rPr>
      </w:pPr>
      <w:r>
        <w:rPr>
          <w:szCs w:val="21"/>
        </w:rPr>
        <w:t>e)确定和提供资源，包括人力、设备、财力、环境等资源；</w:t>
      </w:r>
    </w:p>
    <w:p>
      <w:pPr>
        <w:ind w:firstLine="560"/>
        <w:rPr>
          <w:szCs w:val="21"/>
        </w:rPr>
      </w:pPr>
      <w:r>
        <w:rPr>
          <w:szCs w:val="21"/>
        </w:rPr>
        <w:t>f)规定各过程的责任和权限；</w:t>
      </w:r>
    </w:p>
    <w:p>
      <w:pPr>
        <w:ind w:firstLine="560"/>
        <w:rPr>
          <w:szCs w:val="21"/>
        </w:rPr>
      </w:pPr>
      <w:r>
        <w:rPr>
          <w:szCs w:val="21"/>
        </w:rPr>
        <w:t>g)确定产生非预期的输出或过程失效对产品、服务</w:t>
      </w:r>
      <w:r>
        <w:rPr>
          <w:rFonts w:hint="eastAsia"/>
          <w:szCs w:val="21"/>
        </w:rPr>
        <w:t>、环境</w:t>
      </w:r>
      <w:r>
        <w:rPr>
          <w:szCs w:val="21"/>
        </w:rPr>
        <w:t>和顾客满意带来的风险；</w:t>
      </w:r>
    </w:p>
    <w:p>
      <w:pPr>
        <w:ind w:firstLine="560"/>
        <w:rPr>
          <w:szCs w:val="21"/>
        </w:rPr>
      </w:pPr>
      <w:r>
        <w:rPr>
          <w:szCs w:val="21"/>
        </w:rPr>
        <w:t>h)实施所需的措施以实现策划的结果；</w:t>
      </w:r>
    </w:p>
    <w:p>
      <w:pPr>
        <w:ind w:firstLine="560"/>
        <w:rPr>
          <w:szCs w:val="21"/>
        </w:rPr>
      </w:pPr>
      <w:r>
        <w:rPr>
          <w:szCs w:val="21"/>
        </w:rPr>
        <w:t>i)监测、分析这些过程，必要时变更，以确保过程持续产生期望的结果；</w:t>
      </w:r>
    </w:p>
    <w:p>
      <w:pPr>
        <w:ind w:firstLine="560"/>
        <w:rPr>
          <w:szCs w:val="21"/>
        </w:rPr>
      </w:pPr>
      <w:r>
        <w:rPr>
          <w:szCs w:val="21"/>
        </w:rPr>
        <w:t>j)确保持续改进这些过程。</w:t>
      </w:r>
    </w:p>
    <w:p>
      <w:pPr>
        <w:ind w:firstLine="560"/>
        <w:rPr>
          <w:szCs w:val="21"/>
        </w:rPr>
      </w:pPr>
      <w:r>
        <w:rPr>
          <w:szCs w:val="21"/>
        </w:rPr>
        <w:t>4.4.2与过程有关的名词解释</w:t>
      </w:r>
    </w:p>
    <w:p>
      <w:pPr>
        <w:ind w:left="525" w:leftChars="250" w:firstLine="33" w:firstLineChars="16"/>
        <w:rPr>
          <w:szCs w:val="21"/>
        </w:rPr>
      </w:pPr>
      <w:r>
        <w:rPr>
          <w:szCs w:val="21"/>
        </w:rPr>
        <w:t>过程：一组将输入转化为输出的相互关联的或相互作用的活动。过程是为顾客（内部的或外部的）提供产品或服务的一系列活动，过程开始于输入，以输出为结束。</w:t>
      </w:r>
    </w:p>
    <w:p>
      <w:pPr>
        <w:ind w:firstLine="560"/>
        <w:rPr>
          <w:szCs w:val="21"/>
        </w:rPr>
      </w:pPr>
      <w:r>
        <w:rPr>
          <w:szCs w:val="21"/>
        </w:rPr>
        <w:t>公司的质量/环境/安全管理体系按类型分为：顾客导向过程（COP）、支持过程（SP）、管理过程（MP）。</w:t>
      </w:r>
    </w:p>
    <w:p>
      <w:pPr>
        <w:ind w:left="559" w:leftChars="266"/>
        <w:rPr>
          <w:szCs w:val="21"/>
        </w:rPr>
      </w:pPr>
      <w:r>
        <w:rPr>
          <w:szCs w:val="21"/>
        </w:rPr>
        <w:t>顾客导向过程：通过输入和输出直接和外部顾客联系的过程，直接对顾客产生影响，是给公司直接带来效益的过程。</w:t>
      </w:r>
    </w:p>
    <w:p>
      <w:pPr>
        <w:ind w:left="559" w:leftChars="266"/>
        <w:rPr>
          <w:szCs w:val="21"/>
        </w:rPr>
      </w:pPr>
      <w:r>
        <w:rPr>
          <w:szCs w:val="21"/>
        </w:rPr>
        <w:t>支持过程：提供主要资源或能力，为了实现公司的经营目标，支持顾客导向过程实现预计目标的过程，支持过程是实现顾客导向过程功能的必要过程。</w:t>
      </w:r>
    </w:p>
    <w:p>
      <w:pPr>
        <w:ind w:left="525" w:leftChars="250" w:firstLine="33" w:firstLineChars="16"/>
        <w:rPr>
          <w:szCs w:val="21"/>
        </w:rPr>
      </w:pPr>
      <w:r>
        <w:rPr>
          <w:szCs w:val="21"/>
        </w:rPr>
        <w:t>管理过程：用来衡量和评价顾客导向过程和支持过程的有效性和效率，公司策划将顾客要求转化为公司衡量的目标和指标，确定公司公司结构，产生公司决策和目标及更改等过程。</w:t>
      </w:r>
    </w:p>
    <w:p>
      <w:pPr>
        <w:ind w:firstLine="560"/>
        <w:rPr>
          <w:szCs w:val="21"/>
        </w:rPr>
      </w:pPr>
      <w:r>
        <w:rPr>
          <w:szCs w:val="21"/>
        </w:rPr>
        <w:t>4.4.3主要过程识别</w:t>
      </w:r>
      <w:r>
        <w:rPr>
          <w:rFonts w:hint="eastAsia"/>
          <w:szCs w:val="21"/>
        </w:rPr>
        <w:t>如附录B</w:t>
      </w:r>
    </w:p>
    <w:p>
      <w:pPr>
        <w:ind w:firstLine="560"/>
        <w:rPr>
          <w:sz w:val="18"/>
          <w:szCs w:val="18"/>
        </w:rPr>
      </w:pPr>
      <w:r>
        <w:rPr>
          <w:szCs w:val="21"/>
        </w:rPr>
        <w:t>4.4.4过程与过程之间的相互关系</w:t>
      </w:r>
      <w:r>
        <w:rPr>
          <w:rFonts w:hint="eastAsia"/>
          <w:szCs w:val="21"/>
        </w:rPr>
        <w:t xml:space="preserve">如附录C </w:t>
      </w:r>
    </w:p>
    <w:p>
      <w:pPr>
        <w:ind w:firstLine="560"/>
        <w:rPr>
          <w:szCs w:val="21"/>
        </w:rPr>
      </w:pPr>
      <w:r>
        <w:rPr>
          <w:szCs w:val="21"/>
        </w:rPr>
        <w:t>4.4.5质量管理体系过程职责分配与过程关系表</w:t>
      </w:r>
      <w:r>
        <w:rPr>
          <w:rFonts w:hint="eastAsia"/>
          <w:szCs w:val="21"/>
        </w:rPr>
        <w:t>如附录D</w:t>
      </w:r>
    </w:p>
    <w:p>
      <w:pPr>
        <w:ind w:firstLine="525" w:firstLineChars="250"/>
        <w:jc w:val="left"/>
        <w:rPr>
          <w:szCs w:val="21"/>
        </w:rPr>
      </w:pPr>
      <w:r>
        <w:rPr>
          <w:szCs w:val="21"/>
        </w:rPr>
        <w:t>环境</w:t>
      </w:r>
      <w:r>
        <w:rPr>
          <w:rFonts w:hint="eastAsia"/>
          <w:szCs w:val="21"/>
        </w:rPr>
        <w:t>安全</w:t>
      </w:r>
      <w:r>
        <w:rPr>
          <w:szCs w:val="21"/>
        </w:rPr>
        <w:t>管理体系过程职责分配与过程关系表</w:t>
      </w:r>
      <w:r>
        <w:rPr>
          <w:rFonts w:hint="eastAsia"/>
          <w:szCs w:val="21"/>
        </w:rPr>
        <w:t>如附录E</w:t>
      </w:r>
    </w:p>
    <w:p>
      <w:pPr>
        <w:ind w:left="525" w:leftChars="250" w:firstLine="33" w:firstLineChars="16"/>
        <w:rPr>
          <w:szCs w:val="21"/>
        </w:rPr>
      </w:pPr>
      <w:r>
        <w:rPr>
          <w:szCs w:val="21"/>
        </w:rPr>
        <w:t>4.4.</w:t>
      </w:r>
      <w:r>
        <w:rPr>
          <w:rFonts w:hint="eastAsia"/>
          <w:szCs w:val="21"/>
        </w:rPr>
        <w:t>6</w:t>
      </w:r>
      <w:r>
        <w:rPr>
          <w:szCs w:val="21"/>
        </w:rPr>
        <w:t>公司制定流程图、管理制度、作业指导书、操作规范等文件以支持过程运行，并保留相关文件要求的记录，来证明其过程是按策划进行的。</w:t>
      </w:r>
    </w:p>
    <w:p>
      <w:pPr>
        <w:ind w:firstLine="560"/>
        <w:rPr>
          <w:b/>
          <w:szCs w:val="21"/>
        </w:rPr>
      </w:pPr>
      <w:r>
        <w:rPr>
          <w:b/>
          <w:szCs w:val="21"/>
        </w:rPr>
        <w:t>5领导作用</w:t>
      </w:r>
    </w:p>
    <w:p>
      <w:pPr>
        <w:ind w:firstLine="560"/>
        <w:rPr>
          <w:b/>
          <w:szCs w:val="21"/>
        </w:rPr>
      </w:pPr>
      <w:r>
        <w:rPr>
          <w:b/>
          <w:szCs w:val="21"/>
        </w:rPr>
        <w:t>5.1领导与承诺</w:t>
      </w:r>
    </w:p>
    <w:p>
      <w:pPr>
        <w:ind w:firstLine="560"/>
        <w:rPr>
          <w:szCs w:val="21"/>
        </w:rPr>
      </w:pPr>
      <w:r>
        <w:rPr>
          <w:szCs w:val="21"/>
        </w:rPr>
        <w:t>5.1.1总则</w:t>
      </w:r>
    </w:p>
    <w:p>
      <w:pPr>
        <w:ind w:firstLine="560"/>
        <w:rPr>
          <w:szCs w:val="21"/>
        </w:rPr>
      </w:pPr>
      <w:r>
        <w:rPr>
          <w:szCs w:val="21"/>
        </w:rPr>
        <w:t>总经理通过以下方面证实其对质量/环境/安全管理体系的领导作用与承诺：</w:t>
      </w:r>
    </w:p>
    <w:p>
      <w:pPr>
        <w:ind w:firstLine="560"/>
        <w:rPr>
          <w:szCs w:val="21"/>
        </w:rPr>
      </w:pPr>
      <w:r>
        <w:rPr>
          <w:szCs w:val="21"/>
        </w:rPr>
        <w:t>a)对公司的质量/环境/安全体系有效性负责</w:t>
      </w:r>
    </w:p>
    <w:p>
      <w:pPr>
        <w:ind w:firstLine="560"/>
        <w:rPr>
          <w:szCs w:val="21"/>
        </w:rPr>
      </w:pPr>
      <w:r>
        <w:rPr>
          <w:szCs w:val="21"/>
        </w:rPr>
        <w:t>b)确保质量/环境/安全方针和质量/环境/安全目标得到建立，并与公司的战略方向保持一致；</w:t>
      </w:r>
    </w:p>
    <w:p>
      <w:pPr>
        <w:ind w:firstLine="560"/>
        <w:rPr>
          <w:szCs w:val="21"/>
        </w:rPr>
      </w:pPr>
      <w:r>
        <w:rPr>
          <w:szCs w:val="21"/>
        </w:rPr>
        <w:t>c)确保质量/环境/安全方针在公司内得到理解和实施；</w:t>
      </w:r>
    </w:p>
    <w:p>
      <w:pPr>
        <w:ind w:firstLine="560"/>
        <w:rPr>
          <w:szCs w:val="21"/>
        </w:rPr>
      </w:pPr>
      <w:r>
        <w:rPr>
          <w:szCs w:val="21"/>
        </w:rPr>
        <w:t>d)确保质量/环境/安全管理体系要求纳入公司的经营运作；</w:t>
      </w:r>
    </w:p>
    <w:p>
      <w:pPr>
        <w:ind w:firstLine="560"/>
        <w:rPr>
          <w:szCs w:val="21"/>
        </w:rPr>
      </w:pPr>
      <w:r>
        <w:rPr>
          <w:szCs w:val="21"/>
        </w:rPr>
        <w:t>e)提高过程方法的意识和基于风险的方法；</w:t>
      </w:r>
    </w:p>
    <w:p>
      <w:pPr>
        <w:ind w:firstLine="560"/>
        <w:rPr>
          <w:szCs w:val="21"/>
        </w:rPr>
      </w:pPr>
      <w:r>
        <w:rPr>
          <w:szCs w:val="21"/>
        </w:rPr>
        <w:t>f)确保质量/环境/安全管理体系所需资源的获得；</w:t>
      </w:r>
    </w:p>
    <w:p>
      <w:pPr>
        <w:ind w:firstLine="560"/>
        <w:rPr>
          <w:szCs w:val="21"/>
        </w:rPr>
      </w:pPr>
      <w:r>
        <w:rPr>
          <w:szCs w:val="21"/>
        </w:rPr>
        <w:t>g)传达有效的质量/环境/安全管理以及满足质量/环境/安全管理体系、产品和服务要求的重要性；</w:t>
      </w:r>
    </w:p>
    <w:p>
      <w:pPr>
        <w:ind w:firstLine="560"/>
        <w:rPr>
          <w:szCs w:val="21"/>
        </w:rPr>
      </w:pPr>
      <w:r>
        <w:rPr>
          <w:szCs w:val="21"/>
        </w:rPr>
        <w:t>h)确保质量/环境/安全管理体系实现预期的输出；</w:t>
      </w:r>
    </w:p>
    <w:p>
      <w:pPr>
        <w:ind w:firstLine="560"/>
        <w:rPr>
          <w:szCs w:val="21"/>
        </w:rPr>
      </w:pPr>
      <w:r>
        <w:rPr>
          <w:szCs w:val="21"/>
        </w:rPr>
        <w:t>i)积极参与、指导和支持员工参与对质量/环境/安全管理体系的有效性做出贡献；</w:t>
      </w:r>
    </w:p>
    <w:p>
      <w:pPr>
        <w:ind w:firstLine="560"/>
        <w:rPr>
          <w:szCs w:val="21"/>
        </w:rPr>
      </w:pPr>
      <w:r>
        <w:rPr>
          <w:szCs w:val="21"/>
        </w:rPr>
        <w:t>j)增强持续改进和创新；</w:t>
      </w:r>
    </w:p>
    <w:p>
      <w:pPr>
        <w:ind w:firstLine="560"/>
        <w:rPr>
          <w:szCs w:val="21"/>
        </w:rPr>
      </w:pPr>
      <w:r>
        <w:rPr>
          <w:szCs w:val="21"/>
        </w:rPr>
        <w:t>k)支持其他的管理者在其负责的领域证实其领导作用。</w:t>
      </w:r>
    </w:p>
    <w:p>
      <w:pPr>
        <w:ind w:firstLine="560"/>
        <w:rPr>
          <w:szCs w:val="21"/>
        </w:rPr>
      </w:pPr>
      <w:r>
        <w:rPr>
          <w:szCs w:val="21"/>
        </w:rPr>
        <w:t>5.1.2以顾客为关注焦点</w:t>
      </w:r>
    </w:p>
    <w:p>
      <w:pPr>
        <w:ind w:firstLine="560"/>
        <w:rPr>
          <w:szCs w:val="21"/>
        </w:rPr>
      </w:pPr>
      <w:r>
        <w:rPr>
          <w:szCs w:val="21"/>
        </w:rPr>
        <w:t>总经理通过以下方面，证实其针对以顾客为关注焦点的领导作用和承诺：</w:t>
      </w:r>
    </w:p>
    <w:p>
      <w:pPr>
        <w:ind w:firstLine="560"/>
        <w:rPr>
          <w:szCs w:val="21"/>
        </w:rPr>
      </w:pPr>
      <w:r>
        <w:rPr>
          <w:szCs w:val="21"/>
        </w:rPr>
        <w:t>a)可能影响产品和服务符合性、顾客满意的风险得到识别和机遇的应对；</w:t>
      </w:r>
    </w:p>
    <w:p>
      <w:pPr>
        <w:ind w:firstLine="560"/>
        <w:rPr>
          <w:szCs w:val="21"/>
        </w:rPr>
      </w:pPr>
      <w:r>
        <w:rPr>
          <w:szCs w:val="21"/>
        </w:rPr>
        <w:t>b)顾客要求得到确定和满足；</w:t>
      </w:r>
    </w:p>
    <w:p>
      <w:pPr>
        <w:ind w:firstLine="560"/>
        <w:rPr>
          <w:szCs w:val="21"/>
        </w:rPr>
      </w:pPr>
      <w:r>
        <w:rPr>
          <w:szCs w:val="21"/>
        </w:rPr>
        <w:t>c)保持以稳定提供满足顾客和相关法规要求的产品和服务为焦点；</w:t>
      </w:r>
    </w:p>
    <w:p>
      <w:pPr>
        <w:ind w:firstLine="560"/>
        <w:rPr>
          <w:szCs w:val="21"/>
        </w:rPr>
      </w:pPr>
      <w:r>
        <w:rPr>
          <w:szCs w:val="21"/>
        </w:rPr>
        <w:t>d)保持以增强顾客满意为焦点；</w:t>
      </w:r>
    </w:p>
    <w:p>
      <w:pPr>
        <w:ind w:firstLine="560"/>
        <w:rPr>
          <w:b/>
          <w:szCs w:val="21"/>
        </w:rPr>
      </w:pPr>
      <w:r>
        <w:rPr>
          <w:b/>
          <w:szCs w:val="21"/>
        </w:rPr>
        <w:t>5.2质量/环境/安全方针</w:t>
      </w:r>
    </w:p>
    <w:p>
      <w:pPr>
        <w:ind w:left="525" w:leftChars="250" w:firstLine="33" w:firstLineChars="16"/>
        <w:rPr>
          <w:szCs w:val="21"/>
        </w:rPr>
      </w:pPr>
      <w:r>
        <w:rPr>
          <w:szCs w:val="21"/>
        </w:rPr>
        <w:t>为实现顾客满意的目的，确保顾客的需求和期望得到满足，并转化为本公司的产品和服务要求，特制定本公司的质量/环境/安全方针为：</w:t>
      </w:r>
    </w:p>
    <w:p>
      <w:pPr>
        <w:ind w:left="1049" w:leftChars="399" w:hanging="211" w:hangingChars="75"/>
        <w:jc w:val="left"/>
        <w:rPr>
          <w:rFonts w:ascii="宋体" w:hAnsi="宋体" w:eastAsia="宋体" w:cs="宋体"/>
          <w:b/>
          <w:bCs/>
          <w:kern w:val="0"/>
          <w:sz w:val="28"/>
          <w:szCs w:val="28"/>
          <w:lang w:val="en-US" w:eastAsia="zh-CN" w:bidi="ar-SA"/>
        </w:rPr>
      </w:pPr>
      <w:r>
        <w:rPr>
          <w:rFonts w:ascii="宋体" w:hAnsi="宋体" w:eastAsia="宋体" w:cs="宋体"/>
          <w:b/>
          <w:bCs/>
          <w:kern w:val="0"/>
          <w:sz w:val="28"/>
          <w:szCs w:val="28"/>
          <w:lang w:val="en-US" w:eastAsia="zh-CN" w:bidi="ar-SA"/>
        </w:rPr>
        <w:t>以稳定品质、完善服务、持续改进、满足顾客需求；</w:t>
      </w:r>
    </w:p>
    <w:p>
      <w:pPr>
        <w:ind w:left="559" w:leftChars="266" w:firstLine="281" w:firstLineChars="100"/>
        <w:rPr>
          <w:rFonts w:ascii="华文行楷" w:eastAsia="华文行楷"/>
          <w:b/>
          <w:sz w:val="32"/>
        </w:rPr>
      </w:pPr>
      <w:r>
        <w:rPr>
          <w:rFonts w:ascii="宋体" w:hAnsi="宋体" w:eastAsia="宋体" w:cs="宋体"/>
          <w:b/>
          <w:bCs/>
          <w:kern w:val="0"/>
          <w:sz w:val="28"/>
          <w:szCs w:val="28"/>
          <w:lang w:val="en-US" w:eastAsia="zh-CN" w:bidi="ar-SA"/>
        </w:rPr>
        <w:t>以安全生产、保护环境、守法诚信、体现社会责任</w:t>
      </w:r>
      <w:r>
        <w:rPr>
          <w:rFonts w:hint="eastAsia" w:ascii="宋体" w:hAnsi="宋体" w:cs="宋体"/>
          <w:b/>
          <w:bCs/>
          <w:kern w:val="0"/>
          <w:sz w:val="28"/>
          <w:szCs w:val="28"/>
          <w:lang w:val="en-US" w:eastAsia="zh-CN" w:bidi="ar-SA"/>
        </w:rPr>
        <w:t>。</w:t>
      </w:r>
    </w:p>
    <w:p>
      <w:pPr>
        <w:ind w:left="559" w:leftChars="266"/>
        <w:rPr>
          <w:b/>
          <w:szCs w:val="21"/>
        </w:rPr>
      </w:pPr>
      <w:r>
        <w:rPr>
          <w:szCs w:val="21"/>
        </w:rPr>
        <w:t>上述质量/环境/安全方针是以质量/环境/安全管理的基本原则为基础制定的，是本公司总的质量/环境/安全宗旨和质量/环境/安全方向。</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a）其适合于组织的目的和背景，背景包括组织的性质、规模和其活动、产品和服务的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b）为设定环境目标提供框架；</w:t>
      </w:r>
    </w:p>
    <w:p>
      <w:pPr>
        <w:ind w:firstLine="560"/>
        <w:rPr>
          <w:szCs w:val="21"/>
        </w:rPr>
      </w:pPr>
      <w:r>
        <w:rPr>
          <w:rFonts w:hint="eastAsia"/>
          <w:szCs w:val="21"/>
        </w:rPr>
        <w:t>c）包括对环境保护的承诺，包括了防止污染和组织背景有关的其他细节；</w:t>
      </w:r>
    </w:p>
    <w:p>
      <w:pPr>
        <w:ind w:firstLine="560"/>
        <w:rPr>
          <w:szCs w:val="21"/>
        </w:rPr>
      </w:pPr>
      <w:r>
        <w:rPr>
          <w:rFonts w:hint="eastAsia"/>
          <w:szCs w:val="21"/>
        </w:rPr>
        <w:t>注：环境保护的其他详细的承诺可以包括：可持续资源的使用，缓解和适应气候变化，保护生</w:t>
      </w:r>
    </w:p>
    <w:p>
      <w:pPr>
        <w:ind w:firstLine="560"/>
        <w:rPr>
          <w:szCs w:val="21"/>
        </w:rPr>
      </w:pPr>
      <w:r>
        <w:rPr>
          <w:rFonts w:hint="eastAsia"/>
          <w:szCs w:val="21"/>
        </w:rPr>
        <w:t>物多样性和生态系统，或者其他相关的环境因素。</w:t>
      </w:r>
    </w:p>
    <w:p>
      <w:pPr>
        <w:ind w:firstLine="560"/>
        <w:rPr>
          <w:szCs w:val="21"/>
        </w:rPr>
      </w:pPr>
      <w:r>
        <w:rPr>
          <w:rFonts w:hint="eastAsia"/>
          <w:szCs w:val="21"/>
        </w:rPr>
        <w:t>d）包括遵守合规性要求的承诺；</w:t>
      </w:r>
    </w:p>
    <w:p>
      <w:pPr>
        <w:ind w:firstLine="560"/>
        <w:rPr>
          <w:szCs w:val="21"/>
        </w:rPr>
      </w:pPr>
      <w:r>
        <w:rPr>
          <w:rFonts w:hint="eastAsia"/>
          <w:szCs w:val="21"/>
        </w:rPr>
        <w:t>e）包括为增强环境绩效持续改进环境管理体系的承诺</w:t>
      </w:r>
    </w:p>
    <w:p>
      <w:pPr>
        <w:ind w:firstLine="560"/>
        <w:rPr>
          <w:szCs w:val="21"/>
        </w:rPr>
      </w:pPr>
      <w:r>
        <w:rPr>
          <w:rFonts w:hint="eastAsia"/>
          <w:szCs w:val="21"/>
        </w:rPr>
        <w:t>安全方针应满足下列要求：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 xml:space="preserve"> 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spacing w:line="400" w:lineRule="atLeast"/>
        <w:ind w:firstLine="480"/>
        <w:rPr>
          <w:rFonts w:ascii="宋体" w:hAnsi="宋体"/>
          <w:sz w:val="24"/>
          <w:szCs w:val="20"/>
        </w:rPr>
      </w:pPr>
      <w:r>
        <w:rPr>
          <w:rFonts w:hint="eastAsia" w:ascii="宋体" w:hAnsi="宋体"/>
          <w:sz w:val="24"/>
        </w:rPr>
        <w:t>h)被定期评审，以确保其与组织保持相关和适宜。</w:t>
      </w:r>
    </w:p>
    <w:p>
      <w:pPr>
        <w:ind w:firstLine="560"/>
        <w:rPr>
          <w:b/>
          <w:szCs w:val="21"/>
        </w:rPr>
      </w:pPr>
      <w:r>
        <w:rPr>
          <w:b/>
          <w:szCs w:val="21"/>
        </w:rPr>
        <w:t>5.3公司的岗位、职责和权限</w:t>
      </w:r>
    </w:p>
    <w:p>
      <w:pPr>
        <w:ind w:left="525" w:leftChars="250" w:firstLine="33" w:firstLineChars="16"/>
        <w:rPr>
          <w:szCs w:val="21"/>
        </w:rPr>
      </w:pPr>
      <w:r>
        <w:rPr>
          <w:szCs w:val="21"/>
        </w:rPr>
        <w:t>5.3.</w:t>
      </w:r>
      <w:r>
        <w:rPr>
          <w:rFonts w:hint="eastAsia"/>
          <w:szCs w:val="21"/>
        </w:rPr>
        <w:t>1</w:t>
      </w:r>
      <w:r>
        <w:rPr>
          <w:szCs w:val="21"/>
        </w:rPr>
        <w:t>总经理对质量/环境/安全管理体系的有效性负责，任命</w:t>
      </w:r>
      <w:r>
        <w:rPr>
          <w:rFonts w:hint="eastAsia"/>
          <w:b/>
          <w:szCs w:val="21"/>
          <w:u w:val="single"/>
          <w:lang w:eastAsia="zh-CN"/>
        </w:rPr>
        <w:t>雷悦</w:t>
      </w:r>
      <w:r>
        <w:rPr>
          <w:szCs w:val="21"/>
        </w:rPr>
        <w:t>为质量/环境/安全管理体系负责人，其职责和权限如下：</w:t>
      </w:r>
    </w:p>
    <w:p>
      <w:pPr>
        <w:ind w:firstLine="560"/>
        <w:rPr>
          <w:szCs w:val="21"/>
        </w:rPr>
      </w:pPr>
      <w:r>
        <w:rPr>
          <w:szCs w:val="21"/>
        </w:rPr>
        <w:t>a) 确保质量/环境/安全管理体系符合本标准的要求；</w:t>
      </w:r>
    </w:p>
    <w:p>
      <w:pPr>
        <w:ind w:firstLine="560"/>
        <w:rPr>
          <w:szCs w:val="21"/>
        </w:rPr>
      </w:pPr>
      <w:r>
        <w:rPr>
          <w:szCs w:val="21"/>
        </w:rPr>
        <w:t>b) 确保过程相互作用并产生期望的结果；</w:t>
      </w:r>
    </w:p>
    <w:p>
      <w:pPr>
        <w:ind w:firstLine="560"/>
        <w:rPr>
          <w:szCs w:val="21"/>
        </w:rPr>
      </w:pPr>
      <w:r>
        <w:rPr>
          <w:szCs w:val="21"/>
        </w:rPr>
        <w:t>c) 向总经理报告质量/环境/安全管理体系的绩效和任何改进的需求；</w:t>
      </w:r>
    </w:p>
    <w:p>
      <w:pPr>
        <w:ind w:left="567" w:leftChars="270"/>
        <w:rPr>
          <w:szCs w:val="21"/>
        </w:rPr>
      </w:pPr>
      <w:r>
        <w:rPr>
          <w:szCs w:val="21"/>
        </w:rPr>
        <w:t>d) 确保在整个公司内提高满足顾客要求的意识</w:t>
      </w:r>
      <w:r>
        <w:rPr>
          <w:rFonts w:hint="eastAsia"/>
          <w:szCs w:val="21"/>
        </w:rPr>
        <w:t>，确保所有承担管理职责的人员，都应该表明职业健康安全以及环境绩效持续改进的承诺。</w:t>
      </w:r>
      <w:r>
        <w:rPr>
          <w:szCs w:val="21"/>
        </w:rPr>
        <w:t>；</w:t>
      </w:r>
    </w:p>
    <w:p>
      <w:pPr>
        <w:ind w:firstLine="560"/>
        <w:rPr>
          <w:szCs w:val="21"/>
        </w:rPr>
      </w:pPr>
      <w:r>
        <w:rPr>
          <w:szCs w:val="21"/>
        </w:rPr>
        <w:t>e )确保体系在任何情况下的完整性。</w:t>
      </w:r>
    </w:p>
    <w:p>
      <w:pPr>
        <w:pStyle w:val="14"/>
        <w:spacing w:line="400" w:lineRule="exact"/>
        <w:ind w:firstLine="480"/>
        <w:rPr>
          <w:rFonts w:ascii="Times New Roman" w:hAnsi="Times New Roman"/>
          <w:szCs w:val="21"/>
        </w:rPr>
      </w:pPr>
      <w:r>
        <w:rPr>
          <w:rFonts w:hint="eastAsia" w:ascii="Times New Roman" w:hAnsi="Times New Roman"/>
          <w:szCs w:val="21"/>
        </w:rPr>
        <w:t>总经理任命</w:t>
      </w:r>
      <w:r>
        <w:rPr>
          <w:rFonts w:hint="eastAsia" w:ascii="Times New Roman" w:hAnsi="Times New Roman"/>
          <w:b/>
          <w:szCs w:val="21"/>
          <w:u w:val="single"/>
          <w:lang w:eastAsia="zh-CN"/>
        </w:rPr>
        <w:t>温忠伟</w:t>
      </w:r>
      <w:r>
        <w:rPr>
          <w:rFonts w:hint="eastAsia" w:ascii="Times New Roman" w:hAnsi="Times New Roman"/>
          <w:szCs w:val="21"/>
        </w:rPr>
        <w:t>同志为安全事务代表，负责以下事务：</w:t>
      </w:r>
    </w:p>
    <w:p>
      <w:pPr>
        <w:pStyle w:val="14"/>
        <w:spacing w:line="400" w:lineRule="exact"/>
        <w:ind w:firstLine="525" w:firstLineChars="250"/>
        <w:rPr>
          <w:rFonts w:ascii="Times New Roman" w:hAnsi="Times New Roman"/>
          <w:szCs w:val="21"/>
        </w:rPr>
      </w:pPr>
      <w:r>
        <w:rPr>
          <w:rFonts w:ascii="Times New Roman" w:hAnsi="Times New Roman"/>
          <w:szCs w:val="21"/>
        </w:rPr>
        <w:t>----</w:t>
      </w:r>
      <w:r>
        <w:rPr>
          <w:rFonts w:hint="eastAsia" w:ascii="Times New Roman" w:hAnsi="Times New Roman"/>
          <w:szCs w:val="21"/>
        </w:rPr>
        <w:t>参与管理评审；</w:t>
      </w:r>
    </w:p>
    <w:p>
      <w:pPr>
        <w:pStyle w:val="14"/>
        <w:spacing w:line="400" w:lineRule="exact"/>
        <w:ind w:left="899" w:leftChars="228" w:hanging="420" w:hangingChars="200"/>
        <w:rPr>
          <w:rFonts w:ascii="Times New Roman" w:hAnsi="Times New Roman"/>
          <w:szCs w:val="21"/>
        </w:rPr>
      </w:pPr>
      <w:r>
        <w:rPr>
          <w:rFonts w:ascii="Times New Roman" w:hAnsi="Times New Roman"/>
          <w:szCs w:val="21"/>
        </w:rPr>
        <w:t>----</w:t>
      </w:r>
      <w:r>
        <w:rPr>
          <w:rFonts w:hint="eastAsia" w:ascii="Times New Roman" w:hAnsi="Times New Roman"/>
          <w:szCs w:val="21"/>
        </w:rPr>
        <w:t>负责就职工职业健康，安全，福利等相关事宜与公司管理进行沟通协商；</w:t>
      </w:r>
    </w:p>
    <w:p>
      <w:pPr>
        <w:ind w:left="420" w:leftChars="200"/>
        <w:rPr>
          <w:szCs w:val="21"/>
        </w:rPr>
      </w:pPr>
      <w:r>
        <w:rPr>
          <w:szCs w:val="21"/>
        </w:rPr>
        <w:t>5.3.2总经理策划和批准组建公司的部门组成和架构，并规定各管理层、各部门、流程、岗位的职责和权限，确保公司内相关的职责、权限得到规定和沟通。</w:t>
      </w:r>
    </w:p>
    <w:p>
      <w:pPr>
        <w:ind w:left="420" w:leftChars="200"/>
        <w:rPr>
          <w:szCs w:val="21"/>
        </w:rPr>
      </w:pPr>
      <w:r>
        <w:rPr>
          <w:szCs w:val="21"/>
        </w:rPr>
        <w:t>各部门之间的质量/环境/安全管理职能的分配见 “质量/环境/安全管理体系过程职责分配与过程关系表”。</w:t>
      </w:r>
    </w:p>
    <w:p>
      <w:pPr>
        <w:ind w:left="420" w:leftChars="200"/>
        <w:rPr>
          <w:szCs w:val="21"/>
        </w:rPr>
      </w:pPr>
      <w:r>
        <w:rPr>
          <w:szCs w:val="21"/>
        </w:rPr>
        <w:t>5.3.3总经理应策划和批准组建公司内的岗位相关职责与权限。</w:t>
      </w:r>
      <w:r>
        <w:rPr>
          <w:rFonts w:hint="eastAsia"/>
          <w:szCs w:val="21"/>
        </w:rPr>
        <w:t>具体如下：</w:t>
      </w:r>
    </w:p>
    <w:p>
      <w:pPr>
        <w:ind w:left="420" w:leftChars="200"/>
        <w:rPr>
          <w:rFonts w:hint="eastAsia" w:eastAsia="宋体"/>
          <w:szCs w:val="21"/>
          <w:lang w:eastAsia="zh-CN"/>
        </w:rPr>
      </w:pPr>
      <w:r>
        <w:rPr>
          <w:rFonts w:hint="eastAsia"/>
          <w:szCs w:val="21"/>
          <w:lang w:eastAsia="zh-CN"/>
        </w:rPr>
        <w:t>综合部</w:t>
      </w:r>
    </w:p>
    <w:p>
      <w:pPr>
        <w:ind w:left="420" w:leftChars="200"/>
        <w:rPr>
          <w:szCs w:val="21"/>
        </w:rPr>
      </w:pPr>
      <w:r>
        <w:rPr>
          <w:rFonts w:hint="eastAsia"/>
          <w:szCs w:val="21"/>
        </w:rPr>
        <w:t>1、负责公司日常行政后勤工作（包括但不限于车辆、办公环境、办公用品、福利用品、劳保物资、单据印刷、标识标牌、工作餐、票务酒店等）</w:t>
      </w:r>
    </w:p>
    <w:p>
      <w:pPr>
        <w:ind w:left="420" w:leftChars="200"/>
        <w:rPr>
          <w:szCs w:val="21"/>
        </w:rPr>
      </w:pPr>
      <w:r>
        <w:rPr>
          <w:rFonts w:hint="eastAsia"/>
          <w:szCs w:val="21"/>
        </w:rPr>
        <w:t>2、负责公司的集体性活动的组织、实施及后勤保障；</w:t>
      </w:r>
    </w:p>
    <w:p>
      <w:pPr>
        <w:ind w:left="420" w:leftChars="200"/>
        <w:rPr>
          <w:szCs w:val="21"/>
        </w:rPr>
      </w:pPr>
      <w:r>
        <w:rPr>
          <w:rFonts w:hint="eastAsia"/>
          <w:szCs w:val="21"/>
        </w:rPr>
        <w:t>3、负责公司会务、接待的组织及安排工作；</w:t>
      </w:r>
    </w:p>
    <w:p>
      <w:pPr>
        <w:ind w:left="420" w:leftChars="200"/>
        <w:rPr>
          <w:szCs w:val="21"/>
        </w:rPr>
      </w:pPr>
      <w:r>
        <w:rPr>
          <w:rFonts w:hint="eastAsia"/>
          <w:szCs w:val="21"/>
        </w:rPr>
        <w:t>4、负责公司固定资产的管理；</w:t>
      </w:r>
    </w:p>
    <w:p>
      <w:pPr>
        <w:ind w:left="420" w:leftChars="200"/>
        <w:rPr>
          <w:szCs w:val="21"/>
        </w:rPr>
      </w:pPr>
      <w:r>
        <w:rPr>
          <w:rFonts w:hint="eastAsia"/>
          <w:szCs w:val="21"/>
        </w:rPr>
        <w:t>5、负责公文的撰写、审核、发布及整理归档；以及工作简报的编写与发布；各项管理制度的发放、存档与监督定期更新；</w:t>
      </w:r>
    </w:p>
    <w:p>
      <w:pPr>
        <w:ind w:left="420" w:leftChars="200"/>
        <w:rPr>
          <w:szCs w:val="21"/>
        </w:rPr>
      </w:pPr>
      <w:r>
        <w:rPr>
          <w:rFonts w:hint="eastAsia"/>
          <w:szCs w:val="21"/>
        </w:rPr>
        <w:t>6、负责公司文控档案的建立与完善；</w:t>
      </w:r>
    </w:p>
    <w:p>
      <w:pPr>
        <w:ind w:left="420" w:leftChars="200"/>
        <w:rPr>
          <w:szCs w:val="21"/>
        </w:rPr>
      </w:pPr>
      <w:r>
        <w:rPr>
          <w:rFonts w:hint="eastAsia"/>
          <w:szCs w:val="21"/>
        </w:rPr>
        <w:t>7、负责公司的岗位设置及定岗定编工作，根据岗位需求情况开展招聘工作；</w:t>
      </w:r>
    </w:p>
    <w:p>
      <w:pPr>
        <w:ind w:left="420" w:leftChars="200"/>
        <w:rPr>
          <w:szCs w:val="21"/>
        </w:rPr>
      </w:pPr>
      <w:r>
        <w:rPr>
          <w:rFonts w:hint="eastAsia"/>
          <w:szCs w:val="21"/>
        </w:rPr>
        <w:t>8、负责公司薪酬计造及各项法定福利的交纳及管理工作；</w:t>
      </w:r>
    </w:p>
    <w:p>
      <w:pPr>
        <w:ind w:left="420" w:leftChars="200"/>
        <w:rPr>
          <w:szCs w:val="21"/>
        </w:rPr>
      </w:pPr>
      <w:r>
        <w:rPr>
          <w:rFonts w:hint="eastAsia"/>
          <w:szCs w:val="21"/>
        </w:rPr>
        <w:t>9、负责各类劳动纠纷及违章违纪行为公告、汇总及表扬表彰的处理工作；</w:t>
      </w:r>
    </w:p>
    <w:p>
      <w:pPr>
        <w:ind w:left="420" w:leftChars="200"/>
        <w:rPr>
          <w:szCs w:val="21"/>
        </w:rPr>
      </w:pPr>
      <w:r>
        <w:rPr>
          <w:rFonts w:hint="eastAsia"/>
          <w:szCs w:val="21"/>
        </w:rPr>
        <w:t>10、负责公司员工工伤的申报及善后工作；</w:t>
      </w:r>
    </w:p>
    <w:p>
      <w:pPr>
        <w:ind w:left="420" w:leftChars="200"/>
        <w:rPr>
          <w:szCs w:val="21"/>
        </w:rPr>
      </w:pPr>
      <w:r>
        <w:rPr>
          <w:rFonts w:hint="eastAsia"/>
          <w:szCs w:val="21"/>
        </w:rPr>
        <w:t>11、负责对员工进行绩效考核并对结果进行分析，编制总结报告，并提出各部门绩效改进建议；</w:t>
      </w:r>
      <w:r>
        <w:rPr>
          <w:szCs w:val="21"/>
        </w:rPr>
        <w:t xml:space="preserve"> </w:t>
      </w:r>
      <w:r>
        <w:rPr>
          <w:rFonts w:hint="eastAsia"/>
          <w:szCs w:val="21"/>
        </w:rPr>
        <w:t xml:space="preserve">  </w:t>
      </w:r>
    </w:p>
    <w:p>
      <w:pPr>
        <w:ind w:left="420" w:leftChars="200"/>
        <w:rPr>
          <w:szCs w:val="21"/>
        </w:rPr>
      </w:pPr>
      <w:r>
        <w:rPr>
          <w:rFonts w:hint="eastAsia"/>
          <w:szCs w:val="21"/>
        </w:rPr>
        <w:t>12、负责建立培训体系，制定培训的各项工作流程，编制培训教材与人员培训档案的管理；</w:t>
      </w:r>
    </w:p>
    <w:p>
      <w:pPr>
        <w:ind w:left="420" w:leftChars="200"/>
        <w:rPr>
          <w:szCs w:val="21"/>
        </w:rPr>
      </w:pPr>
      <w:r>
        <w:rPr>
          <w:rFonts w:hint="eastAsia"/>
          <w:szCs w:val="21"/>
        </w:rPr>
        <w:t>13、负责公司网络、硬件的日常运行维护及“公安网”内的人员信息登记与更新等；</w:t>
      </w:r>
    </w:p>
    <w:p>
      <w:pPr>
        <w:ind w:left="420" w:leftChars="200"/>
        <w:rPr>
          <w:rFonts w:hint="eastAsia" w:eastAsia="宋体"/>
          <w:szCs w:val="21"/>
          <w:lang w:eastAsia="zh-CN"/>
        </w:rPr>
      </w:pPr>
      <w:r>
        <w:rPr>
          <w:rFonts w:hint="eastAsia"/>
          <w:szCs w:val="21"/>
          <w:lang w:eastAsia="zh-CN"/>
        </w:rPr>
        <w:t>市场部</w:t>
      </w:r>
    </w:p>
    <w:p>
      <w:pPr>
        <w:ind w:left="420" w:leftChars="200"/>
        <w:rPr>
          <w:szCs w:val="21"/>
        </w:rPr>
      </w:pPr>
      <w:r>
        <w:rPr>
          <w:rFonts w:hint="eastAsia"/>
          <w:szCs w:val="21"/>
        </w:rPr>
        <w:t>－负责公司产品的销售；</w:t>
      </w:r>
    </w:p>
    <w:p>
      <w:pPr>
        <w:ind w:left="420" w:leftChars="200"/>
        <w:rPr>
          <w:szCs w:val="21"/>
        </w:rPr>
      </w:pPr>
      <w:r>
        <w:rPr>
          <w:rFonts w:hint="eastAsia"/>
          <w:szCs w:val="21"/>
        </w:rPr>
        <w:t>－负责合同评审，以识别和确定顾客要求；</w:t>
      </w:r>
    </w:p>
    <w:p>
      <w:pPr>
        <w:ind w:left="420" w:leftChars="200"/>
        <w:rPr>
          <w:szCs w:val="21"/>
        </w:rPr>
      </w:pPr>
      <w:r>
        <w:rPr>
          <w:rFonts w:hint="eastAsia"/>
          <w:szCs w:val="21"/>
        </w:rPr>
        <w:t>－全面负责产品的售后服务工作，制定市场投诉和危机的处理程序和措施，正确对待顾客抱怨，及时进行成品回收；</w:t>
      </w:r>
    </w:p>
    <w:p>
      <w:pPr>
        <w:ind w:left="420" w:leftChars="200"/>
        <w:rPr>
          <w:szCs w:val="21"/>
        </w:rPr>
      </w:pPr>
      <w:r>
        <w:rPr>
          <w:rFonts w:hint="eastAsia"/>
          <w:szCs w:val="21"/>
        </w:rPr>
        <w:t>－负责顾客满意度调查分析及索赔和投诉的处理；</w:t>
      </w:r>
    </w:p>
    <w:p>
      <w:pPr>
        <w:ind w:left="420" w:leftChars="200"/>
        <w:rPr>
          <w:szCs w:val="21"/>
        </w:rPr>
      </w:pPr>
      <w:r>
        <w:rPr>
          <w:rFonts w:hint="eastAsia"/>
          <w:szCs w:val="21"/>
        </w:rPr>
        <w:t>－全面负责产品质量；</w:t>
      </w:r>
    </w:p>
    <w:p>
      <w:pPr>
        <w:ind w:left="420" w:leftChars="200"/>
        <w:rPr>
          <w:szCs w:val="21"/>
        </w:rPr>
      </w:pPr>
      <w:r>
        <w:rPr>
          <w:rFonts w:hint="eastAsia"/>
          <w:szCs w:val="21"/>
        </w:rPr>
        <w:t xml:space="preserve">－品质异常的处理及跟踪； </w:t>
      </w:r>
    </w:p>
    <w:p>
      <w:pPr>
        <w:ind w:left="420" w:leftChars="200"/>
        <w:rPr>
          <w:szCs w:val="21"/>
        </w:rPr>
      </w:pPr>
      <w:r>
        <w:rPr>
          <w:rFonts w:hint="eastAsia"/>
          <w:szCs w:val="21"/>
        </w:rPr>
        <w:t>－协助相关部门处理客诉及退货；</w:t>
      </w:r>
    </w:p>
    <w:p>
      <w:pPr>
        <w:ind w:left="420" w:leftChars="200"/>
        <w:rPr>
          <w:szCs w:val="21"/>
        </w:rPr>
      </w:pPr>
      <w:r>
        <w:rPr>
          <w:rFonts w:hint="eastAsia"/>
          <w:szCs w:val="21"/>
        </w:rPr>
        <w:t>－负责原、辅料的采购管理，保证所购原料、辅料、包装物料的质量；</w:t>
      </w:r>
    </w:p>
    <w:p>
      <w:pPr>
        <w:ind w:left="420" w:leftChars="200"/>
        <w:rPr>
          <w:szCs w:val="21"/>
        </w:rPr>
      </w:pPr>
      <w:r>
        <w:rPr>
          <w:rFonts w:hint="eastAsia"/>
          <w:szCs w:val="21"/>
        </w:rPr>
        <w:t>－保证采购产品质量，降低采购成本；</w:t>
      </w:r>
    </w:p>
    <w:p>
      <w:pPr>
        <w:ind w:left="420" w:leftChars="200"/>
        <w:rPr>
          <w:szCs w:val="21"/>
        </w:rPr>
      </w:pPr>
      <w:r>
        <w:rPr>
          <w:rFonts w:hint="eastAsia"/>
          <w:szCs w:val="21"/>
        </w:rPr>
        <w:t>－负责采购物资的采购、搬运、贮存、防护和交付；</w:t>
      </w:r>
    </w:p>
    <w:p>
      <w:pPr>
        <w:ind w:left="420" w:leftChars="200"/>
        <w:rPr>
          <w:szCs w:val="21"/>
        </w:rPr>
      </w:pPr>
      <w:r>
        <w:rPr>
          <w:rFonts w:hint="eastAsia"/>
          <w:szCs w:val="21"/>
        </w:rPr>
        <w:t>－供方调查、评价和选择，及供方业绩记录；</w:t>
      </w:r>
    </w:p>
    <w:p>
      <w:pPr>
        <w:ind w:left="420" w:leftChars="200"/>
        <w:rPr>
          <w:szCs w:val="21"/>
        </w:rPr>
      </w:pPr>
      <w:r>
        <w:rPr>
          <w:rFonts w:hint="eastAsia"/>
          <w:szCs w:val="21"/>
        </w:rPr>
        <w:t>－合格供方名录的建立及更新。</w:t>
      </w:r>
    </w:p>
    <w:p>
      <w:pPr>
        <w:ind w:left="420" w:leftChars="200"/>
        <w:rPr>
          <w:szCs w:val="21"/>
        </w:rPr>
      </w:pPr>
      <w:r>
        <w:rPr>
          <w:rFonts w:hint="eastAsia"/>
          <w:szCs w:val="21"/>
        </w:rPr>
        <w:t>－严格按照ISO9001:2015，ISO14001:2015，ISO45001-2018标准质量/环境/职业健康安全管理体系程序组织、监督、管理公司的采购流程，制定采购策略，统筹公司</w:t>
      </w:r>
      <w:r>
        <w:rPr>
          <w:rFonts w:hint="eastAsia"/>
          <w:szCs w:val="21"/>
          <w:lang w:eastAsia="zh-CN"/>
        </w:rPr>
        <w:t>技术部</w:t>
      </w:r>
      <w:r>
        <w:rPr>
          <w:rFonts w:hint="eastAsia"/>
          <w:szCs w:val="21"/>
        </w:rPr>
        <w:t>采购、环境、职业健康安全管理。</w:t>
      </w:r>
    </w:p>
    <w:p>
      <w:pPr>
        <w:ind w:left="420" w:leftChars="200" w:firstLine="105" w:firstLineChars="50"/>
        <w:rPr>
          <w:rFonts w:hint="eastAsia" w:eastAsia="宋体"/>
          <w:szCs w:val="21"/>
          <w:lang w:eastAsia="zh-CN"/>
        </w:rPr>
      </w:pPr>
      <w:r>
        <w:rPr>
          <w:rFonts w:hint="eastAsia"/>
          <w:szCs w:val="21"/>
          <w:lang w:eastAsia="zh-CN"/>
        </w:rPr>
        <w:t>技术部</w:t>
      </w:r>
    </w:p>
    <w:p>
      <w:pPr>
        <w:ind w:left="420" w:leftChars="200"/>
        <w:rPr>
          <w:szCs w:val="21"/>
        </w:rPr>
      </w:pPr>
      <w:r>
        <w:rPr>
          <w:rFonts w:hint="eastAsia"/>
          <w:szCs w:val="21"/>
        </w:rPr>
        <w:t>a)</w:t>
      </w:r>
      <w:r>
        <w:rPr>
          <w:rFonts w:hint="eastAsia"/>
          <w:szCs w:val="21"/>
        </w:rPr>
        <w:tab/>
      </w:r>
      <w:r>
        <w:rPr>
          <w:rFonts w:hint="eastAsia"/>
          <w:szCs w:val="21"/>
        </w:rPr>
        <w:t>严格执行</w:t>
      </w:r>
      <w:r>
        <w:rPr>
          <w:rFonts w:hint="eastAsia"/>
          <w:szCs w:val="21"/>
          <w:lang w:val="en-US" w:eastAsia="zh-CN"/>
        </w:rPr>
        <w:t>公司</w:t>
      </w:r>
      <w:r>
        <w:rPr>
          <w:rFonts w:hint="eastAsia"/>
          <w:szCs w:val="21"/>
        </w:rPr>
        <w:t>运行规程、工作票等制度。建立健全有关制度和各种技术档案、记录、台帐等有关资料</w:t>
      </w:r>
    </w:p>
    <w:p>
      <w:pPr>
        <w:ind w:left="420" w:leftChars="200"/>
        <w:rPr>
          <w:szCs w:val="21"/>
        </w:rPr>
      </w:pPr>
      <w:r>
        <w:rPr>
          <w:rFonts w:hint="eastAsia"/>
          <w:szCs w:val="21"/>
        </w:rPr>
        <w:t>b)</w:t>
      </w:r>
      <w:r>
        <w:rPr>
          <w:rFonts w:hint="eastAsia"/>
          <w:szCs w:val="21"/>
        </w:rPr>
        <w:tab/>
      </w:r>
      <w:r>
        <w:rPr>
          <w:rFonts w:hint="eastAsia"/>
          <w:szCs w:val="21"/>
        </w:rPr>
        <w:t>负责完成售后服务计划、工作任务和各项经济指标</w:t>
      </w:r>
    </w:p>
    <w:p>
      <w:pPr>
        <w:ind w:left="420" w:leftChars="200"/>
        <w:rPr>
          <w:szCs w:val="21"/>
        </w:rPr>
      </w:pPr>
      <w:r>
        <w:rPr>
          <w:rFonts w:hint="eastAsia"/>
          <w:szCs w:val="21"/>
        </w:rPr>
        <w:t>c)</w:t>
      </w:r>
      <w:r>
        <w:rPr>
          <w:rFonts w:hint="eastAsia"/>
          <w:szCs w:val="21"/>
        </w:rPr>
        <w:tab/>
      </w:r>
      <w:r>
        <w:rPr>
          <w:rFonts w:hint="eastAsia"/>
          <w:szCs w:val="21"/>
        </w:rPr>
        <w:t>负责售后服务运行统计分析，定期召开售后服务指标分析会，及时提交售后服务分析报告</w:t>
      </w:r>
    </w:p>
    <w:p>
      <w:pPr>
        <w:ind w:left="420" w:leftChars="200"/>
        <w:rPr>
          <w:rFonts w:hint="eastAsia"/>
          <w:szCs w:val="21"/>
        </w:rPr>
      </w:pPr>
      <w:r>
        <w:rPr>
          <w:rFonts w:hint="eastAsia"/>
          <w:szCs w:val="21"/>
        </w:rPr>
        <w:t>d)</w:t>
      </w:r>
      <w:r>
        <w:rPr>
          <w:rFonts w:hint="eastAsia"/>
          <w:szCs w:val="21"/>
        </w:rPr>
        <w:tab/>
      </w:r>
      <w:r>
        <w:rPr>
          <w:rFonts w:hint="eastAsia"/>
          <w:szCs w:val="21"/>
        </w:rPr>
        <w:t>负责抓好安全售后服务教育，落实各项安全措施，确保公司财产和人身安全</w:t>
      </w:r>
    </w:p>
    <w:p>
      <w:pPr>
        <w:ind w:left="420" w:leftChars="200"/>
        <w:rPr>
          <w:rFonts w:hint="default" w:eastAsia="宋体"/>
          <w:szCs w:val="21"/>
          <w:lang w:val="en-US" w:eastAsia="zh-CN"/>
        </w:rPr>
      </w:pPr>
      <w:r>
        <w:rPr>
          <w:rFonts w:hint="eastAsia"/>
          <w:szCs w:val="21"/>
          <w:lang w:val="en-US" w:eastAsia="zh-CN"/>
        </w:rPr>
        <w:t>e） 负责公司计算机软件的研发工作，计算机系统集成工作</w:t>
      </w:r>
    </w:p>
    <w:p>
      <w:pPr>
        <w:ind w:left="420" w:leftChars="200"/>
        <w:rPr>
          <w:rFonts w:hint="eastAsia"/>
          <w:szCs w:val="21"/>
        </w:rPr>
      </w:pPr>
      <w:r>
        <w:rPr>
          <w:rFonts w:hint="eastAsia"/>
          <w:szCs w:val="21"/>
        </w:rPr>
        <w:t>财务部：</w:t>
      </w:r>
    </w:p>
    <w:p>
      <w:pPr>
        <w:ind w:left="420" w:leftChars="200" w:firstLine="420" w:firstLineChars="200"/>
        <w:rPr>
          <w:szCs w:val="21"/>
        </w:rPr>
      </w:pPr>
      <w:r>
        <w:rPr>
          <w:rFonts w:hint="eastAsia"/>
          <w:szCs w:val="21"/>
        </w:rPr>
        <w:t>起草公司的财务预算，检查预算执行情况，负责公司财务分析工作，负责往来帐、银行帐的对帐工作，负责职工工资发放，税费代缴，负责的帐务处理，参与财务决算，编制会计报表，负责公司会计核算的日常稽核工作，监督日常财务制度执行，保管财务票据，管理会计档案，检查监督子公司的会计核算工作。</w:t>
      </w:r>
    </w:p>
    <w:p>
      <w:pPr>
        <w:ind w:left="420" w:leftChars="200"/>
        <w:rPr>
          <w:szCs w:val="21"/>
        </w:rPr>
      </w:pPr>
      <w:r>
        <w:rPr>
          <w:rFonts w:hint="eastAsia"/>
          <w:szCs w:val="21"/>
        </w:rPr>
        <w:tab/>
      </w:r>
      <w:r>
        <w:rPr>
          <w:rFonts w:hint="eastAsia"/>
          <w:szCs w:val="21"/>
        </w:rPr>
        <w:t>职业健康安全事务代表</w:t>
      </w:r>
    </w:p>
    <w:p>
      <w:pPr>
        <w:ind w:left="420" w:leftChars="200"/>
        <w:rPr>
          <w:szCs w:val="21"/>
        </w:rPr>
      </w:pPr>
      <w:r>
        <w:rPr>
          <w:rFonts w:hint="eastAsia"/>
          <w:szCs w:val="21"/>
        </w:rPr>
        <w:t>a)</w:t>
      </w:r>
      <w:r>
        <w:rPr>
          <w:rFonts w:hint="eastAsia"/>
          <w:szCs w:val="21"/>
        </w:rPr>
        <w:tab/>
      </w:r>
      <w:r>
        <w:rPr>
          <w:rFonts w:hint="eastAsia"/>
          <w:szCs w:val="21"/>
        </w:rPr>
        <w:t>代表全厂员工参与危险源辨识、风险评价和风险控制等的策划。</w:t>
      </w:r>
    </w:p>
    <w:p>
      <w:pPr>
        <w:ind w:left="420" w:leftChars="200"/>
        <w:rPr>
          <w:szCs w:val="21"/>
        </w:rPr>
      </w:pPr>
      <w:r>
        <w:rPr>
          <w:rFonts w:hint="eastAsia"/>
          <w:szCs w:val="21"/>
        </w:rPr>
        <w:t>b)</w:t>
      </w:r>
      <w:r>
        <w:rPr>
          <w:rFonts w:hint="eastAsia"/>
          <w:szCs w:val="21"/>
        </w:rPr>
        <w:tab/>
      </w:r>
      <w:r>
        <w:rPr>
          <w:rFonts w:hint="eastAsia"/>
          <w:szCs w:val="21"/>
        </w:rPr>
        <w:t>参与本公司职业健康安全方针、目标及管理方案的讨论、制定和评审。</w:t>
      </w:r>
    </w:p>
    <w:p>
      <w:pPr>
        <w:ind w:left="420" w:leftChars="200"/>
        <w:rPr>
          <w:szCs w:val="21"/>
        </w:rPr>
      </w:pPr>
      <w:r>
        <w:rPr>
          <w:rFonts w:hint="eastAsia"/>
          <w:szCs w:val="21"/>
        </w:rPr>
        <w:t>c)</w:t>
      </w:r>
      <w:r>
        <w:rPr>
          <w:rFonts w:hint="eastAsia"/>
          <w:szCs w:val="21"/>
        </w:rPr>
        <w:tab/>
      </w:r>
      <w:r>
        <w:rPr>
          <w:rFonts w:hint="eastAsia"/>
          <w:szCs w:val="21"/>
        </w:rPr>
        <w:t>就职业病预防、风险危害预防的职工个体防护方面，影响工作场所职业健康安全的任何变化，提出建议和要求。</w:t>
      </w:r>
    </w:p>
    <w:p>
      <w:pPr>
        <w:ind w:left="420" w:leftChars="200"/>
        <w:rPr>
          <w:szCs w:val="21"/>
        </w:rPr>
      </w:pPr>
      <w:r>
        <w:rPr>
          <w:rFonts w:hint="eastAsia"/>
          <w:szCs w:val="21"/>
        </w:rPr>
        <w:t>d)</w:t>
      </w:r>
      <w:r>
        <w:rPr>
          <w:rFonts w:hint="eastAsia"/>
          <w:szCs w:val="21"/>
        </w:rPr>
        <w:tab/>
      </w:r>
      <w:r>
        <w:rPr>
          <w:rFonts w:hint="eastAsia"/>
          <w:szCs w:val="21"/>
        </w:rPr>
        <w:t>参与职业健康安全事务。</w:t>
      </w:r>
    </w:p>
    <w:p>
      <w:pPr>
        <w:ind w:left="420" w:leftChars="200"/>
        <w:rPr>
          <w:szCs w:val="21"/>
        </w:rPr>
      </w:pPr>
      <w:r>
        <w:rPr>
          <w:rFonts w:hint="eastAsia"/>
          <w:szCs w:val="21"/>
        </w:rPr>
        <w:t>e)</w:t>
      </w:r>
      <w:r>
        <w:rPr>
          <w:rFonts w:hint="eastAsia"/>
          <w:szCs w:val="21"/>
        </w:rPr>
        <w:tab/>
      </w:r>
      <w:r>
        <w:rPr>
          <w:rFonts w:hint="eastAsia"/>
          <w:szCs w:val="21"/>
        </w:rPr>
        <w:t>代表员工与领导层进行沟通，在职业健康安全防治方面负有宣传、释疑和监督各项活动落实之责。负责组织员工开展遵章守纪和预防事故的群众性活动。关心员工职业健康安全条件的改善，加强女工保护，并做好伤亡事故的善后处理工作。</w:t>
      </w:r>
    </w:p>
    <w:p>
      <w:pPr>
        <w:ind w:left="420" w:leftChars="200"/>
        <w:rPr>
          <w:szCs w:val="21"/>
        </w:rPr>
      </w:pPr>
      <w:r>
        <w:rPr>
          <w:rFonts w:hint="eastAsia"/>
          <w:szCs w:val="21"/>
        </w:rPr>
        <w:t>f)</w:t>
      </w:r>
      <w:r>
        <w:rPr>
          <w:rFonts w:hint="eastAsia"/>
          <w:szCs w:val="21"/>
        </w:rPr>
        <w:tab/>
      </w:r>
      <w:r>
        <w:rPr>
          <w:rFonts w:hint="eastAsia"/>
          <w:szCs w:val="21"/>
        </w:rPr>
        <w:t>代表员工参与职业健康安全的有关管理工作，汇集、报告员工的意见和建议，并与相关部门协商解决或上报，确保充分发挥员工在环境保护、安全生产中的作用。</w:t>
      </w:r>
    </w:p>
    <w:p>
      <w:pPr>
        <w:ind w:firstLine="310" w:firstLineChars="147"/>
        <w:rPr>
          <w:szCs w:val="21"/>
        </w:rPr>
      </w:pPr>
      <w:r>
        <w:rPr>
          <w:rFonts w:hint="eastAsia"/>
          <w:b/>
          <w:szCs w:val="21"/>
        </w:rPr>
        <w:t>5.4 参与和协商</w:t>
      </w:r>
    </w:p>
    <w:p>
      <w:pPr>
        <w:ind w:left="574" w:leftChars="270" w:hanging="7"/>
        <w:rPr>
          <w:szCs w:val="21"/>
        </w:rPr>
      </w:pPr>
      <w:r>
        <w:rPr>
          <w:rFonts w:hint="eastAsia"/>
          <w:szCs w:val="21"/>
        </w:rPr>
        <w:t>各层管理者应建立、实施和保持一个或多个程序，由所有相关层次和职能部门的员工和员工代表（如有）参与（包括协商）建立、策划、实施、评价和改进职业健康安全管理体系。</w:t>
      </w:r>
    </w:p>
    <w:p>
      <w:pPr>
        <w:ind w:firstLine="560"/>
        <w:rPr>
          <w:szCs w:val="21"/>
        </w:rPr>
      </w:pPr>
      <w:r>
        <w:rPr>
          <w:rFonts w:hint="eastAsia"/>
          <w:szCs w:val="21"/>
        </w:rPr>
        <w:t>组织应：</w:t>
      </w:r>
    </w:p>
    <w:p>
      <w:pPr>
        <w:ind w:firstLine="560"/>
        <w:rPr>
          <w:szCs w:val="21"/>
        </w:rPr>
      </w:pPr>
      <w:r>
        <w:rPr>
          <w:rFonts w:hint="eastAsia"/>
          <w:szCs w:val="21"/>
        </w:rPr>
        <w:t>a) 提供参与所需的机制、时间、培训和资源；</w:t>
      </w:r>
    </w:p>
    <w:p>
      <w:pPr>
        <w:ind w:firstLine="560"/>
        <w:rPr>
          <w:szCs w:val="21"/>
        </w:rPr>
      </w:pPr>
      <w:r>
        <w:rPr>
          <w:rFonts w:hint="eastAsia"/>
          <w:szCs w:val="21"/>
        </w:rPr>
        <w:t>b) 及时提供有关职业健康安全管理体系的清晰的、可理解的和相关的信息；</w:t>
      </w:r>
    </w:p>
    <w:p>
      <w:pPr>
        <w:ind w:firstLine="560"/>
        <w:rPr>
          <w:szCs w:val="21"/>
        </w:rPr>
      </w:pPr>
      <w:r>
        <w:rPr>
          <w:rFonts w:hint="eastAsia"/>
          <w:szCs w:val="21"/>
        </w:rPr>
        <w:t>c) 识别和消除妨碍参与的障碍或障碍物并最大限度地降低那些无法消除的；</w:t>
      </w:r>
    </w:p>
    <w:p>
      <w:pPr>
        <w:ind w:left="574" w:leftChars="270" w:hanging="7"/>
        <w:rPr>
          <w:szCs w:val="21"/>
        </w:rPr>
      </w:pPr>
      <w:r>
        <w:rPr>
          <w:rFonts w:hint="eastAsia"/>
          <w:szCs w:val="21"/>
        </w:rPr>
        <w:t>注1: 障碍和障碍物可能包括没有对员工的输入或建议作出回应，语言或读写障碍，报复或报复的威胁以及使员工丧失参与信心的或妨碍员工参与的方针或做法。</w:t>
      </w:r>
    </w:p>
    <w:p>
      <w:pPr>
        <w:ind w:firstLine="560"/>
        <w:rPr>
          <w:szCs w:val="21"/>
        </w:rPr>
      </w:pPr>
      <w:r>
        <w:rPr>
          <w:rFonts w:hint="eastAsia"/>
          <w:szCs w:val="21"/>
        </w:rPr>
        <w:t>d) 特别强调非管理类员工参与下述活动：</w:t>
      </w:r>
    </w:p>
    <w:p>
      <w:pPr>
        <w:ind w:firstLine="560"/>
        <w:rPr>
          <w:szCs w:val="21"/>
        </w:rPr>
      </w:pPr>
      <w:r>
        <w:rPr>
          <w:rFonts w:hint="eastAsia"/>
          <w:szCs w:val="21"/>
        </w:rPr>
        <w:t>1) 确定他们参与和协商的机制；</w:t>
      </w:r>
    </w:p>
    <w:p>
      <w:pPr>
        <w:ind w:firstLine="560"/>
        <w:rPr>
          <w:szCs w:val="21"/>
        </w:rPr>
      </w:pPr>
      <w:r>
        <w:rPr>
          <w:rFonts w:hint="eastAsia"/>
          <w:szCs w:val="21"/>
        </w:rPr>
        <w:t>2) 危险源辨识和风险评价（见6.1,6.1.1和6.1.2）；</w:t>
      </w:r>
    </w:p>
    <w:p>
      <w:pPr>
        <w:ind w:firstLine="560"/>
        <w:rPr>
          <w:szCs w:val="21"/>
        </w:rPr>
      </w:pPr>
      <w:r>
        <w:rPr>
          <w:rFonts w:hint="eastAsia"/>
          <w:szCs w:val="21"/>
        </w:rPr>
        <w:t>3) 控制危险源和风险（见6.1.4） 的措施；</w:t>
      </w:r>
    </w:p>
    <w:p>
      <w:pPr>
        <w:ind w:firstLine="560"/>
        <w:rPr>
          <w:szCs w:val="21"/>
        </w:rPr>
      </w:pPr>
      <w:r>
        <w:rPr>
          <w:rFonts w:hint="eastAsia"/>
          <w:szCs w:val="21"/>
        </w:rPr>
        <w:t>4) 识别能力、培训和培训评价的需求（见7.2）;</w:t>
      </w:r>
    </w:p>
    <w:p>
      <w:pPr>
        <w:ind w:firstLine="560"/>
        <w:rPr>
          <w:szCs w:val="21"/>
        </w:rPr>
      </w:pPr>
      <w:r>
        <w:rPr>
          <w:rFonts w:hint="eastAsia"/>
          <w:szCs w:val="21"/>
        </w:rPr>
        <w:t>5) 确定需要沟通的信息以及如何沟通（见7.4）；</w:t>
      </w:r>
    </w:p>
    <w:p>
      <w:pPr>
        <w:ind w:firstLine="560"/>
        <w:rPr>
          <w:szCs w:val="21"/>
        </w:rPr>
      </w:pPr>
      <w:r>
        <w:rPr>
          <w:rFonts w:hint="eastAsia"/>
          <w:szCs w:val="21"/>
        </w:rPr>
        <w:t>6) 确定控制措施及其有效应用（见8.1，8.2和8.6）；</w:t>
      </w:r>
    </w:p>
    <w:p>
      <w:pPr>
        <w:ind w:firstLine="560"/>
        <w:rPr>
          <w:szCs w:val="21"/>
        </w:rPr>
      </w:pPr>
      <w:r>
        <w:rPr>
          <w:rFonts w:hint="eastAsia"/>
          <w:szCs w:val="21"/>
        </w:rPr>
        <w:t>7) 调查事件和不符合并确定纠正措施（见10.1）；</w:t>
      </w:r>
    </w:p>
    <w:p>
      <w:pPr>
        <w:ind w:firstLine="560"/>
        <w:rPr>
          <w:szCs w:val="21"/>
        </w:rPr>
      </w:pPr>
      <w:r>
        <w:rPr>
          <w:rFonts w:hint="eastAsia"/>
          <w:szCs w:val="21"/>
        </w:rPr>
        <w:t>e) 特别强调非管理类员工参与协商下述活动：</w:t>
      </w:r>
    </w:p>
    <w:p>
      <w:pPr>
        <w:ind w:firstLine="560"/>
        <w:rPr>
          <w:szCs w:val="21"/>
        </w:rPr>
      </w:pPr>
      <w:r>
        <w:rPr>
          <w:rFonts w:hint="eastAsia"/>
          <w:szCs w:val="21"/>
        </w:rPr>
        <w:t>1) 确定相关方的需求和期望（见4.2）；</w:t>
      </w:r>
    </w:p>
    <w:p>
      <w:pPr>
        <w:ind w:firstLine="560"/>
        <w:rPr>
          <w:szCs w:val="21"/>
        </w:rPr>
      </w:pPr>
      <w:r>
        <w:rPr>
          <w:rFonts w:hint="eastAsia"/>
          <w:szCs w:val="21"/>
        </w:rPr>
        <w:t>2) 制定方针（见5.2）；</w:t>
      </w:r>
    </w:p>
    <w:p>
      <w:pPr>
        <w:ind w:firstLine="560"/>
        <w:rPr>
          <w:szCs w:val="21"/>
        </w:rPr>
      </w:pPr>
      <w:r>
        <w:rPr>
          <w:rFonts w:hint="eastAsia"/>
          <w:szCs w:val="21"/>
        </w:rPr>
        <w:t>3) 适用时分配组织的岗位、职责、责任和权限（见5.3）；</w:t>
      </w:r>
    </w:p>
    <w:p>
      <w:pPr>
        <w:ind w:firstLine="560"/>
        <w:rPr>
          <w:szCs w:val="21"/>
        </w:rPr>
      </w:pPr>
      <w:r>
        <w:rPr>
          <w:rFonts w:hint="eastAsia"/>
          <w:szCs w:val="21"/>
        </w:rPr>
        <w:t>4) 确定如何应用法律法规要求和其他要求（见6.1.3）；</w:t>
      </w:r>
    </w:p>
    <w:p>
      <w:pPr>
        <w:ind w:firstLine="560"/>
        <w:rPr>
          <w:szCs w:val="21"/>
        </w:rPr>
      </w:pPr>
      <w:r>
        <w:rPr>
          <w:rFonts w:hint="eastAsia"/>
          <w:szCs w:val="21"/>
        </w:rPr>
        <w:t>5) 制定职业健康安全目标（见6.2.1）；</w:t>
      </w:r>
    </w:p>
    <w:p>
      <w:pPr>
        <w:ind w:firstLine="560"/>
        <w:rPr>
          <w:szCs w:val="21"/>
        </w:rPr>
      </w:pPr>
      <w:r>
        <w:rPr>
          <w:rFonts w:hint="eastAsia"/>
          <w:szCs w:val="21"/>
        </w:rPr>
        <w:t>6) 确定外包、采购和分包商的适用的控制方法（见8.3,8.4和8.5）;</w:t>
      </w:r>
    </w:p>
    <w:p>
      <w:pPr>
        <w:ind w:firstLine="560"/>
        <w:rPr>
          <w:szCs w:val="21"/>
        </w:rPr>
      </w:pPr>
      <w:r>
        <w:rPr>
          <w:rFonts w:hint="eastAsia"/>
          <w:szCs w:val="21"/>
        </w:rPr>
        <w:t>7) 确定哪些需要监视、测量和评价；（见9.1.1）;</w:t>
      </w:r>
    </w:p>
    <w:p>
      <w:pPr>
        <w:ind w:firstLine="560"/>
        <w:rPr>
          <w:szCs w:val="21"/>
        </w:rPr>
      </w:pPr>
      <w:r>
        <w:rPr>
          <w:rFonts w:hint="eastAsia"/>
          <w:szCs w:val="21"/>
        </w:rPr>
        <w:t>8) 策划、建立、实施并保持一个或多个审核方案（见9.2.2）；</w:t>
      </w:r>
    </w:p>
    <w:p>
      <w:pPr>
        <w:ind w:firstLine="560"/>
        <w:rPr>
          <w:szCs w:val="21"/>
        </w:rPr>
      </w:pPr>
      <w:r>
        <w:rPr>
          <w:rFonts w:hint="eastAsia"/>
          <w:szCs w:val="21"/>
        </w:rPr>
        <w:t>9) 建立一个或多个持续改进过程（见10.2.2)。</w:t>
      </w:r>
    </w:p>
    <w:p>
      <w:pPr>
        <w:ind w:firstLine="413" w:firstLineChars="196"/>
        <w:rPr>
          <w:b/>
          <w:szCs w:val="21"/>
        </w:rPr>
      </w:pPr>
      <w:r>
        <w:rPr>
          <w:b/>
          <w:szCs w:val="21"/>
        </w:rPr>
        <w:t>6策划</w:t>
      </w:r>
    </w:p>
    <w:p>
      <w:pPr>
        <w:ind w:firstLine="411" w:firstLineChars="195"/>
        <w:rPr>
          <w:b/>
          <w:szCs w:val="21"/>
        </w:rPr>
      </w:pPr>
      <w:r>
        <w:rPr>
          <w:b/>
          <w:szCs w:val="21"/>
        </w:rPr>
        <w:t>6.1风险和机遇的应对措施（M1）</w:t>
      </w:r>
    </w:p>
    <w:p>
      <w:pPr>
        <w:ind w:left="420" w:leftChars="200"/>
        <w:rPr>
          <w:szCs w:val="21"/>
        </w:rPr>
      </w:pPr>
      <w:r>
        <w:rPr>
          <w:szCs w:val="21"/>
        </w:rPr>
        <w:t>6.1.1策划质量/环境/安全管理体系时，公司考虑总体战略要求、过程方法的使用、相关方和法规的要求，确定需应对的风险和机遇，以便：</w:t>
      </w:r>
    </w:p>
    <w:p>
      <w:pPr>
        <w:ind w:firstLine="420" w:firstLineChars="200"/>
        <w:rPr>
          <w:szCs w:val="21"/>
        </w:rPr>
      </w:pPr>
      <w:r>
        <w:rPr>
          <w:szCs w:val="21"/>
        </w:rPr>
        <w:t>a)确保质量/环境/安全管理体系实现期望的结果；</w:t>
      </w:r>
    </w:p>
    <w:p>
      <w:pPr>
        <w:ind w:firstLine="420" w:firstLineChars="200"/>
        <w:rPr>
          <w:szCs w:val="21"/>
        </w:rPr>
      </w:pPr>
      <w:r>
        <w:rPr>
          <w:szCs w:val="21"/>
        </w:rPr>
        <w:t>b)确保公司能稳定地实现产品、服务符合要求和顾客满意；</w:t>
      </w:r>
    </w:p>
    <w:p>
      <w:pPr>
        <w:ind w:firstLine="420" w:firstLineChars="200"/>
        <w:rPr>
          <w:szCs w:val="21"/>
        </w:rPr>
      </w:pPr>
      <w:r>
        <w:rPr>
          <w:szCs w:val="21"/>
        </w:rPr>
        <w:t>c)预防或减少非预期的影响；</w:t>
      </w:r>
    </w:p>
    <w:p>
      <w:pPr>
        <w:ind w:firstLine="420" w:firstLineChars="200"/>
        <w:rPr>
          <w:szCs w:val="21"/>
        </w:rPr>
      </w:pPr>
      <w:r>
        <w:rPr>
          <w:szCs w:val="21"/>
        </w:rPr>
        <w:t>d)实现持续改进；</w:t>
      </w:r>
    </w:p>
    <w:p>
      <w:pPr>
        <w:ind w:firstLine="420" w:firstLineChars="200"/>
        <w:rPr>
          <w:szCs w:val="21"/>
        </w:rPr>
      </w:pPr>
      <w:r>
        <w:rPr>
          <w:szCs w:val="21"/>
        </w:rPr>
        <w:t>e)增强有利因素。</w:t>
      </w:r>
    </w:p>
    <w:p>
      <w:pPr>
        <w:ind w:left="420" w:leftChars="200"/>
        <w:rPr>
          <w:szCs w:val="21"/>
        </w:rPr>
      </w:pPr>
      <w:r>
        <w:rPr>
          <w:szCs w:val="21"/>
        </w:rPr>
        <w:t>公司建立《</w:t>
      </w:r>
      <w:r>
        <w:t>风险和机遇管理制度</w:t>
      </w:r>
      <w:r>
        <w:rPr>
          <w:szCs w:val="21"/>
        </w:rPr>
        <w:t>》，定期开展内外部经营环境和市场分析，根据风险和机遇识别、分析的结果，制定与产品、服务的符合性和顾客满意的潜在影响相适应的应对措施，并在质量/环境/安全管理体系运行过程进行运用，当风险和机遇发生后要评价这些措施的有效性。</w:t>
      </w:r>
    </w:p>
    <w:p>
      <w:pPr>
        <w:ind w:firstLine="413" w:firstLineChars="196"/>
        <w:rPr>
          <w:b/>
          <w:szCs w:val="21"/>
        </w:rPr>
      </w:pPr>
      <w:r>
        <w:rPr>
          <w:b/>
          <w:szCs w:val="21"/>
        </w:rPr>
        <w:t>6.</w:t>
      </w:r>
      <w:r>
        <w:rPr>
          <w:rFonts w:hint="eastAsia"/>
          <w:b/>
          <w:szCs w:val="21"/>
        </w:rPr>
        <w:t>1.2</w:t>
      </w:r>
      <w:r>
        <w:rPr>
          <w:b/>
          <w:szCs w:val="21"/>
        </w:rPr>
        <w:t>环境因素/危险源</w:t>
      </w:r>
    </w:p>
    <w:p>
      <w:pPr>
        <w:snapToGrid w:val="0"/>
        <w:ind w:left="420" w:leftChars="200"/>
        <w:rPr>
          <w:rFonts w:eastAsiaTheme="minorEastAsia"/>
          <w:color w:val="000000"/>
          <w:szCs w:val="21"/>
        </w:rPr>
      </w:pPr>
      <w:r>
        <w:rPr>
          <w:rFonts w:eastAsiaTheme="minorEastAsia"/>
          <w:szCs w:val="21"/>
        </w:rPr>
        <w:t>6.1.</w:t>
      </w:r>
      <w:r>
        <w:rPr>
          <w:rFonts w:hint="eastAsia" w:eastAsiaTheme="minorEastAsia"/>
          <w:szCs w:val="21"/>
        </w:rPr>
        <w:t>7.1</w:t>
      </w:r>
      <w:r>
        <w:rPr>
          <w:rFonts w:eastAsiaTheme="minorEastAsia"/>
          <w:szCs w:val="21"/>
        </w:rPr>
        <w:t>公司</w:t>
      </w:r>
      <w:r>
        <w:rPr>
          <w:rFonts w:eastAsiaTheme="minorEastAsia"/>
          <w:color w:val="000000"/>
          <w:szCs w:val="21"/>
        </w:rPr>
        <w:t>建立并保持</w:t>
      </w:r>
      <w:r>
        <w:rPr>
          <w:rFonts w:hint="eastAsia" w:eastAsiaTheme="minorEastAsia"/>
          <w:color w:val="000000"/>
          <w:szCs w:val="21"/>
          <w:lang w:eastAsia="zh-CN"/>
        </w:rPr>
        <w:t>《危险源辨识、风险评价和风险控制程序》、《环境因素识别评价控制程序》</w:t>
      </w:r>
      <w:r>
        <w:rPr>
          <w:rFonts w:eastAsiaTheme="minorEastAsia"/>
          <w:color w:val="000000"/>
          <w:szCs w:val="21"/>
        </w:rPr>
        <w:t>，对公司各过程中环境因素/危险源进行识别并评价确定重要环境因素/危险源。</w:t>
      </w:r>
    </w:p>
    <w:p>
      <w:pPr>
        <w:snapToGrid w:val="0"/>
        <w:ind w:firstLine="420" w:firstLine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.2识别环境因素/危险源的范围必须覆盖公司产品实现过程中所有活动的各个方面。</w:t>
      </w:r>
    </w:p>
    <w:p>
      <w:pPr>
        <w:snapToGrid w:val="0"/>
        <w:ind w:left="420" w:left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7.1</w:t>
      </w:r>
      <w:r>
        <w:rPr>
          <w:rFonts w:eastAsiaTheme="minorEastAsia"/>
          <w:color w:val="000000"/>
          <w:szCs w:val="21"/>
        </w:rPr>
        <w:t>识别环境因素时应考虑过去、现在、将来三种时态及正常、异常、紧急三种状态和以下几种类型：</w:t>
      </w:r>
    </w:p>
    <w:p>
      <w:pPr>
        <w:snapToGrid w:val="0"/>
        <w:ind w:firstLine="525" w:firstLineChars="250"/>
        <w:rPr>
          <w:rFonts w:eastAsiaTheme="minorEastAsia"/>
          <w:color w:val="000000"/>
          <w:szCs w:val="21"/>
        </w:rPr>
      </w:pPr>
      <w:r>
        <w:rPr>
          <w:rFonts w:eastAsiaTheme="minorEastAsia"/>
          <w:color w:val="000000"/>
          <w:szCs w:val="21"/>
        </w:rPr>
        <w:t>a）向大气排放的污染物。</w:t>
      </w:r>
    </w:p>
    <w:p>
      <w:pPr>
        <w:snapToGrid w:val="0"/>
        <w:ind w:firstLine="525" w:firstLineChars="250"/>
        <w:rPr>
          <w:rFonts w:eastAsiaTheme="minorEastAsia"/>
          <w:color w:val="000000"/>
          <w:szCs w:val="21"/>
        </w:rPr>
      </w:pPr>
      <w:r>
        <w:rPr>
          <w:rFonts w:eastAsiaTheme="minorEastAsia"/>
          <w:color w:val="000000"/>
          <w:szCs w:val="21"/>
        </w:rPr>
        <w:t>b）向水体排放的污染物。</w:t>
      </w:r>
    </w:p>
    <w:p>
      <w:pPr>
        <w:snapToGrid w:val="0"/>
        <w:ind w:firstLine="525" w:firstLineChars="250"/>
        <w:rPr>
          <w:rFonts w:eastAsiaTheme="minorEastAsia"/>
          <w:color w:val="000000"/>
          <w:szCs w:val="21"/>
        </w:rPr>
      </w:pPr>
      <w:r>
        <w:rPr>
          <w:rFonts w:eastAsiaTheme="minorEastAsia"/>
          <w:color w:val="000000"/>
          <w:szCs w:val="21"/>
        </w:rPr>
        <w:t>c）固体废弃物污染。</w:t>
      </w:r>
    </w:p>
    <w:p>
      <w:pPr>
        <w:snapToGrid w:val="0"/>
        <w:ind w:firstLine="525" w:firstLineChars="250"/>
        <w:rPr>
          <w:rFonts w:eastAsiaTheme="minorEastAsia"/>
          <w:color w:val="000000"/>
          <w:szCs w:val="21"/>
        </w:rPr>
      </w:pPr>
      <w:r>
        <w:rPr>
          <w:rFonts w:eastAsiaTheme="minorEastAsia"/>
          <w:color w:val="000000"/>
          <w:szCs w:val="21"/>
        </w:rPr>
        <w:t>d）噪声对周围环境的影响。</w:t>
      </w:r>
    </w:p>
    <w:p>
      <w:pPr>
        <w:snapToGrid w:val="0"/>
        <w:ind w:firstLine="525" w:firstLineChars="250"/>
        <w:rPr>
          <w:rFonts w:eastAsiaTheme="minorEastAsia"/>
          <w:color w:val="000000"/>
          <w:szCs w:val="21"/>
        </w:rPr>
      </w:pPr>
      <w:r>
        <w:rPr>
          <w:rFonts w:eastAsiaTheme="minorEastAsia"/>
          <w:color w:val="000000"/>
          <w:szCs w:val="21"/>
        </w:rPr>
        <w:t>e）电、水、气、油等及原材料和自然资源使用对环境的影响。</w:t>
      </w:r>
    </w:p>
    <w:p>
      <w:pPr>
        <w:snapToGrid w:val="0"/>
        <w:ind w:firstLine="525" w:firstLineChars="250"/>
        <w:rPr>
          <w:rFonts w:eastAsiaTheme="minorEastAsia"/>
          <w:color w:val="000000"/>
          <w:szCs w:val="21"/>
        </w:rPr>
      </w:pPr>
      <w:r>
        <w:rPr>
          <w:rFonts w:eastAsiaTheme="minorEastAsia"/>
          <w:color w:val="000000"/>
          <w:szCs w:val="21"/>
        </w:rPr>
        <w:t>f）其他对周围居民生活的影响。</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2.2  对危险源的识别应注意下面方面：</w:t>
      </w:r>
    </w:p>
    <w:p>
      <w:pPr>
        <w:snapToGrid w:val="0"/>
        <w:ind w:firstLine="525" w:firstLineChars="250"/>
        <w:rPr>
          <w:rFonts w:eastAsiaTheme="minorEastAsia"/>
          <w:color w:val="000000"/>
          <w:szCs w:val="21"/>
        </w:rPr>
      </w:pPr>
      <w:r>
        <w:rPr>
          <w:rFonts w:hint="eastAsia" w:eastAsiaTheme="minorEastAsia"/>
          <w:color w:val="000000"/>
          <w:szCs w:val="21"/>
        </w:rPr>
        <w:t>——常规和非常规的活动；</w:t>
      </w:r>
    </w:p>
    <w:p>
      <w:pPr>
        <w:snapToGrid w:val="0"/>
        <w:ind w:firstLine="525" w:firstLineChars="250"/>
        <w:rPr>
          <w:rFonts w:eastAsiaTheme="minorEastAsia"/>
          <w:color w:val="000000"/>
          <w:szCs w:val="21"/>
        </w:rPr>
      </w:pPr>
      <w:r>
        <w:rPr>
          <w:rFonts w:hint="eastAsia" w:eastAsiaTheme="minorEastAsia"/>
          <w:color w:val="000000"/>
          <w:szCs w:val="21"/>
        </w:rPr>
        <w:t>——所有进入工作场所的人员（包括合同方人员和访问者）的活动；</w:t>
      </w:r>
    </w:p>
    <w:p>
      <w:pPr>
        <w:snapToGrid w:val="0"/>
        <w:ind w:firstLine="525" w:firstLineChars="250"/>
        <w:rPr>
          <w:rFonts w:eastAsiaTheme="minorEastAsia"/>
          <w:color w:val="000000"/>
          <w:szCs w:val="21"/>
        </w:rPr>
      </w:pPr>
      <w:r>
        <w:rPr>
          <w:rFonts w:hint="eastAsia" w:eastAsiaTheme="minorEastAsia"/>
          <w:color w:val="000000"/>
          <w:szCs w:val="21"/>
        </w:rPr>
        <w:t>——人员的活动、能力及其他的认为因素；</w:t>
      </w:r>
    </w:p>
    <w:p>
      <w:pPr>
        <w:snapToGrid w:val="0"/>
        <w:ind w:firstLine="525" w:firstLineChars="250"/>
        <w:rPr>
          <w:rFonts w:eastAsiaTheme="minorEastAsia"/>
          <w:color w:val="000000"/>
          <w:szCs w:val="21"/>
        </w:rPr>
      </w:pPr>
      <w:r>
        <w:rPr>
          <w:rFonts w:hint="eastAsia" w:eastAsiaTheme="minorEastAsia"/>
          <w:color w:val="000000"/>
          <w:szCs w:val="21"/>
        </w:rPr>
        <w:t>——工作场所之外的危害，但其有可能影响组织控制之下的工作场所范围内人员的健康安全；</w:t>
      </w:r>
    </w:p>
    <w:p>
      <w:pPr>
        <w:snapToGrid w:val="0"/>
        <w:ind w:firstLine="525" w:firstLineChars="250"/>
        <w:rPr>
          <w:rFonts w:eastAsiaTheme="minorEastAsia"/>
          <w:color w:val="000000"/>
          <w:szCs w:val="21"/>
        </w:rPr>
      </w:pPr>
      <w:r>
        <w:rPr>
          <w:rFonts w:hint="eastAsia" w:eastAsiaTheme="minorEastAsia"/>
          <w:color w:val="000000"/>
          <w:szCs w:val="21"/>
        </w:rPr>
        <w:t>——在组织控制之下，因工作相关的活动而造成工作场所周围的危害；</w:t>
      </w:r>
    </w:p>
    <w:p>
      <w:pPr>
        <w:snapToGrid w:val="0"/>
        <w:ind w:firstLine="525" w:firstLineChars="250"/>
        <w:rPr>
          <w:rFonts w:eastAsiaTheme="minorEastAsia"/>
          <w:color w:val="000000"/>
          <w:szCs w:val="21"/>
        </w:rPr>
      </w:pPr>
      <w:r>
        <w:rPr>
          <w:rFonts w:hint="eastAsia" w:eastAsiaTheme="minorEastAsia"/>
          <w:color w:val="000000"/>
          <w:szCs w:val="21"/>
        </w:rPr>
        <w:t>——工作场所的设施、设备及物料；</w:t>
      </w:r>
    </w:p>
    <w:p>
      <w:pPr>
        <w:snapToGrid w:val="0"/>
        <w:ind w:firstLine="525" w:firstLineChars="250"/>
        <w:rPr>
          <w:rFonts w:eastAsiaTheme="minorEastAsia"/>
          <w:color w:val="000000"/>
          <w:szCs w:val="21"/>
        </w:rPr>
      </w:pPr>
      <w:r>
        <w:rPr>
          <w:rFonts w:hint="eastAsia" w:eastAsiaTheme="minorEastAsia"/>
          <w:color w:val="000000"/>
          <w:szCs w:val="21"/>
        </w:rPr>
        <w:t>——在组织或其活动、物料方面，所做的改变或提出的改变；</w:t>
      </w:r>
    </w:p>
    <w:p>
      <w:pPr>
        <w:snapToGrid w:val="0"/>
        <w:ind w:firstLine="525" w:firstLineChars="250"/>
        <w:rPr>
          <w:rFonts w:eastAsiaTheme="minorEastAsia"/>
          <w:color w:val="000000"/>
          <w:szCs w:val="21"/>
        </w:rPr>
      </w:pPr>
      <w:r>
        <w:rPr>
          <w:rFonts w:hint="eastAsia" w:eastAsiaTheme="minorEastAsia"/>
          <w:color w:val="000000"/>
          <w:szCs w:val="21"/>
        </w:rPr>
        <w:t>——健康安全管理系统的改变，包括暂时性的改变和其在操作、过程以及活动的影响；</w:t>
      </w:r>
    </w:p>
    <w:p>
      <w:pPr>
        <w:snapToGrid w:val="0"/>
        <w:ind w:firstLine="525" w:firstLineChars="250"/>
        <w:rPr>
          <w:rFonts w:eastAsiaTheme="minorEastAsia"/>
          <w:color w:val="000000"/>
          <w:szCs w:val="21"/>
        </w:rPr>
      </w:pPr>
      <w:r>
        <w:rPr>
          <w:rFonts w:hint="eastAsia" w:eastAsiaTheme="minorEastAsia"/>
          <w:color w:val="000000"/>
          <w:szCs w:val="21"/>
        </w:rPr>
        <w:t>——任何关于风险评估和实施必要控制措施所适用的法律责任；（可参考3.12的备注）</w:t>
      </w:r>
    </w:p>
    <w:p>
      <w:pPr>
        <w:snapToGrid w:val="0"/>
        <w:ind w:left="525" w:leftChars="250"/>
        <w:rPr>
          <w:rFonts w:eastAsiaTheme="minorEastAsia"/>
          <w:color w:val="000000"/>
          <w:szCs w:val="21"/>
        </w:rPr>
      </w:pPr>
      <w:r>
        <w:rPr>
          <w:rFonts w:hint="eastAsia" w:eastAsiaTheme="minorEastAsia"/>
          <w:color w:val="000000"/>
          <w:szCs w:val="21"/>
        </w:rPr>
        <w:t>——对工作区域、过程、装置、机械/设备、操作程序及工作组织的设计，包括这些设计对人员能力的适用。</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.4评价环境因素/危险源时将考虑对环境影响的范围、影响程度、发生频次、相关方关心程度、超标倍数、资源消耗等。</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.5当产品实现过程中的活动发生较大变化或法律及其他要求更新时，各部门应及时对环境因素/危险源进行补充识别，及时报</w:t>
      </w:r>
      <w:r>
        <w:rPr>
          <w:rFonts w:hint="eastAsia" w:eastAsiaTheme="minorEastAsia"/>
          <w:color w:val="000000"/>
          <w:szCs w:val="21"/>
          <w:lang w:eastAsia="zh-CN"/>
        </w:rPr>
        <w:t>综合部</w:t>
      </w:r>
      <w:r>
        <w:rPr>
          <w:rFonts w:eastAsiaTheme="minorEastAsia"/>
          <w:color w:val="000000"/>
          <w:szCs w:val="21"/>
        </w:rPr>
        <w:t>评价以重新确定重要环境因素/危险源。</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.6对环境因素/危险源的识别和评价，具体按</w:t>
      </w:r>
      <w:r>
        <w:rPr>
          <w:rFonts w:hint="eastAsia" w:eastAsiaTheme="minorEastAsia"/>
          <w:color w:val="000000"/>
          <w:szCs w:val="21"/>
          <w:lang w:eastAsia="zh-CN"/>
        </w:rPr>
        <w:t>《危险源辨识、风险评价和风险控制程序》、《环境因素识别评价控制程序》</w:t>
      </w:r>
      <w:r>
        <w:rPr>
          <w:rFonts w:eastAsiaTheme="minorEastAsia"/>
          <w:color w:val="000000"/>
          <w:szCs w:val="21"/>
        </w:rPr>
        <w:t>执行。</w:t>
      </w:r>
    </w:p>
    <w:p>
      <w:pPr>
        <w:snapToGrid w:val="0"/>
        <w:ind w:firstLine="527" w:firstLineChars="250"/>
        <w:rPr>
          <w:rFonts w:eastAsiaTheme="minorEastAsia"/>
          <w:b/>
          <w:color w:val="000000"/>
          <w:szCs w:val="21"/>
        </w:rPr>
      </w:pPr>
      <w:r>
        <w:rPr>
          <w:rFonts w:eastAsiaTheme="minorEastAsia"/>
          <w:b/>
          <w:color w:val="000000"/>
          <w:szCs w:val="21"/>
        </w:rPr>
        <w:t>6.</w:t>
      </w:r>
      <w:r>
        <w:rPr>
          <w:rFonts w:hint="eastAsia" w:eastAsiaTheme="minorEastAsia"/>
          <w:b/>
          <w:color w:val="000000"/>
          <w:szCs w:val="21"/>
        </w:rPr>
        <w:t>1.3</w:t>
      </w:r>
      <w:r>
        <w:rPr>
          <w:rFonts w:eastAsiaTheme="minorEastAsia"/>
          <w:b/>
          <w:color w:val="000000"/>
          <w:szCs w:val="21"/>
        </w:rPr>
        <w:t>合规义务</w:t>
      </w:r>
    </w:p>
    <w:p>
      <w:pPr>
        <w:snapToGrid w:val="0"/>
        <w:ind w:left="525" w:left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3.1</w:t>
      </w:r>
      <w:r>
        <w:rPr>
          <w:rFonts w:hint="eastAsia" w:eastAsiaTheme="minorEastAsia"/>
          <w:color w:val="000000"/>
          <w:szCs w:val="21"/>
          <w:lang w:eastAsia="zh-CN"/>
        </w:rPr>
        <w:t>综合部</w:t>
      </w:r>
      <w:r>
        <w:rPr>
          <w:rFonts w:eastAsiaTheme="minorEastAsia"/>
          <w:color w:val="000000"/>
          <w:szCs w:val="21"/>
        </w:rPr>
        <w:t>根据</w:t>
      </w:r>
      <w:r>
        <w:rPr>
          <w:rFonts w:eastAsiaTheme="minorEastAsia"/>
          <w:szCs w:val="21"/>
        </w:rPr>
        <w:t>《</w:t>
      </w:r>
      <w:r>
        <w:rPr>
          <w:rFonts w:hint="eastAsia" w:eastAsiaTheme="minorEastAsia"/>
          <w:szCs w:val="21"/>
          <w:lang w:eastAsia="zh-CN"/>
        </w:rPr>
        <w:t>合规性评价控制程序</w:t>
      </w:r>
      <w:r>
        <w:rPr>
          <w:rFonts w:eastAsiaTheme="minorEastAsia"/>
          <w:szCs w:val="21"/>
        </w:rPr>
        <w:t>》，确</w:t>
      </w:r>
      <w:r>
        <w:rPr>
          <w:rFonts w:eastAsiaTheme="minorEastAsia"/>
          <w:color w:val="000000"/>
          <w:szCs w:val="21"/>
        </w:rPr>
        <w:t>定和获取适用于本公司活动、产品及服务中的应遵守</w:t>
      </w:r>
      <w:r>
        <w:rPr>
          <w:rFonts w:hint="eastAsia" w:eastAsiaTheme="minorEastAsia"/>
          <w:color w:val="000000"/>
          <w:szCs w:val="21"/>
        </w:rPr>
        <w:t>的质量，</w:t>
      </w:r>
      <w:r>
        <w:rPr>
          <w:rFonts w:eastAsiaTheme="minorEastAsia"/>
          <w:color w:val="000000"/>
          <w:szCs w:val="21"/>
        </w:rPr>
        <w:t>环境保护</w:t>
      </w:r>
      <w:r>
        <w:rPr>
          <w:rFonts w:hint="eastAsia" w:eastAsiaTheme="minorEastAsia"/>
          <w:color w:val="000000"/>
          <w:szCs w:val="21"/>
        </w:rPr>
        <w:t>，职业健康安全</w:t>
      </w:r>
      <w:r>
        <w:rPr>
          <w:rFonts w:eastAsiaTheme="minorEastAsia"/>
          <w:color w:val="000000"/>
          <w:szCs w:val="21"/>
        </w:rPr>
        <w:t>的法律法规和其他要求，并进行登录、维护和管理。随着公司活动、产品和服务的变化，法律、的变化，作必要的更新。</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.2法律、法规及其他要求包括下列内容：</w:t>
      </w:r>
    </w:p>
    <w:p>
      <w:pPr>
        <w:snapToGrid w:val="0"/>
        <w:ind w:firstLine="525" w:firstLineChars="250"/>
        <w:rPr>
          <w:rFonts w:eastAsiaTheme="minorEastAsia"/>
          <w:color w:val="000000"/>
          <w:szCs w:val="21"/>
        </w:rPr>
      </w:pPr>
      <w:r>
        <w:rPr>
          <w:rFonts w:eastAsiaTheme="minorEastAsia"/>
          <w:color w:val="000000"/>
          <w:szCs w:val="21"/>
        </w:rPr>
        <w:t>a.国内、国际法律、法规、标准、指南；</w:t>
      </w:r>
    </w:p>
    <w:p>
      <w:pPr>
        <w:snapToGrid w:val="0"/>
        <w:ind w:firstLine="525" w:firstLineChars="250"/>
        <w:rPr>
          <w:rFonts w:eastAsiaTheme="minorEastAsia"/>
          <w:color w:val="000000"/>
          <w:szCs w:val="21"/>
        </w:rPr>
      </w:pPr>
      <w:r>
        <w:rPr>
          <w:rFonts w:eastAsiaTheme="minorEastAsia"/>
          <w:color w:val="000000"/>
          <w:szCs w:val="21"/>
        </w:rPr>
        <w:t>b.省市条例；</w:t>
      </w:r>
    </w:p>
    <w:p>
      <w:pPr>
        <w:snapToGrid w:val="0"/>
        <w:ind w:firstLine="525" w:firstLineChars="250"/>
        <w:rPr>
          <w:rFonts w:eastAsiaTheme="minorEastAsia"/>
          <w:color w:val="000000"/>
          <w:szCs w:val="21"/>
        </w:rPr>
      </w:pPr>
      <w:r>
        <w:rPr>
          <w:rFonts w:eastAsiaTheme="minorEastAsia"/>
          <w:color w:val="000000"/>
          <w:szCs w:val="21"/>
        </w:rPr>
        <w:t>c.其他相关方所提出的要求。</w:t>
      </w:r>
    </w:p>
    <w:p>
      <w:pPr>
        <w:snapToGrid w:val="0"/>
        <w:ind w:firstLine="525" w:firstLineChars="250"/>
        <w:rPr>
          <w:rFonts w:eastAsiaTheme="minorEastAsia"/>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.3获取途径：</w:t>
      </w:r>
      <w:r>
        <w:rPr>
          <w:rFonts w:eastAsiaTheme="minorEastAsia"/>
          <w:szCs w:val="21"/>
        </w:rPr>
        <w:t>《</w:t>
      </w:r>
      <w:r>
        <w:rPr>
          <w:rFonts w:hint="eastAsia" w:eastAsiaTheme="minorEastAsia"/>
          <w:szCs w:val="21"/>
          <w:lang w:eastAsia="zh-CN"/>
        </w:rPr>
        <w:t>合规性评价控制程序</w:t>
      </w:r>
      <w:r>
        <w:rPr>
          <w:rFonts w:eastAsiaTheme="minorEastAsia"/>
          <w:szCs w:val="21"/>
        </w:rPr>
        <w:t>》中确定及时有效的获得法律、法规和其他要求的途径。</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szCs w:val="21"/>
        </w:rPr>
        <w:t>.4交流：法律、法规和其他要求的相关</w:t>
      </w:r>
      <w:r>
        <w:rPr>
          <w:rFonts w:eastAsiaTheme="minorEastAsia"/>
          <w:color w:val="000000"/>
          <w:szCs w:val="21"/>
        </w:rPr>
        <w:t>内容由环境管理者代表向相关部门传达。</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.5</w:t>
      </w:r>
      <w:r>
        <w:rPr>
          <w:rFonts w:hint="eastAsia" w:eastAsiaTheme="minorEastAsia"/>
          <w:color w:val="000000"/>
          <w:szCs w:val="21"/>
          <w:lang w:eastAsia="zh-CN"/>
        </w:rPr>
        <w:t>综合部</w:t>
      </w:r>
      <w:r>
        <w:rPr>
          <w:rFonts w:eastAsiaTheme="minorEastAsia"/>
          <w:color w:val="000000"/>
          <w:szCs w:val="21"/>
        </w:rPr>
        <w:t>对法律、法规及其他要求的变化、更新情况进行跟踪，获取最新信息。</w:t>
      </w:r>
    </w:p>
    <w:p>
      <w:pPr>
        <w:ind w:firstLine="560"/>
        <w:rPr>
          <w:b/>
          <w:szCs w:val="21"/>
        </w:rPr>
      </w:pPr>
      <w:r>
        <w:rPr>
          <w:b/>
          <w:szCs w:val="21"/>
        </w:rPr>
        <w:t>6.</w:t>
      </w:r>
      <w:r>
        <w:rPr>
          <w:rFonts w:hint="eastAsia"/>
          <w:b/>
          <w:szCs w:val="21"/>
        </w:rPr>
        <w:t>2</w:t>
      </w:r>
      <w:r>
        <w:rPr>
          <w:b/>
          <w:szCs w:val="21"/>
        </w:rPr>
        <w:t>、质量/环境/安全</w:t>
      </w:r>
      <w:r>
        <w:rPr>
          <w:rFonts w:hint="eastAsia"/>
          <w:b/>
          <w:szCs w:val="21"/>
        </w:rPr>
        <w:t>/安全</w:t>
      </w:r>
      <w:r>
        <w:rPr>
          <w:b/>
          <w:szCs w:val="21"/>
        </w:rPr>
        <w:t>目标及其实现的策划（M2）</w:t>
      </w:r>
    </w:p>
    <w:p>
      <w:pPr>
        <w:ind w:firstLine="560"/>
        <w:rPr>
          <w:szCs w:val="21"/>
        </w:rPr>
      </w:pPr>
      <w:r>
        <w:rPr>
          <w:szCs w:val="21"/>
        </w:rPr>
        <w:t>公司在相关职能、层次、过程上建立质量/环境/安全目标。</w:t>
      </w:r>
    </w:p>
    <w:p>
      <w:pPr>
        <w:ind w:firstLine="560"/>
        <w:rPr>
          <w:szCs w:val="21"/>
        </w:rPr>
      </w:pPr>
      <w:r>
        <w:rPr>
          <w:szCs w:val="21"/>
        </w:rPr>
        <w:t>6.</w:t>
      </w:r>
      <w:r>
        <w:rPr>
          <w:rFonts w:hint="eastAsia"/>
          <w:szCs w:val="21"/>
        </w:rPr>
        <w:t>7.1</w:t>
      </w:r>
      <w:r>
        <w:rPr>
          <w:szCs w:val="21"/>
        </w:rPr>
        <w:t>质量/环境/安全目标应：</w:t>
      </w:r>
    </w:p>
    <w:p>
      <w:pPr>
        <w:ind w:firstLine="560"/>
        <w:rPr>
          <w:szCs w:val="21"/>
        </w:rPr>
      </w:pPr>
      <w:r>
        <w:rPr>
          <w:szCs w:val="21"/>
        </w:rPr>
        <w:t>a)与质量/环境/安全方针保持一致；</w:t>
      </w:r>
    </w:p>
    <w:p>
      <w:pPr>
        <w:ind w:firstLine="560"/>
        <w:rPr>
          <w:szCs w:val="21"/>
        </w:rPr>
      </w:pPr>
      <w:r>
        <w:rPr>
          <w:szCs w:val="21"/>
        </w:rPr>
        <w:t>b)与产品、服务的符合性和顾客满意相关；</w:t>
      </w:r>
    </w:p>
    <w:p>
      <w:pPr>
        <w:ind w:firstLine="560"/>
        <w:rPr>
          <w:szCs w:val="21"/>
        </w:rPr>
      </w:pPr>
      <w:r>
        <w:rPr>
          <w:szCs w:val="21"/>
        </w:rPr>
        <w:t>c)可测量（可行时) ；</w:t>
      </w:r>
    </w:p>
    <w:p>
      <w:pPr>
        <w:ind w:firstLine="560"/>
        <w:rPr>
          <w:szCs w:val="21"/>
        </w:rPr>
      </w:pPr>
      <w:r>
        <w:rPr>
          <w:szCs w:val="21"/>
        </w:rPr>
        <w:t>d)考虑适用的要求；</w:t>
      </w:r>
    </w:p>
    <w:p>
      <w:pPr>
        <w:ind w:firstLine="560"/>
        <w:rPr>
          <w:szCs w:val="21"/>
        </w:rPr>
      </w:pPr>
      <w:r>
        <w:rPr>
          <w:szCs w:val="21"/>
        </w:rPr>
        <w:t>e)得到监测；</w:t>
      </w:r>
    </w:p>
    <w:p>
      <w:pPr>
        <w:ind w:firstLine="560"/>
        <w:rPr>
          <w:szCs w:val="21"/>
        </w:rPr>
      </w:pPr>
      <w:r>
        <w:rPr>
          <w:szCs w:val="21"/>
        </w:rPr>
        <w:t>f)得到沟通；</w:t>
      </w:r>
    </w:p>
    <w:p>
      <w:pPr>
        <w:ind w:firstLine="560"/>
        <w:rPr>
          <w:szCs w:val="21"/>
        </w:rPr>
      </w:pPr>
      <w:r>
        <w:rPr>
          <w:szCs w:val="21"/>
        </w:rPr>
        <w:t>g)适当时进行更新。</w:t>
      </w:r>
    </w:p>
    <w:p>
      <w:pPr>
        <w:ind w:left="525" w:leftChars="250" w:firstLine="33" w:firstLineChars="16"/>
        <w:rPr>
          <w:szCs w:val="21"/>
        </w:rPr>
      </w:pPr>
      <w:r>
        <w:rPr>
          <w:rFonts w:hint="eastAsia"/>
          <w:szCs w:val="21"/>
        </w:rPr>
        <w:t>h)应考虑法规和组织同意的其他要求、自身的企业情况、可选择的技术方案、财务、运行和经营要求以及相关方的意见</w:t>
      </w:r>
    </w:p>
    <w:p>
      <w:pPr>
        <w:ind w:left="525" w:leftChars="250"/>
        <w:rPr>
          <w:rFonts w:hint="eastAsia"/>
          <w:color w:val="000000"/>
          <w:szCs w:val="21"/>
        </w:rPr>
      </w:pPr>
      <w:r>
        <w:t>公司建立《质量/环境/安全目标分解及考核办法》，</w:t>
      </w:r>
      <w:r>
        <w:rPr>
          <w:szCs w:val="21"/>
        </w:rPr>
        <w:t>每年度策划总体质量/环境/安全目标，并进行分解和考核。质量/环境/安全目标形成文件并每年度评审更新。</w:t>
      </w:r>
      <w:r>
        <w:rPr>
          <w:color w:val="000000"/>
          <w:szCs w:val="21"/>
        </w:rPr>
        <w:t>所设定的目标和指标，应包含有关预防的原则，并应与方针相统一。</w:t>
      </w:r>
    </w:p>
    <w:p>
      <w:pPr>
        <w:ind w:firstLine="525" w:firstLineChars="250"/>
        <w:rPr>
          <w:rFonts w:hint="eastAsia"/>
          <w:color w:val="000000"/>
          <w:szCs w:val="21"/>
        </w:rPr>
      </w:pPr>
      <w:r>
        <w:rPr>
          <w:rFonts w:hint="eastAsia"/>
          <w:color w:val="000000"/>
          <w:szCs w:val="21"/>
        </w:rPr>
        <w:t>公司目标：</w:t>
      </w:r>
    </w:p>
    <w:p>
      <w:pPr>
        <w:ind w:firstLine="525" w:firstLineChars="250"/>
        <w:rPr>
          <w:rFonts w:eastAsiaTheme="minorEastAsia"/>
          <w:color w:val="000000"/>
          <w:szCs w:val="21"/>
        </w:rPr>
      </w:pPr>
      <w:r>
        <w:rPr>
          <w:rFonts w:hint="eastAsia" w:eastAsiaTheme="minorEastAsia"/>
          <w:color w:val="000000"/>
          <w:szCs w:val="21"/>
        </w:rPr>
        <w:t>质量目标：合同履行率100%</w:t>
      </w:r>
    </w:p>
    <w:p>
      <w:pPr>
        <w:ind w:firstLine="525" w:firstLineChars="250"/>
        <w:rPr>
          <w:rFonts w:eastAsiaTheme="minorEastAsia"/>
          <w:color w:val="000000"/>
          <w:szCs w:val="21"/>
        </w:rPr>
      </w:pPr>
      <w:r>
        <w:rPr>
          <w:rFonts w:hint="eastAsia" w:eastAsiaTheme="minorEastAsia"/>
          <w:color w:val="000000"/>
          <w:szCs w:val="21"/>
        </w:rPr>
        <w:t xml:space="preserve">          顾客满意率≥95%</w:t>
      </w:r>
    </w:p>
    <w:p>
      <w:pPr>
        <w:ind w:firstLine="1575" w:firstLineChars="750"/>
        <w:rPr>
          <w:rFonts w:eastAsiaTheme="minorEastAsia"/>
          <w:color w:val="000000"/>
          <w:szCs w:val="21"/>
        </w:rPr>
      </w:pPr>
      <w:r>
        <w:rPr>
          <w:rFonts w:hint="eastAsia" w:eastAsiaTheme="minorEastAsia"/>
          <w:color w:val="000000"/>
          <w:szCs w:val="21"/>
        </w:rPr>
        <w:t>供方评定率100%</w:t>
      </w:r>
    </w:p>
    <w:p>
      <w:pPr>
        <w:ind w:firstLine="1575" w:firstLineChars="750"/>
        <w:rPr>
          <w:rFonts w:eastAsiaTheme="minorEastAsia"/>
          <w:color w:val="000000"/>
          <w:szCs w:val="21"/>
        </w:rPr>
      </w:pPr>
      <w:r>
        <w:rPr>
          <w:rFonts w:hint="eastAsia" w:eastAsiaTheme="minorEastAsia"/>
          <w:color w:val="000000"/>
          <w:szCs w:val="21"/>
        </w:rPr>
        <w:t>项目验收合格率达到100%</w:t>
      </w:r>
    </w:p>
    <w:p>
      <w:pPr>
        <w:ind w:firstLine="525" w:firstLineChars="250"/>
        <w:rPr>
          <w:rFonts w:hint="eastAsia" w:eastAsiaTheme="minorEastAsia"/>
          <w:color w:val="000000"/>
          <w:szCs w:val="21"/>
        </w:rPr>
      </w:pPr>
      <w:r>
        <w:rPr>
          <w:rFonts w:hint="eastAsia" w:eastAsiaTheme="minorEastAsia"/>
          <w:color w:val="000000"/>
          <w:szCs w:val="21"/>
        </w:rPr>
        <w:t>环境目标：固废分类收集，合规处置率100%</w:t>
      </w:r>
    </w:p>
    <w:p>
      <w:pPr>
        <w:ind w:firstLine="1575" w:firstLineChars="750"/>
        <w:rPr>
          <w:rFonts w:hint="eastAsia" w:eastAsiaTheme="minorEastAsia"/>
          <w:color w:val="000000"/>
          <w:szCs w:val="21"/>
        </w:rPr>
      </w:pPr>
      <w:r>
        <w:rPr>
          <w:rFonts w:hint="eastAsia" w:eastAsiaTheme="minorEastAsia"/>
          <w:color w:val="000000"/>
          <w:szCs w:val="21"/>
        </w:rPr>
        <w:t>全年火灾事故发生率为“0”</w:t>
      </w:r>
    </w:p>
    <w:p>
      <w:pPr>
        <w:ind w:firstLine="1680" w:firstLineChars="800"/>
        <w:rPr>
          <w:rFonts w:eastAsiaTheme="minorEastAsia"/>
          <w:color w:val="000000"/>
          <w:szCs w:val="21"/>
        </w:rPr>
      </w:pPr>
      <w:r>
        <w:rPr>
          <w:rFonts w:hint="eastAsia"/>
          <w:color w:val="000000"/>
          <w:szCs w:val="21"/>
        </w:rPr>
        <w:t>环境、职业健康安全资金保证率100%</w:t>
      </w:r>
    </w:p>
    <w:p>
      <w:pPr>
        <w:ind w:firstLine="525" w:firstLineChars="250"/>
        <w:rPr>
          <w:rFonts w:eastAsiaTheme="minorEastAsia"/>
          <w:color w:val="000000"/>
          <w:szCs w:val="21"/>
        </w:rPr>
      </w:pPr>
      <w:r>
        <w:rPr>
          <w:rFonts w:hint="eastAsia" w:eastAsiaTheme="minorEastAsia"/>
          <w:color w:val="000000"/>
          <w:szCs w:val="21"/>
        </w:rPr>
        <w:t>职业健康安全目标：全年火灾事故发生率为“0”</w:t>
      </w:r>
    </w:p>
    <w:p>
      <w:pPr>
        <w:ind w:firstLine="525" w:firstLineChars="250"/>
        <w:rPr>
          <w:rFonts w:eastAsiaTheme="minorEastAsia"/>
          <w:color w:val="000000"/>
          <w:szCs w:val="21"/>
        </w:rPr>
      </w:pPr>
      <w:r>
        <w:rPr>
          <w:rFonts w:hint="eastAsia" w:eastAsiaTheme="minorEastAsia"/>
          <w:color w:val="000000"/>
          <w:szCs w:val="21"/>
        </w:rPr>
        <w:t xml:space="preserve">                  全年触电伤害事故发生率为“0”</w:t>
      </w:r>
    </w:p>
    <w:p>
      <w:pPr>
        <w:ind w:firstLine="2520" w:firstLineChars="1200"/>
        <w:rPr>
          <w:rFonts w:eastAsiaTheme="minorEastAsia"/>
          <w:color w:val="000000"/>
          <w:szCs w:val="21"/>
        </w:rPr>
      </w:pPr>
      <w:r>
        <w:rPr>
          <w:rFonts w:hint="eastAsia" w:ascii="宋体" w:hAnsi="宋体" w:cs="宋体" w:eastAsiaTheme="minorEastAsia"/>
          <w:szCs w:val="21"/>
          <w:lang w:eastAsia="zh-CN"/>
        </w:rPr>
        <w:t>重大安全事故的发生为零</w:t>
      </w:r>
    </w:p>
    <w:p>
      <w:pPr>
        <w:ind w:firstLine="2415" w:firstLineChars="1150"/>
        <w:rPr>
          <w:rFonts w:hint="eastAsia"/>
          <w:color w:val="000000"/>
          <w:szCs w:val="21"/>
        </w:rPr>
      </w:pPr>
      <w:r>
        <w:rPr>
          <w:rFonts w:hint="eastAsia"/>
          <w:color w:val="000000"/>
          <w:szCs w:val="21"/>
        </w:rPr>
        <w:t>环境、职业健康安全资金保证率100%</w:t>
      </w:r>
    </w:p>
    <w:p>
      <w:pPr>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2</w:t>
      </w:r>
      <w:r>
        <w:rPr>
          <w:rFonts w:eastAsiaTheme="minorEastAsia"/>
          <w:color w:val="000000"/>
          <w:szCs w:val="21"/>
        </w:rPr>
        <w:t>.2环境</w:t>
      </w:r>
      <w:r>
        <w:rPr>
          <w:rFonts w:hint="eastAsia" w:eastAsiaTheme="minorEastAsia"/>
          <w:color w:val="000000"/>
          <w:szCs w:val="21"/>
        </w:rPr>
        <w:t>、安全</w:t>
      </w:r>
      <w:r>
        <w:rPr>
          <w:rFonts w:eastAsiaTheme="minorEastAsia"/>
          <w:color w:val="000000"/>
          <w:szCs w:val="21"/>
        </w:rPr>
        <w:t>管理方案</w:t>
      </w:r>
    </w:p>
    <w:p>
      <w:pPr>
        <w:snapToGrid w:val="0"/>
        <w:ind w:left="525" w:leftChars="250"/>
        <w:rPr>
          <w:color w:val="000000"/>
          <w:szCs w:val="21"/>
        </w:rPr>
      </w:pPr>
      <w:r>
        <w:rPr>
          <w:rFonts w:eastAsiaTheme="minorEastAsia"/>
          <w:color w:val="000000"/>
          <w:szCs w:val="21"/>
        </w:rPr>
        <w:t>公司建立并保持《</w:t>
      </w:r>
      <w:r>
        <w:rPr>
          <w:rFonts w:hint="eastAsia" w:eastAsiaTheme="minorEastAsia"/>
          <w:color w:val="000000"/>
          <w:szCs w:val="21"/>
          <w:lang w:eastAsia="zh-CN"/>
        </w:rPr>
        <w:t>目标、指标和管理方案控制程序</w:t>
      </w:r>
      <w:r>
        <w:rPr>
          <w:color w:val="000000"/>
          <w:szCs w:val="21"/>
        </w:rPr>
        <w:t>》规定了制定环境</w:t>
      </w:r>
      <w:r>
        <w:rPr>
          <w:rFonts w:hint="eastAsia"/>
          <w:color w:val="000000"/>
          <w:szCs w:val="21"/>
        </w:rPr>
        <w:t>，安全</w:t>
      </w:r>
      <w:r>
        <w:rPr>
          <w:color w:val="000000"/>
          <w:szCs w:val="21"/>
        </w:rPr>
        <w:t>管理方案，方案中应包括以下事项:</w:t>
      </w:r>
    </w:p>
    <w:p>
      <w:pPr>
        <w:snapToGrid w:val="0"/>
        <w:ind w:left="141" w:leftChars="67" w:firstLine="420" w:firstLineChars="200"/>
        <w:rPr>
          <w:color w:val="000000"/>
          <w:szCs w:val="21"/>
        </w:rPr>
      </w:pPr>
      <w:r>
        <w:rPr>
          <w:rFonts w:eastAsiaTheme="minorEastAsia"/>
          <w:color w:val="000000"/>
          <w:szCs w:val="21"/>
        </w:rPr>
        <w:t>a)</w:t>
      </w:r>
      <w:r>
        <w:rPr>
          <w:color w:val="000000"/>
          <w:szCs w:val="21"/>
        </w:rPr>
        <w:t>环境</w:t>
      </w:r>
      <w:r>
        <w:rPr>
          <w:rFonts w:hint="eastAsia"/>
          <w:color w:val="000000"/>
          <w:szCs w:val="21"/>
        </w:rPr>
        <w:t>，安全</w:t>
      </w:r>
      <w:r>
        <w:rPr>
          <w:color w:val="000000"/>
          <w:szCs w:val="21"/>
        </w:rPr>
        <w:t>管理方案应明确实现环境</w:t>
      </w:r>
      <w:r>
        <w:rPr>
          <w:rFonts w:hint="eastAsia"/>
          <w:color w:val="000000"/>
          <w:szCs w:val="21"/>
        </w:rPr>
        <w:t>及安全</w:t>
      </w:r>
      <w:r>
        <w:rPr>
          <w:color w:val="000000"/>
          <w:szCs w:val="21"/>
        </w:rPr>
        <w:t>目标和指标过程中公司个相关部门和层次人员的职责；</w:t>
      </w:r>
    </w:p>
    <w:p>
      <w:pPr>
        <w:snapToGrid w:val="0"/>
        <w:ind w:firstLine="525" w:firstLineChars="250"/>
        <w:rPr>
          <w:color w:val="000000"/>
          <w:szCs w:val="21"/>
        </w:rPr>
      </w:pPr>
      <w:r>
        <w:rPr>
          <w:rFonts w:eastAsiaTheme="minorEastAsia"/>
          <w:color w:val="000000"/>
          <w:szCs w:val="21"/>
        </w:rPr>
        <w:t>b)</w:t>
      </w:r>
      <w:r>
        <w:rPr>
          <w:color w:val="000000"/>
          <w:szCs w:val="21"/>
        </w:rPr>
        <w:t>管理方案应包括实现目标和指标的方法及时间要求。</w:t>
      </w:r>
    </w:p>
    <w:p>
      <w:pPr>
        <w:snapToGrid w:val="0"/>
        <w:ind w:firstLine="525" w:firstLineChars="250"/>
        <w:rPr>
          <w:color w:val="000000"/>
          <w:szCs w:val="21"/>
        </w:rPr>
      </w:pPr>
      <w:r>
        <w:rPr>
          <w:rFonts w:eastAsiaTheme="minorEastAsia"/>
          <w:color w:val="000000"/>
          <w:szCs w:val="21"/>
        </w:rPr>
        <w:t>c)</w:t>
      </w:r>
      <w:r>
        <w:rPr>
          <w:color w:val="000000"/>
          <w:szCs w:val="21"/>
        </w:rPr>
        <w:t>如在活动时间内，本公司活动及产品上发生变化影响到管理方案的实施时，则根据需要进行修改。</w:t>
      </w:r>
    </w:p>
    <w:p>
      <w:pPr>
        <w:snapToGrid w:val="0"/>
        <w:ind w:left="525" w:leftChars="250"/>
        <w:rPr>
          <w:rFonts w:eastAsiaTheme="minorEastAsia"/>
          <w:color w:val="000000"/>
          <w:szCs w:val="21"/>
        </w:rPr>
      </w:pPr>
      <w:r>
        <w:rPr>
          <w:color w:val="000000"/>
          <w:szCs w:val="21"/>
        </w:rPr>
        <w:t>各部门根据本公司的环境目标和指标及《</w:t>
      </w:r>
      <w:r>
        <w:rPr>
          <w:rFonts w:hint="eastAsia"/>
          <w:color w:val="000000"/>
          <w:szCs w:val="21"/>
          <w:lang w:eastAsia="zh-CN"/>
        </w:rPr>
        <w:t>目标、指标和管理方案控制程序</w:t>
      </w:r>
      <w:r>
        <w:rPr>
          <w:color w:val="000000"/>
          <w:szCs w:val="21"/>
        </w:rPr>
        <w:t>》，实施与本部门有关的环境管理方案。</w:t>
      </w:r>
    </w:p>
    <w:p>
      <w:pPr>
        <w:snapToGrid w:val="0"/>
        <w:ind w:firstLine="525" w:firstLineChars="250"/>
        <w:rPr>
          <w:rFonts w:eastAsiaTheme="minorEastAsia"/>
          <w:color w:val="000000"/>
          <w:szCs w:val="21"/>
        </w:rPr>
      </w:pPr>
      <w:r>
        <w:rPr>
          <w:color w:val="000000"/>
          <w:szCs w:val="21"/>
        </w:rPr>
        <w:t>管理方案应随着公司活动、业务的改变作必要的更改，以适应这些变化。</w:t>
      </w:r>
    </w:p>
    <w:p>
      <w:pPr>
        <w:snapToGrid w:val="0"/>
        <w:ind w:firstLine="525" w:firstLineChars="250"/>
        <w:rPr>
          <w:rFonts w:eastAsiaTheme="minorEastAsia"/>
          <w:color w:val="000000"/>
          <w:szCs w:val="21"/>
        </w:rPr>
      </w:pPr>
      <w:r>
        <w:rPr>
          <w:szCs w:val="21"/>
        </w:rPr>
        <w:t>在策划目标的实现时，公司要确定目标与分解指标、需求资源、负责人员、完成时间、评价方法等。</w:t>
      </w:r>
    </w:p>
    <w:p>
      <w:pPr>
        <w:ind w:firstLine="560"/>
        <w:rPr>
          <w:b/>
          <w:szCs w:val="21"/>
        </w:rPr>
      </w:pPr>
      <w:r>
        <w:rPr>
          <w:b/>
          <w:szCs w:val="21"/>
        </w:rPr>
        <w:t>6.</w:t>
      </w:r>
      <w:r>
        <w:rPr>
          <w:rFonts w:hint="eastAsia"/>
          <w:b/>
          <w:szCs w:val="21"/>
        </w:rPr>
        <w:t>3</w:t>
      </w:r>
      <w:r>
        <w:rPr>
          <w:b/>
          <w:szCs w:val="21"/>
        </w:rPr>
        <w:t>变更的策划</w:t>
      </w:r>
    </w:p>
    <w:p>
      <w:pPr>
        <w:ind w:firstLine="560"/>
        <w:rPr>
          <w:szCs w:val="21"/>
        </w:rPr>
      </w:pPr>
      <w:r>
        <w:rPr>
          <w:szCs w:val="21"/>
        </w:rPr>
        <w:t>公司要确定变更的需求和机会，以保持和改进质量/环境/安全管理体系绩效。</w:t>
      </w:r>
    </w:p>
    <w:p>
      <w:pPr>
        <w:ind w:firstLine="560"/>
        <w:rPr>
          <w:szCs w:val="21"/>
        </w:rPr>
      </w:pPr>
      <w:r>
        <w:rPr>
          <w:szCs w:val="21"/>
        </w:rPr>
        <w:t>公司要有计划、系统地进行变更，识别风险和机遇，并评价变更的潜在后果。</w:t>
      </w:r>
    </w:p>
    <w:p>
      <w:pPr>
        <w:ind w:firstLine="560"/>
        <w:rPr>
          <w:szCs w:val="21"/>
        </w:rPr>
      </w:pPr>
      <w:r>
        <w:rPr>
          <w:szCs w:val="21"/>
        </w:rPr>
        <w:t>确保更改目的及潜在后果，质量/环境/安全管理体系的完整性，资源的可获得，责任和权限的分配。</w:t>
      </w:r>
    </w:p>
    <w:p>
      <w:pPr>
        <w:ind w:firstLine="560"/>
        <w:rPr>
          <w:b/>
          <w:szCs w:val="21"/>
        </w:rPr>
      </w:pPr>
      <w:r>
        <w:rPr>
          <w:b/>
          <w:szCs w:val="21"/>
        </w:rPr>
        <w:t>7支持</w:t>
      </w:r>
    </w:p>
    <w:p>
      <w:pPr>
        <w:ind w:firstLine="560"/>
        <w:rPr>
          <w:b/>
          <w:szCs w:val="21"/>
        </w:rPr>
      </w:pPr>
      <w:r>
        <w:rPr>
          <w:b/>
          <w:szCs w:val="21"/>
        </w:rPr>
        <w:t>7.1资源</w:t>
      </w:r>
    </w:p>
    <w:p>
      <w:pPr>
        <w:ind w:firstLine="560"/>
        <w:rPr>
          <w:szCs w:val="21"/>
        </w:rPr>
      </w:pPr>
      <w:r>
        <w:rPr>
          <w:szCs w:val="21"/>
        </w:rPr>
        <w:t>7.1.1总则</w:t>
      </w:r>
    </w:p>
    <w:p>
      <w:pPr>
        <w:ind w:left="525" w:leftChars="250" w:firstLine="33" w:firstLineChars="16"/>
        <w:rPr>
          <w:szCs w:val="21"/>
        </w:rPr>
      </w:pPr>
      <w:r>
        <w:rPr>
          <w:szCs w:val="21"/>
        </w:rPr>
        <w:t>公司要确定、提供为建立、实施、保持和改进质量/环境/安全管理体系所需的资源。并考虑现有的资源、能力、局限及外部提供的产品和服务。</w:t>
      </w:r>
    </w:p>
    <w:p>
      <w:pPr>
        <w:ind w:firstLine="560"/>
        <w:rPr>
          <w:szCs w:val="21"/>
        </w:rPr>
      </w:pPr>
      <w:r>
        <w:rPr>
          <w:szCs w:val="21"/>
        </w:rPr>
        <w:t>7.1.2人员</w:t>
      </w:r>
    </w:p>
    <w:p>
      <w:pPr>
        <w:spacing w:line="360" w:lineRule="auto"/>
        <w:ind w:left="525" w:leftChars="250"/>
        <w:rPr>
          <w:rFonts w:eastAsia="黑体"/>
          <w:bCs/>
          <w:kern w:val="0"/>
        </w:rPr>
      </w:pPr>
      <w:r>
        <w:rPr>
          <w:szCs w:val="21"/>
        </w:rPr>
        <w:t>公司</w:t>
      </w:r>
      <w:r>
        <w:rPr>
          <w:rFonts w:hint="eastAsia"/>
          <w:szCs w:val="21"/>
        </w:rPr>
        <w:t>相关</w:t>
      </w:r>
      <w:r>
        <w:rPr>
          <w:rFonts w:hint="eastAsia"/>
        </w:rPr>
        <w:t>制度</w:t>
      </w:r>
      <w:r>
        <w:rPr>
          <w:rFonts w:eastAsia="黑体"/>
          <w:bCs/>
          <w:kern w:val="0"/>
        </w:rPr>
        <w:t>，</w:t>
      </w:r>
      <w:r>
        <w:rPr>
          <w:szCs w:val="21"/>
        </w:rPr>
        <w:t>通过人力资源规划和人员岗位的确定及编制，确定并提供有效实施质量/环境/安全管理体系并运行和控制其过程所需要的人员。</w:t>
      </w:r>
    </w:p>
    <w:p>
      <w:pPr>
        <w:ind w:firstLine="560"/>
        <w:rPr>
          <w:szCs w:val="21"/>
        </w:rPr>
      </w:pPr>
      <w:r>
        <w:rPr>
          <w:szCs w:val="21"/>
        </w:rPr>
        <w:t>7.1.3基础设施(S1)</w:t>
      </w:r>
    </w:p>
    <w:p>
      <w:pPr>
        <w:ind w:left="525" w:leftChars="250" w:firstLine="33" w:firstLineChars="16"/>
        <w:rPr>
          <w:szCs w:val="21"/>
        </w:rPr>
      </w:pPr>
      <w:r>
        <w:rPr>
          <w:szCs w:val="21"/>
        </w:rPr>
        <w:t>公司建立确定、提供和维护其运行和确保产品、服务符合性和顾客满意所需的基础设施。包括办公场所和相关的硬件设施、设备（包括硬件和软件）、运输、通讯和信息系统等。</w:t>
      </w:r>
    </w:p>
    <w:p>
      <w:pPr>
        <w:ind w:firstLine="560"/>
        <w:rPr>
          <w:szCs w:val="21"/>
        </w:rPr>
      </w:pPr>
      <w:r>
        <w:rPr>
          <w:szCs w:val="21"/>
        </w:rPr>
        <w:t>7.1.4过程环境（S2）</w:t>
      </w:r>
    </w:p>
    <w:p>
      <w:pPr>
        <w:ind w:left="525" w:leftChars="250" w:firstLine="33" w:firstLineChars="16"/>
        <w:rPr>
          <w:szCs w:val="21"/>
        </w:rPr>
      </w:pPr>
      <w:r>
        <w:rPr>
          <w:szCs w:val="21"/>
        </w:rPr>
        <w:t>为满足国家规范标准的要求、顾客要求、管理体系的要求、过程控制要求及公司内部管理的要求，公司要确定、提供和维护其运行和确保产品、服务符合性和顾客满意所需的过程环境，包括温度、照明、个人情感、卫生等物理的、社会的、心理的和环境的因素。</w:t>
      </w:r>
    </w:p>
    <w:p>
      <w:pPr>
        <w:ind w:firstLine="560"/>
        <w:rPr>
          <w:szCs w:val="21"/>
        </w:rPr>
      </w:pPr>
      <w:r>
        <w:rPr>
          <w:szCs w:val="21"/>
        </w:rPr>
        <w:t>7.1.5监视和测量资源（S3）</w:t>
      </w:r>
    </w:p>
    <w:p>
      <w:pPr>
        <w:ind w:firstLine="560"/>
        <w:rPr>
          <w:szCs w:val="21"/>
        </w:rPr>
      </w:pPr>
      <w:r>
        <w:rPr>
          <w:szCs w:val="21"/>
        </w:rPr>
        <w:t>7.1.5.1总则</w:t>
      </w:r>
    </w:p>
    <w:p>
      <w:pPr>
        <w:ind w:left="525" w:leftChars="250" w:firstLine="33" w:firstLineChars="16"/>
        <w:rPr>
          <w:szCs w:val="21"/>
        </w:rPr>
      </w:pPr>
      <w:r>
        <w:rPr>
          <w:szCs w:val="21"/>
        </w:rPr>
        <w:t>公司确定、提供和维护用于验证产品符合性所需的监视和测量资源，并确保监视和测量资源满足使用要求。</w:t>
      </w:r>
    </w:p>
    <w:p>
      <w:pPr>
        <w:ind w:firstLine="560"/>
        <w:rPr>
          <w:szCs w:val="21"/>
        </w:rPr>
      </w:pPr>
      <w:r>
        <w:rPr>
          <w:szCs w:val="21"/>
        </w:rPr>
        <w:t>a)适合特定类型的监视和测量活动；</w:t>
      </w:r>
    </w:p>
    <w:p>
      <w:pPr>
        <w:ind w:firstLine="560"/>
        <w:rPr>
          <w:szCs w:val="21"/>
        </w:rPr>
      </w:pPr>
      <w:r>
        <w:rPr>
          <w:szCs w:val="21"/>
        </w:rPr>
        <w:t>b)得到适当的维护，以确保持续适合其用途。</w:t>
      </w:r>
    </w:p>
    <w:p>
      <w:pPr>
        <w:ind w:left="525" w:leftChars="250" w:firstLine="33" w:firstLineChars="16"/>
        <w:rPr>
          <w:szCs w:val="21"/>
        </w:rPr>
      </w:pPr>
      <w:r>
        <w:rPr>
          <w:szCs w:val="21"/>
        </w:rPr>
        <w:t>监视和测量资源可包括测量设备和评价方法（例如：调查问卷），公司要定期对监视和测量设备能满足使用要求的状态进行评审，并提供形成文件信息的证据。</w:t>
      </w:r>
    </w:p>
    <w:p>
      <w:pPr>
        <w:ind w:firstLine="560"/>
        <w:rPr>
          <w:szCs w:val="21"/>
        </w:rPr>
      </w:pPr>
      <w:r>
        <w:rPr>
          <w:szCs w:val="21"/>
        </w:rPr>
        <w:t>7.1.5.2测量溯源</w:t>
      </w:r>
    </w:p>
    <w:p>
      <w:pPr>
        <w:ind w:firstLine="560"/>
        <w:rPr>
          <w:szCs w:val="21"/>
        </w:rPr>
      </w:pPr>
      <w:r>
        <w:rPr>
          <w:szCs w:val="21"/>
        </w:rPr>
        <w:t>当要求测量溯源时，或公司认为测量溯源是信任测量结果有效的重要要素，则测量设备应：</w:t>
      </w:r>
    </w:p>
    <w:p>
      <w:pPr>
        <w:ind w:left="525" w:leftChars="250" w:firstLine="33" w:firstLineChars="16"/>
        <w:rPr>
          <w:szCs w:val="21"/>
        </w:rPr>
      </w:pPr>
      <w:r>
        <w:rPr>
          <w:szCs w:val="21"/>
        </w:rPr>
        <w:t>a)对照能溯源到国际或国家标准的测量标准，按照规定的时间间隔或在使用前进行校准和（或）检定（验证），当不存在上述标准时，应保留作为校准或检定（验证）依据的形成文件的信息；</w:t>
      </w:r>
    </w:p>
    <w:p>
      <w:pPr>
        <w:ind w:firstLine="560"/>
        <w:rPr>
          <w:szCs w:val="21"/>
        </w:rPr>
      </w:pPr>
      <w:r>
        <w:rPr>
          <w:szCs w:val="21"/>
        </w:rPr>
        <w:t>b)具有标识，以确定其校准状态；</w:t>
      </w:r>
    </w:p>
    <w:p>
      <w:pPr>
        <w:ind w:firstLine="560"/>
        <w:rPr>
          <w:szCs w:val="21"/>
        </w:rPr>
      </w:pPr>
      <w:r>
        <w:rPr>
          <w:szCs w:val="21"/>
        </w:rPr>
        <w:t>c)予以保护，防止可能使校准状态和随后的测量结果失效的调整、损坏或退化。</w:t>
      </w:r>
    </w:p>
    <w:p>
      <w:pPr>
        <w:ind w:left="525" w:leftChars="250" w:firstLine="33" w:firstLineChars="16"/>
        <w:rPr>
          <w:szCs w:val="21"/>
        </w:rPr>
      </w:pPr>
      <w:r>
        <w:rPr>
          <w:szCs w:val="21"/>
        </w:rPr>
        <w:t>当发现测量设备不符合预期用途时，公司要确定以往测量结果的有效性是否受到不利影响，并采取适当的必要措施。</w:t>
      </w:r>
    </w:p>
    <w:p>
      <w:pPr>
        <w:ind w:firstLine="560"/>
        <w:rPr>
          <w:szCs w:val="21"/>
        </w:rPr>
      </w:pPr>
      <w:r>
        <w:rPr>
          <w:szCs w:val="21"/>
        </w:rPr>
        <w:t>7.1.6知识（S4）</w:t>
      </w:r>
    </w:p>
    <w:p>
      <w:pPr>
        <w:ind w:left="525" w:leftChars="250" w:firstLine="33" w:firstLineChars="16"/>
        <w:rPr>
          <w:szCs w:val="21"/>
        </w:rPr>
      </w:pPr>
      <w:r>
        <w:rPr>
          <w:szCs w:val="21"/>
        </w:rPr>
        <w:t>公司建立</w:t>
      </w:r>
      <w:r>
        <w:rPr>
          <w:rFonts w:hint="eastAsia"/>
          <w:szCs w:val="21"/>
        </w:rPr>
        <w:t>相关制度</w:t>
      </w:r>
      <w:r>
        <w:rPr>
          <w:szCs w:val="21"/>
        </w:rPr>
        <w:t>确定质量/环境/安全管理体系运行、过程、确保产品和服务符合性及顾客满意所需的知识。这些知识应得到保持、保护、需要时便于获取。</w:t>
      </w:r>
    </w:p>
    <w:p>
      <w:pPr>
        <w:ind w:firstLine="560"/>
        <w:rPr>
          <w:szCs w:val="21"/>
        </w:rPr>
      </w:pPr>
      <w:r>
        <w:rPr>
          <w:szCs w:val="21"/>
        </w:rPr>
        <w:t>在应对变化的需求和趋势时，公司要考虑现有的知识基础，确定如何获取必需的更多知识。</w:t>
      </w:r>
    </w:p>
    <w:p>
      <w:pPr>
        <w:ind w:firstLine="560"/>
        <w:rPr>
          <w:szCs w:val="21"/>
        </w:rPr>
      </w:pPr>
      <w:r>
        <w:rPr>
          <w:szCs w:val="21"/>
        </w:rPr>
        <w:t>a)质量/环境/安全管理体系运行所需的知识；</w:t>
      </w:r>
    </w:p>
    <w:p>
      <w:pPr>
        <w:ind w:firstLine="560"/>
        <w:rPr>
          <w:szCs w:val="21"/>
        </w:rPr>
      </w:pPr>
      <w:r>
        <w:rPr>
          <w:szCs w:val="21"/>
        </w:rPr>
        <w:t>b)过程所需的知识；</w:t>
      </w:r>
    </w:p>
    <w:p>
      <w:pPr>
        <w:ind w:firstLine="560"/>
        <w:rPr>
          <w:szCs w:val="21"/>
        </w:rPr>
      </w:pPr>
      <w:r>
        <w:rPr>
          <w:szCs w:val="21"/>
        </w:rPr>
        <w:t>c)确保产品和服务符合性所需的知识；</w:t>
      </w:r>
    </w:p>
    <w:p>
      <w:pPr>
        <w:ind w:firstLine="560"/>
        <w:rPr>
          <w:szCs w:val="21"/>
        </w:rPr>
      </w:pPr>
      <w:r>
        <w:rPr>
          <w:szCs w:val="21"/>
        </w:rPr>
        <w:t>d)顾客满意所需的知识；</w:t>
      </w:r>
    </w:p>
    <w:p>
      <w:pPr>
        <w:ind w:firstLine="560"/>
        <w:rPr>
          <w:szCs w:val="21"/>
        </w:rPr>
      </w:pPr>
      <w:r>
        <w:rPr>
          <w:szCs w:val="21"/>
        </w:rPr>
        <w:t>e)员工岗位技能所需的知识；</w:t>
      </w:r>
    </w:p>
    <w:p>
      <w:pPr>
        <w:ind w:firstLine="560"/>
        <w:rPr>
          <w:szCs w:val="21"/>
        </w:rPr>
      </w:pPr>
      <w:r>
        <w:rPr>
          <w:szCs w:val="21"/>
        </w:rPr>
        <w:t>f)体系变化时，评估所需更多的知识。</w:t>
      </w:r>
    </w:p>
    <w:p>
      <w:pPr>
        <w:ind w:firstLine="560"/>
        <w:rPr>
          <w:b/>
          <w:szCs w:val="21"/>
        </w:rPr>
      </w:pPr>
      <w:r>
        <w:rPr>
          <w:b/>
          <w:szCs w:val="21"/>
        </w:rPr>
        <w:t>7.2能力（S5）</w:t>
      </w:r>
    </w:p>
    <w:p>
      <w:pPr>
        <w:ind w:firstLine="560"/>
        <w:rPr>
          <w:szCs w:val="21"/>
        </w:rPr>
      </w:pPr>
      <w:r>
        <w:rPr>
          <w:szCs w:val="21"/>
        </w:rPr>
        <w:t>公司要：</w:t>
      </w:r>
    </w:p>
    <w:p>
      <w:pPr>
        <w:ind w:firstLine="560"/>
        <w:rPr>
          <w:szCs w:val="21"/>
        </w:rPr>
      </w:pPr>
      <w:r>
        <w:rPr>
          <w:szCs w:val="21"/>
        </w:rPr>
        <w:t>a)确定在公司控制下从事影响质量/环境/安全绩效工作的人员所必要的能力；</w:t>
      </w:r>
    </w:p>
    <w:p>
      <w:pPr>
        <w:ind w:firstLine="560"/>
        <w:rPr>
          <w:szCs w:val="21"/>
        </w:rPr>
      </w:pPr>
      <w:r>
        <w:rPr>
          <w:szCs w:val="21"/>
        </w:rPr>
        <w:t>b)基于适当的教育、培训和经验，确保这些人员是胜任的；</w:t>
      </w:r>
    </w:p>
    <w:p>
      <w:pPr>
        <w:ind w:left="525" w:leftChars="250" w:firstLine="33" w:firstLineChars="16"/>
        <w:rPr>
          <w:szCs w:val="21"/>
        </w:rPr>
      </w:pPr>
      <w:r>
        <w:rPr>
          <w:szCs w:val="21"/>
        </w:rPr>
        <w:t>c)适用时，采取措施以获取必要的能力，并评价这些措施的有效性；这些措施可包括，例如提供培训、辅导、重新分配任务、招聘胜任的人员等。</w:t>
      </w:r>
    </w:p>
    <w:p>
      <w:pPr>
        <w:ind w:firstLine="560"/>
        <w:rPr>
          <w:szCs w:val="21"/>
        </w:rPr>
      </w:pPr>
      <w:r>
        <w:rPr>
          <w:szCs w:val="21"/>
        </w:rPr>
        <w:t>d)保持形成文件的信息，以提供能力的证据。</w:t>
      </w:r>
    </w:p>
    <w:p>
      <w:pPr>
        <w:ind w:firstLine="560"/>
        <w:rPr>
          <w:b/>
          <w:szCs w:val="21"/>
        </w:rPr>
      </w:pPr>
      <w:r>
        <w:rPr>
          <w:b/>
          <w:szCs w:val="21"/>
        </w:rPr>
        <w:t>7.3意识（S6）</w:t>
      </w:r>
    </w:p>
    <w:p>
      <w:pPr>
        <w:ind w:left="525" w:leftChars="250" w:firstLine="33" w:firstLineChars="16"/>
        <w:rPr>
          <w:szCs w:val="21"/>
        </w:rPr>
      </w:pPr>
      <w:r>
        <w:rPr>
          <w:szCs w:val="21"/>
        </w:rPr>
        <w:t>公司通过教育培训、公开宣传、设定岗位职责等措施，使公司的全体工作人员均要意识到质量/环境/安全方针；相关的质量/环境/安全目标；他们对质量/环境/安全管理体系有效性的贡献，包括改进质量/环境/安全绩效的益处；偏离质量/环境/安全管理体系要求的后果。</w:t>
      </w:r>
    </w:p>
    <w:p>
      <w:pPr>
        <w:ind w:firstLine="560"/>
        <w:rPr>
          <w:b/>
          <w:szCs w:val="21"/>
        </w:rPr>
      </w:pPr>
      <w:r>
        <w:rPr>
          <w:b/>
          <w:szCs w:val="21"/>
        </w:rPr>
        <w:t>7.4沟通/信息交流（S7）</w:t>
      </w:r>
    </w:p>
    <w:p>
      <w:pPr>
        <w:ind w:left="559" w:leftChars="266"/>
        <w:rPr>
          <w:szCs w:val="21"/>
        </w:rPr>
      </w:pPr>
      <w:r>
        <w:rPr>
          <w:szCs w:val="21"/>
        </w:rPr>
        <w:t>公司建立《</w:t>
      </w:r>
      <w:r>
        <w:rPr>
          <w:rFonts w:hint="eastAsia"/>
          <w:szCs w:val="21"/>
          <w:lang w:eastAsia="zh-CN"/>
        </w:rPr>
        <w:t xml:space="preserve">协商、沟通和信息交流管理程序 </w:t>
      </w:r>
      <w:r>
        <w:rPr>
          <w:szCs w:val="21"/>
        </w:rPr>
        <w:t>》，对与质量/环境/安全管理体系相关的内外部沟通的需求进行管理。管理的内容包括：信息交流的种类、性质和职责，信息交流的时机、对象、内容和方式。</w:t>
      </w:r>
    </w:p>
    <w:p>
      <w:pPr>
        <w:ind w:left="525" w:leftChars="250" w:firstLine="33" w:firstLineChars="16"/>
      </w:pPr>
      <w:r>
        <w:rPr>
          <w:szCs w:val="21"/>
        </w:rPr>
        <w:t>交流内容：</w:t>
      </w:r>
      <w:r>
        <w:t>法津、法规等对质量、环境，安全的要求，外部相关方的质量、环境，安全要求信息，有关化学物质的毒性、安全资料，公司的质量、环境，安全方针、质量目标、环境，安全目标和指针、环境，安全管理方案，公司质量、环境，安全体系的监测、审核、管理评审的结果，产品质量信息，顾客相关投诉，公司的质量、环境，安全绩效及质量、环境，安全改进情况，质量、环境，安全事故等一切与质量管理、环境，安全管理相关的信息</w:t>
      </w:r>
      <w:r>
        <w:rPr>
          <w:rFonts w:hint="eastAsia"/>
        </w:rPr>
        <w:t>，</w:t>
      </w:r>
      <w:r>
        <w:t>均可作为交流的内容。</w:t>
      </w:r>
    </w:p>
    <w:p>
      <w:pPr>
        <w:spacing w:line="400" w:lineRule="atLeast"/>
        <w:ind w:firstLine="525" w:firstLineChars="250"/>
      </w:pPr>
      <w:r>
        <w:rPr>
          <w:rFonts w:hint="eastAsia"/>
        </w:rPr>
        <w:t>应确保员工对职业健康体系的参与，通过：</w:t>
      </w:r>
    </w:p>
    <w:p>
      <w:pPr>
        <w:spacing w:line="400" w:lineRule="atLeast"/>
        <w:ind w:firstLine="480"/>
      </w:pPr>
      <w:r>
        <w:rPr>
          <w:rFonts w:hint="eastAsia"/>
        </w:rPr>
        <w:t>——适当的参与危险源识别，风险评价和确定控制措施；</w:t>
      </w:r>
    </w:p>
    <w:p>
      <w:pPr>
        <w:spacing w:line="400" w:lineRule="atLeast"/>
        <w:ind w:firstLine="480"/>
      </w:pPr>
      <w:r>
        <w:rPr>
          <w:rFonts w:hint="eastAsia"/>
        </w:rPr>
        <w:t>——适当的参与事件调查；</w:t>
      </w:r>
    </w:p>
    <w:p>
      <w:pPr>
        <w:spacing w:line="400" w:lineRule="atLeast"/>
        <w:ind w:firstLine="420" w:firstLineChars="200"/>
      </w:pPr>
      <w:r>
        <w:rPr>
          <w:rFonts w:hint="eastAsia"/>
        </w:rPr>
        <w:t>——参与风险管理方针和程序的制定和评审；</w:t>
      </w:r>
    </w:p>
    <w:p>
      <w:pPr>
        <w:spacing w:line="400" w:lineRule="atLeast"/>
        <w:ind w:firstLine="420" w:firstLineChars="200"/>
      </w:pPr>
      <w:r>
        <w:rPr>
          <w:rFonts w:hint="eastAsia"/>
        </w:rPr>
        <w:t>——参与商讨影响工作场所职业健康安全的任何变化；</w:t>
      </w:r>
    </w:p>
    <w:p>
      <w:pPr>
        <w:spacing w:line="400" w:lineRule="atLeast"/>
        <w:ind w:firstLine="420" w:firstLineChars="200"/>
      </w:pPr>
      <w:r>
        <w:rPr>
          <w:rFonts w:hint="eastAsia"/>
        </w:rPr>
        <w:t>——在职业健康安全事务上有代表；</w:t>
      </w:r>
    </w:p>
    <w:p>
      <w:pPr>
        <w:spacing w:line="400" w:lineRule="atLeast"/>
        <w:ind w:firstLine="420" w:firstLineChars="200"/>
      </w:pPr>
      <w:r>
        <w:rPr>
          <w:rFonts w:hint="eastAsia"/>
        </w:rPr>
        <w:t>——了解谁是职业健康安全的员工代表和指定的管理者代表</w:t>
      </w:r>
      <w:r>
        <w:t>。</w:t>
      </w:r>
    </w:p>
    <w:p>
      <w:pPr>
        <w:spacing w:line="400" w:lineRule="atLeast"/>
        <w:ind w:firstLine="420" w:firstLineChars="200"/>
      </w:pPr>
      <w:r>
        <w:rPr>
          <w:rFonts w:hint="eastAsia"/>
        </w:rPr>
        <w:t>——存在影响分包方人员职业健康安全的变化时，与其协商。</w:t>
      </w:r>
    </w:p>
    <w:p>
      <w:pPr>
        <w:spacing w:line="400" w:lineRule="atLeast"/>
        <w:ind w:firstLine="420" w:firstLineChars="200"/>
      </w:pPr>
      <w:r>
        <w:rPr>
          <w:rFonts w:hint="eastAsia"/>
        </w:rPr>
        <w:t>组织应确保，适当时就相关的职业健康安全事务和外部相关方进行协商</w:t>
      </w:r>
    </w:p>
    <w:p>
      <w:pPr>
        <w:spacing w:line="400" w:lineRule="atLeast"/>
        <w:ind w:firstLine="420" w:firstLineChars="200"/>
        <w:rPr>
          <w:rFonts w:eastAsiaTheme="minorEastAsia"/>
          <w:szCs w:val="21"/>
        </w:rPr>
      </w:pPr>
      <w:r>
        <w:rPr>
          <w:rFonts w:hint="eastAsia"/>
        </w:rPr>
        <w:t>《</w:t>
      </w:r>
      <w:r>
        <w:rPr>
          <w:rFonts w:hint="eastAsia"/>
          <w:lang w:eastAsia="zh-CN"/>
        </w:rPr>
        <w:t xml:space="preserve">协商、沟通和信息交流管理程序 </w:t>
      </w:r>
      <w:r>
        <w:rPr>
          <w:rFonts w:eastAsiaTheme="minorEastAsia"/>
          <w:szCs w:val="21"/>
        </w:rPr>
        <w:t>》</w:t>
      </w:r>
      <w:r>
        <w:rPr>
          <w:color w:val="000000"/>
          <w:szCs w:val="21"/>
        </w:rPr>
        <w:t>规定了公司内外环境信息交流的方法和程序。规定公司内部的各部门之间及各层次之间的信息交流的程序。规定了与外部相关单位和个人就有关环境因素/危险源及环境管理体系的信息的接收、形成文件和答复的程序。涉及重要环境因素/危险源的外部联络及处理方法，并记录其决定。</w:t>
      </w:r>
    </w:p>
    <w:p>
      <w:pPr>
        <w:ind w:firstLine="560"/>
        <w:rPr>
          <w:b/>
          <w:szCs w:val="21"/>
        </w:rPr>
      </w:pPr>
      <w:r>
        <w:rPr>
          <w:b/>
          <w:szCs w:val="21"/>
        </w:rPr>
        <w:t>7.5文件化信息（S8）</w:t>
      </w:r>
    </w:p>
    <w:p>
      <w:pPr>
        <w:ind w:firstLine="560"/>
        <w:rPr>
          <w:b/>
          <w:szCs w:val="21"/>
        </w:rPr>
      </w:pPr>
      <w:r>
        <w:rPr>
          <w:b/>
          <w:szCs w:val="21"/>
        </w:rPr>
        <w:t>7.5.1总则</w:t>
      </w:r>
    </w:p>
    <w:p>
      <w:pPr>
        <w:ind w:left="559" w:leftChars="266"/>
        <w:rPr>
          <w:szCs w:val="21"/>
        </w:rPr>
      </w:pPr>
      <w:r>
        <w:rPr>
          <w:szCs w:val="21"/>
        </w:rPr>
        <w:t>公司质量/环境/安全管理体系包括以下要求：标准所要求的文件信息及确定的为确保质量/环境/安全管理体系有效运行所需的文件化信息。</w:t>
      </w:r>
    </w:p>
    <w:p>
      <w:pPr>
        <w:ind w:left="525" w:leftChars="250" w:firstLine="33" w:firstLineChars="16"/>
        <w:rPr>
          <w:szCs w:val="21"/>
        </w:rPr>
      </w:pPr>
      <w:r>
        <w:t>公司建立</w:t>
      </w:r>
      <w:r>
        <w:rPr>
          <w:szCs w:val="21"/>
        </w:rPr>
        <w:t>《</w:t>
      </w:r>
      <w:r>
        <w:rPr>
          <w:rFonts w:hint="eastAsia"/>
          <w:lang w:eastAsia="zh-CN"/>
        </w:rPr>
        <w:t>文件控制程序</w:t>
      </w:r>
      <w:r>
        <w:rPr>
          <w:szCs w:val="21"/>
        </w:rPr>
        <w:t>》,并根据自身规模、活动类型、过程、产品和服务，过程及其相互作用的复杂程度及人员的能力对文件的数量与详略程度进行总体策划和控制。</w:t>
      </w:r>
    </w:p>
    <w:p>
      <w:pPr>
        <w:ind w:firstLine="560"/>
        <w:rPr>
          <w:b/>
          <w:szCs w:val="21"/>
        </w:rPr>
      </w:pPr>
      <w:r>
        <w:rPr>
          <w:b/>
          <w:szCs w:val="21"/>
        </w:rPr>
        <w:t>7.5.2创建和更新</w:t>
      </w:r>
    </w:p>
    <w:p>
      <w:pPr>
        <w:ind w:firstLine="560"/>
        <w:rPr>
          <w:szCs w:val="21"/>
        </w:rPr>
      </w:pPr>
      <w:r>
        <w:rPr>
          <w:szCs w:val="21"/>
        </w:rPr>
        <w:t>公司在创建和更新文件时，要确保适当的：</w:t>
      </w:r>
    </w:p>
    <w:p>
      <w:pPr>
        <w:ind w:firstLine="560"/>
        <w:rPr>
          <w:szCs w:val="21"/>
        </w:rPr>
      </w:pPr>
      <w:r>
        <w:rPr>
          <w:szCs w:val="21"/>
        </w:rPr>
        <w:t xml:space="preserve">a)标识和说明（例如：标题、日期、作者、索引编号等) </w:t>
      </w:r>
    </w:p>
    <w:p>
      <w:pPr>
        <w:ind w:firstLine="560"/>
        <w:rPr>
          <w:szCs w:val="21"/>
        </w:rPr>
      </w:pPr>
      <w:r>
        <w:rPr>
          <w:szCs w:val="21"/>
        </w:rPr>
        <w:t>b)格式（例如：语言、软件版本、图示)和媒介（例如：纸质、电子格式）</w:t>
      </w:r>
    </w:p>
    <w:p>
      <w:pPr>
        <w:ind w:firstLine="560"/>
        <w:rPr>
          <w:szCs w:val="21"/>
        </w:rPr>
      </w:pPr>
      <w:r>
        <w:rPr>
          <w:szCs w:val="21"/>
        </w:rPr>
        <w:t>c)评审和批准以确保适宜性和充分性</w:t>
      </w:r>
    </w:p>
    <w:p>
      <w:pPr>
        <w:ind w:firstLine="560"/>
        <w:rPr>
          <w:b/>
          <w:szCs w:val="21"/>
        </w:rPr>
      </w:pPr>
      <w:r>
        <w:rPr>
          <w:b/>
          <w:szCs w:val="21"/>
        </w:rPr>
        <w:t>7.5.3文件化信息的控制</w:t>
      </w:r>
    </w:p>
    <w:p>
      <w:pPr>
        <w:ind w:firstLine="560"/>
        <w:rPr>
          <w:szCs w:val="21"/>
        </w:rPr>
      </w:pPr>
      <w:r>
        <w:rPr>
          <w:szCs w:val="21"/>
        </w:rPr>
        <w:t>7.5.3.1公司要对质量/环境/安全管理体系和本标准所要求的形成文件的信息应进行控制，以确保：</w:t>
      </w:r>
    </w:p>
    <w:p>
      <w:pPr>
        <w:ind w:firstLine="560"/>
        <w:rPr>
          <w:szCs w:val="21"/>
        </w:rPr>
      </w:pPr>
      <w:r>
        <w:rPr>
          <w:szCs w:val="21"/>
        </w:rPr>
        <w:t>a)需要文件的场所能获得适用的文件</w:t>
      </w:r>
    </w:p>
    <w:p>
      <w:pPr>
        <w:ind w:firstLine="560"/>
        <w:rPr>
          <w:szCs w:val="21"/>
        </w:rPr>
      </w:pPr>
      <w:r>
        <w:rPr>
          <w:szCs w:val="21"/>
        </w:rPr>
        <w:t>b)文件得到充分保护，如防止泄密、误用、缺损。</w:t>
      </w:r>
    </w:p>
    <w:p>
      <w:pPr>
        <w:ind w:firstLine="560"/>
        <w:rPr>
          <w:szCs w:val="21"/>
        </w:rPr>
      </w:pPr>
      <w:r>
        <w:rPr>
          <w:szCs w:val="21"/>
        </w:rPr>
        <w:t>7.5.3.2适用时，公司要对以下文件活动进行控制：</w:t>
      </w:r>
    </w:p>
    <w:p>
      <w:pPr>
        <w:ind w:firstLine="560"/>
        <w:rPr>
          <w:szCs w:val="21"/>
        </w:rPr>
      </w:pPr>
      <w:r>
        <w:rPr>
          <w:szCs w:val="21"/>
        </w:rPr>
        <w:t>a)分发、访问、回收、使用；</w:t>
      </w:r>
    </w:p>
    <w:p>
      <w:pPr>
        <w:ind w:firstLine="560"/>
        <w:rPr>
          <w:szCs w:val="21"/>
        </w:rPr>
      </w:pPr>
      <w:r>
        <w:rPr>
          <w:szCs w:val="21"/>
        </w:rPr>
        <w:t>b)存放、保护，包括保持清晰；</w:t>
      </w:r>
    </w:p>
    <w:p>
      <w:pPr>
        <w:ind w:firstLine="560"/>
        <w:rPr>
          <w:szCs w:val="21"/>
        </w:rPr>
      </w:pPr>
      <w:r>
        <w:rPr>
          <w:szCs w:val="21"/>
        </w:rPr>
        <w:t>c)更改的控制（如：版本控制)；</w:t>
      </w:r>
    </w:p>
    <w:p>
      <w:pPr>
        <w:ind w:firstLine="560"/>
        <w:rPr>
          <w:szCs w:val="21"/>
        </w:rPr>
      </w:pPr>
      <w:r>
        <w:rPr>
          <w:szCs w:val="21"/>
        </w:rPr>
        <w:t>d)保留和处置。</w:t>
      </w:r>
    </w:p>
    <w:p>
      <w:pPr>
        <w:ind w:firstLine="945" w:firstLineChars="450"/>
        <w:rPr>
          <w:szCs w:val="21"/>
        </w:rPr>
      </w:pPr>
      <w:r>
        <w:rPr>
          <w:szCs w:val="21"/>
        </w:rPr>
        <w:t>同时对所确定的策划和运行质量/环境/安全管理体系所需的外来文件进行识别和确保控制。</w:t>
      </w:r>
    </w:p>
    <w:p>
      <w:pPr>
        <w:ind w:firstLine="560"/>
        <w:rPr>
          <w:szCs w:val="21"/>
        </w:rPr>
      </w:pPr>
      <w:r>
        <w:rPr>
          <w:szCs w:val="21"/>
        </w:rPr>
        <w:t>注：“访问”指仅得到查阅文件的许可，或授权查阅和修改文件。</w:t>
      </w:r>
    </w:p>
    <w:p>
      <w:pPr>
        <w:ind w:firstLine="560"/>
        <w:rPr>
          <w:b/>
          <w:szCs w:val="21"/>
        </w:rPr>
      </w:pPr>
      <w:r>
        <w:rPr>
          <w:b/>
          <w:szCs w:val="21"/>
        </w:rPr>
        <w:t>8运行</w:t>
      </w:r>
    </w:p>
    <w:p>
      <w:pPr>
        <w:ind w:firstLine="560"/>
        <w:rPr>
          <w:b/>
          <w:szCs w:val="21"/>
        </w:rPr>
      </w:pPr>
      <w:r>
        <w:rPr>
          <w:b/>
          <w:szCs w:val="21"/>
        </w:rPr>
        <w:t>8.1运行策划和控制（S9）</w:t>
      </w:r>
    </w:p>
    <w:p>
      <w:pPr>
        <w:ind w:firstLine="560"/>
        <w:rPr>
          <w:szCs w:val="21"/>
        </w:rPr>
      </w:pPr>
      <w:r>
        <w:rPr>
          <w:rFonts w:hint="eastAsia"/>
          <w:szCs w:val="21"/>
        </w:rPr>
        <w:t>质量体系方面：</w:t>
      </w:r>
      <w:r>
        <w:rPr>
          <w:szCs w:val="21"/>
        </w:rPr>
        <w:t>为提供满足顾客要求的产品和服务，公司要实施过程以确定以下内容，适用时包括：</w:t>
      </w:r>
    </w:p>
    <w:p>
      <w:pPr>
        <w:ind w:firstLine="560"/>
        <w:rPr>
          <w:szCs w:val="21"/>
        </w:rPr>
      </w:pPr>
      <w:r>
        <w:rPr>
          <w:szCs w:val="21"/>
        </w:rPr>
        <w:t>a)产品和服务的要求，并考虑相关的质量目标；</w:t>
      </w:r>
    </w:p>
    <w:p>
      <w:pPr>
        <w:ind w:firstLine="560"/>
        <w:rPr>
          <w:szCs w:val="21"/>
        </w:rPr>
      </w:pPr>
      <w:r>
        <w:rPr>
          <w:szCs w:val="21"/>
        </w:rPr>
        <w:t>b)识别和应对与实现产品和服务满足要求所涉及的风险相关的措施；</w:t>
      </w:r>
    </w:p>
    <w:p>
      <w:pPr>
        <w:ind w:firstLine="560"/>
        <w:rPr>
          <w:szCs w:val="21"/>
        </w:rPr>
      </w:pPr>
      <w:r>
        <w:rPr>
          <w:szCs w:val="21"/>
        </w:rPr>
        <w:t>c)针对产品和服务确定资源的需求；</w:t>
      </w:r>
    </w:p>
    <w:p>
      <w:pPr>
        <w:ind w:firstLine="560"/>
        <w:rPr>
          <w:szCs w:val="21"/>
        </w:rPr>
      </w:pPr>
      <w:r>
        <w:rPr>
          <w:szCs w:val="21"/>
        </w:rPr>
        <w:t>d)产品和服务的接收准则，建立过程准则，按准则要求实施过程控制；</w:t>
      </w:r>
    </w:p>
    <w:p>
      <w:pPr>
        <w:ind w:firstLine="560"/>
        <w:rPr>
          <w:szCs w:val="21"/>
        </w:rPr>
      </w:pPr>
      <w:r>
        <w:rPr>
          <w:szCs w:val="21"/>
        </w:rPr>
        <w:t>e)产品和服务所要求的验证、确认、监视、检验和试验活动；</w:t>
      </w:r>
    </w:p>
    <w:p>
      <w:pPr>
        <w:ind w:firstLine="560"/>
        <w:rPr>
          <w:szCs w:val="21"/>
        </w:rPr>
      </w:pPr>
      <w:r>
        <w:rPr>
          <w:szCs w:val="21"/>
        </w:rPr>
        <w:t>f)绩效数据的形成和沟通；</w:t>
      </w:r>
    </w:p>
    <w:p>
      <w:pPr>
        <w:ind w:firstLine="560"/>
        <w:rPr>
          <w:szCs w:val="21"/>
        </w:rPr>
      </w:pPr>
      <w:r>
        <w:rPr>
          <w:szCs w:val="21"/>
        </w:rPr>
        <w:t>g)可追溯性、产品防护、产品和服务交付及交付后活动的要求；</w:t>
      </w:r>
    </w:p>
    <w:p>
      <w:pPr>
        <w:ind w:firstLine="560"/>
        <w:rPr>
          <w:szCs w:val="21"/>
        </w:rPr>
      </w:pPr>
      <w:r>
        <w:rPr>
          <w:szCs w:val="21"/>
        </w:rPr>
        <w:t>策划的输出形式应便于公司的运作。</w:t>
      </w:r>
    </w:p>
    <w:p>
      <w:pPr>
        <w:ind w:firstLine="560"/>
        <w:rPr>
          <w:szCs w:val="21"/>
        </w:rPr>
      </w:pPr>
      <w:r>
        <w:rPr>
          <w:szCs w:val="21"/>
        </w:rPr>
        <w:t>公司对任何影响产品和服务提供的外包过程均要进行识别和控制（8.4）。</w:t>
      </w:r>
    </w:p>
    <w:p>
      <w:pPr>
        <w:autoSpaceDE w:val="0"/>
        <w:autoSpaceDN w:val="0"/>
        <w:adjustRightInd w:val="0"/>
        <w:ind w:left="525" w:leftChars="250"/>
        <w:jc w:val="left"/>
        <w:rPr>
          <w:color w:val="000000"/>
          <w:kern w:val="0"/>
          <w:szCs w:val="21"/>
        </w:rPr>
      </w:pPr>
      <w:r>
        <w:rPr>
          <w:rFonts w:hint="eastAsia"/>
          <w:color w:val="000000"/>
          <w:kern w:val="0"/>
          <w:szCs w:val="21"/>
        </w:rPr>
        <w:t>环境体系方面：</w:t>
      </w:r>
      <w:r>
        <w:rPr>
          <w:color w:val="000000"/>
          <w:kern w:val="0"/>
          <w:szCs w:val="21"/>
        </w:rPr>
        <w:t>公司应确保对外包过程实施控制或施加影响。应在环境管理体系内规定对这些过程实施控制或施加影响的类型与程度。</w:t>
      </w:r>
    </w:p>
    <w:p>
      <w:pPr>
        <w:autoSpaceDE w:val="0"/>
        <w:autoSpaceDN w:val="0"/>
        <w:adjustRightInd w:val="0"/>
        <w:ind w:firstLine="525" w:firstLineChars="250"/>
        <w:jc w:val="left"/>
        <w:rPr>
          <w:color w:val="000000"/>
          <w:kern w:val="0"/>
          <w:szCs w:val="21"/>
        </w:rPr>
      </w:pPr>
      <w:r>
        <w:rPr>
          <w:color w:val="000000"/>
          <w:kern w:val="0"/>
          <w:szCs w:val="21"/>
        </w:rPr>
        <w:t>从生命周期观点出发，公司应</w:t>
      </w:r>
      <w:r>
        <w:rPr>
          <w:rFonts w:hint="eastAsia"/>
          <w:color w:val="000000"/>
          <w:kern w:val="0"/>
          <w:szCs w:val="21"/>
        </w:rPr>
        <w:t>：</w:t>
      </w:r>
    </w:p>
    <w:p>
      <w:pPr>
        <w:autoSpaceDE w:val="0"/>
        <w:autoSpaceDN w:val="0"/>
        <w:adjustRightInd w:val="0"/>
        <w:ind w:left="525" w:leftChars="250"/>
        <w:jc w:val="left"/>
        <w:rPr>
          <w:color w:val="000000"/>
          <w:kern w:val="0"/>
          <w:szCs w:val="21"/>
        </w:rPr>
      </w:pPr>
      <w:r>
        <w:rPr>
          <w:color w:val="000000"/>
          <w:kern w:val="0"/>
          <w:szCs w:val="21"/>
        </w:rPr>
        <w:t>a）适当时，制定控制措施，确保在产品或服务设计和开发过程中，考虑其生命周期的每一阶段，并提出环境要求；</w:t>
      </w:r>
    </w:p>
    <w:p>
      <w:pPr>
        <w:autoSpaceDE w:val="0"/>
        <w:autoSpaceDN w:val="0"/>
        <w:adjustRightInd w:val="0"/>
        <w:ind w:firstLine="525" w:firstLineChars="250"/>
        <w:jc w:val="left"/>
        <w:rPr>
          <w:color w:val="000000"/>
          <w:kern w:val="0"/>
          <w:szCs w:val="21"/>
        </w:rPr>
      </w:pPr>
      <w:r>
        <w:rPr>
          <w:color w:val="000000"/>
          <w:kern w:val="0"/>
          <w:szCs w:val="21"/>
        </w:rPr>
        <w:t>b）适当时，确定产品和服务采购的环境要求；</w:t>
      </w:r>
    </w:p>
    <w:p>
      <w:pPr>
        <w:autoSpaceDE w:val="0"/>
        <w:autoSpaceDN w:val="0"/>
        <w:adjustRightInd w:val="0"/>
        <w:ind w:firstLine="525" w:firstLineChars="250"/>
        <w:jc w:val="left"/>
        <w:rPr>
          <w:color w:val="000000"/>
          <w:kern w:val="0"/>
          <w:szCs w:val="21"/>
        </w:rPr>
      </w:pPr>
      <w:r>
        <w:rPr>
          <w:color w:val="000000"/>
          <w:kern w:val="0"/>
          <w:szCs w:val="21"/>
        </w:rPr>
        <w:t>c）与外部供方（包括合同方）沟通其相关环境要求；</w:t>
      </w:r>
    </w:p>
    <w:p>
      <w:pPr>
        <w:ind w:left="525" w:leftChars="250"/>
        <w:rPr>
          <w:szCs w:val="21"/>
        </w:rPr>
      </w:pPr>
      <w:r>
        <w:rPr>
          <w:color w:val="000000"/>
          <w:kern w:val="0"/>
          <w:szCs w:val="21"/>
        </w:rPr>
        <w:t>d）考虑提供与产品或服务的运输或交付、使用、寿命结束后处理和最终处置相关的潜在重大环境影响的信息的需求。</w:t>
      </w:r>
    </w:p>
    <w:p>
      <w:pPr>
        <w:ind w:firstLine="560"/>
        <w:rPr>
          <w:szCs w:val="21"/>
        </w:rPr>
      </w:pPr>
      <w:r>
        <w:rPr>
          <w:szCs w:val="21"/>
        </w:rPr>
        <w:t>公司应保持必要的文件化信息，以确信过程已按策划得到实施。</w:t>
      </w:r>
    </w:p>
    <w:p>
      <w:pPr>
        <w:ind w:left="945" w:leftChars="250" w:hanging="420" w:hangingChars="200"/>
        <w:rPr>
          <w:kern w:val="0"/>
          <w:szCs w:val="21"/>
        </w:rPr>
      </w:pPr>
      <w:r>
        <w:rPr>
          <w:rFonts w:hint="eastAsia"/>
          <w:kern w:val="0"/>
          <w:szCs w:val="21"/>
        </w:rPr>
        <w:t>安全体系方面：组织应策划、实施并控制满足职业健康安全管理体系要求以及实施条款6所确定的措施所需的过程，通过：</w:t>
      </w:r>
    </w:p>
    <w:p>
      <w:pPr>
        <w:widowControl/>
        <w:ind w:firstLine="630" w:firstLineChars="300"/>
        <w:jc w:val="left"/>
        <w:rPr>
          <w:kern w:val="0"/>
          <w:szCs w:val="21"/>
        </w:rPr>
      </w:pPr>
      <w:r>
        <w:rPr>
          <w:rFonts w:hint="eastAsia"/>
          <w:kern w:val="0"/>
          <w:szCs w:val="21"/>
        </w:rPr>
        <w:t>a) 建立过程准则；</w:t>
      </w:r>
    </w:p>
    <w:p>
      <w:pPr>
        <w:widowControl/>
        <w:ind w:firstLine="630" w:firstLineChars="300"/>
        <w:jc w:val="left"/>
        <w:rPr>
          <w:kern w:val="0"/>
          <w:szCs w:val="21"/>
        </w:rPr>
      </w:pPr>
      <w:r>
        <w:rPr>
          <w:rFonts w:hint="eastAsia"/>
          <w:kern w:val="0"/>
          <w:szCs w:val="21"/>
        </w:rPr>
        <w:t>b) 按照准则实施过程控制；</w:t>
      </w:r>
    </w:p>
    <w:p>
      <w:pPr>
        <w:widowControl/>
        <w:ind w:firstLine="630" w:firstLineChars="300"/>
        <w:jc w:val="left"/>
        <w:rPr>
          <w:kern w:val="0"/>
          <w:szCs w:val="21"/>
        </w:rPr>
      </w:pPr>
      <w:r>
        <w:rPr>
          <w:rFonts w:hint="eastAsia"/>
          <w:kern w:val="0"/>
          <w:szCs w:val="21"/>
        </w:rPr>
        <w:t>c) 保持必要的文件化信息，以确信过程已按策划得到实施；</w:t>
      </w:r>
    </w:p>
    <w:p>
      <w:pPr>
        <w:widowControl/>
        <w:ind w:firstLine="630" w:firstLineChars="300"/>
        <w:jc w:val="left"/>
        <w:rPr>
          <w:kern w:val="0"/>
          <w:szCs w:val="21"/>
        </w:rPr>
      </w:pPr>
      <w:r>
        <w:rPr>
          <w:rFonts w:hint="eastAsia"/>
          <w:kern w:val="0"/>
          <w:szCs w:val="21"/>
        </w:rPr>
        <w:t>d) 确定因缺乏文件化信息而可能偏离职业健康安全方针和职业健康安全目标的情况；</w:t>
      </w:r>
    </w:p>
    <w:p>
      <w:pPr>
        <w:widowControl/>
        <w:ind w:firstLine="630" w:firstLineChars="300"/>
        <w:jc w:val="left"/>
        <w:rPr>
          <w:kern w:val="0"/>
          <w:szCs w:val="21"/>
        </w:rPr>
      </w:pPr>
      <w:r>
        <w:rPr>
          <w:rFonts w:hint="eastAsia"/>
          <w:kern w:val="0"/>
          <w:szCs w:val="21"/>
        </w:rPr>
        <w:t>e) 使工作适合于员工。</w:t>
      </w:r>
    </w:p>
    <w:p>
      <w:pPr>
        <w:widowControl/>
        <w:ind w:left="840" w:leftChars="400"/>
        <w:jc w:val="left"/>
        <w:rPr>
          <w:kern w:val="0"/>
          <w:szCs w:val="21"/>
        </w:rPr>
      </w:pPr>
      <w:r>
        <w:rPr>
          <w:rFonts w:hint="eastAsia"/>
          <w:kern w:val="0"/>
          <w:szCs w:val="21"/>
        </w:rPr>
        <w:t>在存在多个雇主的工作场所，组织应实施一个过程用以协调职业健康安全管理体系相关各方与其它组织。</w:t>
      </w:r>
    </w:p>
    <w:p>
      <w:pPr>
        <w:widowControl/>
        <w:ind w:firstLine="630" w:firstLineChars="300"/>
        <w:jc w:val="left"/>
        <w:rPr>
          <w:kern w:val="0"/>
          <w:szCs w:val="21"/>
        </w:rPr>
      </w:pPr>
      <w:r>
        <w:rPr>
          <w:rFonts w:hint="eastAsia"/>
          <w:kern w:val="0"/>
          <w:szCs w:val="21"/>
        </w:rPr>
        <w:t>8.1.2 控制层级</w:t>
      </w:r>
    </w:p>
    <w:p>
      <w:pPr>
        <w:widowControl/>
        <w:ind w:firstLine="630" w:firstLineChars="300"/>
        <w:jc w:val="left"/>
        <w:rPr>
          <w:kern w:val="0"/>
          <w:szCs w:val="21"/>
        </w:rPr>
      </w:pPr>
      <w:r>
        <w:rPr>
          <w:rFonts w:hint="eastAsia"/>
          <w:kern w:val="0"/>
          <w:szCs w:val="21"/>
        </w:rPr>
        <w:t>组织应建立一个过程并确定实现减少职业健康安全风险的控制措施，通过运用下面的层级：</w:t>
      </w:r>
    </w:p>
    <w:p>
      <w:pPr>
        <w:widowControl/>
        <w:ind w:firstLine="630" w:firstLineChars="300"/>
        <w:jc w:val="left"/>
        <w:rPr>
          <w:kern w:val="0"/>
          <w:szCs w:val="21"/>
        </w:rPr>
      </w:pPr>
      <w:r>
        <w:rPr>
          <w:rFonts w:hint="eastAsia"/>
          <w:kern w:val="0"/>
          <w:szCs w:val="21"/>
        </w:rPr>
        <w:t>a) 消除危险源；</w:t>
      </w:r>
    </w:p>
    <w:p>
      <w:pPr>
        <w:widowControl/>
        <w:ind w:firstLine="630" w:firstLineChars="300"/>
        <w:jc w:val="left"/>
        <w:rPr>
          <w:kern w:val="0"/>
          <w:szCs w:val="21"/>
        </w:rPr>
      </w:pPr>
      <w:r>
        <w:rPr>
          <w:rFonts w:hint="eastAsia"/>
          <w:kern w:val="0"/>
          <w:szCs w:val="21"/>
        </w:rPr>
        <w:t>b) 用危险性较低的材料、过程、运行或设备替代；</w:t>
      </w:r>
    </w:p>
    <w:p>
      <w:pPr>
        <w:widowControl/>
        <w:ind w:firstLine="630" w:firstLineChars="300"/>
        <w:jc w:val="left"/>
        <w:rPr>
          <w:kern w:val="0"/>
          <w:szCs w:val="21"/>
        </w:rPr>
      </w:pPr>
      <w:r>
        <w:rPr>
          <w:rFonts w:hint="eastAsia"/>
          <w:kern w:val="0"/>
          <w:szCs w:val="21"/>
        </w:rPr>
        <w:t>c) 运用工程控制措施；</w:t>
      </w:r>
    </w:p>
    <w:p>
      <w:pPr>
        <w:widowControl/>
        <w:ind w:firstLine="630" w:firstLineChars="300"/>
        <w:jc w:val="left"/>
        <w:rPr>
          <w:kern w:val="0"/>
          <w:szCs w:val="21"/>
        </w:rPr>
      </w:pPr>
      <w:r>
        <w:rPr>
          <w:rFonts w:hint="eastAsia"/>
          <w:kern w:val="0"/>
          <w:szCs w:val="21"/>
        </w:rPr>
        <w:t>d) 运用管理控制措施；</w:t>
      </w:r>
    </w:p>
    <w:p>
      <w:pPr>
        <w:ind w:left="945" w:leftChars="250" w:hanging="420" w:hangingChars="200"/>
        <w:rPr>
          <w:kern w:val="0"/>
          <w:szCs w:val="21"/>
        </w:rPr>
      </w:pPr>
      <w:r>
        <w:rPr>
          <w:rFonts w:hint="eastAsia"/>
          <w:kern w:val="0"/>
          <w:szCs w:val="21"/>
        </w:rPr>
        <w:t>e) 提供并确保使用充分的个人防护装备。</w:t>
      </w:r>
    </w:p>
    <w:p>
      <w:pPr>
        <w:ind w:left="945" w:leftChars="250" w:hanging="420" w:hangingChars="200"/>
        <w:rPr>
          <w:kern w:val="0"/>
          <w:szCs w:val="21"/>
        </w:rPr>
      </w:pPr>
      <w:r>
        <w:rPr>
          <w:rFonts w:hint="eastAsia"/>
          <w:kern w:val="0"/>
          <w:szCs w:val="21"/>
        </w:rPr>
        <w:t>8</w:t>
      </w:r>
      <w:r>
        <w:rPr>
          <w:kern w:val="0"/>
          <w:szCs w:val="21"/>
        </w:rPr>
        <w:t>.1.3</w:t>
      </w:r>
      <w:r>
        <w:rPr>
          <w:rFonts w:hint="eastAsia"/>
          <w:kern w:val="0"/>
          <w:szCs w:val="21"/>
        </w:rPr>
        <w:t>变更管理</w:t>
      </w:r>
    </w:p>
    <w:p>
      <w:pPr>
        <w:ind w:left="945" w:leftChars="250" w:hanging="420" w:hangingChars="200"/>
        <w:rPr>
          <w:kern w:val="0"/>
          <w:szCs w:val="21"/>
        </w:rPr>
      </w:pPr>
      <w:r>
        <w:rPr>
          <w:rFonts w:hint="eastAsia"/>
          <w:kern w:val="0"/>
          <w:szCs w:val="21"/>
        </w:rPr>
        <w:t>组织应建立一个过程，以实施和控制影响职业健康安全绩效的有计划的变更，例如：</w:t>
      </w:r>
    </w:p>
    <w:p>
      <w:pPr>
        <w:ind w:left="945" w:leftChars="250" w:hanging="420" w:hangingChars="200"/>
        <w:rPr>
          <w:kern w:val="0"/>
          <w:szCs w:val="21"/>
        </w:rPr>
      </w:pPr>
      <w:r>
        <w:rPr>
          <w:rFonts w:hint="eastAsia"/>
          <w:kern w:val="0"/>
          <w:szCs w:val="21"/>
        </w:rPr>
        <w:t>a) 新的产品、过程或服务；</w:t>
      </w:r>
    </w:p>
    <w:p>
      <w:pPr>
        <w:ind w:left="945" w:leftChars="250" w:hanging="420" w:hangingChars="200"/>
        <w:rPr>
          <w:kern w:val="0"/>
          <w:szCs w:val="21"/>
        </w:rPr>
      </w:pPr>
      <w:r>
        <w:rPr>
          <w:rFonts w:hint="eastAsia"/>
          <w:kern w:val="0"/>
          <w:szCs w:val="21"/>
        </w:rPr>
        <w:t>b) 工作过程、程序、设备或组织结构的变更；</w:t>
      </w:r>
    </w:p>
    <w:p>
      <w:pPr>
        <w:ind w:left="945" w:leftChars="250" w:hanging="420" w:hangingChars="200"/>
        <w:rPr>
          <w:kern w:val="0"/>
          <w:szCs w:val="21"/>
        </w:rPr>
      </w:pPr>
      <w:r>
        <w:rPr>
          <w:rFonts w:hint="eastAsia"/>
          <w:kern w:val="0"/>
          <w:szCs w:val="21"/>
        </w:rPr>
        <w:t>c) 适用的法律法规要求和其他要求的变更；</w:t>
      </w:r>
    </w:p>
    <w:p>
      <w:pPr>
        <w:ind w:left="945" w:leftChars="250" w:hanging="420" w:hangingChars="200"/>
        <w:rPr>
          <w:kern w:val="0"/>
          <w:szCs w:val="21"/>
        </w:rPr>
      </w:pPr>
      <w:r>
        <w:rPr>
          <w:rFonts w:hint="eastAsia"/>
          <w:kern w:val="0"/>
          <w:szCs w:val="21"/>
        </w:rPr>
        <w:t>d) 有关危险源和相关的职业健康安全风险的知识或信息的变更；</w:t>
      </w:r>
    </w:p>
    <w:p>
      <w:pPr>
        <w:ind w:left="945" w:leftChars="250" w:hanging="420" w:hangingChars="200"/>
        <w:rPr>
          <w:kern w:val="0"/>
          <w:szCs w:val="21"/>
        </w:rPr>
      </w:pPr>
      <w:r>
        <w:rPr>
          <w:rFonts w:hint="eastAsia"/>
          <w:kern w:val="0"/>
          <w:szCs w:val="21"/>
        </w:rPr>
        <w:t>e) 知识和技术的发展。</w:t>
      </w:r>
    </w:p>
    <w:p>
      <w:pPr>
        <w:ind w:left="945" w:leftChars="250" w:hanging="420" w:hangingChars="200"/>
        <w:rPr>
          <w:kern w:val="0"/>
          <w:szCs w:val="21"/>
        </w:rPr>
      </w:pPr>
      <w:r>
        <w:rPr>
          <w:rFonts w:hint="eastAsia"/>
          <w:kern w:val="0"/>
          <w:szCs w:val="21"/>
        </w:rPr>
        <w:t>组织应控制临时性的和永久性的变更，以推动职业健康安全机遇，并确保其不会对职业健康安全绩效产生不利的影响。</w:t>
      </w:r>
    </w:p>
    <w:p>
      <w:pPr>
        <w:ind w:left="945" w:leftChars="250" w:hanging="420" w:hangingChars="200"/>
        <w:rPr>
          <w:kern w:val="0"/>
          <w:szCs w:val="21"/>
        </w:rPr>
      </w:pPr>
      <w:r>
        <w:rPr>
          <w:rFonts w:hint="eastAsia"/>
          <w:kern w:val="0"/>
          <w:szCs w:val="21"/>
        </w:rPr>
        <w:t>组织应对非预期性变更的后果予以评审，必要时，应采取措施降低任何不利影响，包括应对潜在的机遇（见条款6)。</w:t>
      </w:r>
    </w:p>
    <w:p>
      <w:pPr>
        <w:ind w:left="945" w:leftChars="250" w:hanging="420" w:hangingChars="200"/>
        <w:rPr>
          <w:kern w:val="0"/>
          <w:szCs w:val="21"/>
        </w:rPr>
      </w:pPr>
      <w:r>
        <w:rPr>
          <w:rFonts w:hint="eastAsia"/>
          <w:kern w:val="0"/>
          <w:szCs w:val="21"/>
        </w:rPr>
        <w:t>8</w:t>
      </w:r>
      <w:r>
        <w:rPr>
          <w:kern w:val="0"/>
          <w:szCs w:val="21"/>
        </w:rPr>
        <w:t>.1.4</w:t>
      </w:r>
      <w:r>
        <w:rPr>
          <w:rFonts w:hint="eastAsia"/>
          <w:kern w:val="0"/>
          <w:szCs w:val="21"/>
        </w:rPr>
        <w:t>采购</w:t>
      </w:r>
    </w:p>
    <w:p>
      <w:pPr>
        <w:ind w:left="945" w:leftChars="250" w:hanging="420" w:hangingChars="200"/>
        <w:rPr>
          <w:kern w:val="0"/>
          <w:szCs w:val="21"/>
        </w:rPr>
      </w:pPr>
      <w:r>
        <w:rPr>
          <w:kern w:val="0"/>
          <w:szCs w:val="21"/>
        </w:rPr>
        <w:t>8.1.4.1</w:t>
      </w:r>
      <w:r>
        <w:rPr>
          <w:rFonts w:hint="eastAsia"/>
          <w:kern w:val="0"/>
          <w:szCs w:val="21"/>
        </w:rPr>
        <w:t>总则</w:t>
      </w:r>
    </w:p>
    <w:p>
      <w:pPr>
        <w:ind w:left="945" w:leftChars="250" w:hanging="420" w:hangingChars="200"/>
        <w:rPr>
          <w:kern w:val="0"/>
          <w:szCs w:val="21"/>
        </w:rPr>
      </w:pPr>
      <w:r>
        <w:rPr>
          <w:rFonts w:hint="eastAsia"/>
          <w:kern w:val="0"/>
          <w:szCs w:val="21"/>
        </w:rPr>
        <w:t>组织应确保对影响其职业健康安全管理体系的外包过程实施控制。应在职业健康安全管理体系内规定对这些过程实施控制的类型和程度。</w:t>
      </w:r>
    </w:p>
    <w:p>
      <w:pPr>
        <w:ind w:left="945" w:leftChars="250" w:hanging="420" w:hangingChars="200"/>
        <w:rPr>
          <w:kern w:val="0"/>
          <w:szCs w:val="21"/>
        </w:rPr>
      </w:pPr>
      <w:r>
        <w:rPr>
          <w:rFonts w:hint="eastAsia"/>
          <w:kern w:val="0"/>
          <w:szCs w:val="21"/>
        </w:rPr>
        <w:t>8</w:t>
      </w:r>
      <w:r>
        <w:rPr>
          <w:kern w:val="0"/>
          <w:szCs w:val="21"/>
        </w:rPr>
        <w:t>.1.4.2</w:t>
      </w:r>
      <w:r>
        <w:rPr>
          <w:rFonts w:hint="eastAsia"/>
          <w:kern w:val="0"/>
          <w:szCs w:val="21"/>
        </w:rPr>
        <w:t>承包商</w:t>
      </w:r>
    </w:p>
    <w:p>
      <w:pPr>
        <w:ind w:left="945" w:leftChars="250" w:hanging="420" w:hangingChars="200"/>
        <w:rPr>
          <w:kern w:val="0"/>
          <w:szCs w:val="21"/>
        </w:rPr>
      </w:pPr>
      <w:r>
        <w:rPr>
          <w:rFonts w:hint="eastAsia"/>
          <w:kern w:val="0"/>
          <w:szCs w:val="21"/>
        </w:rPr>
        <w:t>组织应建立过程，用以识别和沟通因下述情况产生的危险源并评价和控制相应的职业健康安全风险：</w:t>
      </w:r>
    </w:p>
    <w:p>
      <w:pPr>
        <w:ind w:left="945" w:leftChars="250" w:hanging="420" w:hangingChars="200"/>
        <w:rPr>
          <w:kern w:val="0"/>
          <w:szCs w:val="21"/>
        </w:rPr>
      </w:pPr>
      <w:r>
        <w:rPr>
          <w:rFonts w:hint="eastAsia"/>
          <w:kern w:val="0"/>
          <w:szCs w:val="21"/>
        </w:rPr>
        <w:t>a) 承包商的活动和运行对组织的员工；</w:t>
      </w:r>
    </w:p>
    <w:p>
      <w:pPr>
        <w:ind w:left="945" w:leftChars="250" w:hanging="420" w:hangingChars="200"/>
        <w:rPr>
          <w:kern w:val="0"/>
          <w:szCs w:val="21"/>
        </w:rPr>
      </w:pPr>
      <w:r>
        <w:rPr>
          <w:rFonts w:hint="eastAsia"/>
          <w:kern w:val="0"/>
          <w:szCs w:val="21"/>
        </w:rPr>
        <w:t>b) 组织的活动和运行对承包商的员工；</w:t>
      </w:r>
    </w:p>
    <w:p>
      <w:pPr>
        <w:ind w:left="945" w:leftChars="250" w:hanging="420" w:hangingChars="200"/>
        <w:rPr>
          <w:kern w:val="0"/>
          <w:szCs w:val="21"/>
        </w:rPr>
      </w:pPr>
      <w:r>
        <w:rPr>
          <w:rFonts w:hint="eastAsia"/>
          <w:kern w:val="0"/>
          <w:szCs w:val="21"/>
        </w:rPr>
        <w:t>c) 承包商的活动和运行对工作场所的其它相关方；</w:t>
      </w:r>
    </w:p>
    <w:p>
      <w:pPr>
        <w:ind w:left="945" w:leftChars="250" w:hanging="420" w:hangingChars="200"/>
        <w:rPr>
          <w:kern w:val="0"/>
          <w:szCs w:val="21"/>
        </w:rPr>
      </w:pPr>
      <w:r>
        <w:rPr>
          <w:rFonts w:hint="eastAsia"/>
          <w:kern w:val="0"/>
          <w:szCs w:val="21"/>
        </w:rPr>
        <w:t>d) 承包商的活动和运行对承包商自身员工。</w:t>
      </w:r>
    </w:p>
    <w:p>
      <w:pPr>
        <w:ind w:left="945" w:leftChars="250" w:hanging="420" w:hangingChars="200"/>
        <w:rPr>
          <w:kern w:val="0"/>
          <w:szCs w:val="21"/>
        </w:rPr>
      </w:pPr>
      <w:r>
        <w:rPr>
          <w:rFonts w:hint="eastAsia"/>
          <w:kern w:val="0"/>
          <w:szCs w:val="21"/>
        </w:rPr>
        <w:t>组织应建立和保持过程以确保承包商及其员工符合组织的职业健康安全管理体系要求。这些过程应包括选择承包商的职业健康安全准则。</w:t>
      </w:r>
    </w:p>
    <w:p>
      <w:pPr>
        <w:ind w:left="945" w:leftChars="250" w:hanging="420" w:hangingChars="200"/>
        <w:rPr>
          <w:kern w:val="0"/>
          <w:szCs w:val="21"/>
        </w:rPr>
      </w:pPr>
      <w:r>
        <w:rPr>
          <w:rFonts w:hint="eastAsia"/>
          <w:kern w:val="0"/>
          <w:szCs w:val="21"/>
        </w:rPr>
        <w:t>8.1.4.3 外包</w:t>
      </w:r>
    </w:p>
    <w:p>
      <w:pPr>
        <w:ind w:left="945" w:leftChars="250" w:hanging="420" w:hangingChars="200"/>
        <w:rPr>
          <w:kern w:val="0"/>
          <w:szCs w:val="21"/>
        </w:rPr>
      </w:pPr>
      <w:r>
        <w:rPr>
          <w:rFonts w:hint="eastAsia"/>
          <w:kern w:val="0"/>
          <w:szCs w:val="21"/>
        </w:rPr>
        <w:t>组织应确保外包的职能和过程受到控制</w:t>
      </w:r>
    </w:p>
    <w:p>
      <w:pPr>
        <w:ind w:left="945" w:leftChars="250" w:hanging="420" w:hangingChars="200"/>
        <w:rPr>
          <w:kern w:val="0"/>
          <w:szCs w:val="21"/>
        </w:rPr>
      </w:pPr>
      <w:r>
        <w:rPr>
          <w:rFonts w:hint="eastAsia"/>
          <w:kern w:val="0"/>
          <w:szCs w:val="21"/>
        </w:rPr>
        <w:t>组织应确保其外包安排符合法律法规和其他要求，并实现职业健康安全管理体系的预期结果</w:t>
      </w:r>
    </w:p>
    <w:p>
      <w:pPr>
        <w:ind w:left="945" w:leftChars="250" w:hanging="420" w:hangingChars="200"/>
        <w:rPr>
          <w:kern w:val="0"/>
          <w:szCs w:val="21"/>
        </w:rPr>
      </w:pPr>
      <w:r>
        <w:rPr>
          <w:rFonts w:hint="eastAsia"/>
          <w:kern w:val="0"/>
          <w:szCs w:val="21"/>
        </w:rPr>
        <w:t>职业健康安全体系应定义于这些职能和过程的管控类型和程度</w:t>
      </w:r>
    </w:p>
    <w:p>
      <w:pPr>
        <w:ind w:left="479" w:leftChars="228"/>
        <w:rPr>
          <w:rFonts w:ascii="宋体" w:hAnsi="宋体"/>
          <w:sz w:val="24"/>
          <w:szCs w:val="20"/>
        </w:rPr>
      </w:pPr>
      <w:r>
        <w:rPr>
          <w:rFonts w:hint="eastAsia" w:asciiTheme="minorEastAsia" w:hAnsiTheme="minorEastAsia" w:eastAsiaTheme="minorEastAsia"/>
          <w:szCs w:val="21"/>
        </w:rPr>
        <w:t>根据管理方针、目标和指标，确定了与重要环境因素/危险源有关的运行与活动，并对这些活动进行了策划，编制《</w:t>
      </w:r>
      <w:r>
        <w:rPr>
          <w:rFonts w:hint="eastAsia" w:asciiTheme="minorEastAsia" w:hAnsiTheme="minorEastAsia" w:eastAsiaTheme="minorEastAsia"/>
          <w:szCs w:val="21"/>
          <w:lang w:eastAsia="zh-CN"/>
        </w:rPr>
        <w:t>环境和职业健康安全运行控制程序</w:t>
      </w:r>
      <w:r>
        <w:rPr>
          <w:rFonts w:hint="eastAsia" w:asciiTheme="minorEastAsia" w:hAnsiTheme="minorEastAsia" w:eastAsiaTheme="minorEastAsia"/>
          <w:szCs w:val="21"/>
        </w:rPr>
        <w:t>》，</w:t>
      </w:r>
    </w:p>
    <w:p>
      <w:pPr>
        <w:ind w:left="654" w:leftChars="270" w:hanging="87"/>
        <w:rPr>
          <w:szCs w:val="21"/>
        </w:rPr>
      </w:pPr>
      <w:r>
        <w:rPr>
          <w:rFonts w:hint="eastAsia"/>
          <w:szCs w:val="21"/>
        </w:rPr>
        <w:t>为符合合规义务，</w:t>
      </w:r>
      <w:r>
        <w:rPr>
          <w:szCs w:val="21"/>
        </w:rPr>
        <w:t>公司要实施过程以确定以下内容，适用时包括：</w:t>
      </w:r>
    </w:p>
    <w:p>
      <w:pPr>
        <w:ind w:left="567" w:leftChars="270"/>
        <w:rPr>
          <w:szCs w:val="21"/>
        </w:rPr>
      </w:pPr>
      <w:r>
        <w:rPr>
          <w:szCs w:val="21"/>
        </w:rPr>
        <w:t>a)</w:t>
      </w:r>
      <w:r>
        <w:rPr>
          <w:rFonts w:hint="eastAsia"/>
          <w:szCs w:val="21"/>
        </w:rPr>
        <w:t>制订了《</w:t>
      </w:r>
      <w:r>
        <w:rPr>
          <w:rFonts w:hint="eastAsia"/>
          <w:szCs w:val="21"/>
          <w:lang w:eastAsia="zh-CN"/>
        </w:rPr>
        <w:t>环境和职业健康安全运行控制程序</w:t>
      </w:r>
      <w:r>
        <w:rPr>
          <w:rFonts w:hint="eastAsia"/>
          <w:szCs w:val="21"/>
        </w:rPr>
        <w:t>》以及各种污染物、危险源的控制管理程序（规定），控制与重要环境因素/危险源有关的活动、产品或服务有关的活动，并对其运行标准进行控制。</w:t>
      </w:r>
    </w:p>
    <w:p>
      <w:pPr>
        <w:ind w:left="567" w:leftChars="270"/>
        <w:rPr>
          <w:szCs w:val="21"/>
        </w:rPr>
      </w:pPr>
      <w:r>
        <w:rPr>
          <w:szCs w:val="21"/>
        </w:rPr>
        <w:t>b)</w:t>
      </w:r>
      <w:r>
        <w:rPr>
          <w:rFonts w:hint="eastAsia"/>
          <w:szCs w:val="21"/>
        </w:rPr>
        <w:t>与重要环境因素/危险源有关的活动相关的岗位，应严格执行程序和相关支持性文件。</w:t>
      </w:r>
    </w:p>
    <w:p>
      <w:pPr>
        <w:ind w:left="567" w:leftChars="270"/>
        <w:rPr>
          <w:szCs w:val="21"/>
        </w:rPr>
      </w:pPr>
      <w:r>
        <w:rPr>
          <w:szCs w:val="21"/>
        </w:rPr>
        <w:t>c)</w:t>
      </w:r>
      <w:r>
        <w:rPr>
          <w:rFonts w:hint="eastAsia"/>
          <w:szCs w:val="21"/>
        </w:rPr>
        <w:t>对于所提供的产品或服务中涉及重要环境因素/危险源的相关方，公司依据环境的污染程度对其施加影响，使他们的行为符合程序和有关要求。</w:t>
      </w:r>
    </w:p>
    <w:p>
      <w:pPr>
        <w:ind w:left="567" w:leftChars="270"/>
        <w:rPr>
          <w:szCs w:val="21"/>
        </w:rPr>
      </w:pPr>
      <w:r>
        <w:rPr>
          <w:szCs w:val="21"/>
        </w:rPr>
        <w:t>d)</w:t>
      </w:r>
      <w:r>
        <w:rPr>
          <w:rFonts w:hint="eastAsia"/>
          <w:szCs w:val="21"/>
        </w:rPr>
        <w:t>搞好环保，安全设备的维护保养，及时检修，保证环保设备的正常运行。</w:t>
      </w:r>
    </w:p>
    <w:p>
      <w:pPr>
        <w:ind w:left="567" w:leftChars="270"/>
        <w:rPr>
          <w:rFonts w:ascii="宋体" w:hAnsi="宋体"/>
        </w:rPr>
      </w:pPr>
      <w:r>
        <w:rPr>
          <w:rFonts w:hint="eastAsia"/>
          <w:szCs w:val="21"/>
        </w:rPr>
        <w:t>e)</w:t>
      </w:r>
      <w:r>
        <w:rPr>
          <w:rFonts w:hint="eastAsia" w:ascii="宋体" w:hAnsi="宋体"/>
        </w:rPr>
        <w:t xml:space="preserve"> 与外部供方（包括合同方）沟通其相关环境安全的要求。</w:t>
      </w:r>
    </w:p>
    <w:p>
      <w:pPr>
        <w:ind w:left="567" w:leftChars="270"/>
        <w:rPr>
          <w:rFonts w:ascii="宋体" w:hAnsi="宋体"/>
        </w:rPr>
      </w:pPr>
      <w:r>
        <w:rPr>
          <w:rFonts w:hint="eastAsia"/>
          <w:szCs w:val="21"/>
        </w:rPr>
        <w:t>f)</w:t>
      </w:r>
      <w:r>
        <w:rPr>
          <w:rFonts w:hint="eastAsia" w:ascii="宋体" w:hAnsi="宋体"/>
        </w:rPr>
        <w:t>考虑提供与产品或服务的运输或交付、使用、寿命结束后处理和最终处置相关的潜在重大环境影响的信息的需求。</w:t>
      </w:r>
    </w:p>
    <w:p>
      <w:pPr>
        <w:ind w:firstLine="560"/>
        <w:rPr>
          <w:b/>
          <w:szCs w:val="21"/>
        </w:rPr>
      </w:pPr>
      <w:r>
        <w:rPr>
          <w:b/>
          <w:szCs w:val="21"/>
        </w:rPr>
        <w:t>8.2产品和服务的要求（C1）</w:t>
      </w:r>
    </w:p>
    <w:p>
      <w:pPr>
        <w:ind w:firstLine="560"/>
        <w:rPr>
          <w:b/>
          <w:szCs w:val="21"/>
        </w:rPr>
      </w:pPr>
      <w:r>
        <w:rPr>
          <w:rFonts w:hint="eastAsia"/>
          <w:b/>
          <w:szCs w:val="21"/>
          <w:lang w:eastAsia="zh-CN"/>
        </w:rPr>
        <w:t>8.2.1</w:t>
      </w:r>
      <w:r>
        <w:rPr>
          <w:b/>
          <w:szCs w:val="21"/>
        </w:rPr>
        <w:t>顾客沟通</w:t>
      </w:r>
    </w:p>
    <w:p>
      <w:pPr>
        <w:ind w:firstLine="560"/>
        <w:rPr>
          <w:szCs w:val="21"/>
        </w:rPr>
      </w:pPr>
      <w:r>
        <w:rPr>
          <w:szCs w:val="21"/>
        </w:rPr>
        <w:t>公司要对以下有关方面确定并实施与顾客沟通的安排：</w:t>
      </w:r>
    </w:p>
    <w:p>
      <w:pPr>
        <w:ind w:firstLine="560"/>
        <w:rPr>
          <w:szCs w:val="21"/>
        </w:rPr>
      </w:pPr>
      <w:r>
        <w:rPr>
          <w:szCs w:val="21"/>
        </w:rPr>
        <w:t>a) 产品和服务信息；</w:t>
      </w:r>
    </w:p>
    <w:p>
      <w:pPr>
        <w:ind w:firstLine="560"/>
        <w:rPr>
          <w:szCs w:val="21"/>
        </w:rPr>
      </w:pPr>
      <w:r>
        <w:rPr>
          <w:szCs w:val="21"/>
        </w:rPr>
        <w:t>b)问询、合同或订单的处理，包括对其修改；</w:t>
      </w:r>
    </w:p>
    <w:p>
      <w:pPr>
        <w:ind w:firstLine="560"/>
        <w:rPr>
          <w:szCs w:val="21"/>
        </w:rPr>
      </w:pPr>
      <w:r>
        <w:rPr>
          <w:szCs w:val="21"/>
        </w:rPr>
        <w:t>c)顾客反馈，包括顾客抱怨（见 9.1)；</w:t>
      </w:r>
    </w:p>
    <w:p>
      <w:pPr>
        <w:ind w:firstLine="560"/>
        <w:rPr>
          <w:szCs w:val="21"/>
        </w:rPr>
      </w:pPr>
      <w:r>
        <w:rPr>
          <w:szCs w:val="21"/>
        </w:rPr>
        <w:t>d)适用时，对顾客财产的处理；</w:t>
      </w:r>
    </w:p>
    <w:p>
      <w:pPr>
        <w:ind w:firstLine="560"/>
        <w:rPr>
          <w:szCs w:val="21"/>
        </w:rPr>
      </w:pPr>
      <w:r>
        <w:rPr>
          <w:szCs w:val="21"/>
        </w:rPr>
        <w:t>e) 相关时，应急措施的特定要求。</w:t>
      </w:r>
    </w:p>
    <w:p>
      <w:pPr>
        <w:ind w:firstLine="560"/>
        <w:rPr>
          <w:b/>
          <w:szCs w:val="21"/>
        </w:rPr>
      </w:pPr>
      <w:r>
        <w:rPr>
          <w:b/>
          <w:szCs w:val="21"/>
        </w:rPr>
        <w:t>8.2.2与产品和服务有关要求的确定</w:t>
      </w:r>
    </w:p>
    <w:p>
      <w:pPr>
        <w:ind w:firstLine="560"/>
        <w:rPr>
          <w:szCs w:val="21"/>
        </w:rPr>
      </w:pPr>
      <w:r>
        <w:rPr>
          <w:szCs w:val="21"/>
        </w:rPr>
        <w:t>公司建立《</w:t>
      </w:r>
      <w:r>
        <w:rPr>
          <w:rFonts w:hint="eastAsia"/>
          <w:lang w:eastAsia="zh-CN"/>
        </w:rPr>
        <w:t>与顾客有关的过程控制程序</w:t>
      </w:r>
      <w:r>
        <w:rPr>
          <w:szCs w:val="21"/>
        </w:rPr>
        <w:t>》，确定与产品和服务有关要求。</w:t>
      </w:r>
    </w:p>
    <w:p>
      <w:pPr>
        <w:ind w:firstLine="560"/>
        <w:rPr>
          <w:szCs w:val="21"/>
        </w:rPr>
      </w:pPr>
      <w:r>
        <w:rPr>
          <w:szCs w:val="21"/>
        </w:rPr>
        <w:t>a)顾客规定的要求，包括对交付及交付后活动的要求；</w:t>
      </w:r>
    </w:p>
    <w:p>
      <w:pPr>
        <w:ind w:firstLine="560"/>
        <w:rPr>
          <w:szCs w:val="21"/>
        </w:rPr>
      </w:pPr>
      <w:r>
        <w:rPr>
          <w:szCs w:val="21"/>
        </w:rPr>
        <w:t>b)顾客虽然没有明示，但规定的用途或已知的预期用途所必需的要求；</w:t>
      </w:r>
    </w:p>
    <w:p>
      <w:pPr>
        <w:ind w:firstLine="560"/>
        <w:rPr>
          <w:szCs w:val="21"/>
        </w:rPr>
      </w:pPr>
      <w:r>
        <w:rPr>
          <w:szCs w:val="21"/>
        </w:rPr>
        <w:t>c)适用于产品和服务的法律法规要求；</w:t>
      </w:r>
    </w:p>
    <w:p>
      <w:pPr>
        <w:ind w:firstLine="560"/>
        <w:rPr>
          <w:szCs w:val="21"/>
        </w:rPr>
      </w:pPr>
      <w:r>
        <w:rPr>
          <w:szCs w:val="21"/>
        </w:rPr>
        <w:t>d)公司认为必要的任何附加要求。</w:t>
      </w:r>
    </w:p>
    <w:p>
      <w:pPr>
        <w:ind w:firstLine="560"/>
        <w:rPr>
          <w:szCs w:val="21"/>
        </w:rPr>
      </w:pPr>
      <w:r>
        <w:rPr>
          <w:szCs w:val="21"/>
        </w:rPr>
        <w:t>注：附加要求可包含由有关的相关方提出的要求。</w:t>
      </w:r>
    </w:p>
    <w:p>
      <w:pPr>
        <w:ind w:firstLine="560"/>
        <w:rPr>
          <w:b/>
          <w:szCs w:val="21"/>
        </w:rPr>
      </w:pPr>
      <w:r>
        <w:rPr>
          <w:b/>
          <w:szCs w:val="21"/>
        </w:rPr>
        <w:t>8.2.3与产品和服务有关要求的评审</w:t>
      </w:r>
    </w:p>
    <w:p>
      <w:pPr>
        <w:ind w:left="525" w:leftChars="250" w:firstLine="33" w:firstLineChars="16"/>
        <w:rPr>
          <w:szCs w:val="21"/>
        </w:rPr>
      </w:pPr>
      <w:r>
        <w:rPr>
          <w:szCs w:val="21"/>
        </w:rPr>
        <w:t>公司要评审与产品和服务有关的要求。评审应在公司向顾客做出提供产品的承诺（如：提交标书、接受合同或订单及接受合同或订单的更改）之前进行，并应确保：</w:t>
      </w:r>
    </w:p>
    <w:p>
      <w:pPr>
        <w:ind w:firstLine="560"/>
        <w:rPr>
          <w:szCs w:val="21"/>
        </w:rPr>
      </w:pPr>
      <w:r>
        <w:rPr>
          <w:szCs w:val="21"/>
        </w:rPr>
        <w:t>a)产品和服务要求已得到规定并达成一致；</w:t>
      </w:r>
    </w:p>
    <w:p>
      <w:pPr>
        <w:ind w:firstLine="560"/>
        <w:rPr>
          <w:szCs w:val="21"/>
        </w:rPr>
      </w:pPr>
      <w:r>
        <w:rPr>
          <w:szCs w:val="21"/>
        </w:rPr>
        <w:t>b)与以前表述不一致的合同或订单的要求已予解决；</w:t>
      </w:r>
    </w:p>
    <w:p>
      <w:pPr>
        <w:ind w:firstLine="560"/>
        <w:rPr>
          <w:szCs w:val="21"/>
        </w:rPr>
      </w:pPr>
      <w:r>
        <w:rPr>
          <w:szCs w:val="21"/>
        </w:rPr>
        <w:t>c)公司有能力满足规定的要求。</w:t>
      </w:r>
    </w:p>
    <w:p>
      <w:pPr>
        <w:ind w:firstLine="560"/>
        <w:rPr>
          <w:szCs w:val="21"/>
        </w:rPr>
      </w:pPr>
      <w:r>
        <w:rPr>
          <w:szCs w:val="21"/>
        </w:rPr>
        <w:t>d)适用于产品和服务的法律法规要求；</w:t>
      </w:r>
    </w:p>
    <w:p>
      <w:pPr>
        <w:ind w:firstLine="560"/>
        <w:rPr>
          <w:szCs w:val="21"/>
        </w:rPr>
      </w:pPr>
      <w:r>
        <w:rPr>
          <w:szCs w:val="21"/>
        </w:rPr>
        <w:t>e)公司规定的要求；</w:t>
      </w:r>
    </w:p>
    <w:p>
      <w:pPr>
        <w:ind w:firstLine="560"/>
        <w:rPr>
          <w:szCs w:val="21"/>
        </w:rPr>
      </w:pPr>
      <w:r>
        <w:rPr>
          <w:szCs w:val="21"/>
        </w:rPr>
        <w:t>g)顾客虽然没有明示，但规定的用途或已知的预期用途所必需的要求；</w:t>
      </w:r>
    </w:p>
    <w:p>
      <w:pPr>
        <w:ind w:firstLine="560"/>
        <w:rPr>
          <w:szCs w:val="21"/>
        </w:rPr>
      </w:pPr>
      <w:r>
        <w:rPr>
          <w:szCs w:val="21"/>
        </w:rPr>
        <w:t>评审结果的信息应形成文件。</w:t>
      </w:r>
    </w:p>
    <w:p>
      <w:pPr>
        <w:ind w:firstLine="560"/>
        <w:rPr>
          <w:szCs w:val="21"/>
        </w:rPr>
      </w:pPr>
      <w:r>
        <w:rPr>
          <w:szCs w:val="21"/>
        </w:rPr>
        <w:t>若顾客没有提供形成文件的要求，公司在接受顾客要求前应对顾客要求进行确认。</w:t>
      </w:r>
    </w:p>
    <w:p>
      <w:pPr>
        <w:ind w:left="525" w:leftChars="250" w:firstLine="33" w:firstLineChars="16"/>
        <w:rPr>
          <w:szCs w:val="21"/>
        </w:rPr>
      </w:pPr>
      <w:r>
        <w:rPr>
          <w:szCs w:val="21"/>
        </w:rPr>
        <w:t>若产品和服务要求发生变更，公司要确保相关文件信息得到修改，并确保相关人员知道已变更的要求。</w:t>
      </w:r>
    </w:p>
    <w:p>
      <w:pPr>
        <w:ind w:left="525" w:leftChars="250" w:firstLine="33" w:firstLineChars="16"/>
        <w:rPr>
          <w:szCs w:val="21"/>
        </w:rPr>
      </w:pPr>
      <w:r>
        <w:rPr>
          <w:szCs w:val="21"/>
        </w:rPr>
        <w:t>在某些情况下，对每一个订单进行正式的评审可能是不实际的，作为替代方法，可对提供给顾客的的产品信息进行评审。</w:t>
      </w:r>
    </w:p>
    <w:p>
      <w:pPr>
        <w:ind w:firstLine="560"/>
        <w:rPr>
          <w:b/>
          <w:szCs w:val="21"/>
        </w:rPr>
      </w:pPr>
      <w:r>
        <w:rPr>
          <w:b/>
          <w:szCs w:val="21"/>
        </w:rPr>
        <w:t>8.2.4产品和服务要求的更改</w:t>
      </w:r>
    </w:p>
    <w:p>
      <w:pPr>
        <w:ind w:left="525" w:leftChars="250" w:firstLine="33" w:firstLineChars="16"/>
        <w:rPr>
          <w:szCs w:val="21"/>
        </w:rPr>
      </w:pPr>
      <w:r>
        <w:rPr>
          <w:szCs w:val="21"/>
        </w:rPr>
        <w:t>若产品和服务要求发生更改时，公司要确保相关的形成文件信息得到修改主，并确保相关人员知道已变更的要求。</w:t>
      </w:r>
    </w:p>
    <w:p>
      <w:pPr>
        <w:ind w:firstLine="514" w:firstLineChars="244"/>
        <w:rPr>
          <w:b/>
          <w:bCs/>
        </w:rPr>
      </w:pPr>
      <w:r>
        <w:rPr>
          <w:b/>
          <w:bCs/>
        </w:rPr>
        <w:t>8.3产品和服务的设计和开发</w:t>
      </w:r>
    </w:p>
    <w:p>
      <w:pPr>
        <w:ind w:firstLine="514" w:firstLineChars="244"/>
        <w:rPr>
          <w:b/>
          <w:bCs/>
        </w:rPr>
      </w:pPr>
      <w:r>
        <w:rPr>
          <w:rFonts w:hint="eastAsia"/>
          <w:b/>
          <w:bCs/>
        </w:rPr>
        <w:t xml:space="preserve">8.3.1总则 </w:t>
      </w:r>
    </w:p>
    <w:p>
      <w:pPr>
        <w:ind w:firstLine="512" w:firstLineChars="244"/>
        <w:rPr>
          <w:bCs/>
        </w:rPr>
      </w:pPr>
      <w:r>
        <w:rPr>
          <w:rFonts w:hint="eastAsia"/>
          <w:bCs/>
        </w:rPr>
        <w:t>公司应建立、实施和保持《</w:t>
      </w:r>
      <w:r>
        <w:rPr>
          <w:rFonts w:hint="eastAsia"/>
          <w:bCs/>
          <w:lang w:eastAsia="zh-CN"/>
        </w:rPr>
        <w:t>设计和开发控制程序</w:t>
      </w:r>
      <w:r>
        <w:rPr>
          <w:rFonts w:hint="eastAsia"/>
          <w:bCs/>
        </w:rPr>
        <w:t>》，以便确保后续的产品和服务的提供。</w:t>
      </w:r>
    </w:p>
    <w:p>
      <w:pPr>
        <w:ind w:firstLine="514" w:firstLineChars="244"/>
        <w:rPr>
          <w:b/>
          <w:bCs/>
        </w:rPr>
      </w:pPr>
      <w:r>
        <w:rPr>
          <w:rFonts w:hint="eastAsia"/>
          <w:b/>
          <w:bCs/>
        </w:rPr>
        <w:t>8.3.2设计和开发策划</w:t>
      </w:r>
    </w:p>
    <w:p>
      <w:pPr>
        <w:ind w:firstLine="512" w:firstLineChars="244"/>
        <w:rPr>
          <w:bCs/>
        </w:rPr>
      </w:pPr>
      <w:r>
        <w:rPr>
          <w:rFonts w:hint="eastAsia"/>
          <w:bCs/>
        </w:rPr>
        <w:t>在确定设计和开发的各个阶段及其控制时，公司应考虑：</w:t>
      </w:r>
    </w:p>
    <w:p>
      <w:pPr>
        <w:ind w:firstLine="512" w:firstLineChars="244"/>
        <w:rPr>
          <w:bCs/>
        </w:rPr>
      </w:pPr>
      <w:r>
        <w:rPr>
          <w:rFonts w:hint="eastAsia"/>
          <w:bCs/>
        </w:rPr>
        <w:t>a) 设计和开发活动的性质、持续时间和复杂程度；</w:t>
      </w:r>
    </w:p>
    <w:p>
      <w:pPr>
        <w:ind w:firstLine="512" w:firstLineChars="244"/>
        <w:rPr>
          <w:bCs/>
        </w:rPr>
      </w:pPr>
      <w:r>
        <w:rPr>
          <w:rFonts w:hint="eastAsia"/>
          <w:bCs/>
        </w:rPr>
        <w:t>b) 所需的过程阶段，包括适用的设计和开发评审；</w:t>
      </w:r>
    </w:p>
    <w:p>
      <w:pPr>
        <w:ind w:firstLine="512" w:firstLineChars="244"/>
        <w:rPr>
          <w:bCs/>
        </w:rPr>
      </w:pPr>
      <w:r>
        <w:rPr>
          <w:rFonts w:hint="eastAsia"/>
          <w:bCs/>
        </w:rPr>
        <w:t>d) 设计和开发过程涉及的职责和权限；</w:t>
      </w:r>
    </w:p>
    <w:p>
      <w:pPr>
        <w:ind w:firstLine="512" w:firstLineChars="244"/>
        <w:rPr>
          <w:bCs/>
        </w:rPr>
      </w:pPr>
      <w:r>
        <w:rPr>
          <w:rFonts w:hint="eastAsia"/>
          <w:bCs/>
        </w:rPr>
        <w:t>e) 产品和服务的设计和开发所需的内部和外部资源；</w:t>
      </w:r>
    </w:p>
    <w:p>
      <w:pPr>
        <w:ind w:firstLine="512" w:firstLineChars="244"/>
        <w:rPr>
          <w:bCs/>
        </w:rPr>
      </w:pPr>
      <w:r>
        <w:rPr>
          <w:rFonts w:hint="eastAsia"/>
          <w:bCs/>
        </w:rPr>
        <w:t>f) 设计和开发过程参与人员之间接口的控制需求；</w:t>
      </w:r>
    </w:p>
    <w:p>
      <w:pPr>
        <w:ind w:firstLine="512" w:firstLineChars="244"/>
        <w:rPr>
          <w:bCs/>
        </w:rPr>
      </w:pPr>
      <w:r>
        <w:rPr>
          <w:rFonts w:hint="eastAsia"/>
          <w:bCs/>
        </w:rPr>
        <w:t>g) 顾客和使用者参与设计和开发过程的需求；</w:t>
      </w:r>
    </w:p>
    <w:p>
      <w:pPr>
        <w:ind w:firstLine="512" w:firstLineChars="244"/>
        <w:rPr>
          <w:bCs/>
        </w:rPr>
      </w:pPr>
      <w:r>
        <w:rPr>
          <w:rFonts w:hint="eastAsia"/>
          <w:bCs/>
        </w:rPr>
        <w:t>h) 后续的产品和服务提供的要求；</w:t>
      </w:r>
    </w:p>
    <w:p>
      <w:pPr>
        <w:ind w:firstLine="512" w:firstLineChars="244"/>
        <w:rPr>
          <w:bCs/>
        </w:rPr>
      </w:pPr>
      <w:r>
        <w:rPr>
          <w:rFonts w:hint="eastAsia"/>
          <w:bCs/>
        </w:rPr>
        <w:t>i) 顾客和其他相关方期望的设计和开发过程得控制水平；</w:t>
      </w:r>
    </w:p>
    <w:p>
      <w:pPr>
        <w:ind w:firstLine="512" w:firstLineChars="244"/>
        <w:rPr>
          <w:bCs/>
        </w:rPr>
      </w:pPr>
      <w:r>
        <w:rPr>
          <w:rFonts w:hint="eastAsia"/>
          <w:bCs/>
        </w:rPr>
        <w:t>j) 证实已满足设计和开发要求所需的文件化信息。</w:t>
      </w:r>
    </w:p>
    <w:p>
      <w:pPr>
        <w:ind w:firstLine="514" w:firstLineChars="244"/>
        <w:rPr>
          <w:b/>
          <w:bCs/>
        </w:rPr>
      </w:pPr>
      <w:r>
        <w:rPr>
          <w:rFonts w:hint="eastAsia"/>
          <w:b/>
          <w:bCs/>
        </w:rPr>
        <w:t>8.3.3 设计和开发的输入</w:t>
      </w:r>
    </w:p>
    <w:p>
      <w:pPr>
        <w:ind w:firstLine="512" w:firstLineChars="244"/>
        <w:rPr>
          <w:bCs/>
        </w:rPr>
      </w:pPr>
      <w:r>
        <w:rPr>
          <w:rFonts w:hint="eastAsia"/>
          <w:bCs/>
        </w:rPr>
        <w:t>公司应针对具体类型的产品和服务，确定设计和开发的的基本要求，公司应考虑：</w:t>
      </w:r>
    </w:p>
    <w:p>
      <w:pPr>
        <w:ind w:firstLine="512" w:firstLineChars="244"/>
        <w:rPr>
          <w:bCs/>
        </w:rPr>
      </w:pPr>
      <w:r>
        <w:rPr>
          <w:rFonts w:hint="eastAsia"/>
          <w:bCs/>
        </w:rPr>
        <w:t>a) 功能和性能要求；</w:t>
      </w:r>
    </w:p>
    <w:p>
      <w:pPr>
        <w:ind w:firstLine="512" w:firstLineChars="244"/>
        <w:rPr>
          <w:bCs/>
        </w:rPr>
      </w:pPr>
      <w:r>
        <w:rPr>
          <w:rFonts w:hint="eastAsia"/>
          <w:bCs/>
        </w:rPr>
        <w:t>b) 来自以前类似设计和开发活动的信息；</w:t>
      </w:r>
    </w:p>
    <w:p>
      <w:pPr>
        <w:ind w:firstLine="512" w:firstLineChars="244"/>
        <w:rPr>
          <w:bCs/>
        </w:rPr>
      </w:pPr>
      <w:r>
        <w:rPr>
          <w:rFonts w:hint="eastAsia"/>
          <w:bCs/>
        </w:rPr>
        <w:t>c) 法律法规要求；</w:t>
      </w:r>
    </w:p>
    <w:p>
      <w:pPr>
        <w:ind w:firstLine="512" w:firstLineChars="244"/>
        <w:rPr>
          <w:bCs/>
        </w:rPr>
      </w:pPr>
      <w:r>
        <w:rPr>
          <w:rFonts w:hint="eastAsia"/>
          <w:bCs/>
        </w:rPr>
        <w:t>d) 公司承诺执行的标准或行业规范；</w:t>
      </w:r>
    </w:p>
    <w:p>
      <w:pPr>
        <w:ind w:firstLine="512" w:firstLineChars="244"/>
        <w:rPr>
          <w:bCs/>
        </w:rPr>
      </w:pPr>
      <w:r>
        <w:rPr>
          <w:rFonts w:hint="eastAsia"/>
          <w:bCs/>
        </w:rPr>
        <w:t>e) 产品和服务的性质引起的潜在失效后果。</w:t>
      </w:r>
    </w:p>
    <w:p>
      <w:pPr>
        <w:ind w:firstLine="512" w:firstLineChars="244"/>
        <w:rPr>
          <w:bCs/>
        </w:rPr>
      </w:pPr>
      <w:r>
        <w:rPr>
          <w:rFonts w:hint="eastAsia"/>
          <w:bCs/>
        </w:rPr>
        <w:t>输入应满足设计和开发目的，完整并且清楚。</w:t>
      </w:r>
    </w:p>
    <w:p>
      <w:pPr>
        <w:ind w:firstLine="512" w:firstLineChars="244"/>
        <w:rPr>
          <w:bCs/>
        </w:rPr>
      </w:pPr>
      <w:r>
        <w:rPr>
          <w:rFonts w:hint="eastAsia"/>
          <w:bCs/>
        </w:rPr>
        <w:t>设计和开发输入的矛盾应予以解决。</w:t>
      </w:r>
    </w:p>
    <w:p>
      <w:pPr>
        <w:ind w:firstLine="512" w:firstLineChars="244"/>
        <w:rPr>
          <w:bCs/>
        </w:rPr>
      </w:pPr>
      <w:r>
        <w:rPr>
          <w:rFonts w:hint="eastAsia"/>
          <w:bCs/>
        </w:rPr>
        <w:t>公司应保持设计和开发输入的形成文件的信息。</w:t>
      </w:r>
    </w:p>
    <w:p>
      <w:pPr>
        <w:ind w:firstLine="514" w:firstLineChars="244"/>
        <w:rPr>
          <w:b/>
          <w:bCs/>
        </w:rPr>
      </w:pPr>
      <w:r>
        <w:rPr>
          <w:rFonts w:hint="eastAsia"/>
          <w:b/>
          <w:bCs/>
        </w:rPr>
        <w:t xml:space="preserve">8.3.4 设计和开发控制 </w:t>
      </w:r>
    </w:p>
    <w:p>
      <w:pPr>
        <w:ind w:firstLine="512" w:firstLineChars="244"/>
        <w:rPr>
          <w:bCs/>
        </w:rPr>
      </w:pPr>
      <w:r>
        <w:rPr>
          <w:rFonts w:hint="eastAsia"/>
          <w:bCs/>
        </w:rPr>
        <w:t>公司应对设计和开发过程进行控制以确保：</w:t>
      </w:r>
    </w:p>
    <w:p>
      <w:pPr>
        <w:ind w:firstLine="512" w:firstLineChars="244"/>
        <w:rPr>
          <w:bCs/>
        </w:rPr>
      </w:pPr>
      <w:r>
        <w:rPr>
          <w:rFonts w:hint="eastAsia"/>
          <w:bCs/>
        </w:rPr>
        <w:t>a) 规定拟获得的结果；</w:t>
      </w:r>
    </w:p>
    <w:p>
      <w:pPr>
        <w:ind w:firstLine="512" w:firstLineChars="244"/>
        <w:rPr>
          <w:bCs/>
        </w:rPr>
      </w:pPr>
      <w:r>
        <w:rPr>
          <w:rFonts w:hint="eastAsia"/>
          <w:bCs/>
        </w:rPr>
        <w:t>b) 实施评审，以评价设计和开发结果满足要求的能力；</w:t>
      </w:r>
    </w:p>
    <w:p>
      <w:pPr>
        <w:ind w:firstLine="512" w:firstLineChars="244"/>
        <w:rPr>
          <w:bCs/>
        </w:rPr>
      </w:pPr>
      <w:r>
        <w:rPr>
          <w:rFonts w:hint="eastAsia"/>
          <w:bCs/>
        </w:rPr>
        <w:t>c) 实施验证活动，以确保设计和开发的输出满足输入的要求；</w:t>
      </w:r>
    </w:p>
    <w:p>
      <w:pPr>
        <w:ind w:firstLine="512" w:firstLineChars="244"/>
        <w:rPr>
          <w:bCs/>
        </w:rPr>
      </w:pPr>
      <w:r>
        <w:rPr>
          <w:rFonts w:hint="eastAsia"/>
          <w:bCs/>
        </w:rPr>
        <w:t>d) 实施确认活动，以确保产品和服务能够满足规定的使用要求或预期用途要求；</w:t>
      </w:r>
    </w:p>
    <w:p>
      <w:pPr>
        <w:ind w:firstLine="512" w:firstLineChars="244"/>
        <w:rPr>
          <w:bCs/>
        </w:rPr>
      </w:pPr>
      <w:r>
        <w:rPr>
          <w:rFonts w:hint="eastAsia"/>
          <w:bCs/>
        </w:rPr>
        <w:t>e) 对评审、验证和确认活动中确定的问题采取必要的措施；</w:t>
      </w:r>
    </w:p>
    <w:p>
      <w:pPr>
        <w:ind w:firstLine="512" w:firstLineChars="244"/>
        <w:rPr>
          <w:bCs/>
        </w:rPr>
      </w:pPr>
      <w:r>
        <w:rPr>
          <w:rFonts w:hint="eastAsia"/>
          <w:bCs/>
        </w:rPr>
        <w:t>f) 保留这些活动的文件化信息。</w:t>
      </w:r>
    </w:p>
    <w:p>
      <w:pPr>
        <w:ind w:firstLine="512" w:firstLineChars="244"/>
        <w:rPr>
          <w:bCs/>
        </w:rPr>
      </w:pPr>
      <w:r>
        <w:rPr>
          <w:rFonts w:hint="eastAsia"/>
          <w:bCs/>
        </w:rPr>
        <w:t>注：设计和开发的评审、验证和确认具有不同的目的，根据公司的产品和服务的具体情况，可以单独或以任意组合进行。</w:t>
      </w:r>
    </w:p>
    <w:p>
      <w:pPr>
        <w:ind w:firstLine="514" w:firstLineChars="244"/>
        <w:rPr>
          <w:b/>
          <w:bCs/>
        </w:rPr>
      </w:pPr>
      <w:r>
        <w:rPr>
          <w:rFonts w:hint="eastAsia"/>
          <w:b/>
          <w:bCs/>
        </w:rPr>
        <w:t xml:space="preserve">8.3.5 设计和开发的输出 </w:t>
      </w:r>
    </w:p>
    <w:p>
      <w:pPr>
        <w:ind w:firstLine="512" w:firstLineChars="244"/>
        <w:rPr>
          <w:bCs/>
        </w:rPr>
      </w:pPr>
      <w:r>
        <w:rPr>
          <w:rFonts w:hint="eastAsia"/>
          <w:bCs/>
        </w:rPr>
        <w:t>公司应确保设计和开发的输出：</w:t>
      </w:r>
    </w:p>
    <w:p>
      <w:pPr>
        <w:ind w:firstLine="512" w:firstLineChars="244"/>
        <w:rPr>
          <w:bCs/>
        </w:rPr>
      </w:pPr>
      <w:r>
        <w:rPr>
          <w:rFonts w:hint="eastAsia"/>
          <w:bCs/>
        </w:rPr>
        <w:t>a) 满足输入的要求；</w:t>
      </w:r>
    </w:p>
    <w:p>
      <w:pPr>
        <w:ind w:firstLine="512" w:firstLineChars="244"/>
        <w:rPr>
          <w:bCs/>
        </w:rPr>
      </w:pPr>
      <w:r>
        <w:rPr>
          <w:rFonts w:hint="eastAsia"/>
          <w:bCs/>
        </w:rPr>
        <w:t>b) 对于产品和服务提供的后续过程是充分的；</w:t>
      </w:r>
    </w:p>
    <w:p>
      <w:pPr>
        <w:ind w:firstLine="512" w:firstLineChars="244"/>
        <w:rPr>
          <w:bCs/>
        </w:rPr>
      </w:pPr>
      <w:r>
        <w:rPr>
          <w:rFonts w:hint="eastAsia"/>
          <w:bCs/>
        </w:rPr>
        <w:t>c) 包括或引用监视和测量要求，适当时，包括接收准则；</w:t>
      </w:r>
    </w:p>
    <w:p>
      <w:pPr>
        <w:ind w:firstLine="512" w:firstLineChars="244"/>
        <w:rPr>
          <w:bCs/>
        </w:rPr>
      </w:pPr>
      <w:r>
        <w:rPr>
          <w:rFonts w:hint="eastAsia"/>
          <w:bCs/>
        </w:rPr>
        <w:t>d) 规定对于实现预期目的、保证安全和正确提供（使用）所必需的产品和服务特性。</w:t>
      </w:r>
    </w:p>
    <w:p>
      <w:pPr>
        <w:ind w:firstLine="512" w:firstLineChars="244"/>
        <w:rPr>
          <w:bCs/>
        </w:rPr>
      </w:pPr>
      <w:r>
        <w:rPr>
          <w:rFonts w:hint="eastAsia"/>
          <w:bCs/>
        </w:rPr>
        <w:t>公司应保留有关设计和开发输出的形成文件的信息。</w:t>
      </w:r>
    </w:p>
    <w:p>
      <w:pPr>
        <w:ind w:firstLine="514" w:firstLineChars="244"/>
        <w:rPr>
          <w:b/>
          <w:bCs/>
        </w:rPr>
      </w:pPr>
      <w:r>
        <w:rPr>
          <w:rFonts w:hint="eastAsia"/>
          <w:b/>
          <w:bCs/>
        </w:rPr>
        <w:t xml:space="preserve">8.3.6 设计和开发的更改 </w:t>
      </w:r>
    </w:p>
    <w:p>
      <w:pPr>
        <w:ind w:firstLine="512" w:firstLineChars="244"/>
        <w:rPr>
          <w:bCs/>
        </w:rPr>
      </w:pPr>
      <w:r>
        <w:rPr>
          <w:rFonts w:hint="eastAsia"/>
          <w:bCs/>
        </w:rPr>
        <w:t>公司应识别、评审和控制产品和服务的设计和开发期间以及后续所做的更改，以便避免不利影响，确保符合要求。</w:t>
      </w:r>
    </w:p>
    <w:p>
      <w:pPr>
        <w:ind w:firstLine="512" w:firstLineChars="244"/>
        <w:rPr>
          <w:bCs/>
        </w:rPr>
      </w:pPr>
      <w:r>
        <w:rPr>
          <w:rFonts w:hint="eastAsia"/>
          <w:bCs/>
        </w:rPr>
        <w:t>公司应保留以下形成文件的信息：</w:t>
      </w:r>
    </w:p>
    <w:p>
      <w:pPr>
        <w:ind w:firstLine="512" w:firstLineChars="244"/>
        <w:rPr>
          <w:bCs/>
        </w:rPr>
      </w:pPr>
      <w:r>
        <w:rPr>
          <w:rFonts w:hint="eastAsia"/>
          <w:bCs/>
        </w:rPr>
        <w:t>a) 设计和开发的变更</w:t>
      </w:r>
    </w:p>
    <w:p>
      <w:pPr>
        <w:ind w:firstLine="512" w:firstLineChars="244"/>
        <w:rPr>
          <w:bCs/>
        </w:rPr>
      </w:pPr>
      <w:r>
        <w:rPr>
          <w:rFonts w:hint="eastAsia"/>
          <w:bCs/>
        </w:rPr>
        <w:t>b) 评审结果；</w:t>
      </w:r>
    </w:p>
    <w:p>
      <w:pPr>
        <w:ind w:firstLine="512" w:firstLineChars="244"/>
        <w:rPr>
          <w:bCs/>
        </w:rPr>
      </w:pPr>
      <w:r>
        <w:rPr>
          <w:rFonts w:hint="eastAsia"/>
          <w:bCs/>
        </w:rPr>
        <w:t>c) 变更的授权；</w:t>
      </w:r>
    </w:p>
    <w:p>
      <w:pPr>
        <w:ind w:firstLine="512" w:firstLineChars="244"/>
        <w:rPr>
          <w:bCs/>
        </w:rPr>
      </w:pPr>
      <w:r>
        <w:rPr>
          <w:rFonts w:hint="eastAsia"/>
          <w:bCs/>
        </w:rPr>
        <w:t>d) 为防止不利影响所采取的措施。</w:t>
      </w:r>
    </w:p>
    <w:p>
      <w:pPr>
        <w:ind w:firstLine="560"/>
        <w:rPr>
          <w:b/>
          <w:szCs w:val="21"/>
        </w:rPr>
      </w:pPr>
      <w:r>
        <w:rPr>
          <w:b/>
          <w:szCs w:val="21"/>
        </w:rPr>
        <w:t>8.4外部提供过程、产品和服务的控制（S10）</w:t>
      </w:r>
    </w:p>
    <w:p>
      <w:pPr>
        <w:ind w:firstLine="560"/>
        <w:rPr>
          <w:b/>
          <w:szCs w:val="21"/>
        </w:rPr>
      </w:pPr>
      <w:r>
        <w:rPr>
          <w:b/>
          <w:szCs w:val="21"/>
        </w:rPr>
        <w:t>8.4.1总则</w:t>
      </w:r>
    </w:p>
    <w:p>
      <w:pPr>
        <w:ind w:left="525" w:leftChars="250" w:firstLine="33" w:firstLineChars="16"/>
        <w:rPr>
          <w:szCs w:val="21"/>
        </w:rPr>
      </w:pPr>
      <w:r>
        <w:rPr>
          <w:szCs w:val="21"/>
        </w:rPr>
        <w:t>公司建立《</w:t>
      </w:r>
      <w:r>
        <w:rPr>
          <w:rFonts w:hint="eastAsia"/>
          <w:lang w:eastAsia="zh-CN"/>
        </w:rPr>
        <w:t>采购控制程序</w:t>
      </w:r>
      <w:r>
        <w:rPr>
          <w:szCs w:val="21"/>
        </w:rPr>
        <w:t>》，通过实施</w:t>
      </w:r>
      <w:r>
        <w:rPr>
          <w:rFonts w:hint="eastAsia"/>
          <w:lang w:eastAsia="zh-CN"/>
        </w:rPr>
        <w:t>采购控制程序</w:t>
      </w:r>
      <w:r>
        <w:t>，</w:t>
      </w:r>
      <w:r>
        <w:rPr>
          <w:szCs w:val="21"/>
        </w:rPr>
        <w:t>确保外部提供的过程、产品和服务满能足规定的要求。</w:t>
      </w:r>
    </w:p>
    <w:p>
      <w:pPr>
        <w:ind w:firstLine="560"/>
        <w:rPr>
          <w:szCs w:val="21"/>
        </w:rPr>
      </w:pPr>
      <w:r>
        <w:rPr>
          <w:szCs w:val="21"/>
        </w:rPr>
        <w:t>公司对外部提供的相关过程、产品和服务进行定期识别，包括：</w:t>
      </w:r>
    </w:p>
    <w:p>
      <w:pPr>
        <w:ind w:firstLine="560"/>
        <w:rPr>
          <w:szCs w:val="21"/>
        </w:rPr>
      </w:pPr>
      <w:r>
        <w:rPr>
          <w:szCs w:val="21"/>
        </w:rPr>
        <w:t>a)外部供方的过程、产品和服务是组成公司自身的产品和服务的一部分；</w:t>
      </w:r>
    </w:p>
    <w:p>
      <w:pPr>
        <w:ind w:firstLine="560"/>
        <w:rPr>
          <w:szCs w:val="21"/>
        </w:rPr>
      </w:pPr>
      <w:r>
        <w:rPr>
          <w:szCs w:val="21"/>
        </w:rPr>
        <w:t>b)外部供方代表公司直接将产品和服务提供给顾客；</w:t>
      </w:r>
    </w:p>
    <w:p>
      <w:pPr>
        <w:ind w:firstLine="560"/>
        <w:rPr>
          <w:szCs w:val="21"/>
        </w:rPr>
      </w:pPr>
      <w:r>
        <w:rPr>
          <w:szCs w:val="21"/>
        </w:rPr>
        <w:t>c)公司决定将过程或过程的一部分外包。</w:t>
      </w:r>
    </w:p>
    <w:p>
      <w:pPr>
        <w:ind w:firstLine="560"/>
        <w:rPr>
          <w:szCs w:val="21"/>
        </w:rPr>
      </w:pPr>
      <w:r>
        <w:rPr>
          <w:rFonts w:hint="eastAsia"/>
          <w:b/>
          <w:bCs/>
          <w:szCs w:val="21"/>
          <w:u w:val="single"/>
        </w:rPr>
        <w:t>公司目前识别无外包过程</w:t>
      </w:r>
      <w:r>
        <w:rPr>
          <w:rFonts w:hint="eastAsia"/>
          <w:b/>
          <w:bCs/>
          <w:szCs w:val="21"/>
        </w:rPr>
        <w:t>。</w:t>
      </w:r>
    </w:p>
    <w:p>
      <w:pPr>
        <w:ind w:left="525" w:leftChars="250" w:firstLine="33" w:firstLineChars="16"/>
        <w:rPr>
          <w:szCs w:val="21"/>
        </w:rPr>
      </w:pPr>
      <w:r>
        <w:rPr>
          <w:szCs w:val="21"/>
        </w:rPr>
        <w:t>公司要基于外部供方提供所要求的过程、产品或服务的能力，确定外部供方的评价、选择、绩效监</w:t>
      </w:r>
      <w:r>
        <w:rPr>
          <w:b/>
          <w:szCs w:val="21"/>
        </w:rPr>
        <w:t>8.4.2控制类型和程度</w:t>
      </w:r>
    </w:p>
    <w:p>
      <w:pPr>
        <w:ind w:firstLine="560"/>
        <w:rPr>
          <w:szCs w:val="21"/>
        </w:rPr>
      </w:pPr>
      <w:r>
        <w:rPr>
          <w:szCs w:val="21"/>
        </w:rPr>
        <w:t>对外部供方及其供应的过程、产品和服务的控制类型和程度取决于：</w:t>
      </w:r>
    </w:p>
    <w:p>
      <w:pPr>
        <w:ind w:firstLine="560"/>
        <w:rPr>
          <w:szCs w:val="21"/>
        </w:rPr>
      </w:pPr>
      <w:r>
        <w:rPr>
          <w:szCs w:val="21"/>
        </w:rPr>
        <w:t>a)识别的风险及其潜在影响</w:t>
      </w:r>
    </w:p>
    <w:p>
      <w:pPr>
        <w:ind w:firstLine="560"/>
        <w:rPr>
          <w:szCs w:val="21"/>
        </w:rPr>
      </w:pPr>
      <w:r>
        <w:rPr>
          <w:szCs w:val="21"/>
        </w:rPr>
        <w:t>b)公司与外部供方对外部供应过程控制的分担程度</w:t>
      </w:r>
    </w:p>
    <w:p>
      <w:pPr>
        <w:ind w:firstLine="560"/>
        <w:rPr>
          <w:szCs w:val="21"/>
        </w:rPr>
      </w:pPr>
      <w:r>
        <w:rPr>
          <w:szCs w:val="21"/>
        </w:rPr>
        <w:t>c)潜在的控制能力</w:t>
      </w:r>
    </w:p>
    <w:p>
      <w:pPr>
        <w:ind w:left="525" w:leftChars="250" w:firstLine="33" w:firstLineChars="16"/>
        <w:rPr>
          <w:szCs w:val="21"/>
        </w:rPr>
      </w:pPr>
      <w:r>
        <w:rPr>
          <w:szCs w:val="21"/>
        </w:rPr>
        <w:t>公司要根据外部供方按公司的要求提供产品的能力，建立和实施对外部供方的评价、选择和重新评价的准则。评价结果的信息应形成文件。</w:t>
      </w:r>
    </w:p>
    <w:p>
      <w:pPr>
        <w:ind w:firstLine="560"/>
        <w:rPr>
          <w:b/>
          <w:szCs w:val="21"/>
        </w:rPr>
      </w:pPr>
      <w:r>
        <w:rPr>
          <w:b/>
          <w:szCs w:val="21"/>
        </w:rPr>
        <w:t>8.4.3外部供方的信息</w:t>
      </w:r>
    </w:p>
    <w:p>
      <w:pPr>
        <w:ind w:firstLine="560"/>
        <w:rPr>
          <w:szCs w:val="21"/>
        </w:rPr>
      </w:pPr>
      <w:r>
        <w:rPr>
          <w:szCs w:val="21"/>
        </w:rPr>
        <w:t>适用时，提供给外部供方的形成文件的信息应阐述：</w:t>
      </w:r>
    </w:p>
    <w:p>
      <w:pPr>
        <w:ind w:firstLine="560"/>
        <w:rPr>
          <w:szCs w:val="21"/>
        </w:rPr>
      </w:pPr>
      <w:r>
        <w:rPr>
          <w:szCs w:val="21"/>
        </w:rPr>
        <w:t>a)供应的产品和服务，以及实施的过程；</w:t>
      </w:r>
    </w:p>
    <w:p>
      <w:pPr>
        <w:ind w:firstLine="560"/>
        <w:rPr>
          <w:szCs w:val="21"/>
        </w:rPr>
      </w:pPr>
      <w:r>
        <w:rPr>
          <w:szCs w:val="21"/>
        </w:rPr>
        <w:t>b)产品、服务、程序、过程和设备的放行或批准要求；</w:t>
      </w:r>
    </w:p>
    <w:p>
      <w:pPr>
        <w:ind w:firstLine="560"/>
        <w:rPr>
          <w:szCs w:val="21"/>
        </w:rPr>
      </w:pPr>
      <w:r>
        <w:rPr>
          <w:szCs w:val="21"/>
        </w:rPr>
        <w:t>c)人员能力的要求，包含必要的资格；</w:t>
      </w:r>
    </w:p>
    <w:p>
      <w:pPr>
        <w:ind w:firstLine="560"/>
        <w:rPr>
          <w:szCs w:val="21"/>
        </w:rPr>
      </w:pPr>
      <w:r>
        <w:rPr>
          <w:szCs w:val="21"/>
        </w:rPr>
        <w:t>d)质量/环境/安全管理体系的要求；</w:t>
      </w:r>
    </w:p>
    <w:p>
      <w:pPr>
        <w:ind w:firstLine="560"/>
        <w:rPr>
          <w:szCs w:val="21"/>
        </w:rPr>
      </w:pPr>
      <w:r>
        <w:rPr>
          <w:szCs w:val="21"/>
        </w:rPr>
        <w:t>e)公司对外部供方业绩的控制和监视；</w:t>
      </w:r>
    </w:p>
    <w:p>
      <w:pPr>
        <w:ind w:firstLine="560"/>
        <w:rPr>
          <w:szCs w:val="21"/>
        </w:rPr>
      </w:pPr>
      <w:r>
        <w:rPr>
          <w:szCs w:val="21"/>
        </w:rPr>
        <w:t>f)公司或其顾客拟在供方现场实施的验证活动；</w:t>
      </w:r>
    </w:p>
    <w:p>
      <w:pPr>
        <w:ind w:firstLine="560"/>
        <w:rPr>
          <w:szCs w:val="21"/>
        </w:rPr>
      </w:pPr>
      <w:r>
        <w:rPr>
          <w:szCs w:val="21"/>
        </w:rPr>
        <w:t>g)将产品从外部供方到公司现场的搬运要求；</w:t>
      </w:r>
    </w:p>
    <w:p>
      <w:pPr>
        <w:ind w:firstLine="560"/>
        <w:rPr>
          <w:szCs w:val="21"/>
        </w:rPr>
      </w:pPr>
      <w:r>
        <w:rPr>
          <w:szCs w:val="21"/>
        </w:rPr>
        <w:t>在与外部供方沟通前，公司要确保所规定的要求是充分与适宜的。</w:t>
      </w:r>
    </w:p>
    <w:p>
      <w:pPr>
        <w:ind w:firstLine="560"/>
        <w:rPr>
          <w:szCs w:val="21"/>
        </w:rPr>
      </w:pPr>
      <w:r>
        <w:rPr>
          <w:szCs w:val="21"/>
        </w:rPr>
        <w:t>公司要对外部供方的业绩进行监视。应将监视结果的信息形成文件。</w:t>
      </w:r>
    </w:p>
    <w:p>
      <w:pPr>
        <w:ind w:firstLine="560"/>
        <w:rPr>
          <w:b/>
          <w:szCs w:val="21"/>
        </w:rPr>
      </w:pPr>
      <w:r>
        <w:rPr>
          <w:b/>
          <w:szCs w:val="21"/>
        </w:rPr>
        <w:t>8.5生产和服务提供</w:t>
      </w:r>
    </w:p>
    <w:p>
      <w:pPr>
        <w:ind w:firstLine="560"/>
        <w:rPr>
          <w:b/>
          <w:szCs w:val="21"/>
        </w:rPr>
      </w:pPr>
      <w:r>
        <w:rPr>
          <w:b/>
          <w:szCs w:val="21"/>
        </w:rPr>
        <w:t>8.5.1生产和服务提供的控制（C2）</w:t>
      </w:r>
    </w:p>
    <w:p>
      <w:pPr>
        <w:ind w:firstLine="560"/>
        <w:rPr>
          <w:szCs w:val="21"/>
        </w:rPr>
      </w:pPr>
      <w:r>
        <w:rPr>
          <w:szCs w:val="21"/>
        </w:rPr>
        <w:t>公司要在受控条件下进行产品销售服务提供。适用时，受控条件应包括：</w:t>
      </w:r>
    </w:p>
    <w:p>
      <w:pPr>
        <w:ind w:firstLine="560"/>
        <w:rPr>
          <w:szCs w:val="21"/>
        </w:rPr>
      </w:pPr>
      <w:r>
        <w:rPr>
          <w:szCs w:val="21"/>
        </w:rPr>
        <w:t>a)获得表述产品和服务特性的文件信息；</w:t>
      </w:r>
    </w:p>
    <w:p>
      <w:pPr>
        <w:ind w:firstLine="560"/>
        <w:rPr>
          <w:szCs w:val="21"/>
        </w:rPr>
      </w:pPr>
      <w:r>
        <w:rPr>
          <w:szCs w:val="21"/>
        </w:rPr>
        <w:t>b)控制的实施；</w:t>
      </w:r>
    </w:p>
    <w:p>
      <w:pPr>
        <w:ind w:firstLine="560"/>
        <w:rPr>
          <w:szCs w:val="21"/>
        </w:rPr>
      </w:pPr>
      <w:r>
        <w:rPr>
          <w:szCs w:val="21"/>
        </w:rPr>
        <w:t>c)必要时，获得表述活动的实施及其结果的文件信息；</w:t>
      </w:r>
    </w:p>
    <w:p>
      <w:pPr>
        <w:ind w:firstLine="560"/>
        <w:rPr>
          <w:szCs w:val="21"/>
        </w:rPr>
      </w:pPr>
      <w:r>
        <w:rPr>
          <w:szCs w:val="21"/>
        </w:rPr>
        <w:t>d)使用适宜的设备；</w:t>
      </w:r>
    </w:p>
    <w:p>
      <w:pPr>
        <w:ind w:firstLine="560"/>
        <w:rPr>
          <w:szCs w:val="21"/>
        </w:rPr>
      </w:pPr>
      <w:r>
        <w:rPr>
          <w:szCs w:val="21"/>
        </w:rPr>
        <w:t>e)获得、实施和使用监测和测量设备；</w:t>
      </w:r>
    </w:p>
    <w:p>
      <w:pPr>
        <w:ind w:firstLine="560"/>
        <w:rPr>
          <w:szCs w:val="21"/>
        </w:rPr>
      </w:pPr>
      <w:r>
        <w:rPr>
          <w:szCs w:val="21"/>
        </w:rPr>
        <w:t>f)人员的能力或资格；</w:t>
      </w:r>
    </w:p>
    <w:p>
      <w:pPr>
        <w:ind w:left="525" w:leftChars="250" w:firstLine="33" w:firstLineChars="16"/>
        <w:rPr>
          <w:szCs w:val="21"/>
        </w:rPr>
      </w:pPr>
      <w:r>
        <w:rPr>
          <w:szCs w:val="21"/>
        </w:rPr>
        <w:t>g)当过程的输出不能由后续的监测和测量加以验证时，对任何这样的产品销售服务提供过程进行确认、批准和再次确认；</w:t>
      </w:r>
    </w:p>
    <w:p>
      <w:pPr>
        <w:ind w:left="525" w:leftChars="250" w:firstLine="34" w:firstLineChars="16"/>
        <w:rPr>
          <w:rFonts w:hint="default" w:eastAsia="宋体"/>
          <w:szCs w:val="21"/>
          <w:lang w:val="en-US" w:eastAsia="zh-CN"/>
        </w:rPr>
      </w:pPr>
      <w:r>
        <w:rPr>
          <w:rFonts w:hint="eastAsia"/>
          <w:b/>
          <w:bCs/>
          <w:szCs w:val="21"/>
          <w:u w:val="single"/>
        </w:rPr>
        <w:t>公司目前识别</w:t>
      </w:r>
      <w:r>
        <w:rPr>
          <w:rFonts w:hint="eastAsia"/>
          <w:b/>
          <w:bCs/>
          <w:szCs w:val="21"/>
          <w:u w:val="single"/>
          <w:lang w:val="en-US" w:eastAsia="zh-CN"/>
        </w:rPr>
        <w:t>的特殊</w:t>
      </w:r>
      <w:r>
        <w:rPr>
          <w:rFonts w:hint="eastAsia"/>
          <w:b/>
          <w:bCs/>
          <w:szCs w:val="21"/>
          <w:u w:val="single"/>
        </w:rPr>
        <w:t>过程</w:t>
      </w:r>
      <w:r>
        <w:rPr>
          <w:rFonts w:hint="eastAsia"/>
          <w:b/>
          <w:bCs/>
          <w:szCs w:val="21"/>
          <w:u w:val="single"/>
          <w:lang w:val="en-US" w:eastAsia="zh-CN"/>
        </w:rPr>
        <w:t>为：设计过程、隐蔽工程、销售服务过程。</w:t>
      </w:r>
    </w:p>
    <w:p>
      <w:pPr>
        <w:ind w:firstLine="560"/>
        <w:rPr>
          <w:szCs w:val="21"/>
        </w:rPr>
      </w:pPr>
      <w:r>
        <w:rPr>
          <w:szCs w:val="21"/>
        </w:rPr>
        <w:t>h)产品和服务的放行、交付和交付后活动的实施；</w:t>
      </w:r>
    </w:p>
    <w:p>
      <w:pPr>
        <w:ind w:firstLine="560"/>
        <w:rPr>
          <w:szCs w:val="21"/>
        </w:rPr>
      </w:pPr>
      <w:r>
        <w:rPr>
          <w:szCs w:val="21"/>
        </w:rPr>
        <w:t>i)人为错误（如失误、违章）导致的不符合的预防。</w:t>
      </w:r>
    </w:p>
    <w:p>
      <w:pPr>
        <w:ind w:firstLine="560"/>
        <w:rPr>
          <w:szCs w:val="21"/>
        </w:rPr>
      </w:pPr>
      <w:r>
        <w:rPr>
          <w:szCs w:val="21"/>
        </w:rPr>
        <w:t>注：通过以下确认活动证实这些过程实现所策划的结果的能力：</w:t>
      </w:r>
    </w:p>
    <w:p>
      <w:pPr>
        <w:ind w:firstLine="560"/>
        <w:rPr>
          <w:szCs w:val="21"/>
        </w:rPr>
      </w:pPr>
      <w:r>
        <w:rPr>
          <w:szCs w:val="21"/>
        </w:rPr>
        <w:t>a)过程评审和批准的准则的确定</w:t>
      </w:r>
    </w:p>
    <w:p>
      <w:pPr>
        <w:ind w:firstLine="560"/>
        <w:rPr>
          <w:szCs w:val="21"/>
        </w:rPr>
      </w:pPr>
      <w:r>
        <w:rPr>
          <w:szCs w:val="21"/>
        </w:rPr>
        <w:t>b)设备的认可和人员资格的鉴定</w:t>
      </w:r>
    </w:p>
    <w:p>
      <w:pPr>
        <w:ind w:firstLine="560"/>
        <w:rPr>
          <w:szCs w:val="21"/>
        </w:rPr>
      </w:pPr>
      <w:r>
        <w:rPr>
          <w:szCs w:val="21"/>
        </w:rPr>
        <w:t>c)特定的方法和程序的使用</w:t>
      </w:r>
    </w:p>
    <w:p>
      <w:pPr>
        <w:ind w:firstLine="560"/>
        <w:rPr>
          <w:szCs w:val="21"/>
        </w:rPr>
      </w:pPr>
      <w:r>
        <w:rPr>
          <w:szCs w:val="21"/>
        </w:rPr>
        <w:t>d)文件化信息的需求的确定</w:t>
      </w:r>
    </w:p>
    <w:p>
      <w:pPr>
        <w:ind w:firstLine="560"/>
        <w:rPr>
          <w:b/>
          <w:szCs w:val="21"/>
        </w:rPr>
      </w:pPr>
      <w:r>
        <w:rPr>
          <w:b/>
          <w:szCs w:val="21"/>
        </w:rPr>
        <w:t>8.5.2标识和可追溯性（S11）</w:t>
      </w:r>
    </w:p>
    <w:p>
      <w:pPr>
        <w:ind w:left="525" w:leftChars="250" w:firstLine="33" w:firstLineChars="16"/>
        <w:rPr>
          <w:szCs w:val="21"/>
        </w:rPr>
      </w:pPr>
      <w:r>
        <w:rPr>
          <w:szCs w:val="21"/>
        </w:rPr>
        <w:t>公司建立《</w:t>
      </w:r>
      <w:r>
        <w:rPr>
          <w:rFonts w:hint="eastAsia"/>
          <w:szCs w:val="21"/>
          <w:lang w:eastAsia="zh-CN"/>
        </w:rPr>
        <w:t>标识和可追溯性控制程序</w:t>
      </w:r>
      <w:r>
        <w:rPr>
          <w:szCs w:val="21"/>
        </w:rPr>
        <w:t>》，使用适宜的方法识别过程输出。过程输出包括产品、服务、中间件、部件等。</w:t>
      </w:r>
    </w:p>
    <w:p>
      <w:pPr>
        <w:ind w:firstLine="560"/>
        <w:rPr>
          <w:szCs w:val="21"/>
        </w:rPr>
      </w:pPr>
      <w:r>
        <w:rPr>
          <w:szCs w:val="21"/>
        </w:rPr>
        <w:t>公司要在产品实现的全过程中，针对监视和测量要求识别过程输出的状态。</w:t>
      </w:r>
    </w:p>
    <w:p>
      <w:pPr>
        <w:ind w:firstLine="560"/>
        <w:rPr>
          <w:szCs w:val="21"/>
        </w:rPr>
      </w:pPr>
      <w:r>
        <w:rPr>
          <w:szCs w:val="21"/>
        </w:rPr>
        <w:t>在有可追溯性要求的场合，公司要控制产品的唯一性标识，并保持形成文件的信息。</w:t>
      </w:r>
    </w:p>
    <w:p>
      <w:pPr>
        <w:ind w:firstLine="560"/>
        <w:rPr>
          <w:b/>
          <w:szCs w:val="21"/>
        </w:rPr>
      </w:pPr>
      <w:r>
        <w:rPr>
          <w:b/>
          <w:szCs w:val="21"/>
        </w:rPr>
        <w:t>8.5.3顾客或外部供方的财产（S12）</w:t>
      </w:r>
    </w:p>
    <w:p>
      <w:pPr>
        <w:ind w:left="525" w:leftChars="250" w:firstLine="33" w:firstLineChars="16"/>
        <w:rPr>
          <w:szCs w:val="21"/>
        </w:rPr>
      </w:pPr>
      <w:r>
        <w:t>公司客户和外部供方的财产</w:t>
      </w:r>
      <w:r>
        <w:rPr>
          <w:rFonts w:hint="eastAsia"/>
        </w:rPr>
        <w:t>主要为客户的相关个人信息，在现场服务时可能使用到的属于客户的工具以及客户的场所，</w:t>
      </w:r>
      <w:r>
        <w:t>建立《客户和外部供方的财产管理制度》，</w:t>
      </w:r>
      <w:r>
        <w:rPr>
          <w:szCs w:val="21"/>
        </w:rPr>
        <w:t>规范管理公司控制下或公司使用的顾客、外部供方财产，并包括顾客、外部供方财产可包括知识产权、秘密的或私人的信息。公司要识别、验证、保护和维护供其使用或构成产品和服务一部分的顾客、外部供方财产。</w:t>
      </w:r>
    </w:p>
    <w:p>
      <w:pPr>
        <w:ind w:left="525" w:leftChars="250" w:firstLine="33" w:firstLineChars="16"/>
        <w:rPr>
          <w:szCs w:val="21"/>
        </w:rPr>
      </w:pPr>
      <w:r>
        <w:rPr>
          <w:szCs w:val="21"/>
        </w:rPr>
        <w:t>如果顾客、外部供方财产发生丢失、损坏或发现不适用的情况，公司要向顾客、外部供方报告，并保持文件信息。</w:t>
      </w:r>
    </w:p>
    <w:p>
      <w:pPr>
        <w:ind w:firstLine="560"/>
        <w:rPr>
          <w:b/>
          <w:szCs w:val="21"/>
        </w:rPr>
      </w:pPr>
      <w:r>
        <w:rPr>
          <w:b/>
          <w:szCs w:val="21"/>
        </w:rPr>
        <w:t>8.5.4防护（C3）</w:t>
      </w:r>
    </w:p>
    <w:p>
      <w:pPr>
        <w:ind w:left="525" w:leftChars="250" w:firstLine="33" w:firstLineChars="16"/>
        <w:rPr>
          <w:szCs w:val="21"/>
        </w:rPr>
      </w:pPr>
      <w:r>
        <w:rPr>
          <w:rFonts w:hint="eastAsia"/>
          <w:szCs w:val="21"/>
        </w:rPr>
        <w:t>在服务执行过程中</w:t>
      </w:r>
      <w:r>
        <w:rPr>
          <w:szCs w:val="21"/>
        </w:rPr>
        <w:t>确保对产品和服务（包括任何过程的输出）提供防护，以保持符合要求。</w:t>
      </w:r>
    </w:p>
    <w:p>
      <w:pPr>
        <w:ind w:firstLine="560"/>
        <w:rPr>
          <w:szCs w:val="21"/>
        </w:rPr>
      </w:pPr>
      <w:r>
        <w:rPr>
          <w:szCs w:val="21"/>
        </w:rPr>
        <w:t>防护也应适用于产品的组成部分、服务提供所需的任何有形的过程输出。</w:t>
      </w:r>
    </w:p>
    <w:p>
      <w:pPr>
        <w:ind w:firstLine="560"/>
        <w:rPr>
          <w:szCs w:val="21"/>
        </w:rPr>
      </w:pPr>
      <w:r>
        <w:rPr>
          <w:szCs w:val="21"/>
        </w:rPr>
        <w:t>防护包括标识、搬运、包装、贮存、污染控制、传送或运输和保护。</w:t>
      </w:r>
    </w:p>
    <w:p>
      <w:pPr>
        <w:ind w:firstLine="560"/>
        <w:rPr>
          <w:b/>
          <w:szCs w:val="21"/>
        </w:rPr>
      </w:pPr>
      <w:r>
        <w:rPr>
          <w:b/>
          <w:szCs w:val="21"/>
        </w:rPr>
        <w:t>8.5.5交付后的活动（C4）</w:t>
      </w:r>
    </w:p>
    <w:p>
      <w:pPr>
        <w:ind w:firstLine="560"/>
        <w:rPr>
          <w:szCs w:val="21"/>
        </w:rPr>
      </w:pPr>
      <w:r>
        <w:rPr>
          <w:szCs w:val="21"/>
        </w:rPr>
        <w:t>适用时，公司要确定和满足与产品特性、生命周期相适应的交付后活动要求。</w:t>
      </w:r>
    </w:p>
    <w:p>
      <w:pPr>
        <w:ind w:firstLine="560"/>
        <w:rPr>
          <w:szCs w:val="21"/>
        </w:rPr>
      </w:pPr>
      <w:r>
        <w:rPr>
          <w:szCs w:val="21"/>
        </w:rPr>
        <w:t>产品交付后的活动应考虑：</w:t>
      </w:r>
    </w:p>
    <w:p>
      <w:pPr>
        <w:ind w:firstLine="560"/>
        <w:rPr>
          <w:szCs w:val="21"/>
        </w:rPr>
      </w:pPr>
      <w:r>
        <w:rPr>
          <w:szCs w:val="21"/>
        </w:rPr>
        <w:t>a)产品和服务相关的风险</w:t>
      </w:r>
    </w:p>
    <w:p>
      <w:pPr>
        <w:ind w:firstLine="560"/>
        <w:rPr>
          <w:szCs w:val="21"/>
        </w:rPr>
      </w:pPr>
      <w:r>
        <w:rPr>
          <w:szCs w:val="21"/>
        </w:rPr>
        <w:t>b)顾客反馈</w:t>
      </w:r>
    </w:p>
    <w:p>
      <w:pPr>
        <w:ind w:firstLine="560"/>
        <w:rPr>
          <w:szCs w:val="21"/>
        </w:rPr>
      </w:pPr>
      <w:r>
        <w:rPr>
          <w:szCs w:val="21"/>
        </w:rPr>
        <w:t>c)法律和法规要求</w:t>
      </w:r>
    </w:p>
    <w:p>
      <w:pPr>
        <w:ind w:left="525" w:leftChars="250" w:firstLine="33" w:firstLineChars="16"/>
        <w:rPr>
          <w:szCs w:val="21"/>
        </w:rPr>
      </w:pPr>
      <w:r>
        <w:rPr>
          <w:szCs w:val="21"/>
        </w:rPr>
        <w:t>注：交付后活动可包括诸如担保条件下的措施、合同规定的维护服务、附加服务（回收或最终处置）等。</w:t>
      </w:r>
    </w:p>
    <w:p>
      <w:pPr>
        <w:ind w:firstLine="560"/>
        <w:rPr>
          <w:b/>
          <w:szCs w:val="21"/>
        </w:rPr>
      </w:pPr>
      <w:r>
        <w:rPr>
          <w:b/>
          <w:szCs w:val="21"/>
        </w:rPr>
        <w:t>8.5.6更改控制</w:t>
      </w:r>
    </w:p>
    <w:p>
      <w:pPr>
        <w:ind w:left="525" w:leftChars="250" w:firstLine="33" w:firstLineChars="16"/>
        <w:rPr>
          <w:szCs w:val="21"/>
        </w:rPr>
      </w:pPr>
      <w:r>
        <w:rPr>
          <w:szCs w:val="21"/>
        </w:rPr>
        <w:t>公司要有计划地和系统地进行变更，考虑对变更的潜在后果进行评价，采取必要的措施，以确保产品和服务完整性。</w:t>
      </w:r>
    </w:p>
    <w:p>
      <w:pPr>
        <w:ind w:firstLine="560"/>
        <w:rPr>
          <w:szCs w:val="21"/>
        </w:rPr>
      </w:pPr>
      <w:r>
        <w:rPr>
          <w:szCs w:val="21"/>
        </w:rPr>
        <w:t>应将变更的评价结果、变更的批准和必要的措施的信息形成文件。</w:t>
      </w:r>
    </w:p>
    <w:p>
      <w:pPr>
        <w:ind w:firstLine="560"/>
        <w:rPr>
          <w:b/>
          <w:szCs w:val="21"/>
        </w:rPr>
      </w:pPr>
      <w:r>
        <w:rPr>
          <w:b/>
          <w:szCs w:val="21"/>
        </w:rPr>
        <w:t>8.6产品和服务的放行（S13）</w:t>
      </w:r>
    </w:p>
    <w:p>
      <w:pPr>
        <w:spacing w:line="360" w:lineRule="auto"/>
        <w:ind w:firstLine="525" w:firstLineChars="250"/>
        <w:rPr>
          <w:bCs/>
        </w:rPr>
      </w:pPr>
      <w:r>
        <w:rPr>
          <w:szCs w:val="21"/>
        </w:rPr>
        <w:t>公司建立</w:t>
      </w:r>
      <w:r>
        <w:rPr>
          <w:rFonts w:hint="eastAsia"/>
          <w:szCs w:val="21"/>
        </w:rPr>
        <w:t>相关制度</w:t>
      </w:r>
      <w:r>
        <w:rPr>
          <w:szCs w:val="21"/>
        </w:rPr>
        <w:t>并按策划的安排，在适当的阶段验证产品和服务是否满足要求。</w:t>
      </w:r>
    </w:p>
    <w:p>
      <w:pPr>
        <w:ind w:left="525" w:leftChars="250" w:firstLine="33" w:firstLineChars="16"/>
        <w:rPr>
          <w:szCs w:val="21"/>
        </w:rPr>
      </w:pPr>
      <w:r>
        <w:rPr>
          <w:szCs w:val="21"/>
        </w:rPr>
        <w:t>除非得到有关授权人员的批准，适用时得到顾客的批准，否则在策划的符合性验证已圆满完成之前，不应向顾客放行产品和交付服务。应在形成文件的信息中指明有权放行产品以交付给顾客的人员。</w:t>
      </w:r>
    </w:p>
    <w:p>
      <w:pPr>
        <w:ind w:firstLine="560"/>
        <w:rPr>
          <w:b/>
          <w:szCs w:val="21"/>
        </w:rPr>
      </w:pPr>
      <w:r>
        <w:rPr>
          <w:b/>
          <w:szCs w:val="21"/>
        </w:rPr>
        <w:t>8.7不合格输出的控制（S14）</w:t>
      </w:r>
    </w:p>
    <w:p>
      <w:pPr>
        <w:ind w:left="525" w:leftChars="250" w:firstLine="33" w:firstLineChars="16"/>
        <w:rPr>
          <w:szCs w:val="21"/>
        </w:rPr>
      </w:pPr>
      <w:r>
        <w:rPr>
          <w:rFonts w:hint="eastAsia"/>
          <w:szCs w:val="21"/>
          <w:lang w:eastAsia="zh-CN"/>
        </w:rPr>
        <w:t>8.</w:t>
      </w:r>
      <w:r>
        <w:rPr>
          <w:rFonts w:hint="eastAsia"/>
          <w:szCs w:val="21"/>
          <w:lang w:val="en-US" w:eastAsia="zh-CN"/>
        </w:rPr>
        <w:t>7</w:t>
      </w:r>
      <w:r>
        <w:rPr>
          <w:rFonts w:hint="eastAsia"/>
          <w:szCs w:val="21"/>
          <w:lang w:eastAsia="zh-CN"/>
        </w:rPr>
        <w:t>.1</w:t>
      </w:r>
      <w:r>
        <w:rPr>
          <w:szCs w:val="21"/>
        </w:rPr>
        <w:t>公司要确保对不符合要求的产品和服务得到识别和控制，以防止其非预期的使用和交付对顾客造成不良影响。</w:t>
      </w:r>
    </w:p>
    <w:p>
      <w:pPr>
        <w:ind w:left="525" w:leftChars="250" w:firstLine="33" w:firstLineChars="16"/>
        <w:rPr>
          <w:szCs w:val="21"/>
        </w:rPr>
      </w:pPr>
      <w:r>
        <w:rPr>
          <w:szCs w:val="21"/>
        </w:rPr>
        <w:t>公司要采取与不合格品的性质及其影响相适应的措施，需要时进行纠正。这也适用于在产品交付后和服务</w:t>
      </w:r>
    </w:p>
    <w:p>
      <w:pPr>
        <w:ind w:firstLine="560"/>
        <w:rPr>
          <w:szCs w:val="21"/>
        </w:rPr>
      </w:pPr>
      <w:r>
        <w:rPr>
          <w:szCs w:val="21"/>
        </w:rPr>
        <w:t>提供过程中发现的不合格的处置。</w:t>
      </w:r>
    </w:p>
    <w:p>
      <w:pPr>
        <w:ind w:firstLine="560"/>
        <w:rPr>
          <w:szCs w:val="21"/>
        </w:rPr>
      </w:pPr>
      <w:r>
        <w:rPr>
          <w:szCs w:val="21"/>
        </w:rPr>
        <w:t>当不合格产品和服务已交付给顾客，公司也应采取适当的纠正以确保实现顾客满意。</w:t>
      </w:r>
    </w:p>
    <w:p>
      <w:pPr>
        <w:ind w:firstLine="560"/>
        <w:rPr>
          <w:szCs w:val="21"/>
        </w:rPr>
      </w:pPr>
      <w:r>
        <w:rPr>
          <w:szCs w:val="21"/>
        </w:rPr>
        <w:t>应实施适当的纠正措施。</w:t>
      </w:r>
    </w:p>
    <w:p>
      <w:pPr>
        <w:ind w:firstLine="560"/>
        <w:rPr>
          <w:szCs w:val="21"/>
        </w:rPr>
      </w:pPr>
      <w:r>
        <w:rPr>
          <w:szCs w:val="21"/>
        </w:rPr>
        <w:t>注：适当的措施可包括：</w:t>
      </w:r>
    </w:p>
    <w:p>
      <w:pPr>
        <w:ind w:firstLine="560"/>
        <w:rPr>
          <w:szCs w:val="21"/>
        </w:rPr>
      </w:pPr>
      <w:r>
        <w:rPr>
          <w:szCs w:val="21"/>
        </w:rPr>
        <w:t>a)隔离、制止、召回和停止供应产品和提供服务；</w:t>
      </w:r>
    </w:p>
    <w:p>
      <w:pPr>
        <w:ind w:firstLine="560"/>
        <w:rPr>
          <w:szCs w:val="21"/>
        </w:rPr>
      </w:pPr>
      <w:r>
        <w:rPr>
          <w:szCs w:val="21"/>
        </w:rPr>
        <w:t>b)适当时，通知顾客；</w:t>
      </w:r>
    </w:p>
    <w:p>
      <w:pPr>
        <w:ind w:firstLine="560"/>
        <w:rPr>
          <w:szCs w:val="21"/>
        </w:rPr>
      </w:pPr>
      <w:r>
        <w:rPr>
          <w:szCs w:val="21"/>
        </w:rPr>
        <w:t>c)经授权进行返修、降级、继续使用、放行、延长服务时间或重新提供服务、让步接收。</w:t>
      </w:r>
    </w:p>
    <w:p>
      <w:pPr>
        <w:ind w:firstLine="560"/>
        <w:rPr>
          <w:szCs w:val="21"/>
        </w:rPr>
      </w:pPr>
      <w:r>
        <w:rPr>
          <w:szCs w:val="21"/>
        </w:rPr>
        <w:t>在不合格品得到纠正之后应对其再次进行验证，以证实符合要求。</w:t>
      </w:r>
    </w:p>
    <w:p>
      <w:pPr>
        <w:ind w:firstLine="560"/>
        <w:rPr>
          <w:szCs w:val="21"/>
        </w:rPr>
      </w:pPr>
      <w:r>
        <w:rPr>
          <w:szCs w:val="21"/>
        </w:rPr>
        <w:t>8.7.2不合格品的性质以及随后所采取的任何措施的信息应形成文件并保留，包括所批准的让步。</w:t>
      </w:r>
    </w:p>
    <w:p>
      <w:pPr>
        <w:ind w:firstLine="560"/>
        <w:rPr>
          <w:rFonts w:asciiTheme="minorEastAsia" w:hAnsiTheme="minorEastAsia" w:eastAsiaTheme="minorEastAsia"/>
          <w:b/>
          <w:szCs w:val="21"/>
        </w:rPr>
      </w:pPr>
      <w:r>
        <w:rPr>
          <w:rFonts w:hint="eastAsia" w:asciiTheme="minorEastAsia" w:hAnsiTheme="minorEastAsia" w:eastAsiaTheme="minorEastAsia"/>
          <w:b/>
          <w:szCs w:val="21"/>
        </w:rPr>
        <w:t>8.8</w:t>
      </w:r>
      <w:r>
        <w:rPr>
          <w:rFonts w:asciiTheme="minorEastAsia" w:hAnsiTheme="minorEastAsia" w:eastAsiaTheme="minorEastAsia"/>
          <w:b/>
          <w:szCs w:val="21"/>
        </w:rPr>
        <w:t>应急准备和响应</w:t>
      </w:r>
    </w:p>
    <w:p>
      <w:pPr>
        <w:ind w:left="559" w:leftChars="266"/>
        <w:rPr>
          <w:b/>
          <w:szCs w:val="21"/>
        </w:rPr>
      </w:pPr>
      <w:r>
        <w:rPr>
          <w:rFonts w:asciiTheme="minorEastAsia" w:hAnsiTheme="minorEastAsia" w:eastAsiaTheme="minorEastAsia"/>
          <w:color w:val="000000"/>
          <w:kern w:val="0"/>
          <w:szCs w:val="21"/>
        </w:rPr>
        <w:t>公司应建立、实施并保持《</w:t>
      </w:r>
      <w:r>
        <w:rPr>
          <w:rFonts w:hint="eastAsia" w:asciiTheme="minorEastAsia" w:hAnsiTheme="minorEastAsia" w:eastAsiaTheme="minorEastAsia"/>
          <w:color w:val="000000"/>
          <w:kern w:val="0"/>
          <w:szCs w:val="21"/>
          <w:lang w:eastAsia="zh-CN"/>
        </w:rPr>
        <w:t>应急准备与响应控制程序</w:t>
      </w:r>
      <w:r>
        <w:rPr>
          <w:rFonts w:asciiTheme="minorEastAsia" w:hAnsiTheme="minorEastAsia" w:eastAsiaTheme="minorEastAsia"/>
          <w:color w:val="000000"/>
          <w:kern w:val="0"/>
          <w:szCs w:val="21"/>
        </w:rPr>
        <w:t>》对识别的潜在紧急情况进行应急准备并做出响应所需的过</w:t>
      </w:r>
      <w:r>
        <w:rPr>
          <w:color w:val="000000"/>
          <w:kern w:val="0"/>
          <w:szCs w:val="21"/>
        </w:rPr>
        <w:t>程。</w:t>
      </w:r>
    </w:p>
    <w:p>
      <w:pPr>
        <w:ind w:firstLine="560"/>
        <w:rPr>
          <w:b/>
          <w:szCs w:val="21"/>
        </w:rPr>
      </w:pPr>
      <w:r>
        <w:rPr>
          <w:color w:val="000000"/>
          <w:kern w:val="0"/>
          <w:szCs w:val="21"/>
        </w:rPr>
        <w:t>公司应：</w:t>
      </w:r>
    </w:p>
    <w:p>
      <w:pPr>
        <w:autoSpaceDE w:val="0"/>
        <w:autoSpaceDN w:val="0"/>
        <w:adjustRightInd w:val="0"/>
        <w:ind w:firstLine="525" w:firstLineChars="250"/>
        <w:jc w:val="left"/>
        <w:rPr>
          <w:color w:val="000000"/>
          <w:kern w:val="0"/>
          <w:szCs w:val="21"/>
        </w:rPr>
      </w:pPr>
      <w:r>
        <w:rPr>
          <w:color w:val="000000"/>
          <w:kern w:val="0"/>
          <w:szCs w:val="21"/>
        </w:rPr>
        <w:t>a）通过策划措施做好响应紧急情况的准备，以预防或减轻它所带来的有害环境</w:t>
      </w:r>
      <w:r>
        <w:rPr>
          <w:rFonts w:hint="eastAsia"/>
          <w:color w:val="000000"/>
          <w:kern w:val="0"/>
          <w:szCs w:val="21"/>
        </w:rPr>
        <w:t>与安全</w:t>
      </w:r>
      <w:r>
        <w:rPr>
          <w:color w:val="000000"/>
          <w:kern w:val="0"/>
          <w:szCs w:val="21"/>
        </w:rPr>
        <w:t>影响；</w:t>
      </w:r>
    </w:p>
    <w:p>
      <w:pPr>
        <w:autoSpaceDE w:val="0"/>
        <w:autoSpaceDN w:val="0"/>
        <w:adjustRightInd w:val="0"/>
        <w:ind w:firstLine="525" w:firstLineChars="250"/>
        <w:jc w:val="left"/>
        <w:rPr>
          <w:color w:val="000000"/>
          <w:kern w:val="0"/>
          <w:szCs w:val="21"/>
        </w:rPr>
      </w:pPr>
      <w:r>
        <w:rPr>
          <w:color w:val="000000"/>
          <w:kern w:val="0"/>
          <w:szCs w:val="21"/>
        </w:rPr>
        <w:t>b）对实际发生的紧急情况做出响应；</w:t>
      </w:r>
    </w:p>
    <w:p>
      <w:pPr>
        <w:autoSpaceDE w:val="0"/>
        <w:autoSpaceDN w:val="0"/>
        <w:adjustRightInd w:val="0"/>
        <w:ind w:left="840" w:leftChars="250" w:hanging="315" w:hangingChars="150"/>
        <w:jc w:val="left"/>
        <w:rPr>
          <w:color w:val="000000"/>
          <w:kern w:val="0"/>
          <w:szCs w:val="21"/>
        </w:rPr>
      </w:pPr>
      <w:r>
        <w:rPr>
          <w:color w:val="000000"/>
          <w:kern w:val="0"/>
          <w:szCs w:val="21"/>
        </w:rPr>
        <w:t>c）根据紧急情况和潜在环境</w:t>
      </w:r>
      <w:r>
        <w:rPr>
          <w:rFonts w:hint="eastAsia"/>
          <w:color w:val="000000"/>
          <w:kern w:val="0"/>
          <w:szCs w:val="21"/>
        </w:rPr>
        <w:t>以及安全</w:t>
      </w:r>
      <w:r>
        <w:rPr>
          <w:color w:val="000000"/>
          <w:kern w:val="0"/>
          <w:szCs w:val="21"/>
        </w:rPr>
        <w:t>影响的程度，采取相适应的措施预防或减轻紧急情况带来的后果；</w:t>
      </w:r>
    </w:p>
    <w:p>
      <w:pPr>
        <w:autoSpaceDE w:val="0"/>
        <w:autoSpaceDN w:val="0"/>
        <w:adjustRightInd w:val="0"/>
        <w:ind w:firstLine="525" w:firstLineChars="250"/>
        <w:jc w:val="left"/>
        <w:rPr>
          <w:color w:val="000000"/>
          <w:kern w:val="0"/>
          <w:szCs w:val="21"/>
        </w:rPr>
      </w:pPr>
      <w:r>
        <w:rPr>
          <w:color w:val="000000"/>
          <w:kern w:val="0"/>
          <w:szCs w:val="21"/>
        </w:rPr>
        <w:t>d）可行时，定期试验所策划的响应措施；</w:t>
      </w:r>
    </w:p>
    <w:p>
      <w:pPr>
        <w:autoSpaceDE w:val="0"/>
        <w:autoSpaceDN w:val="0"/>
        <w:adjustRightInd w:val="0"/>
        <w:ind w:firstLine="525" w:firstLineChars="250"/>
        <w:jc w:val="left"/>
        <w:rPr>
          <w:color w:val="000000"/>
          <w:kern w:val="0"/>
          <w:szCs w:val="21"/>
        </w:rPr>
      </w:pPr>
      <w:r>
        <w:rPr>
          <w:color w:val="000000"/>
          <w:kern w:val="0"/>
          <w:szCs w:val="21"/>
        </w:rPr>
        <w:t>e）定期评审并修订过程和策划的响应措施，特别是发生紧急情况后或进行试验后；</w:t>
      </w:r>
    </w:p>
    <w:p>
      <w:pPr>
        <w:ind w:left="840" w:leftChars="250" w:hanging="315" w:hangingChars="150"/>
        <w:rPr>
          <w:color w:val="000000"/>
          <w:kern w:val="0"/>
          <w:szCs w:val="21"/>
        </w:rPr>
      </w:pPr>
      <w:r>
        <w:rPr>
          <w:color w:val="000000"/>
          <w:kern w:val="0"/>
          <w:szCs w:val="21"/>
        </w:rPr>
        <w:t>f）适用时，向有关的相关方，包括在公司控制下工作的人员提供应急准备和响应相关的信息和培训。</w:t>
      </w:r>
    </w:p>
    <w:p>
      <w:pPr>
        <w:ind w:firstLine="525" w:firstLineChars="250"/>
        <w:rPr>
          <w:color w:val="000000"/>
          <w:kern w:val="0"/>
          <w:szCs w:val="21"/>
        </w:rPr>
      </w:pPr>
      <w:r>
        <w:rPr>
          <w:szCs w:val="21"/>
        </w:rPr>
        <w:t>公司应保持必要的文件化信息，以确信过程按策划予以实施。</w:t>
      </w:r>
    </w:p>
    <w:p>
      <w:pPr>
        <w:ind w:firstLine="560"/>
        <w:rPr>
          <w:b/>
          <w:szCs w:val="21"/>
        </w:rPr>
      </w:pPr>
      <w:r>
        <w:rPr>
          <w:b/>
          <w:szCs w:val="21"/>
        </w:rPr>
        <w:t>9绩效评价</w:t>
      </w:r>
    </w:p>
    <w:p>
      <w:pPr>
        <w:ind w:firstLine="560"/>
        <w:rPr>
          <w:b/>
          <w:szCs w:val="21"/>
        </w:rPr>
      </w:pPr>
      <w:r>
        <w:rPr>
          <w:b/>
          <w:szCs w:val="21"/>
        </w:rPr>
        <w:t>9.1监视、测量、分析和评价</w:t>
      </w:r>
    </w:p>
    <w:p>
      <w:pPr>
        <w:ind w:firstLine="560"/>
        <w:rPr>
          <w:szCs w:val="21"/>
        </w:rPr>
      </w:pPr>
      <w:r>
        <w:rPr>
          <w:szCs w:val="21"/>
        </w:rPr>
        <w:t>9.1.1总则</w:t>
      </w:r>
    </w:p>
    <w:p>
      <w:pPr>
        <w:ind w:firstLine="560"/>
        <w:rPr>
          <w:szCs w:val="21"/>
        </w:rPr>
      </w:pPr>
      <w:r>
        <w:rPr>
          <w:szCs w:val="21"/>
        </w:rPr>
        <w:t>公司要考虑已确定的风险和机遇，应：</w:t>
      </w:r>
    </w:p>
    <w:p>
      <w:pPr>
        <w:ind w:firstLine="560"/>
        <w:rPr>
          <w:szCs w:val="21"/>
        </w:rPr>
      </w:pPr>
      <w:r>
        <w:rPr>
          <w:szCs w:val="21"/>
        </w:rPr>
        <w:t>a)确定监视和测量的对象，以便：</w:t>
      </w:r>
    </w:p>
    <w:p>
      <w:pPr>
        <w:ind w:firstLine="560"/>
        <w:rPr>
          <w:szCs w:val="21"/>
        </w:rPr>
      </w:pPr>
      <w:r>
        <w:rPr>
          <w:szCs w:val="21"/>
        </w:rPr>
        <w:t>——证实产品和服务的符合性；</w:t>
      </w:r>
    </w:p>
    <w:p>
      <w:pPr>
        <w:ind w:firstLine="560"/>
        <w:rPr>
          <w:szCs w:val="21"/>
        </w:rPr>
      </w:pPr>
      <w:r>
        <w:rPr>
          <w:szCs w:val="21"/>
        </w:rPr>
        <w:t>——评价过程绩效；</w:t>
      </w:r>
    </w:p>
    <w:p>
      <w:pPr>
        <w:ind w:firstLine="560"/>
        <w:rPr>
          <w:szCs w:val="21"/>
        </w:rPr>
      </w:pPr>
      <w:r>
        <w:rPr>
          <w:szCs w:val="21"/>
        </w:rPr>
        <w:t>——确保质量/环境/安全管理体系的符合性和有效性；</w:t>
      </w:r>
    </w:p>
    <w:p>
      <w:pPr>
        <w:ind w:firstLine="560"/>
        <w:rPr>
          <w:szCs w:val="21"/>
        </w:rPr>
      </w:pPr>
      <w:r>
        <w:rPr>
          <w:szCs w:val="21"/>
        </w:rPr>
        <w:t>——评价顾客满意度；</w:t>
      </w:r>
    </w:p>
    <w:p>
      <w:pPr>
        <w:ind w:firstLine="560"/>
        <w:rPr>
          <w:szCs w:val="21"/>
        </w:rPr>
      </w:pPr>
      <w:r>
        <w:rPr>
          <w:szCs w:val="21"/>
        </w:rPr>
        <w:t>b)评价外部供方的业绩；</w:t>
      </w:r>
    </w:p>
    <w:p>
      <w:pPr>
        <w:ind w:firstLine="560"/>
        <w:rPr>
          <w:szCs w:val="21"/>
        </w:rPr>
      </w:pPr>
      <w:r>
        <w:rPr>
          <w:szCs w:val="21"/>
        </w:rPr>
        <w:t>c)确定监视、测量（适用时)、分析和评价的方法，以确保结果可行；</w:t>
      </w:r>
    </w:p>
    <w:p>
      <w:pPr>
        <w:ind w:firstLine="560"/>
        <w:rPr>
          <w:szCs w:val="21"/>
        </w:rPr>
      </w:pPr>
      <w:r>
        <w:rPr>
          <w:szCs w:val="21"/>
        </w:rPr>
        <w:t>d)确定监测和测量的时机；</w:t>
      </w:r>
    </w:p>
    <w:p>
      <w:pPr>
        <w:ind w:firstLine="560"/>
        <w:rPr>
          <w:szCs w:val="21"/>
        </w:rPr>
      </w:pPr>
      <w:r>
        <w:rPr>
          <w:szCs w:val="21"/>
        </w:rPr>
        <w:t>e)确定对监测和测量结果进行分析和评价的时机；</w:t>
      </w:r>
    </w:p>
    <w:p>
      <w:pPr>
        <w:ind w:firstLine="560"/>
        <w:rPr>
          <w:szCs w:val="21"/>
        </w:rPr>
      </w:pPr>
      <w:r>
        <w:rPr>
          <w:szCs w:val="21"/>
        </w:rPr>
        <w:t>f)确定所需的质量/环境/安全管理体系绩效指标。</w:t>
      </w:r>
    </w:p>
    <w:p>
      <w:pPr>
        <w:ind w:firstLine="560"/>
        <w:rPr>
          <w:szCs w:val="21"/>
        </w:rPr>
      </w:pPr>
      <w:r>
        <w:rPr>
          <w:szCs w:val="21"/>
        </w:rPr>
        <w:t>公司要建立过程，以确保监视和测量活动与监视和测量的要求相一致的方式实施。</w:t>
      </w:r>
    </w:p>
    <w:p>
      <w:pPr>
        <w:ind w:firstLine="560"/>
        <w:rPr>
          <w:szCs w:val="21"/>
        </w:rPr>
      </w:pPr>
      <w:r>
        <w:rPr>
          <w:szCs w:val="21"/>
        </w:rPr>
        <w:t>公司要保持适当的文件信息，以提供“结果”的证据。</w:t>
      </w:r>
    </w:p>
    <w:p>
      <w:pPr>
        <w:ind w:firstLine="560"/>
        <w:rPr>
          <w:szCs w:val="21"/>
        </w:rPr>
      </w:pPr>
      <w:r>
        <w:rPr>
          <w:szCs w:val="21"/>
        </w:rPr>
        <w:t>公司要评价质量/环境/安全绩效和质量/环境/安全管理体系的有效性。</w:t>
      </w:r>
    </w:p>
    <w:p>
      <w:pPr>
        <w:ind w:firstLine="560"/>
        <w:rPr>
          <w:szCs w:val="21"/>
        </w:rPr>
      </w:pPr>
      <w:r>
        <w:rPr>
          <w:szCs w:val="21"/>
        </w:rPr>
        <w:t>9.1.2顾客满意（M3）</w:t>
      </w:r>
    </w:p>
    <w:p>
      <w:pPr>
        <w:ind w:left="525" w:leftChars="250" w:firstLine="33" w:firstLineChars="16"/>
        <w:rPr>
          <w:szCs w:val="21"/>
        </w:rPr>
      </w:pPr>
      <w:r>
        <w:rPr>
          <w:szCs w:val="21"/>
        </w:rPr>
        <w:t>公司建立《</w:t>
      </w:r>
      <w:r>
        <w:rPr>
          <w:rFonts w:hint="eastAsia"/>
          <w:lang w:eastAsia="zh-CN"/>
        </w:rPr>
        <w:t>顾客满意度监视测量程序</w:t>
      </w:r>
      <w:r>
        <w:rPr>
          <w:szCs w:val="21"/>
        </w:rPr>
        <w:t>》，监视顾客对其要求满足程度的数据及确定获取和利用这些数据的方法。</w:t>
      </w:r>
    </w:p>
    <w:p>
      <w:pPr>
        <w:ind w:firstLine="560"/>
        <w:rPr>
          <w:szCs w:val="21"/>
        </w:rPr>
      </w:pPr>
      <w:r>
        <w:rPr>
          <w:szCs w:val="21"/>
        </w:rPr>
        <w:t>这些数据可包括：顾客反馈；顾客对公司及其产品、产品和服务的意见和感受。</w:t>
      </w:r>
    </w:p>
    <w:p>
      <w:pPr>
        <w:ind w:firstLine="560"/>
        <w:rPr>
          <w:szCs w:val="21"/>
        </w:rPr>
      </w:pPr>
      <w:r>
        <w:rPr>
          <w:szCs w:val="21"/>
        </w:rPr>
        <w:t>公司要评价获取的数据，以确定增强顾客满意的机会。</w:t>
      </w:r>
    </w:p>
    <w:p>
      <w:pPr>
        <w:ind w:firstLine="560"/>
        <w:rPr>
          <w:szCs w:val="21"/>
        </w:rPr>
      </w:pPr>
      <w:r>
        <w:rPr>
          <w:szCs w:val="21"/>
        </w:rPr>
        <w:t>9.1.3分析与评价（M4）</w:t>
      </w:r>
    </w:p>
    <w:p>
      <w:pPr>
        <w:ind w:left="525" w:leftChars="250" w:firstLine="33" w:firstLineChars="16"/>
        <w:rPr>
          <w:szCs w:val="21"/>
        </w:rPr>
      </w:pPr>
      <w:r>
        <w:rPr>
          <w:szCs w:val="21"/>
        </w:rPr>
        <w:t>公司要分析、评价来自监视和测量（见 9.1.1 和 9.1.2)以及其他相关来源的适当数据。这应包括适用方法的确定。</w:t>
      </w:r>
    </w:p>
    <w:p>
      <w:pPr>
        <w:ind w:firstLine="560"/>
        <w:rPr>
          <w:szCs w:val="21"/>
        </w:rPr>
      </w:pPr>
      <w:r>
        <w:rPr>
          <w:szCs w:val="21"/>
        </w:rPr>
        <w:t>数据分析和评价的结果应用于：</w:t>
      </w:r>
    </w:p>
    <w:p>
      <w:pPr>
        <w:ind w:firstLine="560"/>
        <w:rPr>
          <w:szCs w:val="21"/>
        </w:rPr>
      </w:pPr>
      <w:r>
        <w:rPr>
          <w:szCs w:val="21"/>
        </w:rPr>
        <w:t>a)确定质量/环境/安全管理体系的适宜性、充分性、有效性以及质量/环境/安全管理体系的绩效状况；</w:t>
      </w:r>
    </w:p>
    <w:p>
      <w:pPr>
        <w:ind w:firstLine="560"/>
        <w:rPr>
          <w:szCs w:val="21"/>
        </w:rPr>
      </w:pPr>
      <w:r>
        <w:rPr>
          <w:szCs w:val="21"/>
        </w:rPr>
        <w:t>b)确保产品和服务能持续满足顾客要求；</w:t>
      </w:r>
    </w:p>
    <w:p>
      <w:pPr>
        <w:ind w:firstLine="560"/>
        <w:rPr>
          <w:szCs w:val="21"/>
        </w:rPr>
      </w:pPr>
      <w:r>
        <w:rPr>
          <w:szCs w:val="21"/>
        </w:rPr>
        <w:t>c) 策划是否有效实施，确保过程的有效运行和控制；</w:t>
      </w:r>
    </w:p>
    <w:p>
      <w:pPr>
        <w:ind w:firstLine="560"/>
        <w:rPr>
          <w:szCs w:val="21"/>
        </w:rPr>
      </w:pPr>
      <w:r>
        <w:rPr>
          <w:szCs w:val="21"/>
        </w:rPr>
        <w:t>d)识别质量/环境/安全管理体系的改进机会；</w:t>
      </w:r>
    </w:p>
    <w:p>
      <w:pPr>
        <w:ind w:firstLine="560"/>
        <w:rPr>
          <w:szCs w:val="21"/>
        </w:rPr>
      </w:pPr>
      <w:r>
        <w:rPr>
          <w:szCs w:val="21"/>
        </w:rPr>
        <w:t>e)外部供方的绩效；</w:t>
      </w:r>
    </w:p>
    <w:p>
      <w:pPr>
        <w:ind w:firstLine="560"/>
        <w:rPr>
          <w:szCs w:val="21"/>
        </w:rPr>
      </w:pPr>
      <w:r>
        <w:rPr>
          <w:szCs w:val="21"/>
        </w:rPr>
        <w:t>f)风险和机遇所采取措施的有效性</w:t>
      </w:r>
    </w:p>
    <w:p>
      <w:pPr>
        <w:ind w:firstLine="560"/>
        <w:rPr>
          <w:szCs w:val="21"/>
        </w:rPr>
      </w:pPr>
      <w:r>
        <w:rPr>
          <w:szCs w:val="21"/>
        </w:rPr>
        <w:t>g)顾客满意程度。</w:t>
      </w:r>
    </w:p>
    <w:p>
      <w:pPr>
        <w:ind w:firstLine="560"/>
        <w:rPr>
          <w:szCs w:val="21"/>
        </w:rPr>
      </w:pPr>
      <w:r>
        <w:rPr>
          <w:szCs w:val="21"/>
        </w:rPr>
        <w:t>数据分析和评价的结果应作为管理评审的输入。</w:t>
      </w:r>
    </w:p>
    <w:p>
      <w:pPr>
        <w:ind w:firstLine="525" w:firstLineChars="249"/>
        <w:rPr>
          <w:rFonts w:ascii="宋体"/>
          <w:szCs w:val="21"/>
        </w:rPr>
      </w:pPr>
      <w:r>
        <w:rPr>
          <w:rFonts w:hint="eastAsia" w:ascii="宋体"/>
          <w:b/>
          <w:bCs/>
          <w:szCs w:val="21"/>
        </w:rPr>
        <w:t>9.1.4环境、职业健康安全的监视和测量</w:t>
      </w:r>
    </w:p>
    <w:p>
      <w:pPr>
        <w:ind w:firstLine="525" w:firstLineChars="250"/>
        <w:rPr>
          <w:rFonts w:ascii="宋体"/>
          <w:szCs w:val="21"/>
        </w:rPr>
      </w:pPr>
      <w:r>
        <w:rPr>
          <w:rFonts w:hint="eastAsia" w:ascii="宋体"/>
          <w:szCs w:val="21"/>
        </w:rPr>
        <w:t>制订《</w:t>
      </w:r>
      <w:r>
        <w:rPr>
          <w:rFonts w:hint="eastAsia" w:ascii="宋体"/>
          <w:szCs w:val="21"/>
          <w:lang w:eastAsia="zh-CN"/>
        </w:rPr>
        <w:t>过程监视和测量控制程序</w:t>
      </w:r>
      <w:r>
        <w:rPr>
          <w:rFonts w:hint="eastAsia" w:ascii="宋体"/>
          <w:szCs w:val="21"/>
        </w:rPr>
        <w:t>》，</w:t>
      </w:r>
    </w:p>
    <w:p>
      <w:pPr>
        <w:ind w:firstLine="525" w:firstLineChars="250"/>
        <w:rPr>
          <w:rFonts w:ascii="宋体"/>
          <w:szCs w:val="21"/>
        </w:rPr>
      </w:pPr>
      <w:r>
        <w:rPr>
          <w:rFonts w:hint="eastAsia" w:ascii="宋体"/>
          <w:szCs w:val="21"/>
        </w:rPr>
        <w:t>环境绩效：组织应确定</w:t>
      </w:r>
    </w:p>
    <w:p>
      <w:pPr>
        <w:ind w:firstLine="525" w:firstLineChars="250"/>
        <w:rPr>
          <w:rFonts w:ascii="宋体"/>
          <w:szCs w:val="21"/>
        </w:rPr>
      </w:pPr>
      <w:r>
        <w:rPr>
          <w:rFonts w:hint="eastAsia" w:ascii="宋体"/>
          <w:szCs w:val="21"/>
        </w:rPr>
        <w:t>a) 什么需要被监视和测量，</w:t>
      </w:r>
    </w:p>
    <w:p>
      <w:pPr>
        <w:ind w:firstLine="525" w:firstLineChars="250"/>
        <w:rPr>
          <w:rFonts w:ascii="宋体"/>
          <w:szCs w:val="21"/>
        </w:rPr>
      </w:pPr>
      <w:r>
        <w:rPr>
          <w:rFonts w:hint="eastAsia" w:ascii="宋体"/>
          <w:szCs w:val="21"/>
        </w:rPr>
        <w:t>b) 监视、测量、分析和评的方法，适用时，确保有效结果</w:t>
      </w:r>
    </w:p>
    <w:p>
      <w:pPr>
        <w:ind w:firstLine="525" w:firstLineChars="250"/>
        <w:rPr>
          <w:rFonts w:ascii="宋体"/>
          <w:szCs w:val="21"/>
        </w:rPr>
      </w:pPr>
      <w:r>
        <w:rPr>
          <w:rFonts w:hint="eastAsia" w:ascii="宋体"/>
          <w:szCs w:val="21"/>
        </w:rPr>
        <w:t>c) 使用适宜的指标作为组织用来评估环境绩效的准则</w:t>
      </w:r>
    </w:p>
    <w:p>
      <w:pPr>
        <w:ind w:firstLine="525" w:firstLineChars="250"/>
        <w:rPr>
          <w:rFonts w:ascii="宋体"/>
          <w:szCs w:val="21"/>
        </w:rPr>
      </w:pPr>
      <w:r>
        <w:rPr>
          <w:rFonts w:hint="eastAsia" w:ascii="宋体"/>
          <w:szCs w:val="21"/>
        </w:rPr>
        <w:t>d) 什么时候监事和测量应被实施</w:t>
      </w:r>
    </w:p>
    <w:p>
      <w:pPr>
        <w:ind w:firstLine="525" w:firstLineChars="250"/>
        <w:rPr>
          <w:rFonts w:ascii="宋体"/>
          <w:szCs w:val="21"/>
        </w:rPr>
      </w:pPr>
      <w:r>
        <w:rPr>
          <w:rFonts w:hint="eastAsia" w:ascii="宋体"/>
          <w:szCs w:val="21"/>
        </w:rPr>
        <w:t>e) 什么时候监事和测量的结果应被分析和评估。</w:t>
      </w:r>
    </w:p>
    <w:p>
      <w:pPr>
        <w:ind w:firstLine="525" w:firstLineChars="250"/>
        <w:rPr>
          <w:rFonts w:ascii="宋体"/>
          <w:szCs w:val="21"/>
        </w:rPr>
      </w:pPr>
      <w:r>
        <w:rPr>
          <w:rFonts w:hint="eastAsia" w:ascii="宋体"/>
          <w:szCs w:val="21"/>
        </w:rPr>
        <w:t>适用时，组织应保证经过校验的或验证的监视和测量设备被使用和保持。</w:t>
      </w:r>
    </w:p>
    <w:p>
      <w:pPr>
        <w:ind w:firstLine="525" w:firstLineChars="250"/>
        <w:rPr>
          <w:rFonts w:ascii="宋体"/>
          <w:szCs w:val="21"/>
        </w:rPr>
      </w:pPr>
      <w:r>
        <w:rPr>
          <w:rFonts w:hint="eastAsia" w:ascii="宋体"/>
          <w:szCs w:val="21"/>
        </w:rPr>
        <w:t>组织应评估其环境绩效和环境管理体系的有效性。</w:t>
      </w:r>
    </w:p>
    <w:p>
      <w:pPr>
        <w:ind w:firstLine="525" w:firstLineChars="250"/>
        <w:rPr>
          <w:rFonts w:ascii="宋体"/>
          <w:szCs w:val="21"/>
        </w:rPr>
      </w:pPr>
      <w:r>
        <w:rPr>
          <w:rFonts w:hint="eastAsia" w:ascii="宋体"/>
          <w:szCs w:val="21"/>
        </w:rPr>
        <w:t>组织应按照沟通程序和合规性义务所确定的， 将与它的环境绩效相关的信息进行沟通，</w:t>
      </w:r>
    </w:p>
    <w:p>
      <w:pPr>
        <w:ind w:firstLine="525" w:firstLineChars="250"/>
        <w:rPr>
          <w:rFonts w:ascii="宋体"/>
          <w:szCs w:val="21"/>
        </w:rPr>
      </w:pPr>
      <w:r>
        <w:rPr>
          <w:rFonts w:hint="eastAsia" w:ascii="宋体"/>
          <w:szCs w:val="21"/>
        </w:rPr>
        <w:t>包括内部的和外部的。</w:t>
      </w:r>
    </w:p>
    <w:p>
      <w:pPr>
        <w:ind w:firstLine="525" w:firstLineChars="250"/>
        <w:rPr>
          <w:rFonts w:ascii="宋体"/>
          <w:szCs w:val="21"/>
        </w:rPr>
      </w:pPr>
      <w:r>
        <w:rPr>
          <w:rFonts w:hint="eastAsia" w:ascii="宋体"/>
          <w:szCs w:val="21"/>
        </w:rPr>
        <w:t>组织应保持适当地文件化的信息作为监视，测量，分析与评估结果的证据。</w:t>
      </w:r>
    </w:p>
    <w:p>
      <w:pPr>
        <w:ind w:firstLine="525" w:firstLineChars="250"/>
        <w:rPr>
          <w:rFonts w:ascii="宋体"/>
          <w:szCs w:val="21"/>
        </w:rPr>
      </w:pPr>
      <w:r>
        <w:rPr>
          <w:rFonts w:hint="eastAsia" w:ascii="宋体"/>
          <w:szCs w:val="21"/>
        </w:rPr>
        <w:t>安全绩效：</w:t>
      </w:r>
    </w:p>
    <w:p>
      <w:pPr>
        <w:ind w:firstLine="525" w:firstLineChars="250"/>
        <w:rPr>
          <w:rFonts w:ascii="宋体"/>
          <w:szCs w:val="21"/>
        </w:rPr>
      </w:pPr>
      <w:r>
        <w:rPr>
          <w:rFonts w:hint="eastAsia" w:ascii="宋体"/>
          <w:szCs w:val="21"/>
        </w:rPr>
        <w:t>应规定：</w:t>
      </w:r>
    </w:p>
    <w:p>
      <w:pPr>
        <w:ind w:firstLine="525" w:firstLineChars="250"/>
        <w:rPr>
          <w:rFonts w:ascii="宋体"/>
          <w:szCs w:val="21"/>
        </w:rPr>
      </w:pPr>
      <w:r>
        <w:rPr>
          <w:rFonts w:hint="eastAsia" w:ascii="宋体"/>
          <w:szCs w:val="21"/>
        </w:rPr>
        <w:t>——适用于组织需要的定性和定量测量；</w:t>
      </w:r>
    </w:p>
    <w:p>
      <w:pPr>
        <w:ind w:firstLine="525" w:firstLineChars="250"/>
        <w:rPr>
          <w:rFonts w:ascii="宋体"/>
          <w:szCs w:val="21"/>
        </w:rPr>
      </w:pPr>
      <w:r>
        <w:rPr>
          <w:rFonts w:hint="eastAsia" w:ascii="宋体"/>
          <w:szCs w:val="21"/>
        </w:rPr>
        <w:t>——对组织的职业健康安全目标的满足程度的监视；</w:t>
      </w:r>
    </w:p>
    <w:p>
      <w:pPr>
        <w:ind w:firstLine="525" w:firstLineChars="250"/>
        <w:rPr>
          <w:rFonts w:ascii="宋体"/>
          <w:szCs w:val="21"/>
        </w:rPr>
      </w:pPr>
      <w:r>
        <w:rPr>
          <w:rFonts w:hint="eastAsia" w:ascii="宋体"/>
          <w:szCs w:val="21"/>
        </w:rPr>
        <w:t>——监视控制的有效性（包括健康和安全）；</w:t>
      </w:r>
    </w:p>
    <w:p>
      <w:pPr>
        <w:ind w:firstLine="525" w:firstLineChars="250"/>
        <w:rPr>
          <w:rFonts w:ascii="宋体"/>
          <w:szCs w:val="21"/>
        </w:rPr>
      </w:pPr>
      <w:r>
        <w:rPr>
          <w:rFonts w:hint="eastAsia" w:ascii="宋体"/>
          <w:szCs w:val="21"/>
        </w:rPr>
        <w:t>——主动性的绩效测量，即监视是否符合职业健康安全管理方案、运行准则和适用的法规要求；</w:t>
      </w:r>
    </w:p>
    <w:p>
      <w:pPr>
        <w:ind w:firstLine="525" w:firstLineChars="250"/>
        <w:rPr>
          <w:rFonts w:ascii="宋体"/>
          <w:szCs w:val="21"/>
        </w:rPr>
      </w:pPr>
      <w:r>
        <w:rPr>
          <w:rFonts w:hint="eastAsia" w:ascii="宋体"/>
          <w:szCs w:val="21"/>
        </w:rPr>
        <w:t>——被动性的绩效测量，即监视事故、疾病、事件和其它不良职业健康安全绩效的历史证据；</w:t>
      </w:r>
    </w:p>
    <w:p>
      <w:pPr>
        <w:ind w:firstLine="525" w:firstLineChars="250"/>
        <w:rPr>
          <w:rFonts w:ascii="宋体"/>
          <w:szCs w:val="21"/>
        </w:rPr>
      </w:pPr>
      <w:r>
        <w:rPr>
          <w:rFonts w:hint="eastAsia" w:ascii="宋体"/>
          <w:szCs w:val="21"/>
        </w:rPr>
        <w:t>——记录充分的监视和测量的数据和结果，以便于后面的纠正和预防措施的分析。</w:t>
      </w:r>
    </w:p>
    <w:p>
      <w:pPr>
        <w:ind w:left="525" w:leftChars="250"/>
        <w:rPr>
          <w:rFonts w:ascii="宋体"/>
          <w:szCs w:val="21"/>
        </w:rPr>
      </w:pPr>
      <w:r>
        <w:rPr>
          <w:rFonts w:hint="eastAsia" w:ascii="宋体"/>
          <w:szCs w:val="21"/>
        </w:rPr>
        <w:t>如果绩效测量和监视需要设备，组织应建立并保持程序，对此类设备进行校准和维护，并保存校准和维护活动及其结果予的记录。</w:t>
      </w:r>
    </w:p>
    <w:p>
      <w:pPr>
        <w:ind w:firstLine="525" w:firstLineChars="250"/>
        <w:rPr>
          <w:szCs w:val="21"/>
        </w:rPr>
      </w:pPr>
      <w:r>
        <w:rPr>
          <w:szCs w:val="21"/>
        </w:rPr>
        <w:t>9.1.4合规性评价</w:t>
      </w:r>
    </w:p>
    <w:p>
      <w:pPr>
        <w:ind w:firstLine="525" w:firstLineChars="250"/>
        <w:rPr>
          <w:color w:val="000000"/>
          <w:kern w:val="0"/>
          <w:szCs w:val="21"/>
        </w:rPr>
      </w:pPr>
      <w:r>
        <w:rPr>
          <w:color w:val="000000"/>
          <w:kern w:val="0"/>
          <w:szCs w:val="21"/>
        </w:rPr>
        <w:t>公司应建立、实施并保持制《</w:t>
      </w:r>
      <w:r>
        <w:rPr>
          <w:rFonts w:hint="eastAsia"/>
          <w:color w:val="000000"/>
          <w:kern w:val="0"/>
          <w:szCs w:val="21"/>
          <w:lang w:eastAsia="zh-CN"/>
        </w:rPr>
        <w:t>合规性评价控制程序</w:t>
      </w:r>
      <w:r>
        <w:rPr>
          <w:color w:val="000000"/>
          <w:kern w:val="0"/>
          <w:szCs w:val="21"/>
        </w:rPr>
        <w:t>》评价其合规义务履行情况所需的过程。</w:t>
      </w:r>
    </w:p>
    <w:p>
      <w:pPr>
        <w:ind w:firstLine="525" w:firstLineChars="250"/>
        <w:rPr>
          <w:color w:val="000000"/>
          <w:kern w:val="0"/>
          <w:szCs w:val="21"/>
        </w:rPr>
      </w:pPr>
      <w:r>
        <w:rPr>
          <w:color w:val="000000"/>
          <w:kern w:val="0"/>
          <w:szCs w:val="21"/>
        </w:rPr>
        <w:t>公司应：</w:t>
      </w:r>
    </w:p>
    <w:p>
      <w:pPr>
        <w:ind w:firstLine="560"/>
        <w:rPr>
          <w:color w:val="000000"/>
          <w:kern w:val="0"/>
          <w:szCs w:val="21"/>
        </w:rPr>
      </w:pPr>
      <w:r>
        <w:rPr>
          <w:color w:val="000000"/>
          <w:kern w:val="0"/>
          <w:szCs w:val="21"/>
        </w:rPr>
        <w:t>a）确定实施合规性评价的频次；</w:t>
      </w:r>
    </w:p>
    <w:p>
      <w:pPr>
        <w:ind w:firstLine="560"/>
        <w:rPr>
          <w:color w:val="000000"/>
          <w:kern w:val="0"/>
          <w:szCs w:val="21"/>
        </w:rPr>
      </w:pPr>
      <w:r>
        <w:rPr>
          <w:color w:val="000000"/>
          <w:kern w:val="0"/>
          <w:szCs w:val="21"/>
        </w:rPr>
        <w:t>b）评价合规性，必要时采取措施；</w:t>
      </w:r>
    </w:p>
    <w:p>
      <w:pPr>
        <w:ind w:firstLine="560"/>
        <w:rPr>
          <w:color w:val="000000"/>
          <w:kern w:val="0"/>
          <w:szCs w:val="21"/>
        </w:rPr>
      </w:pPr>
      <w:r>
        <w:rPr>
          <w:color w:val="000000"/>
          <w:kern w:val="0"/>
          <w:szCs w:val="21"/>
        </w:rPr>
        <w:t>c）保持其合规情况的知识和对其合规情况的理解。</w:t>
      </w:r>
    </w:p>
    <w:p>
      <w:pPr>
        <w:ind w:left="525" w:leftChars="250" w:firstLine="33" w:firstLineChars="16"/>
        <w:rPr>
          <w:color w:val="000000"/>
          <w:kern w:val="0"/>
          <w:szCs w:val="21"/>
        </w:rPr>
      </w:pPr>
      <w:r>
        <w:rPr>
          <w:color w:val="000000"/>
          <w:kern w:val="0"/>
          <w:szCs w:val="21"/>
        </w:rPr>
        <w:t>公司</w:t>
      </w:r>
      <w:r>
        <w:rPr>
          <w:szCs w:val="21"/>
        </w:rPr>
        <w:t>对环境</w:t>
      </w:r>
      <w:r>
        <w:rPr>
          <w:rFonts w:hint="eastAsia"/>
          <w:szCs w:val="21"/>
        </w:rPr>
        <w:t>安全</w:t>
      </w:r>
      <w:r>
        <w:rPr>
          <w:szCs w:val="21"/>
        </w:rPr>
        <w:t>管理体系运行情况是否符合法律法规及其他要求进行评价，使公司的环境</w:t>
      </w:r>
      <w:r>
        <w:rPr>
          <w:rFonts w:hint="eastAsia"/>
          <w:szCs w:val="21"/>
        </w:rPr>
        <w:t>安全</w:t>
      </w:r>
      <w:r>
        <w:rPr>
          <w:szCs w:val="21"/>
        </w:rPr>
        <w:t>管理体系的运行不偏离法律法规及其他要求。</w:t>
      </w:r>
    </w:p>
    <w:p>
      <w:pPr>
        <w:ind w:firstLine="560"/>
        <w:rPr>
          <w:szCs w:val="21"/>
        </w:rPr>
      </w:pPr>
      <w:r>
        <w:rPr>
          <w:color w:val="000000"/>
          <w:kern w:val="0"/>
          <w:szCs w:val="21"/>
        </w:rPr>
        <w:t>公司应保留文件化信息，作为合规性评价结果的证据。</w:t>
      </w:r>
    </w:p>
    <w:p>
      <w:pPr>
        <w:ind w:firstLine="560"/>
        <w:rPr>
          <w:b/>
          <w:szCs w:val="21"/>
        </w:rPr>
      </w:pPr>
      <w:r>
        <w:rPr>
          <w:b/>
          <w:szCs w:val="21"/>
        </w:rPr>
        <w:t>9.2内部审核（M5）</w:t>
      </w:r>
    </w:p>
    <w:p>
      <w:pPr>
        <w:ind w:left="525" w:leftChars="250" w:firstLine="33" w:firstLineChars="16"/>
        <w:rPr>
          <w:szCs w:val="21"/>
        </w:rPr>
      </w:pPr>
      <w:r>
        <w:rPr>
          <w:szCs w:val="21"/>
        </w:rPr>
        <w:t>9.7.1公司建立《</w:t>
      </w:r>
      <w:r>
        <w:rPr>
          <w:rFonts w:hint="eastAsia"/>
          <w:lang w:eastAsia="zh-CN"/>
        </w:rPr>
        <w:t xml:space="preserve">内部审核控制程序 </w:t>
      </w:r>
      <w:r>
        <w:rPr>
          <w:szCs w:val="21"/>
        </w:rPr>
        <w:t>》，按照计划的时间间隔进行内部审核，以确定质量/环境/安全管理是否：</w:t>
      </w:r>
    </w:p>
    <w:p>
      <w:pPr>
        <w:ind w:firstLine="560"/>
        <w:rPr>
          <w:szCs w:val="21"/>
        </w:rPr>
      </w:pPr>
      <w:r>
        <w:rPr>
          <w:szCs w:val="21"/>
        </w:rPr>
        <w:t>a)符合公司对质量/环境/安全管理体系的要求及ISO标准的要求。</w:t>
      </w:r>
    </w:p>
    <w:p>
      <w:pPr>
        <w:ind w:firstLine="560"/>
        <w:rPr>
          <w:szCs w:val="21"/>
        </w:rPr>
      </w:pPr>
      <w:r>
        <w:rPr>
          <w:szCs w:val="21"/>
        </w:rPr>
        <w:t>b) 得到有效的实施和保持</w:t>
      </w:r>
    </w:p>
    <w:p>
      <w:pPr>
        <w:ind w:firstLine="560"/>
        <w:rPr>
          <w:szCs w:val="21"/>
        </w:rPr>
      </w:pPr>
      <w:r>
        <w:rPr>
          <w:szCs w:val="21"/>
        </w:rPr>
        <w:t>9.2.2公司要：</w:t>
      </w:r>
    </w:p>
    <w:p>
      <w:pPr>
        <w:ind w:left="525" w:leftChars="250" w:firstLine="33" w:firstLineChars="16"/>
        <w:rPr>
          <w:szCs w:val="21"/>
        </w:rPr>
      </w:pPr>
      <w:r>
        <w:rPr>
          <w:szCs w:val="21"/>
        </w:rPr>
        <w:t>a)策划、建立、实施和保持一个或多个审核方案，包括审核的频次、方法、职责、策划审核的要求和报告审核结果。审核方案应考虑质量/环境/安全目标、相关过程的重要性、关联风险和以往审核的结果；</w:t>
      </w:r>
    </w:p>
    <w:p>
      <w:pPr>
        <w:ind w:firstLine="560"/>
        <w:rPr>
          <w:szCs w:val="21"/>
        </w:rPr>
      </w:pPr>
      <w:r>
        <w:rPr>
          <w:szCs w:val="21"/>
        </w:rPr>
        <w:t>b)确定每次审核的准则和范围；</w:t>
      </w:r>
    </w:p>
    <w:p>
      <w:pPr>
        <w:ind w:firstLine="560"/>
        <w:rPr>
          <w:szCs w:val="21"/>
        </w:rPr>
      </w:pPr>
      <w:r>
        <w:rPr>
          <w:szCs w:val="21"/>
        </w:rPr>
        <w:t>c)审核员的选择和审核的实施应确保审核过程的客观性和公正性；</w:t>
      </w:r>
    </w:p>
    <w:p>
      <w:pPr>
        <w:ind w:firstLine="560"/>
        <w:rPr>
          <w:szCs w:val="21"/>
        </w:rPr>
      </w:pPr>
      <w:r>
        <w:rPr>
          <w:szCs w:val="21"/>
        </w:rPr>
        <w:t>d)确保审核结果提交给管理者以供评审；</w:t>
      </w:r>
    </w:p>
    <w:p>
      <w:pPr>
        <w:ind w:firstLine="560"/>
        <w:rPr>
          <w:szCs w:val="21"/>
        </w:rPr>
      </w:pPr>
      <w:r>
        <w:rPr>
          <w:szCs w:val="21"/>
        </w:rPr>
        <w:t>e)及时采取适当的措施</w:t>
      </w:r>
    </w:p>
    <w:p>
      <w:pPr>
        <w:ind w:firstLine="560"/>
        <w:rPr>
          <w:szCs w:val="21"/>
        </w:rPr>
      </w:pPr>
      <w:r>
        <w:rPr>
          <w:szCs w:val="21"/>
        </w:rPr>
        <w:t>f)保持形成文件的信息，以提供审核方案实施和审核结果的证据。</w:t>
      </w:r>
    </w:p>
    <w:p>
      <w:pPr>
        <w:ind w:firstLine="560"/>
        <w:rPr>
          <w:b/>
          <w:szCs w:val="21"/>
        </w:rPr>
      </w:pPr>
      <w:r>
        <w:rPr>
          <w:b/>
          <w:szCs w:val="21"/>
        </w:rPr>
        <w:t>9.3管理评审（M6）</w:t>
      </w:r>
    </w:p>
    <w:p>
      <w:pPr>
        <w:ind w:firstLine="560"/>
        <w:rPr>
          <w:szCs w:val="21"/>
        </w:rPr>
      </w:pPr>
      <w:r>
        <w:rPr>
          <w:szCs w:val="21"/>
        </w:rPr>
        <w:t>9.3.1总则</w:t>
      </w:r>
    </w:p>
    <w:p>
      <w:pPr>
        <w:ind w:firstLine="560"/>
      </w:pPr>
      <w:r>
        <w:t>公司建立《</w:t>
      </w:r>
      <w:r>
        <w:rPr>
          <w:rFonts w:hint="eastAsia"/>
          <w:lang w:eastAsia="zh-CN"/>
        </w:rPr>
        <w:t>管理评审控制程序</w:t>
      </w:r>
      <w:r>
        <w:t>》，持续评价体系的符合性、适宜性及业绩。</w:t>
      </w:r>
    </w:p>
    <w:p>
      <w:pPr>
        <w:ind w:left="559" w:leftChars="266"/>
        <w:rPr>
          <w:szCs w:val="21"/>
        </w:rPr>
      </w:pPr>
      <w:r>
        <w:rPr>
          <w:szCs w:val="21"/>
        </w:rPr>
        <w:t>总经理应按策划的时间间隔评审质量/环境/安全管理体系，以确保其持续的适宜性、充分性和有效性。</w:t>
      </w:r>
    </w:p>
    <w:p>
      <w:pPr>
        <w:ind w:firstLine="560"/>
        <w:rPr>
          <w:szCs w:val="21"/>
        </w:rPr>
      </w:pPr>
      <w:r>
        <w:rPr>
          <w:szCs w:val="21"/>
        </w:rPr>
        <w:t>管理评审策划和实施时，应考虑变化的商业环境，并与公司的战略方向保持一致。</w:t>
      </w:r>
    </w:p>
    <w:p>
      <w:pPr>
        <w:ind w:firstLine="560"/>
        <w:rPr>
          <w:szCs w:val="21"/>
        </w:rPr>
      </w:pPr>
      <w:r>
        <w:rPr>
          <w:szCs w:val="21"/>
        </w:rPr>
        <w:t>9.3.2管理评审输入</w:t>
      </w:r>
    </w:p>
    <w:p>
      <w:pPr>
        <w:ind w:firstLine="560"/>
        <w:rPr>
          <w:szCs w:val="21"/>
        </w:rPr>
      </w:pPr>
      <w:r>
        <w:rPr>
          <w:szCs w:val="21"/>
        </w:rPr>
        <w:t>管理评审应考虑以下方面：</w:t>
      </w:r>
    </w:p>
    <w:p>
      <w:pPr>
        <w:ind w:firstLine="560"/>
        <w:rPr>
          <w:szCs w:val="21"/>
        </w:rPr>
      </w:pPr>
      <w:r>
        <w:rPr>
          <w:szCs w:val="21"/>
        </w:rPr>
        <w:t>a)以往管理评审的跟踪措施；</w:t>
      </w:r>
    </w:p>
    <w:p>
      <w:pPr>
        <w:ind w:firstLine="560"/>
        <w:rPr>
          <w:szCs w:val="21"/>
        </w:rPr>
      </w:pPr>
      <w:r>
        <w:rPr>
          <w:szCs w:val="21"/>
        </w:rPr>
        <w:t>b)与质量/环境/安全管理体系有关的外部或内部因素的变化；</w:t>
      </w:r>
    </w:p>
    <w:p>
      <w:pPr>
        <w:ind w:firstLine="560"/>
        <w:rPr>
          <w:szCs w:val="21"/>
        </w:rPr>
      </w:pPr>
      <w:r>
        <w:rPr>
          <w:szCs w:val="21"/>
        </w:rPr>
        <w:t>c)质量/环境/安全管理体系绩效和有效性的信息，包括以下方面的趋势和指标：</w:t>
      </w:r>
    </w:p>
    <w:p>
      <w:pPr>
        <w:ind w:firstLine="560"/>
        <w:rPr>
          <w:szCs w:val="21"/>
        </w:rPr>
      </w:pPr>
      <w:r>
        <w:rPr>
          <w:szCs w:val="21"/>
        </w:rPr>
        <w:t>1)不符合与纠正措施；</w:t>
      </w:r>
    </w:p>
    <w:p>
      <w:pPr>
        <w:ind w:firstLine="560"/>
        <w:rPr>
          <w:szCs w:val="21"/>
        </w:rPr>
      </w:pPr>
      <w:r>
        <w:rPr>
          <w:szCs w:val="21"/>
        </w:rPr>
        <w:t>2)监视和测量结果；</w:t>
      </w:r>
    </w:p>
    <w:p>
      <w:pPr>
        <w:ind w:firstLine="560"/>
        <w:rPr>
          <w:szCs w:val="21"/>
        </w:rPr>
      </w:pPr>
      <w:r>
        <w:rPr>
          <w:szCs w:val="21"/>
        </w:rPr>
        <w:t>3)审核结果；</w:t>
      </w:r>
    </w:p>
    <w:p>
      <w:pPr>
        <w:ind w:firstLine="560"/>
        <w:rPr>
          <w:szCs w:val="21"/>
        </w:rPr>
      </w:pPr>
      <w:r>
        <w:rPr>
          <w:szCs w:val="21"/>
        </w:rPr>
        <w:t>4)顾客满意和相关方的反馈；</w:t>
      </w:r>
    </w:p>
    <w:p>
      <w:pPr>
        <w:ind w:firstLine="560"/>
        <w:rPr>
          <w:szCs w:val="21"/>
        </w:rPr>
      </w:pPr>
      <w:r>
        <w:rPr>
          <w:szCs w:val="21"/>
        </w:rPr>
        <w:t>5)外部供方的绩效；</w:t>
      </w:r>
    </w:p>
    <w:p>
      <w:pPr>
        <w:ind w:firstLine="560"/>
        <w:rPr>
          <w:szCs w:val="21"/>
        </w:rPr>
      </w:pPr>
      <w:r>
        <w:rPr>
          <w:szCs w:val="21"/>
        </w:rPr>
        <w:t>6)过程绩效以及产品和服务的符合性；</w:t>
      </w:r>
    </w:p>
    <w:p>
      <w:pPr>
        <w:ind w:firstLine="560"/>
        <w:rPr>
          <w:szCs w:val="21"/>
        </w:rPr>
      </w:pPr>
      <w:r>
        <w:rPr>
          <w:szCs w:val="21"/>
        </w:rPr>
        <w:t>7)质量/环境/安全目标的实现的程度；</w:t>
      </w:r>
    </w:p>
    <w:p>
      <w:pPr>
        <w:ind w:firstLine="560"/>
        <w:rPr>
          <w:szCs w:val="21"/>
        </w:rPr>
      </w:pPr>
      <w:r>
        <w:rPr>
          <w:szCs w:val="21"/>
        </w:rPr>
        <w:t>d)持续改进的机会；</w:t>
      </w:r>
    </w:p>
    <w:p>
      <w:pPr>
        <w:ind w:firstLine="560"/>
        <w:rPr>
          <w:szCs w:val="21"/>
        </w:rPr>
      </w:pPr>
      <w:r>
        <w:rPr>
          <w:szCs w:val="21"/>
        </w:rPr>
        <w:t>e)资源的充分性；</w:t>
      </w:r>
    </w:p>
    <w:p>
      <w:pPr>
        <w:ind w:firstLine="560"/>
        <w:rPr>
          <w:szCs w:val="21"/>
        </w:rPr>
      </w:pPr>
      <w:r>
        <w:rPr>
          <w:szCs w:val="21"/>
        </w:rPr>
        <w:t>f)</w:t>
      </w:r>
      <w:r>
        <w:rPr>
          <w:rFonts w:hint="eastAsia"/>
          <w:szCs w:val="21"/>
        </w:rPr>
        <w:t>重要因素的运行情况；</w:t>
      </w:r>
    </w:p>
    <w:p>
      <w:pPr>
        <w:ind w:firstLine="560"/>
        <w:rPr>
          <w:szCs w:val="21"/>
        </w:rPr>
      </w:pPr>
      <w:r>
        <w:rPr>
          <w:rFonts w:hint="eastAsia"/>
          <w:szCs w:val="21"/>
        </w:rPr>
        <w:t>g)合规性义务的识别、评价以及履行情况；</w:t>
      </w:r>
    </w:p>
    <w:p>
      <w:pPr>
        <w:ind w:firstLine="560"/>
        <w:rPr>
          <w:szCs w:val="21"/>
        </w:rPr>
      </w:pPr>
      <w:r>
        <w:rPr>
          <w:rFonts w:hint="eastAsia"/>
          <w:szCs w:val="21"/>
        </w:rPr>
        <w:t>h)环境安全监测结果；</w:t>
      </w:r>
    </w:p>
    <w:p>
      <w:pPr>
        <w:ind w:firstLine="560"/>
        <w:rPr>
          <w:szCs w:val="21"/>
        </w:rPr>
      </w:pPr>
      <w:r>
        <w:rPr>
          <w:rFonts w:hint="eastAsia"/>
          <w:szCs w:val="21"/>
        </w:rPr>
        <w:t>i)</w:t>
      </w:r>
      <w:r>
        <w:rPr>
          <w:szCs w:val="21"/>
        </w:rPr>
        <w:t>应对风险和机遇所采取措施的有效性。</w:t>
      </w:r>
    </w:p>
    <w:p>
      <w:pPr>
        <w:ind w:firstLine="560"/>
        <w:rPr>
          <w:szCs w:val="21"/>
        </w:rPr>
      </w:pPr>
      <w:r>
        <w:rPr>
          <w:szCs w:val="21"/>
        </w:rPr>
        <w:t>9.3.3管理评审输出</w:t>
      </w:r>
    </w:p>
    <w:p>
      <w:pPr>
        <w:ind w:firstLine="560"/>
        <w:rPr>
          <w:szCs w:val="21"/>
        </w:rPr>
      </w:pPr>
      <w:r>
        <w:rPr>
          <w:szCs w:val="21"/>
        </w:rPr>
        <w:t>管理评审的输出应包括以下相关的决定：</w:t>
      </w:r>
    </w:p>
    <w:p>
      <w:pPr>
        <w:ind w:firstLine="560"/>
        <w:rPr>
          <w:szCs w:val="21"/>
        </w:rPr>
      </w:pPr>
      <w:r>
        <w:rPr>
          <w:szCs w:val="21"/>
        </w:rPr>
        <w:t>a)持续改进的机会；</w:t>
      </w:r>
    </w:p>
    <w:p>
      <w:pPr>
        <w:ind w:firstLine="560"/>
        <w:rPr>
          <w:szCs w:val="21"/>
        </w:rPr>
      </w:pPr>
      <w:r>
        <w:rPr>
          <w:szCs w:val="21"/>
        </w:rPr>
        <w:t>b)对质量/环境/安全管理体系变更的需求；</w:t>
      </w:r>
    </w:p>
    <w:p>
      <w:pPr>
        <w:ind w:firstLine="560"/>
        <w:rPr>
          <w:szCs w:val="21"/>
        </w:rPr>
      </w:pPr>
      <w:r>
        <w:rPr>
          <w:szCs w:val="21"/>
        </w:rPr>
        <w:t>c)资源需要。</w:t>
      </w:r>
    </w:p>
    <w:p>
      <w:pPr>
        <w:ind w:firstLine="560"/>
        <w:rPr>
          <w:szCs w:val="21"/>
        </w:rPr>
      </w:pPr>
      <w:r>
        <w:rPr>
          <w:szCs w:val="21"/>
        </w:rPr>
        <w:t>公司要保持形成文件的信息，以提供管理评审的结果及采取措施的证据。</w:t>
      </w:r>
    </w:p>
    <w:p>
      <w:pPr>
        <w:ind w:firstLine="560"/>
        <w:rPr>
          <w:b/>
          <w:szCs w:val="21"/>
        </w:rPr>
      </w:pPr>
      <w:r>
        <w:rPr>
          <w:b/>
          <w:szCs w:val="21"/>
        </w:rPr>
        <w:t>10改进</w:t>
      </w:r>
    </w:p>
    <w:p>
      <w:pPr>
        <w:ind w:firstLine="560"/>
        <w:rPr>
          <w:b/>
          <w:szCs w:val="21"/>
        </w:rPr>
      </w:pPr>
      <w:r>
        <w:rPr>
          <w:b/>
          <w:szCs w:val="21"/>
        </w:rPr>
        <w:t>10.1总则</w:t>
      </w:r>
    </w:p>
    <w:p>
      <w:pPr>
        <w:ind w:left="525" w:leftChars="250" w:firstLine="33" w:firstLineChars="16"/>
        <w:rPr>
          <w:szCs w:val="21"/>
        </w:rPr>
      </w:pPr>
      <w:r>
        <w:rPr>
          <w:szCs w:val="21"/>
        </w:rPr>
        <w:t>公司要确定并选择改进机会，采取必要措施，满足顾客要求和增强顾客满意。</w:t>
      </w:r>
      <w:r>
        <w:rPr>
          <w:rFonts w:hint="eastAsia"/>
          <w:szCs w:val="21"/>
        </w:rPr>
        <w:t>实现预期的环境与安全体系绩效。</w:t>
      </w:r>
      <w:r>
        <w:rPr>
          <w:szCs w:val="21"/>
        </w:rPr>
        <w:t>并建立《</w:t>
      </w:r>
      <w:r>
        <w:rPr>
          <w:rFonts w:hint="eastAsia"/>
          <w:lang w:eastAsia="zh-CN"/>
        </w:rPr>
        <w:t>改进控制程序</w:t>
      </w:r>
      <w:r>
        <w:rPr>
          <w:szCs w:val="21"/>
        </w:rPr>
        <w:t>》进行控制。</w:t>
      </w:r>
      <w:r>
        <w:rPr>
          <w:rFonts w:hint="eastAsia"/>
          <w:szCs w:val="21"/>
        </w:rPr>
        <w:t>,</w:t>
      </w:r>
    </w:p>
    <w:p>
      <w:pPr>
        <w:ind w:firstLine="560"/>
        <w:rPr>
          <w:szCs w:val="21"/>
        </w:rPr>
      </w:pPr>
      <w:r>
        <w:rPr>
          <w:szCs w:val="21"/>
        </w:rPr>
        <w:t>这应包括：</w:t>
      </w:r>
    </w:p>
    <w:p>
      <w:pPr>
        <w:ind w:firstLine="560"/>
        <w:rPr>
          <w:szCs w:val="21"/>
        </w:rPr>
      </w:pPr>
      <w:r>
        <w:rPr>
          <w:szCs w:val="21"/>
        </w:rPr>
        <w:t>a改进产品和服务以满足要求并关注未来的需求和期望；</w:t>
      </w:r>
    </w:p>
    <w:p>
      <w:pPr>
        <w:ind w:firstLine="560"/>
        <w:rPr>
          <w:szCs w:val="21"/>
        </w:rPr>
      </w:pPr>
      <w:r>
        <w:rPr>
          <w:szCs w:val="21"/>
        </w:rPr>
        <w:t>b纠正、预防或减少不利影响；</w:t>
      </w:r>
    </w:p>
    <w:p>
      <w:pPr>
        <w:ind w:firstLine="560"/>
        <w:rPr>
          <w:szCs w:val="21"/>
        </w:rPr>
      </w:pPr>
      <w:r>
        <w:rPr>
          <w:szCs w:val="21"/>
        </w:rPr>
        <w:t>c改进质量/环境/安全管理体系的绩效和有效性。</w:t>
      </w:r>
    </w:p>
    <w:p>
      <w:pPr>
        <w:ind w:firstLine="560"/>
        <w:rPr>
          <w:szCs w:val="21"/>
        </w:rPr>
      </w:pPr>
      <w:r>
        <w:rPr>
          <w:rFonts w:hint="eastAsia"/>
          <w:szCs w:val="21"/>
        </w:rPr>
        <w:t>e识别纠正措施的需求；</w:t>
      </w:r>
    </w:p>
    <w:p>
      <w:pPr>
        <w:ind w:firstLine="560"/>
        <w:rPr>
          <w:szCs w:val="21"/>
        </w:rPr>
      </w:pPr>
      <w:r>
        <w:rPr>
          <w:rFonts w:hint="eastAsia"/>
          <w:szCs w:val="21"/>
        </w:rPr>
        <w:t>g识别持续改进的机会；。</w:t>
      </w:r>
    </w:p>
    <w:p>
      <w:pPr>
        <w:ind w:left="769" w:leftChars="266" w:hanging="210" w:hangingChars="100"/>
        <w:rPr>
          <w:szCs w:val="21"/>
        </w:rPr>
      </w:pPr>
      <w:r>
        <w:rPr>
          <w:rFonts w:hint="eastAsia"/>
          <w:szCs w:val="21"/>
        </w:rPr>
        <w:t>d确定会导致或对事件的出现起作用的职业健康安全系和环境体体潜在的不足和其他因素并对其进行沟通；</w:t>
      </w:r>
    </w:p>
    <w:p>
      <w:pPr>
        <w:ind w:firstLine="560"/>
        <w:rPr>
          <w:szCs w:val="21"/>
        </w:rPr>
      </w:pPr>
      <w:r>
        <w:rPr>
          <w:szCs w:val="21"/>
        </w:rPr>
        <w:t>注：改进的例子可包括纠正、纠正措施、持续改进、突变、创新和重组。</w:t>
      </w:r>
    </w:p>
    <w:p>
      <w:pPr>
        <w:ind w:firstLine="560"/>
        <w:rPr>
          <w:b/>
          <w:szCs w:val="21"/>
        </w:rPr>
      </w:pPr>
      <w:r>
        <w:rPr>
          <w:b/>
          <w:szCs w:val="21"/>
        </w:rPr>
        <w:t>10.2不符合和纠正措施（M7）</w:t>
      </w:r>
    </w:p>
    <w:p>
      <w:pPr>
        <w:ind w:firstLine="560"/>
        <w:rPr>
          <w:szCs w:val="21"/>
        </w:rPr>
      </w:pPr>
      <w:r>
        <w:rPr>
          <w:szCs w:val="21"/>
        </w:rPr>
        <w:t>10.7.1发生不符合时，公司要：</w:t>
      </w:r>
    </w:p>
    <w:p>
      <w:pPr>
        <w:ind w:firstLine="560"/>
        <w:rPr>
          <w:szCs w:val="21"/>
        </w:rPr>
      </w:pPr>
      <w:r>
        <w:rPr>
          <w:szCs w:val="21"/>
        </w:rPr>
        <w:t>a)作出响应，适当时：</w:t>
      </w:r>
    </w:p>
    <w:p>
      <w:pPr>
        <w:ind w:firstLine="560"/>
        <w:rPr>
          <w:szCs w:val="21"/>
        </w:rPr>
      </w:pPr>
      <w:r>
        <w:rPr>
          <w:szCs w:val="21"/>
        </w:rPr>
        <w:t>1)采取措施控制和纠正不符合</w:t>
      </w:r>
    </w:p>
    <w:p>
      <w:pPr>
        <w:ind w:firstLine="560"/>
        <w:rPr>
          <w:szCs w:val="21"/>
        </w:rPr>
      </w:pPr>
      <w:r>
        <w:rPr>
          <w:szCs w:val="21"/>
        </w:rPr>
        <w:t>2)处理不符合造成的后果</w:t>
      </w:r>
    </w:p>
    <w:p>
      <w:pPr>
        <w:ind w:firstLine="560"/>
        <w:rPr>
          <w:szCs w:val="21"/>
        </w:rPr>
      </w:pPr>
      <w:r>
        <w:rPr>
          <w:szCs w:val="21"/>
        </w:rPr>
        <w:t>b)评价消除不符合原因的措施的需求，通过采取以下措施防止不符合再次发生或在其他区域发生：</w:t>
      </w:r>
    </w:p>
    <w:p>
      <w:pPr>
        <w:ind w:firstLine="560"/>
        <w:rPr>
          <w:szCs w:val="21"/>
        </w:rPr>
      </w:pPr>
      <w:r>
        <w:rPr>
          <w:szCs w:val="21"/>
        </w:rPr>
        <w:t>1)评审不符合；</w:t>
      </w:r>
    </w:p>
    <w:p>
      <w:pPr>
        <w:ind w:firstLine="560"/>
        <w:rPr>
          <w:szCs w:val="21"/>
        </w:rPr>
      </w:pPr>
      <w:r>
        <w:rPr>
          <w:szCs w:val="21"/>
        </w:rPr>
        <w:t>2)确定不符合的原因；</w:t>
      </w:r>
    </w:p>
    <w:p>
      <w:pPr>
        <w:ind w:firstLine="560"/>
        <w:rPr>
          <w:szCs w:val="21"/>
        </w:rPr>
      </w:pPr>
      <w:r>
        <w:rPr>
          <w:szCs w:val="21"/>
        </w:rPr>
        <w:t>3)确定类似不符合是否存在，或可能潜在发生；</w:t>
      </w:r>
    </w:p>
    <w:p>
      <w:pPr>
        <w:ind w:firstLine="560"/>
        <w:rPr>
          <w:szCs w:val="21"/>
        </w:rPr>
      </w:pPr>
      <w:r>
        <w:rPr>
          <w:szCs w:val="21"/>
        </w:rPr>
        <w:t>c)实施所需的措施；</w:t>
      </w:r>
    </w:p>
    <w:p>
      <w:pPr>
        <w:ind w:firstLine="560"/>
        <w:rPr>
          <w:szCs w:val="21"/>
        </w:rPr>
      </w:pPr>
      <w:r>
        <w:rPr>
          <w:szCs w:val="21"/>
        </w:rPr>
        <w:t>d)评审所采取纠正措施的有效性；</w:t>
      </w:r>
    </w:p>
    <w:p>
      <w:pPr>
        <w:ind w:firstLine="560"/>
        <w:rPr>
          <w:szCs w:val="21"/>
        </w:rPr>
      </w:pPr>
      <w:r>
        <w:rPr>
          <w:szCs w:val="21"/>
        </w:rPr>
        <w:t>e)对质量/环境/安全管理体系进行必要的修改；</w:t>
      </w:r>
    </w:p>
    <w:p>
      <w:pPr>
        <w:ind w:firstLine="560"/>
        <w:rPr>
          <w:szCs w:val="21"/>
        </w:rPr>
      </w:pPr>
      <w:r>
        <w:rPr>
          <w:szCs w:val="21"/>
        </w:rPr>
        <w:t>f)需要时，更新策划期间确定的风险和机遇。</w:t>
      </w:r>
    </w:p>
    <w:p>
      <w:pPr>
        <w:ind w:firstLine="560"/>
        <w:rPr>
          <w:szCs w:val="21"/>
        </w:rPr>
      </w:pPr>
      <w:r>
        <w:rPr>
          <w:szCs w:val="21"/>
        </w:rPr>
        <w:t>纠正措施应与所遇到的不符合的影响程度相适应。</w:t>
      </w:r>
    </w:p>
    <w:p>
      <w:pPr>
        <w:ind w:firstLine="560"/>
        <w:rPr>
          <w:szCs w:val="21"/>
        </w:rPr>
      </w:pPr>
      <w:r>
        <w:rPr>
          <w:szCs w:val="21"/>
        </w:rPr>
        <w:t>10.2.2公司要将以下信息形成文件：</w:t>
      </w:r>
    </w:p>
    <w:p>
      <w:pPr>
        <w:ind w:firstLine="560"/>
        <w:rPr>
          <w:szCs w:val="21"/>
        </w:rPr>
      </w:pPr>
      <w:r>
        <w:rPr>
          <w:szCs w:val="21"/>
        </w:rPr>
        <w:t>a)不符合的性质及随后采取的措施</w:t>
      </w:r>
    </w:p>
    <w:p>
      <w:pPr>
        <w:ind w:firstLine="560"/>
        <w:rPr>
          <w:szCs w:val="21"/>
        </w:rPr>
      </w:pPr>
      <w:r>
        <w:rPr>
          <w:szCs w:val="21"/>
        </w:rPr>
        <w:t>b)纠正措施的结果</w:t>
      </w:r>
    </w:p>
    <w:p>
      <w:pPr>
        <w:ind w:firstLine="560"/>
        <w:rPr>
          <w:b/>
          <w:szCs w:val="21"/>
        </w:rPr>
      </w:pPr>
      <w:r>
        <w:rPr>
          <w:b/>
          <w:szCs w:val="21"/>
        </w:rPr>
        <w:t>10.3持续改进（M8）</w:t>
      </w:r>
    </w:p>
    <w:p>
      <w:pPr>
        <w:ind w:firstLine="560"/>
        <w:rPr>
          <w:szCs w:val="21"/>
        </w:rPr>
      </w:pPr>
      <w:r>
        <w:rPr>
          <w:szCs w:val="21"/>
        </w:rPr>
        <w:t>公司要持续改进质量/环境/安全管理体系的适宜性、充分性和有效性。</w:t>
      </w:r>
    </w:p>
    <w:p>
      <w:pPr>
        <w:ind w:left="525" w:leftChars="250" w:firstLine="33" w:firstLineChars="16"/>
        <w:rPr>
          <w:szCs w:val="21"/>
        </w:rPr>
      </w:pPr>
      <w:r>
        <w:rPr>
          <w:szCs w:val="21"/>
        </w:rPr>
        <w:t>公司要考虑管理评审的分析、评价结果，以及管理评审的输出，确定是否存在持续改进的需求或机会。</w:t>
      </w:r>
    </w:p>
    <w:p>
      <w:pPr>
        <w:ind w:firstLine="560"/>
        <w:rPr>
          <w:szCs w:val="21"/>
        </w:rPr>
      </w:pPr>
      <w:r>
        <w:rPr>
          <w:szCs w:val="21"/>
        </w:rPr>
        <w:t>适当时，公司要通过以下方面改进其质量/环境/安全管理体系、过程、产品</w:t>
      </w:r>
      <w:r>
        <w:rPr>
          <w:rFonts w:hint="eastAsia"/>
          <w:szCs w:val="21"/>
        </w:rPr>
        <w:t>、</w:t>
      </w:r>
      <w:r>
        <w:rPr>
          <w:szCs w:val="21"/>
        </w:rPr>
        <w:t>服务</w:t>
      </w:r>
      <w:r>
        <w:rPr>
          <w:rFonts w:hint="eastAsia"/>
          <w:szCs w:val="21"/>
        </w:rPr>
        <w:t>以及环境绩效</w:t>
      </w:r>
      <w:r>
        <w:rPr>
          <w:szCs w:val="21"/>
        </w:rPr>
        <w:t>：</w:t>
      </w:r>
    </w:p>
    <w:p>
      <w:pPr>
        <w:ind w:firstLine="560"/>
        <w:rPr>
          <w:szCs w:val="21"/>
        </w:rPr>
      </w:pPr>
      <w:r>
        <w:rPr>
          <w:szCs w:val="21"/>
        </w:rPr>
        <w:t>a)数据分析的结果；</w:t>
      </w:r>
    </w:p>
    <w:p>
      <w:pPr>
        <w:ind w:firstLine="560"/>
        <w:rPr>
          <w:szCs w:val="21"/>
        </w:rPr>
      </w:pPr>
      <w:r>
        <w:rPr>
          <w:szCs w:val="21"/>
        </w:rPr>
        <w:t>b)公司的改变；</w:t>
      </w:r>
    </w:p>
    <w:p>
      <w:pPr>
        <w:ind w:firstLine="560"/>
        <w:rPr>
          <w:szCs w:val="21"/>
        </w:rPr>
      </w:pPr>
      <w:r>
        <w:rPr>
          <w:szCs w:val="21"/>
        </w:rPr>
        <w:t>c)识别的风险的变更；</w:t>
      </w:r>
    </w:p>
    <w:p>
      <w:pPr>
        <w:ind w:firstLine="560"/>
        <w:rPr>
          <w:szCs w:val="21"/>
        </w:rPr>
      </w:pPr>
      <w:r>
        <w:rPr>
          <w:szCs w:val="21"/>
        </w:rPr>
        <w:t>d)新的机遇；</w:t>
      </w:r>
    </w:p>
    <w:p>
      <w:pPr>
        <w:ind w:firstLine="560"/>
        <w:rPr>
          <w:szCs w:val="21"/>
        </w:rPr>
      </w:pPr>
      <w:r>
        <w:rPr>
          <w:szCs w:val="21"/>
        </w:rPr>
        <w:t>公司要评价、确定优先次序及决定需实施的改进。</w:t>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bookmarkStart w:id="3" w:name="_GoBack"/>
      <w:bookmarkEnd w:id="3"/>
      <w:r>
        <w:rPr>
          <w:color w:val="FF0000"/>
          <w:szCs w:val="21"/>
        </w:rPr>
        <w:t>附录A：公司架构图</w:t>
      </w:r>
    </w:p>
    <w:p>
      <w:pPr>
        <w:ind w:firstLine="560"/>
        <w:rPr>
          <w:rFonts w:ascii="宋体" w:hAnsi="宋体"/>
          <w:szCs w:val="21"/>
        </w:rPr>
      </w:pPr>
      <w:r>
        <w:rPr>
          <w:rFonts w:ascii="宋体" w:hAnsi="宋体"/>
          <w:szCs w:val="21"/>
        </w:rPr>
        <w:drawing>
          <wp:inline distT="0" distB="0" distL="0" distR="0">
            <wp:extent cx="5486400" cy="3200400"/>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附录B</w:t>
      </w:r>
      <w:r>
        <w:rPr>
          <w:szCs w:val="21"/>
        </w:rPr>
        <w:t>主要过程识别</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97"/>
        <w:gridCol w:w="656"/>
        <w:gridCol w:w="2505"/>
        <w:gridCol w:w="6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顾客导向过程</w:t>
            </w:r>
          </w:p>
        </w:tc>
        <w:tc>
          <w:tcPr>
            <w:tcW w:w="3161"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支持过程</w:t>
            </w:r>
          </w:p>
        </w:tc>
        <w:tc>
          <w:tcPr>
            <w:tcW w:w="329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56"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05"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9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12" w:space="0"/>
              <w:left w:val="single" w:color="auto" w:sz="12" w:space="0"/>
            </w:tcBorders>
            <w:shd w:val="clear" w:color="auto" w:fill="auto"/>
            <w:vAlign w:val="center"/>
          </w:tcPr>
          <w:p>
            <w:pPr>
              <w:rPr>
                <w:sz w:val="18"/>
                <w:szCs w:val="18"/>
              </w:rPr>
            </w:pPr>
            <w:r>
              <w:rPr>
                <w:sz w:val="18"/>
                <w:szCs w:val="18"/>
              </w:rPr>
              <w:t>C1</w:t>
            </w:r>
          </w:p>
        </w:tc>
        <w:tc>
          <w:tcPr>
            <w:tcW w:w="2597" w:type="dxa"/>
            <w:tcBorders>
              <w:top w:val="single" w:color="auto" w:sz="12" w:space="0"/>
              <w:right w:val="single" w:color="auto" w:sz="12" w:space="0"/>
            </w:tcBorders>
            <w:shd w:val="clear" w:color="auto" w:fill="auto"/>
            <w:vAlign w:val="center"/>
          </w:tcPr>
          <w:p>
            <w:pPr>
              <w:jc w:val="left"/>
              <w:rPr>
                <w:sz w:val="18"/>
                <w:szCs w:val="18"/>
              </w:rPr>
            </w:pPr>
            <w:r>
              <w:rPr>
                <w:sz w:val="18"/>
                <w:szCs w:val="18"/>
              </w:rPr>
              <w:t>市场需求的确定</w:t>
            </w:r>
          </w:p>
        </w:tc>
        <w:tc>
          <w:tcPr>
            <w:tcW w:w="656" w:type="dxa"/>
            <w:tcBorders>
              <w:top w:val="single" w:color="auto" w:sz="12" w:space="0"/>
              <w:left w:val="single" w:color="auto" w:sz="12" w:space="0"/>
            </w:tcBorders>
            <w:shd w:val="clear" w:color="auto" w:fill="auto"/>
            <w:vAlign w:val="center"/>
          </w:tcPr>
          <w:p>
            <w:pPr>
              <w:rPr>
                <w:sz w:val="18"/>
                <w:szCs w:val="18"/>
              </w:rPr>
            </w:pPr>
            <w:r>
              <w:rPr>
                <w:sz w:val="18"/>
                <w:szCs w:val="18"/>
              </w:rPr>
              <w:t>S1</w:t>
            </w:r>
          </w:p>
        </w:tc>
        <w:tc>
          <w:tcPr>
            <w:tcW w:w="2505" w:type="dxa"/>
            <w:tcBorders>
              <w:top w:val="single" w:color="auto" w:sz="12" w:space="0"/>
              <w:right w:val="single" w:color="auto" w:sz="12" w:space="0"/>
            </w:tcBorders>
            <w:shd w:val="clear" w:color="auto" w:fill="auto"/>
            <w:vAlign w:val="center"/>
          </w:tcPr>
          <w:p>
            <w:pPr>
              <w:jc w:val="left"/>
              <w:rPr>
                <w:sz w:val="18"/>
                <w:szCs w:val="18"/>
              </w:rPr>
            </w:pPr>
            <w:r>
              <w:rPr>
                <w:sz w:val="18"/>
                <w:szCs w:val="18"/>
              </w:rPr>
              <w:t>基础设施</w:t>
            </w:r>
          </w:p>
        </w:tc>
        <w:tc>
          <w:tcPr>
            <w:tcW w:w="699" w:type="dxa"/>
            <w:tcBorders>
              <w:top w:val="single" w:color="auto" w:sz="12" w:space="0"/>
              <w:left w:val="single" w:color="auto" w:sz="12" w:space="0"/>
            </w:tcBorders>
            <w:shd w:val="clear" w:color="auto" w:fill="auto"/>
            <w:vAlign w:val="center"/>
          </w:tcPr>
          <w:p>
            <w:pPr>
              <w:rPr>
                <w:sz w:val="18"/>
                <w:szCs w:val="18"/>
              </w:rPr>
            </w:pPr>
            <w:r>
              <w:rPr>
                <w:sz w:val="18"/>
                <w:szCs w:val="18"/>
              </w:rPr>
              <w:t>M1</w:t>
            </w:r>
          </w:p>
        </w:tc>
        <w:tc>
          <w:tcPr>
            <w:tcW w:w="2597" w:type="dxa"/>
            <w:tcBorders>
              <w:top w:val="single" w:color="auto" w:sz="12" w:space="0"/>
              <w:right w:val="single" w:color="auto" w:sz="12" w:space="0"/>
            </w:tcBorders>
            <w:shd w:val="clear" w:color="auto" w:fill="auto"/>
            <w:vAlign w:val="center"/>
          </w:tcPr>
          <w:p>
            <w:pPr>
              <w:jc w:val="left"/>
              <w:rPr>
                <w:bCs/>
                <w:sz w:val="18"/>
                <w:szCs w:val="18"/>
              </w:rPr>
            </w:pPr>
            <w:r>
              <w:rPr>
                <w:sz w:val="18"/>
                <w:szCs w:val="18"/>
              </w:rPr>
              <w:t>风险和机遇的应对措施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C2</w:t>
            </w:r>
          </w:p>
        </w:tc>
        <w:tc>
          <w:tcPr>
            <w:tcW w:w="2597" w:type="dxa"/>
            <w:tcBorders>
              <w:right w:val="single" w:color="auto" w:sz="12" w:space="0"/>
            </w:tcBorders>
            <w:shd w:val="clear" w:color="auto" w:fill="auto"/>
            <w:vAlign w:val="center"/>
          </w:tcPr>
          <w:p>
            <w:pPr>
              <w:jc w:val="left"/>
              <w:rPr>
                <w:sz w:val="18"/>
                <w:szCs w:val="18"/>
              </w:rPr>
            </w:pPr>
            <w:r>
              <w:rPr>
                <w:sz w:val="18"/>
                <w:szCs w:val="18"/>
              </w:rPr>
              <w:t>产品和服务开发</w:t>
            </w:r>
          </w:p>
        </w:tc>
        <w:tc>
          <w:tcPr>
            <w:tcW w:w="656" w:type="dxa"/>
            <w:tcBorders>
              <w:left w:val="single" w:color="auto" w:sz="12" w:space="0"/>
            </w:tcBorders>
            <w:shd w:val="clear" w:color="auto" w:fill="auto"/>
            <w:vAlign w:val="center"/>
          </w:tcPr>
          <w:p>
            <w:pPr>
              <w:rPr>
                <w:sz w:val="18"/>
                <w:szCs w:val="18"/>
              </w:rPr>
            </w:pPr>
            <w:r>
              <w:rPr>
                <w:sz w:val="18"/>
                <w:szCs w:val="18"/>
              </w:rPr>
              <w:t>S2</w:t>
            </w:r>
          </w:p>
        </w:tc>
        <w:tc>
          <w:tcPr>
            <w:tcW w:w="2505" w:type="dxa"/>
            <w:tcBorders>
              <w:right w:val="single" w:color="auto" w:sz="12" w:space="0"/>
            </w:tcBorders>
            <w:shd w:val="clear" w:color="auto" w:fill="auto"/>
            <w:vAlign w:val="center"/>
          </w:tcPr>
          <w:p>
            <w:pPr>
              <w:jc w:val="left"/>
              <w:rPr>
                <w:sz w:val="18"/>
                <w:szCs w:val="18"/>
              </w:rPr>
            </w:pPr>
            <w:r>
              <w:rPr>
                <w:sz w:val="18"/>
                <w:szCs w:val="18"/>
              </w:rPr>
              <w:t>过程环境</w:t>
            </w:r>
          </w:p>
        </w:tc>
        <w:tc>
          <w:tcPr>
            <w:tcW w:w="699" w:type="dxa"/>
            <w:tcBorders>
              <w:left w:val="single" w:color="auto" w:sz="12" w:space="0"/>
            </w:tcBorders>
            <w:shd w:val="clear" w:color="auto" w:fill="auto"/>
            <w:vAlign w:val="center"/>
          </w:tcPr>
          <w:p>
            <w:pPr>
              <w:rPr>
                <w:sz w:val="18"/>
                <w:szCs w:val="18"/>
              </w:rPr>
            </w:pPr>
            <w:r>
              <w:rPr>
                <w:sz w:val="18"/>
                <w:szCs w:val="18"/>
              </w:rPr>
              <w:t>M2</w:t>
            </w:r>
          </w:p>
        </w:tc>
        <w:tc>
          <w:tcPr>
            <w:tcW w:w="2597" w:type="dxa"/>
            <w:tcBorders>
              <w:right w:val="single" w:color="auto" w:sz="12" w:space="0"/>
            </w:tcBorders>
            <w:shd w:val="clear" w:color="auto" w:fill="auto"/>
            <w:vAlign w:val="center"/>
          </w:tcPr>
          <w:p>
            <w:pPr>
              <w:jc w:val="left"/>
              <w:rPr>
                <w:bCs/>
                <w:sz w:val="18"/>
                <w:szCs w:val="18"/>
              </w:rPr>
            </w:pPr>
            <w:r>
              <w:rPr>
                <w:sz w:val="18"/>
                <w:szCs w:val="18"/>
              </w:rPr>
              <w:t>质量目标及其实施的策划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C3</w:t>
            </w:r>
          </w:p>
        </w:tc>
        <w:tc>
          <w:tcPr>
            <w:tcW w:w="2597" w:type="dxa"/>
            <w:tcBorders>
              <w:right w:val="single" w:color="auto" w:sz="12" w:space="0"/>
            </w:tcBorders>
            <w:shd w:val="clear" w:color="auto" w:fill="auto"/>
            <w:vAlign w:val="center"/>
          </w:tcPr>
          <w:p>
            <w:pPr>
              <w:rPr>
                <w:sz w:val="18"/>
                <w:szCs w:val="18"/>
              </w:rPr>
            </w:pPr>
            <w:r>
              <w:rPr>
                <w:sz w:val="18"/>
                <w:szCs w:val="18"/>
              </w:rPr>
              <w:t>产品生产和服务提供的控制</w:t>
            </w:r>
          </w:p>
        </w:tc>
        <w:tc>
          <w:tcPr>
            <w:tcW w:w="656" w:type="dxa"/>
            <w:tcBorders>
              <w:left w:val="single" w:color="auto" w:sz="12" w:space="0"/>
            </w:tcBorders>
            <w:shd w:val="clear" w:color="auto" w:fill="auto"/>
            <w:vAlign w:val="center"/>
          </w:tcPr>
          <w:p>
            <w:pPr>
              <w:rPr>
                <w:sz w:val="18"/>
                <w:szCs w:val="18"/>
              </w:rPr>
            </w:pPr>
            <w:r>
              <w:rPr>
                <w:sz w:val="18"/>
                <w:szCs w:val="18"/>
              </w:rPr>
              <w:t>S3</w:t>
            </w:r>
          </w:p>
        </w:tc>
        <w:tc>
          <w:tcPr>
            <w:tcW w:w="2505" w:type="dxa"/>
            <w:tcBorders>
              <w:right w:val="single" w:color="auto" w:sz="12" w:space="0"/>
            </w:tcBorders>
            <w:shd w:val="clear" w:color="auto" w:fill="auto"/>
            <w:vAlign w:val="center"/>
          </w:tcPr>
          <w:p>
            <w:pPr>
              <w:jc w:val="left"/>
              <w:rPr>
                <w:sz w:val="18"/>
                <w:szCs w:val="18"/>
              </w:rPr>
            </w:pPr>
            <w:r>
              <w:rPr>
                <w:sz w:val="18"/>
                <w:szCs w:val="18"/>
              </w:rPr>
              <w:t>监视和测量设备</w:t>
            </w:r>
          </w:p>
        </w:tc>
        <w:tc>
          <w:tcPr>
            <w:tcW w:w="699" w:type="dxa"/>
            <w:tcBorders>
              <w:left w:val="single" w:color="auto" w:sz="12" w:space="0"/>
            </w:tcBorders>
            <w:shd w:val="clear" w:color="auto" w:fill="auto"/>
            <w:vAlign w:val="center"/>
          </w:tcPr>
          <w:p>
            <w:pPr>
              <w:rPr>
                <w:sz w:val="18"/>
                <w:szCs w:val="18"/>
              </w:rPr>
            </w:pPr>
            <w:r>
              <w:rPr>
                <w:sz w:val="18"/>
                <w:szCs w:val="18"/>
              </w:rPr>
              <w:t>M3</w:t>
            </w:r>
          </w:p>
        </w:tc>
        <w:tc>
          <w:tcPr>
            <w:tcW w:w="2597" w:type="dxa"/>
            <w:tcBorders>
              <w:right w:val="single" w:color="auto" w:sz="12" w:space="0"/>
            </w:tcBorders>
            <w:shd w:val="clear" w:color="auto" w:fill="auto"/>
            <w:vAlign w:val="center"/>
          </w:tcPr>
          <w:p>
            <w:pPr>
              <w:jc w:val="left"/>
              <w:rPr>
                <w:sz w:val="18"/>
                <w:szCs w:val="18"/>
              </w:rPr>
            </w:pPr>
            <w:r>
              <w:rPr>
                <w:sz w:val="18"/>
                <w:szCs w:val="18"/>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C4</w:t>
            </w:r>
          </w:p>
        </w:tc>
        <w:tc>
          <w:tcPr>
            <w:tcW w:w="2597" w:type="dxa"/>
            <w:tcBorders>
              <w:right w:val="single" w:color="auto" w:sz="12" w:space="0"/>
            </w:tcBorders>
            <w:shd w:val="clear" w:color="auto" w:fill="auto"/>
            <w:vAlign w:val="center"/>
          </w:tcPr>
          <w:p>
            <w:pPr>
              <w:jc w:val="left"/>
              <w:rPr>
                <w:sz w:val="18"/>
                <w:szCs w:val="18"/>
              </w:rPr>
            </w:pPr>
            <w:r>
              <w:rPr>
                <w:sz w:val="18"/>
                <w:szCs w:val="18"/>
              </w:rPr>
              <w:t>产品防护</w:t>
            </w:r>
          </w:p>
        </w:tc>
        <w:tc>
          <w:tcPr>
            <w:tcW w:w="656" w:type="dxa"/>
            <w:tcBorders>
              <w:left w:val="single" w:color="auto" w:sz="12" w:space="0"/>
            </w:tcBorders>
            <w:shd w:val="clear" w:color="auto" w:fill="auto"/>
            <w:vAlign w:val="center"/>
          </w:tcPr>
          <w:p>
            <w:pPr>
              <w:rPr>
                <w:sz w:val="18"/>
                <w:szCs w:val="18"/>
              </w:rPr>
            </w:pPr>
            <w:r>
              <w:rPr>
                <w:sz w:val="18"/>
                <w:szCs w:val="18"/>
              </w:rPr>
              <w:t>S4</w:t>
            </w:r>
          </w:p>
        </w:tc>
        <w:tc>
          <w:tcPr>
            <w:tcW w:w="2505" w:type="dxa"/>
            <w:tcBorders>
              <w:right w:val="single" w:color="auto" w:sz="12" w:space="0"/>
            </w:tcBorders>
            <w:shd w:val="clear" w:color="auto" w:fill="auto"/>
            <w:vAlign w:val="center"/>
          </w:tcPr>
          <w:p>
            <w:pPr>
              <w:jc w:val="left"/>
              <w:rPr>
                <w:sz w:val="18"/>
                <w:szCs w:val="18"/>
              </w:rPr>
            </w:pPr>
            <w:r>
              <w:rPr>
                <w:sz w:val="18"/>
                <w:szCs w:val="18"/>
              </w:rPr>
              <w:t>知识</w:t>
            </w:r>
          </w:p>
        </w:tc>
        <w:tc>
          <w:tcPr>
            <w:tcW w:w="699" w:type="dxa"/>
            <w:tcBorders>
              <w:left w:val="single" w:color="auto" w:sz="12" w:space="0"/>
            </w:tcBorders>
            <w:shd w:val="clear" w:color="auto" w:fill="auto"/>
            <w:vAlign w:val="center"/>
          </w:tcPr>
          <w:p>
            <w:pPr>
              <w:rPr>
                <w:sz w:val="18"/>
                <w:szCs w:val="18"/>
              </w:rPr>
            </w:pPr>
            <w:r>
              <w:rPr>
                <w:sz w:val="18"/>
                <w:szCs w:val="18"/>
              </w:rPr>
              <w:t>M4</w:t>
            </w:r>
          </w:p>
        </w:tc>
        <w:tc>
          <w:tcPr>
            <w:tcW w:w="2597" w:type="dxa"/>
            <w:tcBorders>
              <w:right w:val="single" w:color="auto" w:sz="12" w:space="0"/>
            </w:tcBorders>
            <w:shd w:val="clear" w:color="auto" w:fill="auto"/>
            <w:vAlign w:val="center"/>
          </w:tcPr>
          <w:p>
            <w:pPr>
              <w:jc w:val="left"/>
              <w:rPr>
                <w:sz w:val="18"/>
                <w:szCs w:val="18"/>
              </w:rPr>
            </w:pPr>
            <w:r>
              <w:rPr>
                <w:sz w:val="18"/>
                <w:szCs w:val="18"/>
              </w:rPr>
              <w:t>数据分析与评价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C5</w:t>
            </w:r>
          </w:p>
        </w:tc>
        <w:tc>
          <w:tcPr>
            <w:tcW w:w="2597" w:type="dxa"/>
            <w:tcBorders>
              <w:right w:val="single" w:color="auto" w:sz="12" w:space="0"/>
            </w:tcBorders>
            <w:shd w:val="clear" w:color="auto" w:fill="auto"/>
            <w:vAlign w:val="center"/>
          </w:tcPr>
          <w:p>
            <w:pPr>
              <w:jc w:val="left"/>
              <w:rPr>
                <w:sz w:val="18"/>
                <w:szCs w:val="18"/>
              </w:rPr>
            </w:pPr>
            <w:r>
              <w:rPr>
                <w:sz w:val="18"/>
                <w:szCs w:val="18"/>
              </w:rPr>
              <w:t>交付后的活动</w:t>
            </w:r>
          </w:p>
        </w:tc>
        <w:tc>
          <w:tcPr>
            <w:tcW w:w="656" w:type="dxa"/>
            <w:tcBorders>
              <w:left w:val="single" w:color="auto" w:sz="12" w:space="0"/>
            </w:tcBorders>
            <w:shd w:val="clear" w:color="auto" w:fill="auto"/>
            <w:vAlign w:val="center"/>
          </w:tcPr>
          <w:p>
            <w:pPr>
              <w:rPr>
                <w:sz w:val="18"/>
                <w:szCs w:val="18"/>
              </w:rPr>
            </w:pPr>
            <w:r>
              <w:rPr>
                <w:sz w:val="18"/>
                <w:szCs w:val="18"/>
              </w:rPr>
              <w:t>S5</w:t>
            </w:r>
          </w:p>
        </w:tc>
        <w:tc>
          <w:tcPr>
            <w:tcW w:w="2505" w:type="dxa"/>
            <w:tcBorders>
              <w:right w:val="single" w:color="auto" w:sz="12" w:space="0"/>
            </w:tcBorders>
            <w:shd w:val="clear" w:color="auto" w:fill="auto"/>
            <w:vAlign w:val="center"/>
          </w:tcPr>
          <w:p>
            <w:pPr>
              <w:jc w:val="left"/>
              <w:rPr>
                <w:bCs/>
                <w:sz w:val="18"/>
                <w:szCs w:val="18"/>
              </w:rPr>
            </w:pPr>
            <w:r>
              <w:rPr>
                <w:sz w:val="18"/>
                <w:szCs w:val="18"/>
              </w:rPr>
              <w:t>能力</w:t>
            </w:r>
          </w:p>
        </w:tc>
        <w:tc>
          <w:tcPr>
            <w:tcW w:w="699" w:type="dxa"/>
            <w:tcBorders>
              <w:left w:val="single" w:color="auto" w:sz="12" w:space="0"/>
            </w:tcBorders>
            <w:shd w:val="clear" w:color="auto" w:fill="auto"/>
            <w:vAlign w:val="center"/>
          </w:tcPr>
          <w:p>
            <w:pPr>
              <w:rPr>
                <w:sz w:val="18"/>
                <w:szCs w:val="18"/>
              </w:rPr>
            </w:pPr>
            <w:r>
              <w:rPr>
                <w:sz w:val="18"/>
                <w:szCs w:val="18"/>
              </w:rPr>
              <w:t>M5</w:t>
            </w:r>
          </w:p>
        </w:tc>
        <w:tc>
          <w:tcPr>
            <w:tcW w:w="2597" w:type="dxa"/>
            <w:tcBorders>
              <w:right w:val="single" w:color="auto" w:sz="12" w:space="0"/>
            </w:tcBorders>
            <w:shd w:val="clear" w:color="auto" w:fill="auto"/>
            <w:vAlign w:val="center"/>
          </w:tcPr>
          <w:p>
            <w:pPr>
              <w:jc w:val="left"/>
              <w:rPr>
                <w:sz w:val="18"/>
                <w:szCs w:val="18"/>
              </w:rPr>
            </w:pPr>
            <w:r>
              <w:rPr>
                <w:sz w:val="18"/>
                <w:szCs w:val="18"/>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S6</w:t>
            </w:r>
          </w:p>
        </w:tc>
        <w:tc>
          <w:tcPr>
            <w:tcW w:w="2505" w:type="dxa"/>
            <w:tcBorders>
              <w:right w:val="single" w:color="auto" w:sz="12" w:space="0"/>
            </w:tcBorders>
            <w:shd w:val="clear" w:color="auto" w:fill="auto"/>
            <w:vAlign w:val="center"/>
          </w:tcPr>
          <w:p>
            <w:pPr>
              <w:jc w:val="left"/>
              <w:rPr>
                <w:bCs/>
                <w:sz w:val="18"/>
                <w:szCs w:val="18"/>
              </w:rPr>
            </w:pPr>
            <w:r>
              <w:rPr>
                <w:sz w:val="18"/>
                <w:szCs w:val="18"/>
              </w:rPr>
              <w:t>意识</w:t>
            </w:r>
          </w:p>
        </w:tc>
        <w:tc>
          <w:tcPr>
            <w:tcW w:w="699" w:type="dxa"/>
            <w:tcBorders>
              <w:left w:val="single" w:color="auto" w:sz="12" w:space="0"/>
            </w:tcBorders>
            <w:shd w:val="clear" w:color="auto" w:fill="auto"/>
            <w:vAlign w:val="center"/>
          </w:tcPr>
          <w:p>
            <w:pPr>
              <w:rPr>
                <w:sz w:val="18"/>
                <w:szCs w:val="18"/>
              </w:rPr>
            </w:pPr>
            <w:r>
              <w:rPr>
                <w:sz w:val="18"/>
                <w:szCs w:val="18"/>
              </w:rPr>
              <w:t>M6</w:t>
            </w:r>
          </w:p>
        </w:tc>
        <w:tc>
          <w:tcPr>
            <w:tcW w:w="2597" w:type="dxa"/>
            <w:tcBorders>
              <w:right w:val="single" w:color="auto" w:sz="12" w:space="0"/>
            </w:tcBorders>
            <w:shd w:val="clear" w:color="auto" w:fill="auto"/>
            <w:vAlign w:val="center"/>
          </w:tcPr>
          <w:p>
            <w:pPr>
              <w:jc w:val="left"/>
              <w:rPr>
                <w:sz w:val="18"/>
                <w:szCs w:val="18"/>
              </w:rPr>
            </w:pPr>
            <w:r>
              <w:rPr>
                <w:sz w:val="18"/>
                <w:szCs w:val="18"/>
              </w:rPr>
              <w:t>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S7</w:t>
            </w:r>
          </w:p>
        </w:tc>
        <w:tc>
          <w:tcPr>
            <w:tcW w:w="2505" w:type="dxa"/>
            <w:tcBorders>
              <w:right w:val="single" w:color="auto" w:sz="12" w:space="0"/>
            </w:tcBorders>
            <w:shd w:val="clear" w:color="auto" w:fill="auto"/>
            <w:vAlign w:val="center"/>
          </w:tcPr>
          <w:p>
            <w:pPr>
              <w:rPr>
                <w:sz w:val="18"/>
                <w:szCs w:val="18"/>
              </w:rPr>
            </w:pPr>
            <w:r>
              <w:rPr>
                <w:sz w:val="18"/>
                <w:szCs w:val="18"/>
              </w:rPr>
              <w:t>沟通</w:t>
            </w:r>
          </w:p>
        </w:tc>
        <w:tc>
          <w:tcPr>
            <w:tcW w:w="699" w:type="dxa"/>
            <w:tcBorders>
              <w:left w:val="single" w:color="auto" w:sz="12" w:space="0"/>
            </w:tcBorders>
            <w:shd w:val="clear" w:color="auto" w:fill="auto"/>
            <w:vAlign w:val="center"/>
          </w:tcPr>
          <w:p>
            <w:pPr>
              <w:rPr>
                <w:sz w:val="18"/>
                <w:szCs w:val="18"/>
              </w:rPr>
            </w:pPr>
            <w:r>
              <w:rPr>
                <w:sz w:val="18"/>
                <w:szCs w:val="18"/>
              </w:rPr>
              <w:t>M7</w:t>
            </w:r>
          </w:p>
        </w:tc>
        <w:tc>
          <w:tcPr>
            <w:tcW w:w="2597" w:type="dxa"/>
            <w:tcBorders>
              <w:right w:val="single" w:color="auto" w:sz="12" w:space="0"/>
            </w:tcBorders>
            <w:shd w:val="clear" w:color="auto" w:fill="auto"/>
            <w:vAlign w:val="center"/>
          </w:tcPr>
          <w:p>
            <w:pPr>
              <w:jc w:val="left"/>
              <w:rPr>
                <w:sz w:val="18"/>
                <w:szCs w:val="18"/>
              </w:rPr>
            </w:pPr>
            <w:r>
              <w:rPr>
                <w:sz w:val="18"/>
                <w:szCs w:val="18"/>
              </w:rPr>
              <w:t>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4" w:space="0"/>
            </w:tcBorders>
            <w:shd w:val="clear" w:color="auto" w:fill="auto"/>
            <w:vAlign w:val="center"/>
          </w:tcPr>
          <w:p>
            <w:pPr>
              <w:rPr>
                <w:sz w:val="18"/>
                <w:szCs w:val="18"/>
              </w:rPr>
            </w:pPr>
          </w:p>
        </w:tc>
        <w:tc>
          <w:tcPr>
            <w:tcW w:w="2597" w:type="dxa"/>
            <w:tcBorders>
              <w:bottom w:val="single" w:color="auto" w:sz="4"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4" w:space="0"/>
            </w:tcBorders>
            <w:shd w:val="clear" w:color="auto" w:fill="auto"/>
            <w:vAlign w:val="center"/>
          </w:tcPr>
          <w:p>
            <w:pPr>
              <w:rPr>
                <w:sz w:val="18"/>
                <w:szCs w:val="18"/>
              </w:rPr>
            </w:pPr>
            <w:r>
              <w:rPr>
                <w:sz w:val="18"/>
                <w:szCs w:val="18"/>
              </w:rPr>
              <w:t>S8</w:t>
            </w:r>
          </w:p>
        </w:tc>
        <w:tc>
          <w:tcPr>
            <w:tcW w:w="2505" w:type="dxa"/>
            <w:tcBorders>
              <w:bottom w:val="single" w:color="auto" w:sz="4" w:space="0"/>
              <w:right w:val="single" w:color="auto" w:sz="12" w:space="0"/>
            </w:tcBorders>
            <w:shd w:val="clear" w:color="auto" w:fill="auto"/>
            <w:vAlign w:val="center"/>
          </w:tcPr>
          <w:p>
            <w:pPr>
              <w:rPr>
                <w:sz w:val="18"/>
                <w:szCs w:val="18"/>
              </w:rPr>
            </w:pPr>
            <w:r>
              <w:rPr>
                <w:sz w:val="18"/>
                <w:szCs w:val="18"/>
              </w:rPr>
              <w:t>形成文件的信息</w:t>
            </w:r>
          </w:p>
        </w:tc>
        <w:tc>
          <w:tcPr>
            <w:tcW w:w="699" w:type="dxa"/>
            <w:tcBorders>
              <w:left w:val="single" w:color="auto" w:sz="12" w:space="0"/>
              <w:bottom w:val="single" w:color="auto" w:sz="4" w:space="0"/>
            </w:tcBorders>
            <w:shd w:val="clear" w:color="auto" w:fill="auto"/>
            <w:vAlign w:val="center"/>
          </w:tcPr>
          <w:p>
            <w:pPr>
              <w:rPr>
                <w:sz w:val="18"/>
                <w:szCs w:val="18"/>
              </w:rPr>
            </w:pPr>
            <w:r>
              <w:rPr>
                <w:sz w:val="18"/>
                <w:szCs w:val="18"/>
              </w:rPr>
              <w:t>M8</w:t>
            </w:r>
          </w:p>
        </w:tc>
        <w:tc>
          <w:tcPr>
            <w:tcW w:w="2597" w:type="dxa"/>
            <w:tcBorders>
              <w:bottom w:val="single" w:color="auto" w:sz="4" w:space="0"/>
              <w:right w:val="single" w:color="auto" w:sz="12" w:space="0"/>
            </w:tcBorders>
            <w:shd w:val="clear" w:color="auto" w:fill="auto"/>
            <w:vAlign w:val="center"/>
          </w:tcPr>
          <w:p>
            <w:pPr>
              <w:jc w:val="left"/>
              <w:rPr>
                <w:sz w:val="18"/>
                <w:szCs w:val="18"/>
              </w:rPr>
            </w:pPr>
            <w:r>
              <w:rPr>
                <w:sz w:val="18"/>
                <w:szCs w:val="18"/>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S9</w:t>
            </w:r>
          </w:p>
        </w:tc>
        <w:tc>
          <w:tcPr>
            <w:tcW w:w="2505" w:type="dxa"/>
            <w:tcBorders>
              <w:right w:val="single" w:color="auto" w:sz="12" w:space="0"/>
            </w:tcBorders>
            <w:shd w:val="clear" w:color="auto" w:fill="auto"/>
            <w:vAlign w:val="center"/>
          </w:tcPr>
          <w:p>
            <w:pPr>
              <w:jc w:val="left"/>
              <w:rPr>
                <w:bCs/>
                <w:sz w:val="18"/>
                <w:szCs w:val="18"/>
              </w:rPr>
            </w:pPr>
            <w:r>
              <w:rPr>
                <w:sz w:val="18"/>
                <w:szCs w:val="18"/>
              </w:rPr>
              <w:t>运行策划过程</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S10</w:t>
            </w:r>
          </w:p>
        </w:tc>
        <w:tc>
          <w:tcPr>
            <w:tcW w:w="2505" w:type="dxa"/>
            <w:tcBorders>
              <w:right w:val="single" w:color="auto" w:sz="12" w:space="0"/>
            </w:tcBorders>
            <w:shd w:val="clear" w:color="auto" w:fill="auto"/>
            <w:vAlign w:val="center"/>
          </w:tcPr>
          <w:p>
            <w:pPr>
              <w:jc w:val="left"/>
              <w:rPr>
                <w:bCs/>
                <w:sz w:val="18"/>
                <w:szCs w:val="18"/>
              </w:rPr>
            </w:pPr>
            <w:r>
              <w:rPr>
                <w:sz w:val="18"/>
                <w:szCs w:val="18"/>
              </w:rPr>
              <w:t>外部供应产品和服务的控制</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S11</w:t>
            </w:r>
          </w:p>
        </w:tc>
        <w:tc>
          <w:tcPr>
            <w:tcW w:w="2505" w:type="dxa"/>
            <w:tcBorders>
              <w:right w:val="single" w:color="auto" w:sz="12" w:space="0"/>
            </w:tcBorders>
            <w:shd w:val="clear" w:color="auto" w:fill="auto"/>
            <w:vAlign w:val="center"/>
          </w:tcPr>
          <w:p>
            <w:pPr>
              <w:jc w:val="left"/>
              <w:rPr>
                <w:sz w:val="18"/>
                <w:szCs w:val="18"/>
              </w:rPr>
            </w:pPr>
            <w:r>
              <w:rPr>
                <w:sz w:val="18"/>
                <w:szCs w:val="18"/>
              </w:rPr>
              <w:t>标识和可追溯性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S12</w:t>
            </w:r>
          </w:p>
        </w:tc>
        <w:tc>
          <w:tcPr>
            <w:tcW w:w="2505" w:type="dxa"/>
            <w:tcBorders>
              <w:right w:val="single" w:color="auto" w:sz="12" w:space="0"/>
            </w:tcBorders>
            <w:shd w:val="clear" w:color="auto" w:fill="auto"/>
            <w:vAlign w:val="center"/>
          </w:tcPr>
          <w:p>
            <w:pPr>
              <w:jc w:val="left"/>
              <w:rPr>
                <w:sz w:val="18"/>
                <w:szCs w:val="18"/>
              </w:rPr>
            </w:pPr>
            <w:r>
              <w:rPr>
                <w:sz w:val="18"/>
                <w:szCs w:val="18"/>
              </w:rPr>
              <w:t>顾客或外部供方的财产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S13</w:t>
            </w:r>
          </w:p>
        </w:tc>
        <w:tc>
          <w:tcPr>
            <w:tcW w:w="2505" w:type="dxa"/>
            <w:tcBorders>
              <w:right w:val="single" w:color="auto" w:sz="12" w:space="0"/>
            </w:tcBorders>
            <w:shd w:val="clear" w:color="auto" w:fill="auto"/>
            <w:vAlign w:val="center"/>
          </w:tcPr>
          <w:p>
            <w:pPr>
              <w:rPr>
                <w:sz w:val="18"/>
                <w:szCs w:val="18"/>
              </w:rPr>
            </w:pPr>
            <w:r>
              <w:rPr>
                <w:sz w:val="18"/>
                <w:szCs w:val="18"/>
              </w:rPr>
              <w:t>产品和服务放行</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12" w:space="0"/>
            </w:tcBorders>
            <w:shd w:val="clear" w:color="auto" w:fill="auto"/>
            <w:vAlign w:val="center"/>
          </w:tcPr>
          <w:p>
            <w:pPr>
              <w:rPr>
                <w:sz w:val="18"/>
                <w:szCs w:val="18"/>
              </w:rPr>
            </w:pPr>
            <w:r>
              <w:rPr>
                <w:sz w:val="18"/>
                <w:szCs w:val="18"/>
              </w:rPr>
              <w:t>S14</w:t>
            </w:r>
          </w:p>
        </w:tc>
        <w:tc>
          <w:tcPr>
            <w:tcW w:w="2505" w:type="dxa"/>
            <w:tcBorders>
              <w:bottom w:val="single" w:color="auto" w:sz="12" w:space="0"/>
              <w:right w:val="single" w:color="auto" w:sz="12" w:space="0"/>
            </w:tcBorders>
            <w:shd w:val="clear" w:color="auto" w:fill="auto"/>
            <w:vAlign w:val="center"/>
          </w:tcPr>
          <w:p>
            <w:pPr>
              <w:rPr>
                <w:sz w:val="18"/>
                <w:szCs w:val="18"/>
              </w:rPr>
            </w:pPr>
            <w:r>
              <w:rPr>
                <w:sz w:val="18"/>
                <w:szCs w:val="18"/>
              </w:rPr>
              <w:t>不合格产品和服务</w:t>
            </w:r>
          </w:p>
        </w:tc>
        <w:tc>
          <w:tcPr>
            <w:tcW w:w="69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jc w:val="left"/>
              <w:rPr>
                <w:sz w:val="18"/>
                <w:szCs w:val="18"/>
              </w:rPr>
            </w:pPr>
          </w:p>
        </w:tc>
      </w:tr>
    </w:tbl>
    <w:p>
      <w:pPr>
        <w:rPr>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rFonts w:hint="eastAsia"/>
          <w:color w:val="FF0000"/>
          <w:szCs w:val="21"/>
        </w:rPr>
      </w:pPr>
    </w:p>
    <w:p>
      <w:pPr>
        <w:rPr>
          <w:color w:val="FF0000"/>
          <w:szCs w:val="21"/>
        </w:rPr>
      </w:pPr>
      <w:r>
        <w:rPr>
          <w:rFonts w:hint="eastAsia"/>
          <w:color w:val="FF0000"/>
          <w:szCs w:val="21"/>
        </w:rPr>
        <w:t>附录C</w:t>
      </w:r>
      <w:r>
        <w:rPr>
          <w:szCs w:val="21"/>
        </w:rPr>
        <w:t>过程与过程之间的相互关系</w:t>
      </w:r>
    </w:p>
    <w:tbl>
      <w:tblPr>
        <w:tblStyle w:val="21"/>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7"/>
        <w:gridCol w:w="1473"/>
        <w:gridCol w:w="1374"/>
        <w:gridCol w:w="1653"/>
        <w:gridCol w:w="12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restart"/>
            <w:tcBorders>
              <w:top w:val="single" w:color="auto" w:sz="12" w:space="0"/>
              <w:left w:val="single" w:color="auto" w:sz="12" w:space="0"/>
              <w:bottom w:val="single" w:color="auto" w:sz="2" w:space="0"/>
              <w:right w:val="single" w:color="auto" w:sz="2" w:space="0"/>
            </w:tcBorders>
            <w:shd w:val="clear" w:color="auto" w:fill="auto"/>
            <w:vAlign w:val="center"/>
          </w:tcPr>
          <w:p>
            <w:pPr>
              <w:jc w:val="center"/>
              <w:rPr>
                <w:sz w:val="18"/>
                <w:szCs w:val="18"/>
              </w:rPr>
            </w:pPr>
            <w:r>
              <w:rPr>
                <w:sz w:val="18"/>
                <w:szCs w:val="18"/>
              </w:rPr>
              <w:t>项目</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C1</w:t>
            </w:r>
          </w:p>
        </w:tc>
        <w:tc>
          <w:tcPr>
            <w:tcW w:w="1374"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C2</w:t>
            </w:r>
          </w:p>
        </w:tc>
        <w:tc>
          <w:tcPr>
            <w:tcW w:w="165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C3</w:t>
            </w:r>
          </w:p>
        </w:tc>
        <w:tc>
          <w:tcPr>
            <w:tcW w:w="1271" w:type="dxa"/>
            <w:tcBorders>
              <w:top w:val="single" w:color="auto" w:sz="12" w:space="0"/>
              <w:left w:val="single" w:color="auto" w:sz="2" w:space="0"/>
              <w:bottom w:val="single" w:color="auto" w:sz="2" w:space="0"/>
              <w:right w:val="single" w:color="auto" w:sz="4" w:space="0"/>
            </w:tcBorders>
            <w:shd w:val="clear" w:color="auto" w:fill="auto"/>
            <w:vAlign w:val="center"/>
          </w:tcPr>
          <w:p>
            <w:pPr>
              <w:jc w:val="center"/>
              <w:rPr>
                <w:sz w:val="18"/>
                <w:szCs w:val="18"/>
              </w:rPr>
            </w:pPr>
            <w:r>
              <w:rPr>
                <w:sz w:val="18"/>
                <w:szCs w:val="18"/>
              </w:rPr>
              <w:t>C4</w:t>
            </w:r>
          </w:p>
        </w:tc>
        <w:tc>
          <w:tcPr>
            <w:tcW w:w="1208" w:type="dxa"/>
            <w:tcBorders>
              <w:top w:val="single" w:color="auto" w:sz="12" w:space="0"/>
              <w:left w:val="single" w:color="auto" w:sz="4" w:space="0"/>
              <w:bottom w:val="single" w:color="auto" w:sz="2" w:space="0"/>
              <w:right w:val="single" w:color="auto" w:sz="12" w:space="0"/>
            </w:tcBorders>
            <w:shd w:val="clear" w:color="auto" w:fill="auto"/>
            <w:vAlign w:val="center"/>
          </w:tcPr>
          <w:p>
            <w:pPr>
              <w:jc w:val="center"/>
              <w:rPr>
                <w:sz w:val="18"/>
                <w:szCs w:val="18"/>
              </w:rPr>
            </w:pPr>
            <w:r>
              <w:rPr>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continue"/>
            <w:tcBorders>
              <w:top w:val="single" w:color="auto" w:sz="2" w:space="0"/>
              <w:left w:val="single" w:color="auto" w:sz="12" w:space="0"/>
              <w:bottom w:val="single" w:color="auto" w:sz="12" w:space="0"/>
              <w:right w:val="single" w:color="auto" w:sz="2" w:space="0"/>
            </w:tcBorders>
            <w:shd w:val="clear" w:color="auto" w:fill="auto"/>
            <w:vAlign w:val="center"/>
          </w:tcPr>
          <w:p>
            <w:pPr>
              <w:jc w:val="center"/>
              <w:rPr>
                <w:sz w:val="18"/>
                <w:szCs w:val="18"/>
              </w:rPr>
            </w:pPr>
          </w:p>
        </w:tc>
        <w:tc>
          <w:tcPr>
            <w:tcW w:w="147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市场需求的确定</w:t>
            </w:r>
          </w:p>
        </w:tc>
        <w:tc>
          <w:tcPr>
            <w:tcW w:w="1374"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产品和服务开发</w:t>
            </w:r>
          </w:p>
        </w:tc>
        <w:tc>
          <w:tcPr>
            <w:tcW w:w="165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产品生产和服务提供的控制</w:t>
            </w:r>
          </w:p>
        </w:tc>
        <w:tc>
          <w:tcPr>
            <w:tcW w:w="1271" w:type="dxa"/>
            <w:tcBorders>
              <w:top w:val="single" w:color="auto" w:sz="2" w:space="0"/>
              <w:left w:val="single" w:color="auto" w:sz="2" w:space="0"/>
              <w:bottom w:val="single" w:color="auto" w:sz="12" w:space="0"/>
              <w:right w:val="single" w:color="auto" w:sz="4" w:space="0"/>
            </w:tcBorders>
            <w:shd w:val="clear" w:color="auto" w:fill="auto"/>
            <w:vAlign w:val="center"/>
          </w:tcPr>
          <w:p>
            <w:pPr>
              <w:jc w:val="center"/>
              <w:rPr>
                <w:sz w:val="18"/>
                <w:szCs w:val="18"/>
              </w:rPr>
            </w:pPr>
            <w:r>
              <w:rPr>
                <w:sz w:val="18"/>
                <w:szCs w:val="18"/>
              </w:rPr>
              <w:t>产品防护</w:t>
            </w:r>
          </w:p>
        </w:tc>
        <w:tc>
          <w:tcPr>
            <w:tcW w:w="1208" w:type="dxa"/>
            <w:tcBorders>
              <w:top w:val="single" w:color="auto" w:sz="2" w:space="0"/>
              <w:left w:val="single" w:color="auto" w:sz="4" w:space="0"/>
              <w:bottom w:val="single" w:color="auto" w:sz="12" w:space="0"/>
              <w:right w:val="single" w:color="auto" w:sz="12" w:space="0"/>
            </w:tcBorders>
            <w:shd w:val="clear" w:color="auto" w:fill="auto"/>
            <w:vAlign w:val="center"/>
          </w:tcPr>
          <w:p>
            <w:pPr>
              <w:jc w:val="center"/>
              <w:rPr>
                <w:sz w:val="18"/>
                <w:szCs w:val="18"/>
              </w:rPr>
            </w:pPr>
            <w:r>
              <w:rPr>
                <w:sz w:val="18"/>
                <w:szCs w:val="18"/>
              </w:rPr>
              <w:t>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w:t>
            </w:r>
          </w:p>
        </w:tc>
        <w:tc>
          <w:tcPr>
            <w:tcW w:w="2577" w:type="dxa"/>
            <w:tcBorders>
              <w:top w:val="single" w:color="auto" w:sz="1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基础设施</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1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1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过程环境</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监视和测量设备</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知识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S5</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能力</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S6</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意识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S7</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沟通</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S8</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形成文件的信息</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S9</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运行策划过程</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S10</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外部供应产品和服务的控制</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S11</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标识和可追溯性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r>
              <w:rPr>
                <w:sz w:val="18"/>
                <w:szCs w:val="18"/>
              </w:rPr>
              <w:t>×</w:t>
            </w: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顾客或外部供方的财产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产品和服务放行</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不合格产品和服务</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12" w:space="0"/>
              <w:right w:val="single" w:color="auto" w:sz="2" w:space="0"/>
            </w:tcBorders>
            <w:shd w:val="clear" w:color="auto" w:fill="auto"/>
            <w:vAlign w:val="center"/>
          </w:tcPr>
          <w:p>
            <w:pPr>
              <w:rPr>
                <w:sz w:val="18"/>
                <w:szCs w:val="18"/>
              </w:rPr>
            </w:pPr>
            <w:r>
              <w:rPr>
                <w:sz w:val="18"/>
                <w:szCs w:val="18"/>
              </w:rPr>
              <w:t>管理过程</w:t>
            </w:r>
          </w:p>
        </w:tc>
        <w:tc>
          <w:tcPr>
            <w:tcW w:w="9556" w:type="dxa"/>
            <w:gridSpan w:val="6"/>
            <w:tcBorders>
              <w:top w:val="single" w:color="auto" w:sz="2" w:space="0"/>
              <w:left w:val="single" w:color="auto" w:sz="2" w:space="0"/>
              <w:bottom w:val="single" w:color="auto" w:sz="12" w:space="0"/>
              <w:right w:val="single" w:color="auto" w:sz="12" w:space="0"/>
            </w:tcBorders>
            <w:shd w:val="clear" w:color="auto" w:fill="auto"/>
            <w:vAlign w:val="center"/>
          </w:tcPr>
          <w:p>
            <w:pPr>
              <w:spacing w:line="240" w:lineRule="atLeast"/>
              <w:rPr>
                <w:sz w:val="18"/>
                <w:szCs w:val="18"/>
              </w:rPr>
            </w:pPr>
            <w:r>
              <w:rPr>
                <w:sz w:val="18"/>
                <w:szCs w:val="18"/>
              </w:rPr>
              <w:t>M1风险和机遇的应对措施; M2质量目标及其实施的策划; M3顾客满意; M4数据分析与评价; M5内部审核; M6管理评审; M7不符合和纠正措施; M8改进</w:t>
            </w:r>
          </w:p>
          <w:p>
            <w:pPr>
              <w:spacing w:line="240" w:lineRule="atLeast"/>
              <w:rPr>
                <w:b/>
                <w:sz w:val="15"/>
                <w:szCs w:val="15"/>
              </w:rPr>
            </w:pPr>
            <w:r>
              <w:rPr>
                <w:b/>
                <w:sz w:val="15"/>
                <w:szCs w:val="15"/>
              </w:rPr>
              <w:t>注：管理过程与所有过程相关</w:t>
            </w:r>
          </w:p>
        </w:tc>
      </w:tr>
    </w:tbl>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附录D</w:t>
      </w:r>
      <w:r>
        <w:rPr>
          <w:szCs w:val="21"/>
        </w:rPr>
        <w:t>质量管理体系过程职责分配与过程关系表</w:t>
      </w:r>
    </w:p>
    <w:tbl>
      <w:tblPr>
        <w:tblStyle w:val="21"/>
        <w:tblW w:w="10100" w:type="dxa"/>
        <w:tblInd w:w="93" w:type="dxa"/>
        <w:tblLayout w:type="fixed"/>
        <w:tblCellMar>
          <w:top w:w="0" w:type="dxa"/>
          <w:left w:w="108" w:type="dxa"/>
          <w:bottom w:w="0" w:type="dxa"/>
          <w:right w:w="108" w:type="dxa"/>
        </w:tblCellMar>
      </w:tblPr>
      <w:tblGrid>
        <w:gridCol w:w="1080"/>
        <w:gridCol w:w="2540"/>
        <w:gridCol w:w="1080"/>
        <w:gridCol w:w="1080"/>
        <w:gridCol w:w="1080"/>
        <w:gridCol w:w="1080"/>
        <w:gridCol w:w="1080"/>
        <w:gridCol w:w="108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条款（ISO9001：2015）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综合部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技术部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市场部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确定质量管理体系的范围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质量管理体系及其过程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针对质量管理体系的领导作用与承诺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质量方针</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质量目标及其实施的策划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人员</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监视和测量设备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知识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形成文件的信息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产品和服务的要求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eastAsia="宋体"/>
                <w:color w:val="000000"/>
                <w:kern w:val="0"/>
                <w:sz w:val="18"/>
                <w:szCs w:val="18"/>
                <w:lang w:eastAsia="zh-CN"/>
              </w:rPr>
            </w:pPr>
            <w:r>
              <w:rPr>
                <w:rFonts w:hint="eastAsia"/>
                <w:color w:val="000000"/>
                <w:kern w:val="0"/>
                <w:sz w:val="18"/>
                <w:szCs w:val="18"/>
                <w:lang w:eastAsia="zh-CN"/>
              </w:rPr>
              <w:t>8.2.1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与产品和服务有关要求的确定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产品和服务要求的更改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产品和服务的设计和开发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设计和开发控制</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设计和开发变更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外部供应产品和服务的控制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外部供方的控制类型和程度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提供外部供方的文件信息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标识和可追溯性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顾客或外部供方的财产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产品防护</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交付后的活动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产品和服务放行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不合格输出的控制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顾客满意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数据分析与评价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rPr>
          <w:bCs/>
          <w:szCs w:val="21"/>
        </w:rPr>
      </w:pPr>
    </w:p>
    <w:p>
      <w:pPr>
        <w:jc w:val="center"/>
        <w:rPr>
          <w:szCs w:val="21"/>
        </w:rPr>
      </w:pPr>
      <w:r>
        <w:rPr>
          <w:bCs/>
          <w:szCs w:val="21"/>
        </w:rPr>
        <w:t>●</w:t>
      </w:r>
      <w:r>
        <w:rPr>
          <w:szCs w:val="21"/>
        </w:rPr>
        <w:t>：主管部门或主管责任人；</w:t>
      </w:r>
      <w:r>
        <w:rPr>
          <w:bCs/>
          <w:szCs w:val="21"/>
        </w:rPr>
        <w:t>〇</w:t>
      </w:r>
      <w:r>
        <w:rPr>
          <w:szCs w:val="21"/>
        </w:rPr>
        <w:t>：配合部门或人员。</w:t>
      </w:r>
    </w:p>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szCs w:val="21"/>
        </w:rPr>
      </w:pPr>
      <w:r>
        <w:rPr>
          <w:rFonts w:hint="eastAsia"/>
          <w:color w:val="FF0000"/>
          <w:szCs w:val="21"/>
        </w:rPr>
        <w:t>附录E</w:t>
      </w:r>
      <w:r>
        <w:rPr>
          <w:szCs w:val="21"/>
        </w:rPr>
        <w:t>环境</w:t>
      </w:r>
      <w:r>
        <w:rPr>
          <w:rFonts w:hint="eastAsia"/>
          <w:szCs w:val="21"/>
        </w:rPr>
        <w:t>安全</w:t>
      </w:r>
      <w:r>
        <w:rPr>
          <w:szCs w:val="21"/>
        </w:rPr>
        <w:t>管理体系过程职责分配与过程关系表</w:t>
      </w:r>
    </w:p>
    <w:tbl>
      <w:tblPr>
        <w:tblStyle w:val="21"/>
        <w:tblW w:w="10240" w:type="dxa"/>
        <w:tblInd w:w="93" w:type="dxa"/>
        <w:tblLayout w:type="fixed"/>
        <w:tblCellMar>
          <w:top w:w="0" w:type="dxa"/>
          <w:left w:w="108" w:type="dxa"/>
          <w:bottom w:w="0" w:type="dxa"/>
          <w:right w:w="108" w:type="dxa"/>
        </w:tblCellMar>
      </w:tblPr>
      <w:tblGrid>
        <w:gridCol w:w="1067"/>
        <w:gridCol w:w="2140"/>
        <w:gridCol w:w="1491"/>
        <w:gridCol w:w="1052"/>
        <w:gridCol w:w="898"/>
        <w:gridCol w:w="898"/>
        <w:gridCol w:w="898"/>
        <w:gridCol w:w="898"/>
        <w:gridCol w:w="898"/>
      </w:tblGrid>
      <w:tr>
        <w:tblPrEx>
          <w:tblCellMar>
            <w:top w:w="0" w:type="dxa"/>
            <w:left w:w="108" w:type="dxa"/>
            <w:bottom w:w="0" w:type="dxa"/>
            <w:right w:w="108" w:type="dxa"/>
          </w:tblCellMar>
        </w:tblPrEx>
        <w:trPr>
          <w:trHeight w:val="420"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条款（ISO14001：2015）</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条款（ISO45001-2018）</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综合部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市场部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技术部</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确定环境管理体系的范围</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环境管理体系及其过程</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针对环境管理体系的领导作用与承诺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环境方针</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5.4</w:t>
            </w:r>
            <w:r>
              <w:rPr>
                <w:rFonts w:hint="eastAsia" w:ascii="宋体" w:hAnsi="宋体"/>
                <w:color w:val="000000"/>
                <w:kern w:val="0"/>
                <w:sz w:val="18"/>
                <w:szCs w:val="18"/>
              </w:rPr>
              <w:t>参与和协商</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环境因素/危险源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合规义务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环境目标及其实施的策划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实现环境目标措施的策划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信息交流</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1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r>
              <w:rPr>
                <w:rFonts w:hint="eastAsia" w:ascii="宋体" w:hAnsi="宋体"/>
                <w:color w:val="000000"/>
                <w:kern w:val="0"/>
                <w:sz w:val="18"/>
                <w:szCs w:val="18"/>
              </w:rPr>
              <w:t>变更管理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r>
              <w:rPr>
                <w:rFonts w:hint="eastAsia" w:ascii="宋体" w:hAnsi="宋体"/>
                <w:color w:val="000000"/>
                <w:kern w:val="0"/>
                <w:sz w:val="18"/>
                <w:szCs w:val="18"/>
              </w:rPr>
              <w:t>外包</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r>
              <w:rPr>
                <w:rFonts w:hint="eastAsia" w:ascii="宋体" w:hAnsi="宋体"/>
                <w:color w:val="000000"/>
                <w:kern w:val="0"/>
                <w:sz w:val="18"/>
                <w:szCs w:val="18"/>
              </w:rPr>
              <w:t>采购</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r>
              <w:rPr>
                <w:rFonts w:hint="eastAsia" w:ascii="宋体" w:hAnsi="宋体"/>
                <w:color w:val="000000"/>
                <w:kern w:val="0"/>
                <w:sz w:val="18"/>
                <w:szCs w:val="18"/>
              </w:rPr>
              <w:t>承包商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465"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应急准备和响应</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r>
              <w:rPr>
                <w:rFonts w:hint="eastAsia" w:ascii="宋体" w:hAnsi="宋体"/>
                <w:color w:val="000000"/>
                <w:kern w:val="0"/>
                <w:sz w:val="18"/>
                <w:szCs w:val="18"/>
              </w:rPr>
              <w:t>应急准备和响应</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合规性评价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ind w:firstLine="525" w:firstLineChars="250"/>
        <w:rPr>
          <w:rFonts w:hint="eastAsia"/>
          <w:bCs/>
          <w:szCs w:val="21"/>
        </w:rPr>
      </w:pPr>
    </w:p>
    <w:p>
      <w:pPr>
        <w:ind w:firstLine="525" w:firstLineChars="250"/>
        <w:rPr>
          <w:color w:val="FF0000"/>
          <w:szCs w:val="21"/>
        </w:rPr>
      </w:pPr>
      <w:r>
        <w:rPr>
          <w:bCs/>
          <w:szCs w:val="21"/>
        </w:rPr>
        <w:t>●</w:t>
      </w:r>
      <w:r>
        <w:rPr>
          <w:szCs w:val="21"/>
        </w:rPr>
        <w:t>：主管部门或主管责任人；</w:t>
      </w:r>
      <w:r>
        <w:rPr>
          <w:bCs/>
          <w:szCs w:val="21"/>
        </w:rPr>
        <w:t>〇</w:t>
      </w:r>
      <w:r>
        <w:rPr>
          <w:szCs w:val="21"/>
        </w:rPr>
        <w:t>：配合部门或人员。</w:t>
      </w:r>
    </w:p>
    <w:sectPr>
      <w:headerReference r:id="rId5" w:type="first"/>
      <w:footerReference r:id="rId8" w:type="first"/>
      <w:headerReference r:id="rId3" w:type="default"/>
      <w:footerReference r:id="rId6" w:type="default"/>
      <w:headerReference r:id="rId4" w:type="even"/>
      <w:footerReference r:id="rId7" w:type="even"/>
      <w:pgSz w:w="11907" w:h="16840"/>
      <w:pgMar w:top="567" w:right="1134" w:bottom="1440" w:left="127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汉仪行楷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49"/>
      <w:docPartObj>
        <w:docPartGallery w:val="autotext"/>
      </w:docPartObj>
    </w:sdtPr>
    <w:sdtContent>
      <w:p>
        <w:pPr>
          <w:pStyle w:val="17"/>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50" w:firstLineChars="250"/>
      <w:jc w:val="left"/>
    </w:pPr>
    <w:r>
      <w:rPr>
        <w:rFonts w:hint="eastAsia"/>
        <w:lang w:eastAsia="zh-CN"/>
      </w:rPr>
      <w:t>四川恒升信达科技有限公司</w:t>
    </w:r>
    <w:r>
      <w:rPr>
        <w:rFonts w:hint="eastAsia"/>
      </w:rPr>
      <w:t xml:space="preserve">                    管理手册                                页码： </w:t>
    </w:r>
    <w:r>
      <w:fldChar w:fldCharType="begin"/>
    </w:r>
    <w:r>
      <w:instrText xml:space="preserve"> PAGE   \* MERGEFORMAT </w:instrText>
    </w:r>
    <w:r>
      <w:fldChar w:fldCharType="separate"/>
    </w:r>
    <w:r>
      <w:rPr>
        <w:lang w:val="zh-CN"/>
      </w:rPr>
      <w:t>27</w:t>
    </w:r>
    <w:r>
      <w:rPr>
        <w:lang w:val="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587"/>
    <w:rsid w:val="00000749"/>
    <w:rsid w:val="0001347D"/>
    <w:rsid w:val="000444CF"/>
    <w:rsid w:val="00047886"/>
    <w:rsid w:val="00051049"/>
    <w:rsid w:val="00062F0C"/>
    <w:rsid w:val="00070150"/>
    <w:rsid w:val="00075B51"/>
    <w:rsid w:val="000847BE"/>
    <w:rsid w:val="000910E4"/>
    <w:rsid w:val="000913DD"/>
    <w:rsid w:val="000A2953"/>
    <w:rsid w:val="000A6395"/>
    <w:rsid w:val="000A6F4B"/>
    <w:rsid w:val="000C0F19"/>
    <w:rsid w:val="000C57F3"/>
    <w:rsid w:val="000D542F"/>
    <w:rsid w:val="000F0EB4"/>
    <w:rsid w:val="0010259E"/>
    <w:rsid w:val="00105521"/>
    <w:rsid w:val="00110514"/>
    <w:rsid w:val="00126494"/>
    <w:rsid w:val="00134D05"/>
    <w:rsid w:val="00142155"/>
    <w:rsid w:val="001515E5"/>
    <w:rsid w:val="0015207F"/>
    <w:rsid w:val="001718E4"/>
    <w:rsid w:val="001751FF"/>
    <w:rsid w:val="00175D94"/>
    <w:rsid w:val="00182A45"/>
    <w:rsid w:val="00186175"/>
    <w:rsid w:val="001A0C83"/>
    <w:rsid w:val="001C126E"/>
    <w:rsid w:val="001D268E"/>
    <w:rsid w:val="001D678A"/>
    <w:rsid w:val="001E58F7"/>
    <w:rsid w:val="001F001D"/>
    <w:rsid w:val="001F468C"/>
    <w:rsid w:val="002103D8"/>
    <w:rsid w:val="00210E0A"/>
    <w:rsid w:val="00216F18"/>
    <w:rsid w:val="00217840"/>
    <w:rsid w:val="0022093E"/>
    <w:rsid w:val="00225B91"/>
    <w:rsid w:val="0022619F"/>
    <w:rsid w:val="00230A87"/>
    <w:rsid w:val="002357DE"/>
    <w:rsid w:val="00235E91"/>
    <w:rsid w:val="002411FF"/>
    <w:rsid w:val="00243501"/>
    <w:rsid w:val="00260F96"/>
    <w:rsid w:val="00266E03"/>
    <w:rsid w:val="00267BC0"/>
    <w:rsid w:val="002751F8"/>
    <w:rsid w:val="00282BE9"/>
    <w:rsid w:val="00283341"/>
    <w:rsid w:val="00284AB4"/>
    <w:rsid w:val="002875F5"/>
    <w:rsid w:val="002A3CBD"/>
    <w:rsid w:val="002A7002"/>
    <w:rsid w:val="002B1099"/>
    <w:rsid w:val="002B414C"/>
    <w:rsid w:val="002B741C"/>
    <w:rsid w:val="002C2EB1"/>
    <w:rsid w:val="002C3921"/>
    <w:rsid w:val="002C3FCA"/>
    <w:rsid w:val="002D0179"/>
    <w:rsid w:val="002D2535"/>
    <w:rsid w:val="002F1BF6"/>
    <w:rsid w:val="00314012"/>
    <w:rsid w:val="00324AC2"/>
    <w:rsid w:val="003312B3"/>
    <w:rsid w:val="00344510"/>
    <w:rsid w:val="00356064"/>
    <w:rsid w:val="00360DD5"/>
    <w:rsid w:val="00370D50"/>
    <w:rsid w:val="003735B7"/>
    <w:rsid w:val="003747C3"/>
    <w:rsid w:val="00377224"/>
    <w:rsid w:val="00380C3F"/>
    <w:rsid w:val="00384248"/>
    <w:rsid w:val="00385F17"/>
    <w:rsid w:val="00387142"/>
    <w:rsid w:val="00387157"/>
    <w:rsid w:val="00394470"/>
    <w:rsid w:val="003B2454"/>
    <w:rsid w:val="003E6B4D"/>
    <w:rsid w:val="003E7CF1"/>
    <w:rsid w:val="003F01D0"/>
    <w:rsid w:val="003F0719"/>
    <w:rsid w:val="003F38CF"/>
    <w:rsid w:val="003F4ED8"/>
    <w:rsid w:val="004060A2"/>
    <w:rsid w:val="00407F27"/>
    <w:rsid w:val="00422625"/>
    <w:rsid w:val="00440109"/>
    <w:rsid w:val="0044138E"/>
    <w:rsid w:val="00445232"/>
    <w:rsid w:val="004468D4"/>
    <w:rsid w:val="00446CBD"/>
    <w:rsid w:val="0045199E"/>
    <w:rsid w:val="0047344C"/>
    <w:rsid w:val="0048211A"/>
    <w:rsid w:val="0048582F"/>
    <w:rsid w:val="0048688C"/>
    <w:rsid w:val="00496E7E"/>
    <w:rsid w:val="004970C1"/>
    <w:rsid w:val="004A27A6"/>
    <w:rsid w:val="004A4CDB"/>
    <w:rsid w:val="004A6698"/>
    <w:rsid w:val="004B2D97"/>
    <w:rsid w:val="004C0136"/>
    <w:rsid w:val="004D2D88"/>
    <w:rsid w:val="004D5AC2"/>
    <w:rsid w:val="004F0E13"/>
    <w:rsid w:val="004F6518"/>
    <w:rsid w:val="004F6946"/>
    <w:rsid w:val="005012F4"/>
    <w:rsid w:val="0052448D"/>
    <w:rsid w:val="00536545"/>
    <w:rsid w:val="00536AD6"/>
    <w:rsid w:val="00551587"/>
    <w:rsid w:val="00553569"/>
    <w:rsid w:val="005556EC"/>
    <w:rsid w:val="00561BD4"/>
    <w:rsid w:val="005635B3"/>
    <w:rsid w:val="00563D19"/>
    <w:rsid w:val="00566D20"/>
    <w:rsid w:val="005719CB"/>
    <w:rsid w:val="0057242F"/>
    <w:rsid w:val="0058107B"/>
    <w:rsid w:val="005926E5"/>
    <w:rsid w:val="00592B90"/>
    <w:rsid w:val="005A3871"/>
    <w:rsid w:val="005A662A"/>
    <w:rsid w:val="005C0B8E"/>
    <w:rsid w:val="005C7AB8"/>
    <w:rsid w:val="005D0967"/>
    <w:rsid w:val="005E0069"/>
    <w:rsid w:val="005E03C3"/>
    <w:rsid w:val="005E254F"/>
    <w:rsid w:val="005E3C64"/>
    <w:rsid w:val="005E7B54"/>
    <w:rsid w:val="005F3FC8"/>
    <w:rsid w:val="006032DF"/>
    <w:rsid w:val="006053B6"/>
    <w:rsid w:val="00607C0F"/>
    <w:rsid w:val="006134FB"/>
    <w:rsid w:val="006218AD"/>
    <w:rsid w:val="00622176"/>
    <w:rsid w:val="00622EC6"/>
    <w:rsid w:val="006265F8"/>
    <w:rsid w:val="006329DA"/>
    <w:rsid w:val="00642297"/>
    <w:rsid w:val="00655384"/>
    <w:rsid w:val="00655C5D"/>
    <w:rsid w:val="00663D05"/>
    <w:rsid w:val="006753ED"/>
    <w:rsid w:val="006762B5"/>
    <w:rsid w:val="00686E08"/>
    <w:rsid w:val="006870E5"/>
    <w:rsid w:val="00691D4B"/>
    <w:rsid w:val="006A16BA"/>
    <w:rsid w:val="006A1BFD"/>
    <w:rsid w:val="006A72F3"/>
    <w:rsid w:val="006B758D"/>
    <w:rsid w:val="006D4B58"/>
    <w:rsid w:val="006E0858"/>
    <w:rsid w:val="006E2361"/>
    <w:rsid w:val="006E6AD9"/>
    <w:rsid w:val="006F081D"/>
    <w:rsid w:val="00712A65"/>
    <w:rsid w:val="00713BC6"/>
    <w:rsid w:val="0072513B"/>
    <w:rsid w:val="00725348"/>
    <w:rsid w:val="007277E7"/>
    <w:rsid w:val="00730B39"/>
    <w:rsid w:val="007317E6"/>
    <w:rsid w:val="00731B76"/>
    <w:rsid w:val="00740187"/>
    <w:rsid w:val="00742E35"/>
    <w:rsid w:val="007450C5"/>
    <w:rsid w:val="00753CDA"/>
    <w:rsid w:val="007617C5"/>
    <w:rsid w:val="007642B8"/>
    <w:rsid w:val="00765066"/>
    <w:rsid w:val="0076743C"/>
    <w:rsid w:val="0077227D"/>
    <w:rsid w:val="00797835"/>
    <w:rsid w:val="007A56A3"/>
    <w:rsid w:val="007A68A5"/>
    <w:rsid w:val="007B15EA"/>
    <w:rsid w:val="007B5F81"/>
    <w:rsid w:val="007C61AC"/>
    <w:rsid w:val="007D0369"/>
    <w:rsid w:val="007D3889"/>
    <w:rsid w:val="007D674C"/>
    <w:rsid w:val="007F1EC9"/>
    <w:rsid w:val="0080387D"/>
    <w:rsid w:val="0080517D"/>
    <w:rsid w:val="008107A9"/>
    <w:rsid w:val="00834315"/>
    <w:rsid w:val="00852497"/>
    <w:rsid w:val="00856D98"/>
    <w:rsid w:val="00860CEC"/>
    <w:rsid w:val="0087557A"/>
    <w:rsid w:val="00885680"/>
    <w:rsid w:val="008A3B5D"/>
    <w:rsid w:val="008B642A"/>
    <w:rsid w:val="008C077B"/>
    <w:rsid w:val="008C1484"/>
    <w:rsid w:val="008C75F0"/>
    <w:rsid w:val="008D383C"/>
    <w:rsid w:val="008E0EFD"/>
    <w:rsid w:val="008E6A6D"/>
    <w:rsid w:val="008E7417"/>
    <w:rsid w:val="008F1B35"/>
    <w:rsid w:val="008F3D3B"/>
    <w:rsid w:val="009301C3"/>
    <w:rsid w:val="00933A64"/>
    <w:rsid w:val="00935EE5"/>
    <w:rsid w:val="009370B3"/>
    <w:rsid w:val="0093732E"/>
    <w:rsid w:val="00950911"/>
    <w:rsid w:val="00952F98"/>
    <w:rsid w:val="00954281"/>
    <w:rsid w:val="00955758"/>
    <w:rsid w:val="00955B9F"/>
    <w:rsid w:val="009575F9"/>
    <w:rsid w:val="00966052"/>
    <w:rsid w:val="0096741F"/>
    <w:rsid w:val="009700A5"/>
    <w:rsid w:val="00973D68"/>
    <w:rsid w:val="009744DC"/>
    <w:rsid w:val="00982357"/>
    <w:rsid w:val="009863DC"/>
    <w:rsid w:val="009950F3"/>
    <w:rsid w:val="009A5E08"/>
    <w:rsid w:val="009A60A6"/>
    <w:rsid w:val="009B0CF0"/>
    <w:rsid w:val="009B336F"/>
    <w:rsid w:val="009C7A8F"/>
    <w:rsid w:val="009D3F52"/>
    <w:rsid w:val="009E2F4F"/>
    <w:rsid w:val="009E3A95"/>
    <w:rsid w:val="009F3B30"/>
    <w:rsid w:val="009F5AC1"/>
    <w:rsid w:val="009F7904"/>
    <w:rsid w:val="00A023FC"/>
    <w:rsid w:val="00A02D1C"/>
    <w:rsid w:val="00A03A1C"/>
    <w:rsid w:val="00A12DBD"/>
    <w:rsid w:val="00A20245"/>
    <w:rsid w:val="00A33627"/>
    <w:rsid w:val="00A36223"/>
    <w:rsid w:val="00A401F4"/>
    <w:rsid w:val="00A64ECC"/>
    <w:rsid w:val="00A75E25"/>
    <w:rsid w:val="00AA531A"/>
    <w:rsid w:val="00AA7CC6"/>
    <w:rsid w:val="00AB749A"/>
    <w:rsid w:val="00AC2A7D"/>
    <w:rsid w:val="00AC3AF0"/>
    <w:rsid w:val="00AD7163"/>
    <w:rsid w:val="00AE121A"/>
    <w:rsid w:val="00AE42BC"/>
    <w:rsid w:val="00AE5B9F"/>
    <w:rsid w:val="00AF2DE0"/>
    <w:rsid w:val="00B05AEA"/>
    <w:rsid w:val="00B326C8"/>
    <w:rsid w:val="00B32FA7"/>
    <w:rsid w:val="00B34985"/>
    <w:rsid w:val="00B41246"/>
    <w:rsid w:val="00B4231E"/>
    <w:rsid w:val="00B646FF"/>
    <w:rsid w:val="00B7183E"/>
    <w:rsid w:val="00B80454"/>
    <w:rsid w:val="00B81EEB"/>
    <w:rsid w:val="00B871A4"/>
    <w:rsid w:val="00B91E2E"/>
    <w:rsid w:val="00B93885"/>
    <w:rsid w:val="00B96424"/>
    <w:rsid w:val="00BA066F"/>
    <w:rsid w:val="00BA1229"/>
    <w:rsid w:val="00BB18C1"/>
    <w:rsid w:val="00BB1FCF"/>
    <w:rsid w:val="00BE0E7B"/>
    <w:rsid w:val="00BE58BB"/>
    <w:rsid w:val="00C02617"/>
    <w:rsid w:val="00C13BBB"/>
    <w:rsid w:val="00C16F38"/>
    <w:rsid w:val="00C30241"/>
    <w:rsid w:val="00C3108D"/>
    <w:rsid w:val="00C31796"/>
    <w:rsid w:val="00C322A2"/>
    <w:rsid w:val="00C3371B"/>
    <w:rsid w:val="00C35DE0"/>
    <w:rsid w:val="00C56178"/>
    <w:rsid w:val="00C60C21"/>
    <w:rsid w:val="00C60EFA"/>
    <w:rsid w:val="00C65015"/>
    <w:rsid w:val="00C66B67"/>
    <w:rsid w:val="00C85299"/>
    <w:rsid w:val="00C9274C"/>
    <w:rsid w:val="00C92EE9"/>
    <w:rsid w:val="00C93907"/>
    <w:rsid w:val="00CA6615"/>
    <w:rsid w:val="00CB2EEB"/>
    <w:rsid w:val="00CB3835"/>
    <w:rsid w:val="00CD59C3"/>
    <w:rsid w:val="00CE0F94"/>
    <w:rsid w:val="00CE7F04"/>
    <w:rsid w:val="00CF0CF6"/>
    <w:rsid w:val="00CF30E5"/>
    <w:rsid w:val="00CF58F7"/>
    <w:rsid w:val="00CF6DF4"/>
    <w:rsid w:val="00D11A75"/>
    <w:rsid w:val="00D32909"/>
    <w:rsid w:val="00D403CD"/>
    <w:rsid w:val="00D5405B"/>
    <w:rsid w:val="00D732D1"/>
    <w:rsid w:val="00D73FD8"/>
    <w:rsid w:val="00D76E86"/>
    <w:rsid w:val="00D8275C"/>
    <w:rsid w:val="00D93010"/>
    <w:rsid w:val="00D94A68"/>
    <w:rsid w:val="00D95062"/>
    <w:rsid w:val="00D966D4"/>
    <w:rsid w:val="00DA6974"/>
    <w:rsid w:val="00DB4CE5"/>
    <w:rsid w:val="00DC61EB"/>
    <w:rsid w:val="00DD69E9"/>
    <w:rsid w:val="00DE2B53"/>
    <w:rsid w:val="00DF590C"/>
    <w:rsid w:val="00E11217"/>
    <w:rsid w:val="00E24A61"/>
    <w:rsid w:val="00E2590E"/>
    <w:rsid w:val="00E263E7"/>
    <w:rsid w:val="00E26B93"/>
    <w:rsid w:val="00E31B6C"/>
    <w:rsid w:val="00E418D3"/>
    <w:rsid w:val="00E55756"/>
    <w:rsid w:val="00E64F86"/>
    <w:rsid w:val="00E6722E"/>
    <w:rsid w:val="00E858E9"/>
    <w:rsid w:val="00E93D57"/>
    <w:rsid w:val="00EB4D98"/>
    <w:rsid w:val="00EB635F"/>
    <w:rsid w:val="00EB6785"/>
    <w:rsid w:val="00EC454E"/>
    <w:rsid w:val="00EE175E"/>
    <w:rsid w:val="00EE770E"/>
    <w:rsid w:val="00EF095B"/>
    <w:rsid w:val="00EF37D3"/>
    <w:rsid w:val="00EF3FA9"/>
    <w:rsid w:val="00EF41DD"/>
    <w:rsid w:val="00F0197F"/>
    <w:rsid w:val="00F03E13"/>
    <w:rsid w:val="00F3161C"/>
    <w:rsid w:val="00F3167B"/>
    <w:rsid w:val="00F32164"/>
    <w:rsid w:val="00F505ED"/>
    <w:rsid w:val="00F50B76"/>
    <w:rsid w:val="00F51EB0"/>
    <w:rsid w:val="00F532F6"/>
    <w:rsid w:val="00F631ED"/>
    <w:rsid w:val="00F641D3"/>
    <w:rsid w:val="00F71372"/>
    <w:rsid w:val="00F81FBA"/>
    <w:rsid w:val="00F91795"/>
    <w:rsid w:val="00F9316B"/>
    <w:rsid w:val="00F94A1A"/>
    <w:rsid w:val="00FA1360"/>
    <w:rsid w:val="00FA3D8D"/>
    <w:rsid w:val="00FC3349"/>
    <w:rsid w:val="00FC522F"/>
    <w:rsid w:val="00FC64EC"/>
    <w:rsid w:val="00FC715F"/>
    <w:rsid w:val="00FD1483"/>
    <w:rsid w:val="00FD60AE"/>
    <w:rsid w:val="00FE3E1B"/>
    <w:rsid w:val="00FF1923"/>
    <w:rsid w:val="03890EDA"/>
    <w:rsid w:val="043E0C3B"/>
    <w:rsid w:val="0485015C"/>
    <w:rsid w:val="084B3D45"/>
    <w:rsid w:val="0AD032D0"/>
    <w:rsid w:val="1DEF59B5"/>
    <w:rsid w:val="20693205"/>
    <w:rsid w:val="23F401E1"/>
    <w:rsid w:val="28331F81"/>
    <w:rsid w:val="2A117210"/>
    <w:rsid w:val="2AF033C8"/>
    <w:rsid w:val="347A74DE"/>
    <w:rsid w:val="349917A1"/>
    <w:rsid w:val="364B4F24"/>
    <w:rsid w:val="3B456F7A"/>
    <w:rsid w:val="3DE5414D"/>
    <w:rsid w:val="41542E5C"/>
    <w:rsid w:val="484845D8"/>
    <w:rsid w:val="48D9448E"/>
    <w:rsid w:val="4AD81CEB"/>
    <w:rsid w:val="4B592E4E"/>
    <w:rsid w:val="52AC71A7"/>
    <w:rsid w:val="55A060ED"/>
    <w:rsid w:val="55E77AC2"/>
    <w:rsid w:val="599926DA"/>
    <w:rsid w:val="5BE13C9F"/>
    <w:rsid w:val="5CE773EA"/>
    <w:rsid w:val="5EA63773"/>
    <w:rsid w:val="61D236F9"/>
    <w:rsid w:val="6A3B5D1F"/>
    <w:rsid w:val="6A897E07"/>
    <w:rsid w:val="6B2B5925"/>
    <w:rsid w:val="6D135332"/>
    <w:rsid w:val="6F0E5194"/>
    <w:rsid w:val="707167F8"/>
    <w:rsid w:val="70D1795F"/>
    <w:rsid w:val="71197D01"/>
    <w:rsid w:val="72E90EC2"/>
    <w:rsid w:val="7A713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3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4"/>
    <w:qFormat/>
    <w:uiPriority w:val="0"/>
    <w:rPr>
      <w:sz w:val="15"/>
    </w:rPr>
  </w:style>
  <w:style w:type="paragraph" w:styleId="12">
    <w:name w:val="Body Text Indent"/>
    <w:basedOn w:val="1"/>
    <w:link w:val="47"/>
    <w:qFormat/>
    <w:uiPriority w:val="0"/>
    <w:pPr>
      <w:spacing w:after="120"/>
      <w:ind w:left="420" w:leftChars="200"/>
    </w:pPr>
    <w:rPr>
      <w:szCs w:val="20"/>
    </w:rPr>
  </w:style>
  <w:style w:type="paragraph" w:styleId="13">
    <w:name w:val="Block Text"/>
    <w:basedOn w:val="1"/>
    <w:qFormat/>
    <w:uiPriority w:val="0"/>
    <w:pPr>
      <w:spacing w:line="288" w:lineRule="auto"/>
      <w:ind w:left="662" w:right="240" w:hanging="420"/>
    </w:pPr>
    <w:rPr>
      <w:sz w:val="24"/>
      <w:szCs w:val="20"/>
    </w:rPr>
  </w:style>
  <w:style w:type="paragraph" w:styleId="14">
    <w:name w:val="Plain Text"/>
    <w:basedOn w:val="1"/>
    <w:link w:val="59"/>
    <w:qFormat/>
    <w:uiPriority w:val="99"/>
    <w:rPr>
      <w:rFonts w:ascii="宋体" w:hAnsi="Courier New"/>
      <w:szCs w:val="20"/>
    </w:rPr>
  </w:style>
  <w:style w:type="paragraph" w:styleId="15">
    <w:name w:val="Date"/>
    <w:basedOn w:val="1"/>
    <w:next w:val="1"/>
    <w:link w:val="45"/>
    <w:qFormat/>
    <w:uiPriority w:val="0"/>
    <w:pPr>
      <w:ind w:left="100" w:leftChars="2500"/>
    </w:pPr>
  </w:style>
  <w:style w:type="paragraph" w:styleId="16">
    <w:name w:val="Balloon Text"/>
    <w:basedOn w:val="1"/>
    <w:link w:val="31"/>
    <w:unhideWhenUsed/>
    <w:qFormat/>
    <w:uiPriority w:val="99"/>
    <w:rPr>
      <w:rFonts w:eastAsiaTheme="minorEastAsia" w:cstheme="minorBidi"/>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48"/>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标题 1 Char"/>
    <w:basedOn w:val="23"/>
    <w:link w:val="2"/>
    <w:qFormat/>
    <w:uiPriority w:val="9"/>
    <w:rPr>
      <w:rFonts w:ascii="Times New Roman" w:hAnsi="Times New Roman" w:eastAsia="宋体" w:cs="Times New Roman"/>
      <w:b/>
      <w:bCs/>
      <w:kern w:val="44"/>
      <w:sz w:val="44"/>
      <w:szCs w:val="44"/>
    </w:rPr>
  </w:style>
  <w:style w:type="character" w:customStyle="1" w:styleId="27">
    <w:name w:val="标题 2 Char"/>
    <w:basedOn w:val="23"/>
    <w:link w:val="3"/>
    <w:qFormat/>
    <w:uiPriority w:val="9"/>
    <w:rPr>
      <w:rFonts w:ascii="Cambria" w:hAnsi="Cambria" w:eastAsia="宋体" w:cs="Times New Roman"/>
      <w:b/>
      <w:bCs/>
      <w:kern w:val="0"/>
      <w:sz w:val="32"/>
      <w:szCs w:val="32"/>
    </w:rPr>
  </w:style>
  <w:style w:type="character" w:customStyle="1" w:styleId="28">
    <w:name w:val="标题 3 Char"/>
    <w:basedOn w:val="23"/>
    <w:link w:val="4"/>
    <w:qFormat/>
    <w:uiPriority w:val="9"/>
    <w:rPr>
      <w:rFonts w:ascii="Times New Roman" w:hAnsi="Times New Roman" w:eastAsia="宋体" w:cs="Times New Roman"/>
      <w:b/>
      <w:bCs/>
      <w:kern w:val="0"/>
      <w:sz w:val="32"/>
      <w:szCs w:val="32"/>
    </w:rPr>
  </w:style>
  <w:style w:type="character" w:customStyle="1" w:styleId="29">
    <w:name w:val="页眉 Char"/>
    <w:link w:val="18"/>
    <w:qFormat/>
    <w:uiPriority w:val="99"/>
    <w:rPr>
      <w:rFonts w:ascii="Times New Roman" w:hAnsi="Times New Roman" w:eastAsia="宋体" w:cs="Times New Roman"/>
      <w:sz w:val="18"/>
      <w:szCs w:val="18"/>
    </w:rPr>
  </w:style>
  <w:style w:type="character" w:customStyle="1" w:styleId="30">
    <w:name w:val="页脚 Char"/>
    <w:link w:val="17"/>
    <w:qFormat/>
    <w:uiPriority w:val="99"/>
    <w:rPr>
      <w:rFonts w:ascii="Times New Roman" w:hAnsi="Times New Roman" w:eastAsia="宋体" w:cs="Times New Roman"/>
      <w:sz w:val="18"/>
      <w:szCs w:val="18"/>
    </w:rPr>
  </w:style>
  <w:style w:type="character" w:customStyle="1" w:styleId="31">
    <w:name w:val="批注框文本 Char"/>
    <w:link w:val="16"/>
    <w:qFormat/>
    <w:uiPriority w:val="99"/>
    <w:rPr>
      <w:rFonts w:ascii="Times New Roman" w:hAnsi="Times New Roman"/>
      <w:sz w:val="18"/>
      <w:szCs w:val="18"/>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1"/>
    <w:basedOn w:val="23"/>
    <w:semiHidden/>
    <w:qFormat/>
    <w:uiPriority w:val="99"/>
    <w:rPr>
      <w:rFonts w:ascii="Times New Roman" w:hAnsi="Times New Roman" w:eastAsia="宋体" w:cs="Times New Roman"/>
      <w:sz w:val="18"/>
      <w:szCs w:val="18"/>
    </w:rPr>
  </w:style>
  <w:style w:type="character" w:customStyle="1" w:styleId="34">
    <w:name w:val="批注框文本 Char1"/>
    <w:basedOn w:val="23"/>
    <w:semiHidden/>
    <w:qFormat/>
    <w:uiPriority w:val="99"/>
    <w:rPr>
      <w:rFonts w:ascii="Times New Roman" w:hAnsi="Times New Roman" w:eastAsia="宋体" w:cs="Times New Roman"/>
      <w:sz w:val="18"/>
      <w:szCs w:val="18"/>
    </w:rPr>
  </w:style>
  <w:style w:type="character" w:customStyle="1" w:styleId="35">
    <w:name w:val="页脚 Char1"/>
    <w:basedOn w:val="23"/>
    <w:semiHidden/>
    <w:qFormat/>
    <w:uiPriority w:val="99"/>
    <w:rPr>
      <w:rFonts w:ascii="Times New Roman" w:hAnsi="Times New Roman" w:eastAsia="宋体" w:cs="Times New Roman"/>
      <w:sz w:val="18"/>
      <w:szCs w:val="18"/>
    </w:r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4 Char"/>
    <w:basedOn w:val="23"/>
    <w:link w:val="5"/>
    <w:qFormat/>
    <w:uiPriority w:val="0"/>
    <w:rPr>
      <w:rFonts w:ascii="Arial" w:hAnsi="Arial" w:eastAsia="黑体" w:cs="Times New Roman"/>
      <w:b/>
      <w:bCs/>
      <w:sz w:val="28"/>
      <w:szCs w:val="28"/>
    </w:rPr>
  </w:style>
  <w:style w:type="character" w:customStyle="1" w:styleId="38">
    <w:name w:val="标题 5 Char"/>
    <w:basedOn w:val="23"/>
    <w:link w:val="6"/>
    <w:qFormat/>
    <w:uiPriority w:val="0"/>
    <w:rPr>
      <w:rFonts w:ascii="Times New Roman" w:hAnsi="Times New Roman" w:eastAsia="宋体" w:cs="Times New Roman"/>
      <w:b/>
      <w:bCs/>
      <w:sz w:val="28"/>
      <w:szCs w:val="28"/>
    </w:rPr>
  </w:style>
  <w:style w:type="character" w:customStyle="1" w:styleId="39">
    <w:name w:val="标题 6 Char"/>
    <w:basedOn w:val="23"/>
    <w:link w:val="7"/>
    <w:qFormat/>
    <w:uiPriority w:val="0"/>
    <w:rPr>
      <w:rFonts w:ascii="Arial" w:hAnsi="Arial" w:eastAsia="黑体" w:cs="Times New Roman"/>
      <w:b/>
      <w:bCs/>
      <w:sz w:val="24"/>
      <w:szCs w:val="24"/>
    </w:rPr>
  </w:style>
  <w:style w:type="character" w:customStyle="1" w:styleId="40">
    <w:name w:val="标题 7 Char"/>
    <w:basedOn w:val="23"/>
    <w:link w:val="8"/>
    <w:qFormat/>
    <w:uiPriority w:val="0"/>
    <w:rPr>
      <w:rFonts w:ascii="Times New Roman" w:hAnsi="Times New Roman" w:eastAsia="宋体" w:cs="Times New Roman"/>
      <w:b/>
      <w:bCs/>
      <w:sz w:val="24"/>
      <w:szCs w:val="24"/>
    </w:rPr>
  </w:style>
  <w:style w:type="character" w:customStyle="1" w:styleId="41">
    <w:name w:val="标题 8 Char"/>
    <w:basedOn w:val="23"/>
    <w:link w:val="9"/>
    <w:qFormat/>
    <w:uiPriority w:val="0"/>
    <w:rPr>
      <w:rFonts w:ascii="Arial" w:hAnsi="Arial" w:eastAsia="黑体" w:cs="Times New Roman"/>
      <w:sz w:val="24"/>
      <w:szCs w:val="24"/>
    </w:rPr>
  </w:style>
  <w:style w:type="character" w:customStyle="1" w:styleId="42">
    <w:name w:val="标题 9 Char"/>
    <w:basedOn w:val="23"/>
    <w:link w:val="10"/>
    <w:qFormat/>
    <w:uiPriority w:val="0"/>
    <w:rPr>
      <w:rFonts w:ascii="Arial" w:hAnsi="Arial" w:eastAsia="黑体" w:cs="Times New Roman"/>
      <w:szCs w:val="21"/>
    </w:rPr>
  </w:style>
  <w:style w:type="paragraph" w:customStyle="1" w:styleId="43">
    <w:name w:val="1"/>
    <w:basedOn w:val="1"/>
    <w:qFormat/>
    <w:uiPriority w:val="0"/>
    <w:pPr>
      <w:widowControl/>
      <w:spacing w:after="160" w:line="240" w:lineRule="exact"/>
      <w:jc w:val="left"/>
    </w:pPr>
  </w:style>
  <w:style w:type="character" w:customStyle="1" w:styleId="44">
    <w:name w:val="正文文本 Char"/>
    <w:basedOn w:val="23"/>
    <w:link w:val="11"/>
    <w:qFormat/>
    <w:uiPriority w:val="0"/>
    <w:rPr>
      <w:rFonts w:ascii="Times New Roman" w:hAnsi="Times New Roman" w:eastAsia="宋体" w:cs="Times New Roman"/>
      <w:sz w:val="15"/>
      <w:szCs w:val="24"/>
    </w:rPr>
  </w:style>
  <w:style w:type="character" w:customStyle="1" w:styleId="45">
    <w:name w:val="日期 Char"/>
    <w:basedOn w:val="23"/>
    <w:link w:val="15"/>
    <w:qFormat/>
    <w:uiPriority w:val="0"/>
    <w:rPr>
      <w:rFonts w:ascii="Times New Roman" w:hAnsi="Times New Roman" w:eastAsia="宋体" w:cs="Times New Roman"/>
      <w:szCs w:val="24"/>
    </w:rPr>
  </w:style>
  <w:style w:type="paragraph" w:customStyle="1" w:styleId="46">
    <w:name w:val="Char Char Char1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47">
    <w:name w:val="正文文本缩进 Char"/>
    <w:basedOn w:val="23"/>
    <w:link w:val="12"/>
    <w:qFormat/>
    <w:uiPriority w:val="0"/>
    <w:rPr>
      <w:rFonts w:ascii="Times New Roman" w:hAnsi="Times New Roman" w:eastAsia="宋体" w:cs="Times New Roman"/>
      <w:szCs w:val="20"/>
    </w:rPr>
  </w:style>
  <w:style w:type="character" w:customStyle="1" w:styleId="48">
    <w:name w:val="正文文本 2 Char"/>
    <w:basedOn w:val="23"/>
    <w:link w:val="19"/>
    <w:qFormat/>
    <w:uiPriority w:val="0"/>
    <w:rPr>
      <w:rFonts w:ascii="Times New Roman" w:hAnsi="Times New Roman" w:eastAsia="宋体" w:cs="Times New Roman"/>
      <w:szCs w:val="24"/>
    </w:rPr>
  </w:style>
  <w:style w:type="paragraph" w:customStyle="1" w:styleId="49">
    <w:name w:val="Char Char Char1 Char1"/>
    <w:basedOn w:val="1"/>
    <w:qFormat/>
    <w:uiPriority w:val="0"/>
    <w:pPr>
      <w:widowControl/>
      <w:spacing w:after="160" w:line="240" w:lineRule="exact"/>
      <w:jc w:val="left"/>
    </w:pPr>
  </w:style>
  <w:style w:type="paragraph" w:customStyle="1" w:styleId="5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Char Char Char Char Char Char Char Char Char"/>
    <w:basedOn w:val="1"/>
    <w:qFormat/>
    <w:uiPriority w:val="0"/>
    <w:pPr>
      <w:tabs>
        <w:tab w:val="left" w:pos="360"/>
      </w:tabs>
      <w:snapToGrid w:val="0"/>
    </w:pPr>
  </w:style>
  <w:style w:type="paragraph" w:customStyle="1" w:styleId="58">
    <w:name w:val="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character" w:customStyle="1" w:styleId="59">
    <w:name w:val="纯文本 Char"/>
    <w:basedOn w:val="23"/>
    <w:link w:val="14"/>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F40B69-2F3C-4A9A-9FD8-4A8D5884F5B6}"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B1ECC6AD-E5F9-4CE5-8838-807BBA4B198C}">
      <dgm:prSet phldrT="[文本]"/>
      <dgm:spPr/>
      <dgm:t>
        <a:bodyPr/>
        <a:p>
          <a:r>
            <a:rPr lang="zh-CN" altLang="en-US"/>
            <a:t>总经理</a:t>
          </a:r>
        </a:p>
      </dgm:t>
    </dgm:pt>
    <dgm:pt modelId="{2CD3C66D-4CA4-4AD4-AB08-1452C27241E0}" cxnId="{A24A97FD-77FB-409A-A451-D40D21B942A1}" type="parTrans">
      <dgm:prSet/>
      <dgm:spPr/>
      <dgm:t>
        <a:bodyPr/>
        <a:p>
          <a:endParaRPr lang="zh-CN" altLang="en-US"/>
        </a:p>
      </dgm:t>
    </dgm:pt>
    <dgm:pt modelId="{0B9B290A-9304-44D7-9F43-7B7E01F46A09}" cxnId="{A24A97FD-77FB-409A-A451-D40D21B942A1}" type="sibTrans">
      <dgm:prSet/>
      <dgm:spPr/>
      <dgm:t>
        <a:bodyPr/>
        <a:p>
          <a:endParaRPr lang="zh-CN" altLang="en-US"/>
        </a:p>
      </dgm:t>
    </dgm:pt>
    <dgm:pt modelId="{B4617C1E-C706-42DA-B787-616AB04F4416}" type="asst">
      <dgm:prSet phldrT="[文本]"/>
      <dgm:spPr/>
      <dgm:t>
        <a:bodyPr/>
        <a:p>
          <a:r>
            <a:rPr lang="zh-CN" altLang="en-US"/>
            <a:t>管代</a:t>
          </a:r>
        </a:p>
      </dgm:t>
    </dgm:pt>
    <dgm:pt modelId="{C9DF2DD3-83D5-4FA9-B362-8FE074992DD8}" cxnId="{DB8E9116-C39F-44EE-B8E1-5F5814CB648E}" type="parTrans">
      <dgm:prSet/>
      <dgm:spPr/>
      <dgm:t>
        <a:bodyPr/>
        <a:p>
          <a:endParaRPr lang="zh-CN" altLang="en-US"/>
        </a:p>
      </dgm:t>
    </dgm:pt>
    <dgm:pt modelId="{46976012-34A0-46FE-9124-06AD86A1A7AE}" cxnId="{DB8E9116-C39F-44EE-B8E1-5F5814CB648E}" type="sibTrans">
      <dgm:prSet/>
      <dgm:spPr/>
      <dgm:t>
        <a:bodyPr/>
        <a:p>
          <a:endParaRPr lang="zh-CN" altLang="en-US"/>
        </a:p>
      </dgm:t>
    </dgm:pt>
    <dgm:pt modelId="{55DEBB8F-BD54-441F-97DC-DC5C43E6C0A7}">
      <dgm:prSet phldrT="[文本]" phldr="0" custT="0"/>
      <dgm:spPr/>
      <dgm:t>
        <a:bodyPr vert="horz" wrap="square"/>
        <a:p>
          <a:pPr>
            <a:lnSpc>
              <a:spcPct val="100000"/>
            </a:lnSpc>
            <a:spcBef>
              <a:spcPct val="0"/>
            </a:spcBef>
            <a:spcAft>
              <a:spcPct val="35000"/>
            </a:spcAft>
          </a:pPr>
          <a:r>
            <a:rPr lang="zh-CN"/>
            <a:t>综合部</a:t>
          </a:r>
          <a:r>
            <a:rPr lang="zh-CN"/>
            <a:t/>
          </a:r>
          <a:endParaRPr lang="zh-CN"/>
        </a:p>
      </dgm:t>
    </dgm:pt>
    <dgm:pt modelId="{90CDB2BD-E761-4894-9DE3-E13D4A51EDF8}" cxnId="{B20BF861-9911-4F4D-A6FF-72AF7C57E1E1}" type="parTrans">
      <dgm:prSet/>
      <dgm:spPr/>
      <dgm:t>
        <a:bodyPr/>
        <a:p>
          <a:endParaRPr lang="zh-CN" altLang="en-US"/>
        </a:p>
      </dgm:t>
    </dgm:pt>
    <dgm:pt modelId="{CA74B306-F65B-4316-A398-62B6E9AA25AF}" cxnId="{B20BF861-9911-4F4D-A6FF-72AF7C57E1E1}" type="sibTrans">
      <dgm:prSet/>
      <dgm:spPr/>
      <dgm:t>
        <a:bodyPr/>
        <a:p>
          <a:endParaRPr lang="zh-CN" altLang="en-US"/>
        </a:p>
      </dgm:t>
    </dgm:pt>
    <dgm:pt modelId="{83030DBE-0D50-495E-9A5E-CA2A01762BE5}">
      <dgm:prSet/>
      <dgm:spPr/>
      <dgm:t>
        <a:bodyPr/>
        <a:p>
          <a:r>
            <a:rPr lang="zh-CN" altLang="en-US"/>
            <a:t>财务</a:t>
          </a:r>
          <a:r>
            <a:rPr lang="zh-CN"/>
            <a:t>部</a:t>
          </a:r>
          <a:endParaRPr lang="zh-CN" altLang="en-US"/>
        </a:p>
      </dgm:t>
    </dgm:pt>
    <dgm:pt modelId="{614F3407-EB91-4F2A-B73E-0E5EB212D136}" cxnId="{BEB062E3-18BD-437F-AD58-16DCC72E8171}" type="parTrans">
      <dgm:prSet/>
      <dgm:spPr/>
      <dgm:t>
        <a:bodyPr/>
        <a:p>
          <a:endParaRPr lang="zh-CN" altLang="en-US"/>
        </a:p>
      </dgm:t>
    </dgm:pt>
    <dgm:pt modelId="{B00283A9-5EB1-4558-B05A-DDCF2C6725D2}" cxnId="{BEB062E3-18BD-437F-AD58-16DCC72E8171}" type="sibTrans">
      <dgm:prSet/>
      <dgm:spPr/>
      <dgm:t>
        <a:bodyPr/>
        <a:p>
          <a:endParaRPr lang="zh-CN" altLang="en-US"/>
        </a:p>
      </dgm:t>
    </dgm:pt>
    <dgm:pt modelId="{4DBAFF91-F332-4E77-AB93-EB76D6CB03D8}">
      <dgm:prSet phldrT="[文本]" phldr="0" custT="0"/>
      <dgm:spPr/>
      <dgm:t>
        <a:bodyPr vert="horz" wrap="square"/>
        <a:p>
          <a:pPr>
            <a:lnSpc>
              <a:spcPct val="100000"/>
            </a:lnSpc>
            <a:spcBef>
              <a:spcPct val="0"/>
            </a:spcBef>
            <a:spcAft>
              <a:spcPct val="35000"/>
            </a:spcAft>
          </a:pPr>
          <a:r>
            <a:rPr lang="zh-CN" altLang="en-US"/>
            <a:t>市场部</a:t>
          </a:r>
          <a:r>
            <a:rPr/>
            <a:t/>
          </a:r>
          <a:endParaRPr/>
        </a:p>
      </dgm:t>
    </dgm:pt>
    <dgm:pt modelId="{0D697E7E-473C-44CA-BAD5-575BD3FEFF05}" cxnId="{F223E858-0142-4344-9C68-96506AD0DAF6}" type="parTrans">
      <dgm:prSet/>
      <dgm:spPr/>
      <dgm:t>
        <a:bodyPr/>
        <a:p>
          <a:endParaRPr lang="zh-CN" altLang="en-US"/>
        </a:p>
      </dgm:t>
    </dgm:pt>
    <dgm:pt modelId="{25446E05-5139-4C81-A809-DF92BA21C8B8}" cxnId="{F223E858-0142-4344-9C68-96506AD0DAF6}" type="sibTrans">
      <dgm:prSet/>
      <dgm:spPr/>
      <dgm:t>
        <a:bodyPr/>
        <a:p>
          <a:endParaRPr lang="zh-CN" altLang="en-US"/>
        </a:p>
      </dgm:t>
    </dgm:pt>
    <dgm:pt modelId="{97AB67E1-120D-4E11-83C4-4D1A6BD50969}">
      <dgm:prSet phldr="0" custT="0"/>
      <dgm:spPr/>
      <dgm:t>
        <a:bodyPr vert="horz" wrap="square"/>
        <a:p>
          <a:pPr>
            <a:lnSpc>
              <a:spcPct val="100000"/>
            </a:lnSpc>
            <a:spcBef>
              <a:spcPct val="0"/>
            </a:spcBef>
            <a:spcAft>
              <a:spcPct val="35000"/>
            </a:spcAft>
          </a:pPr>
          <a:r>
            <a:rPr lang="zh-CN"/>
            <a:t>技术部</a:t>
          </a:r>
          <a:r>
            <a:rPr lang="zh-CN" altLang="en-US"/>
            <a:t/>
          </a:r>
          <a:endParaRPr lang="zh-CN" altLang="en-US"/>
        </a:p>
      </dgm:t>
    </dgm:pt>
    <dgm:pt modelId="{9803B863-B2D4-4E0B-8B6D-153616AA18AF}" cxnId="{778C6813-E9DD-432E-9F52-E2C14195290A}" type="parTrans">
      <dgm:prSet/>
      <dgm:spPr/>
      <dgm:t>
        <a:bodyPr/>
        <a:p>
          <a:endParaRPr lang="zh-CN" altLang="en-US"/>
        </a:p>
      </dgm:t>
    </dgm:pt>
    <dgm:pt modelId="{A1B7FCF9-333E-47E0-82FB-BF2764A77830}" cxnId="{778C6813-E9DD-432E-9F52-E2C14195290A}" type="sibTrans">
      <dgm:prSet/>
      <dgm:spPr/>
      <dgm:t>
        <a:bodyPr/>
        <a:p>
          <a:endParaRPr lang="zh-CN" altLang="en-US"/>
        </a:p>
      </dgm:t>
    </dgm:pt>
    <dgm:pt modelId="{3B7F570D-3AA5-48D1-9FC5-BA891BC46E6D}" type="asst">
      <dgm:prSet phldr="0" custT="0"/>
      <dgm:spPr/>
      <dgm:t>
        <a:bodyPr vert="horz" wrap="square"/>
        <a:p>
          <a:pPr>
            <a:lnSpc>
              <a:spcPct val="100000"/>
            </a:lnSpc>
            <a:spcBef>
              <a:spcPct val="0"/>
            </a:spcBef>
            <a:spcAft>
              <a:spcPct val="35000"/>
            </a:spcAft>
          </a:pPr>
          <a:r>
            <a:rPr lang="zh-CN"/>
            <a:t>员工代表</a:t>
          </a:r>
          <a:r>
            <a:rPr lang="zh-CN"/>
            <a:t/>
          </a:r>
          <a:endParaRPr lang="zh-CN"/>
        </a:p>
      </dgm:t>
    </dgm:pt>
    <dgm:pt modelId="{58ADE605-5DC1-4FF2-A619-2D106AA0DC07}" cxnId="{6D0EBF91-B55E-4A39-A331-057F5FD2C671}" type="parTrans">
      <dgm:prSet/>
      <dgm:spPr/>
      <dgm:t>
        <a:bodyPr/>
        <a:p>
          <a:endParaRPr lang="zh-CN" altLang="en-US"/>
        </a:p>
      </dgm:t>
    </dgm:pt>
    <dgm:pt modelId="{65F89904-C494-45AB-B94B-DDB49CF72F32}" cxnId="{6D0EBF91-B55E-4A39-A331-057F5FD2C671}" type="sibTrans">
      <dgm:prSet/>
      <dgm:spPr/>
      <dgm:t>
        <a:bodyPr/>
        <a:p>
          <a:endParaRPr lang="zh-CN" altLang="en-US"/>
        </a:p>
      </dgm:t>
    </dgm:pt>
    <dgm:pt modelId="{36884D8A-A78E-4D35-BBA7-28A80B915BE8}" type="pres">
      <dgm:prSet presAssocID="{9AF40B69-2F3C-4A9A-9FD8-4A8D5884F5B6}" presName="hierChild1" presStyleCnt="0">
        <dgm:presLayoutVars>
          <dgm:orgChart val="1"/>
          <dgm:chPref val="1"/>
          <dgm:dir/>
          <dgm:animOne val="branch"/>
          <dgm:animLvl val="lvl"/>
          <dgm:resizeHandles/>
        </dgm:presLayoutVars>
      </dgm:prSet>
      <dgm:spPr/>
      <dgm:t>
        <a:bodyPr/>
        <a:p>
          <a:endParaRPr lang="zh-CN" altLang="en-US"/>
        </a:p>
      </dgm:t>
    </dgm:pt>
    <dgm:pt modelId="{DAB705CF-7F55-4D1C-A339-3ABBDA16CA39}" type="pres">
      <dgm:prSet presAssocID="{B1ECC6AD-E5F9-4CE5-8838-807BBA4B198C}" presName="hierRoot1" presStyleCnt="0">
        <dgm:presLayoutVars>
          <dgm:hierBranch val="init"/>
        </dgm:presLayoutVars>
      </dgm:prSet>
      <dgm:spPr/>
    </dgm:pt>
    <dgm:pt modelId="{A8186A9B-7B2D-4719-8383-95C6D1898770}" type="pres">
      <dgm:prSet presAssocID="{B1ECC6AD-E5F9-4CE5-8838-807BBA4B198C}" presName="rootComposite1" presStyleCnt="0"/>
      <dgm:spPr/>
    </dgm:pt>
    <dgm:pt modelId="{B703BEFE-595C-4D1F-A3AE-6B9D9C7E18F2}" type="pres">
      <dgm:prSet presAssocID="{B1ECC6AD-E5F9-4CE5-8838-807BBA4B198C}" presName="rootText1" presStyleLbl="node0" presStyleIdx="0" presStyleCnt="1">
        <dgm:presLayoutVars>
          <dgm:chPref val="3"/>
        </dgm:presLayoutVars>
      </dgm:prSet>
      <dgm:spPr/>
      <dgm:t>
        <a:bodyPr/>
        <a:p>
          <a:endParaRPr lang="zh-CN" altLang="en-US"/>
        </a:p>
      </dgm:t>
    </dgm:pt>
    <dgm:pt modelId="{098AC73B-69F8-4116-8A49-920871796AE9}" type="pres">
      <dgm:prSet presAssocID="{B1ECC6AD-E5F9-4CE5-8838-807BBA4B198C}" presName="rootConnector1" presStyleCnt="0"/>
      <dgm:spPr/>
      <dgm:t>
        <a:bodyPr/>
        <a:p>
          <a:endParaRPr lang="zh-CN" altLang="en-US"/>
        </a:p>
      </dgm:t>
    </dgm:pt>
    <dgm:pt modelId="{4C8A6324-4237-48D1-9C8F-44847CE01AC1}" type="pres">
      <dgm:prSet presAssocID="{B1ECC6AD-E5F9-4CE5-8838-807BBA4B198C}" presName="hierChild2" presStyleCnt="0"/>
      <dgm:spPr/>
    </dgm:pt>
    <dgm:pt modelId="{85B56362-2EDF-4048-B162-C7D66083F40E}" type="pres">
      <dgm:prSet presAssocID="{90CDB2BD-E761-4894-9DE3-E13D4A51EDF8}" presName="Name37" presStyleLbl="parChTrans1D2" presStyleIdx="0" presStyleCnt="6"/>
      <dgm:spPr/>
      <dgm:t>
        <a:bodyPr/>
        <a:p>
          <a:endParaRPr lang="zh-CN" altLang="en-US"/>
        </a:p>
      </dgm:t>
    </dgm:pt>
    <dgm:pt modelId="{7E9F221D-B90D-42E2-AD53-5F331B76773C}" type="pres">
      <dgm:prSet presAssocID="{55DEBB8F-BD54-441F-97DC-DC5C43E6C0A7}" presName="hierRoot2" presStyleCnt="0">
        <dgm:presLayoutVars>
          <dgm:hierBranch val="init"/>
        </dgm:presLayoutVars>
      </dgm:prSet>
      <dgm:spPr/>
    </dgm:pt>
    <dgm:pt modelId="{DFC4AC48-D758-46F1-9522-193C1C6C7017}" type="pres">
      <dgm:prSet presAssocID="{55DEBB8F-BD54-441F-97DC-DC5C43E6C0A7}" presName="rootComposite" presStyleCnt="0"/>
      <dgm:spPr/>
    </dgm:pt>
    <dgm:pt modelId="{C27A570F-6D8E-43CD-93C0-5F3DBDA67462}" type="pres">
      <dgm:prSet presAssocID="{55DEBB8F-BD54-441F-97DC-DC5C43E6C0A7}" presName="rootText" presStyleLbl="node2" presStyleIdx="0" presStyleCnt="4">
        <dgm:presLayoutVars>
          <dgm:chPref val="3"/>
        </dgm:presLayoutVars>
      </dgm:prSet>
      <dgm:spPr/>
      <dgm:t>
        <a:bodyPr/>
        <a:p>
          <a:endParaRPr lang="zh-CN" altLang="en-US"/>
        </a:p>
      </dgm:t>
    </dgm:pt>
    <dgm:pt modelId="{FD6B0BC8-8828-4CBD-9275-5A15D8803B97}" type="pres">
      <dgm:prSet presAssocID="{55DEBB8F-BD54-441F-97DC-DC5C43E6C0A7}" presName="rootConnector" presStyleCnt="0"/>
      <dgm:spPr/>
      <dgm:t>
        <a:bodyPr/>
        <a:p>
          <a:endParaRPr lang="zh-CN" altLang="en-US"/>
        </a:p>
      </dgm:t>
    </dgm:pt>
    <dgm:pt modelId="{00578C2E-DA58-4F66-9598-C8ECCFEF2678}" type="pres">
      <dgm:prSet presAssocID="{55DEBB8F-BD54-441F-97DC-DC5C43E6C0A7}" presName="hierChild4" presStyleCnt="0"/>
      <dgm:spPr/>
    </dgm:pt>
    <dgm:pt modelId="{6B26E7A9-D06C-4799-86F1-077F7510B8B3}" type="pres">
      <dgm:prSet presAssocID="{55DEBB8F-BD54-441F-97DC-DC5C43E6C0A7}" presName="hierChild5" presStyleCnt="0"/>
      <dgm:spPr/>
    </dgm:pt>
    <dgm:pt modelId="{AE586AE3-E2FB-456A-969E-F9F1ABF27129}" type="pres">
      <dgm:prSet presAssocID="{614F3407-EB91-4F2A-B73E-0E5EB212D136}" presName="Name37" presStyleLbl="parChTrans1D2" presStyleIdx="1" presStyleCnt="6"/>
      <dgm:spPr/>
      <dgm:t>
        <a:bodyPr/>
        <a:p>
          <a:endParaRPr lang="zh-CN" altLang="en-US"/>
        </a:p>
      </dgm:t>
    </dgm:pt>
    <dgm:pt modelId="{866FF2A6-8979-41CC-9C7F-16B548AD0C38}" type="pres">
      <dgm:prSet presAssocID="{83030DBE-0D50-495E-9A5E-CA2A01762BE5}" presName="hierRoot2" presStyleCnt="0">
        <dgm:presLayoutVars>
          <dgm:hierBranch val="init"/>
        </dgm:presLayoutVars>
      </dgm:prSet>
      <dgm:spPr/>
    </dgm:pt>
    <dgm:pt modelId="{0952716F-B549-4F6B-978D-66CE1AE9940B}" type="pres">
      <dgm:prSet presAssocID="{83030DBE-0D50-495E-9A5E-CA2A01762BE5}" presName="rootComposite" presStyleCnt="0"/>
      <dgm:spPr/>
    </dgm:pt>
    <dgm:pt modelId="{C3B311C4-2393-49E2-B573-30BC9688FB6F}" type="pres">
      <dgm:prSet presAssocID="{83030DBE-0D50-495E-9A5E-CA2A01762BE5}" presName="rootText" presStyleLbl="node2" presStyleIdx="1" presStyleCnt="4">
        <dgm:presLayoutVars>
          <dgm:chPref val="3"/>
        </dgm:presLayoutVars>
      </dgm:prSet>
      <dgm:spPr/>
      <dgm:t>
        <a:bodyPr/>
        <a:p>
          <a:endParaRPr lang="zh-CN" altLang="en-US"/>
        </a:p>
      </dgm:t>
    </dgm:pt>
    <dgm:pt modelId="{60436285-C70B-473A-BBEA-E955EF3AEA5C}" type="pres">
      <dgm:prSet presAssocID="{83030DBE-0D50-495E-9A5E-CA2A01762BE5}" presName="rootConnector" presStyleCnt="0"/>
      <dgm:spPr/>
      <dgm:t>
        <a:bodyPr/>
        <a:p>
          <a:endParaRPr lang="zh-CN" altLang="en-US"/>
        </a:p>
      </dgm:t>
    </dgm:pt>
    <dgm:pt modelId="{9FA79B49-DAFC-49AD-9B5F-1FB87FCAAC72}" type="pres">
      <dgm:prSet presAssocID="{83030DBE-0D50-495E-9A5E-CA2A01762BE5}" presName="hierChild4" presStyleCnt="0"/>
      <dgm:spPr/>
    </dgm:pt>
    <dgm:pt modelId="{5B8E6679-2335-4EBD-9E64-FC77A231B6B9}" type="pres">
      <dgm:prSet presAssocID="{83030DBE-0D50-495E-9A5E-CA2A01762BE5}" presName="hierChild5" presStyleCnt="0"/>
      <dgm:spPr/>
    </dgm:pt>
    <dgm:pt modelId="{55DC8E4D-20C9-42EF-8384-93471ED91831}" type="pres">
      <dgm:prSet presAssocID="{0D697E7E-473C-44CA-BAD5-575BD3FEFF05}" presName="Name37" presStyleLbl="parChTrans1D2" presStyleIdx="2" presStyleCnt="6"/>
      <dgm:spPr/>
      <dgm:t>
        <a:bodyPr/>
        <a:p>
          <a:endParaRPr lang="zh-CN" altLang="en-US"/>
        </a:p>
      </dgm:t>
    </dgm:pt>
    <dgm:pt modelId="{4751AB86-84FF-4482-8DA8-8CDDF0543705}" type="pres">
      <dgm:prSet presAssocID="{4DBAFF91-F332-4E77-AB93-EB76D6CB03D8}" presName="hierRoot2" presStyleCnt="0">
        <dgm:presLayoutVars>
          <dgm:hierBranch val="init"/>
        </dgm:presLayoutVars>
      </dgm:prSet>
      <dgm:spPr/>
    </dgm:pt>
    <dgm:pt modelId="{493E7027-50D1-4036-9615-F32A0E878841}" type="pres">
      <dgm:prSet presAssocID="{4DBAFF91-F332-4E77-AB93-EB76D6CB03D8}" presName="rootComposite" presStyleCnt="0"/>
      <dgm:spPr/>
    </dgm:pt>
    <dgm:pt modelId="{A800DA4C-249F-439B-825A-E917AC1FA5CA}" type="pres">
      <dgm:prSet presAssocID="{4DBAFF91-F332-4E77-AB93-EB76D6CB03D8}" presName="rootText" presStyleLbl="node2" presStyleIdx="2" presStyleCnt="4">
        <dgm:presLayoutVars>
          <dgm:chPref val="3"/>
        </dgm:presLayoutVars>
      </dgm:prSet>
      <dgm:spPr/>
      <dgm:t>
        <a:bodyPr/>
        <a:p>
          <a:endParaRPr lang="zh-CN" altLang="en-US"/>
        </a:p>
      </dgm:t>
    </dgm:pt>
    <dgm:pt modelId="{E1D2048E-4E2A-4130-8A37-AD7D6B65F0FA}" type="pres">
      <dgm:prSet presAssocID="{4DBAFF91-F332-4E77-AB93-EB76D6CB03D8}" presName="rootConnector" presStyleCnt="0"/>
      <dgm:spPr/>
      <dgm:t>
        <a:bodyPr/>
        <a:p>
          <a:endParaRPr lang="zh-CN" altLang="en-US"/>
        </a:p>
      </dgm:t>
    </dgm:pt>
    <dgm:pt modelId="{ABAECB24-887F-483E-A024-4D2591E6BFC9}" type="pres">
      <dgm:prSet presAssocID="{4DBAFF91-F332-4E77-AB93-EB76D6CB03D8}" presName="hierChild4" presStyleCnt="0"/>
      <dgm:spPr/>
    </dgm:pt>
    <dgm:pt modelId="{C21BB17B-EC18-4B3A-ABA7-BFAB3A314E84}" type="pres">
      <dgm:prSet presAssocID="{4DBAFF91-F332-4E77-AB93-EB76D6CB03D8}" presName="hierChild5" presStyleCnt="0"/>
      <dgm:spPr/>
    </dgm:pt>
    <dgm:pt modelId="{898F5CAF-07E1-45F4-B56E-E04159AB0977}" type="pres">
      <dgm:prSet presAssocID="{9803B863-B2D4-4E0B-8B6D-153616AA18AF}" presName="Name37" presStyleLbl="parChTrans1D2" presStyleIdx="3" presStyleCnt="6"/>
      <dgm:spPr/>
      <dgm:t>
        <a:bodyPr/>
        <a:p>
          <a:endParaRPr lang="zh-CN" altLang="en-US"/>
        </a:p>
      </dgm:t>
    </dgm:pt>
    <dgm:pt modelId="{3696886D-703C-4602-9F59-D0A4224EE58F}" type="pres">
      <dgm:prSet presAssocID="{97AB67E1-120D-4E11-83C4-4D1A6BD50969}" presName="hierRoot2" presStyleCnt="0">
        <dgm:presLayoutVars>
          <dgm:hierBranch val="init"/>
        </dgm:presLayoutVars>
      </dgm:prSet>
      <dgm:spPr/>
    </dgm:pt>
    <dgm:pt modelId="{6FA2F4A9-C762-42A5-9F34-A54A10A7345A}" type="pres">
      <dgm:prSet presAssocID="{97AB67E1-120D-4E11-83C4-4D1A6BD50969}" presName="rootComposite" presStyleCnt="0"/>
      <dgm:spPr/>
    </dgm:pt>
    <dgm:pt modelId="{68E60F7A-2500-440D-AECC-30C91689F43D}" type="pres">
      <dgm:prSet presAssocID="{97AB67E1-120D-4E11-83C4-4D1A6BD50969}" presName="rootText" presStyleLbl="node2" presStyleIdx="3" presStyleCnt="4">
        <dgm:presLayoutVars>
          <dgm:chPref val="3"/>
        </dgm:presLayoutVars>
      </dgm:prSet>
      <dgm:spPr/>
      <dgm:t>
        <a:bodyPr/>
        <a:p>
          <a:endParaRPr lang="zh-CN" altLang="en-US"/>
        </a:p>
      </dgm:t>
    </dgm:pt>
    <dgm:pt modelId="{DD635A7A-6CEE-4563-8454-E3F996321DC5}" type="pres">
      <dgm:prSet presAssocID="{97AB67E1-120D-4E11-83C4-4D1A6BD50969}" presName="rootConnector" presStyleCnt="0"/>
      <dgm:spPr/>
      <dgm:t>
        <a:bodyPr/>
        <a:p>
          <a:endParaRPr lang="zh-CN" altLang="en-US"/>
        </a:p>
      </dgm:t>
    </dgm:pt>
    <dgm:pt modelId="{A43D21CB-E9B7-4D14-8CBD-A86428E7638B}" type="pres">
      <dgm:prSet presAssocID="{97AB67E1-120D-4E11-83C4-4D1A6BD50969}" presName="hierChild4" presStyleCnt="0"/>
      <dgm:spPr/>
    </dgm:pt>
    <dgm:pt modelId="{E29324D9-CC68-4F09-8B3C-3CA09D5104BA}" type="pres">
      <dgm:prSet presAssocID="{97AB67E1-120D-4E11-83C4-4D1A6BD50969}" presName="hierChild5" presStyleCnt="0"/>
      <dgm:spPr/>
    </dgm:pt>
    <dgm:pt modelId="{0C385248-BC7B-42D0-9D8C-FFB9E40CA15D}" type="pres">
      <dgm:prSet presAssocID="{B1ECC6AD-E5F9-4CE5-8838-807BBA4B198C}" presName="hierChild3" presStyleCnt="0"/>
      <dgm:spPr/>
    </dgm:pt>
    <dgm:pt modelId="{72BF2EFC-A001-44C0-9051-9E31A5BAA739}" type="pres">
      <dgm:prSet presAssocID="{C9DF2DD3-83D5-4FA9-B362-8FE074992DD8}" presName="Name111" presStyleLbl="parChTrans1D2" presStyleIdx="4" presStyleCnt="6"/>
      <dgm:spPr/>
      <dgm:t>
        <a:bodyPr/>
        <a:p>
          <a:endParaRPr lang="zh-CN" altLang="en-US"/>
        </a:p>
      </dgm:t>
    </dgm:pt>
    <dgm:pt modelId="{E38DADA3-2280-4830-A6FD-33A16CF59621}" type="pres">
      <dgm:prSet presAssocID="{B4617C1E-C706-42DA-B787-616AB04F4416}" presName="hierRoot3" presStyleCnt="0">
        <dgm:presLayoutVars>
          <dgm:hierBranch val="init"/>
        </dgm:presLayoutVars>
      </dgm:prSet>
      <dgm:spPr/>
    </dgm:pt>
    <dgm:pt modelId="{D97E023E-8226-41D9-916C-344B9ADA34ED}" type="pres">
      <dgm:prSet presAssocID="{B4617C1E-C706-42DA-B787-616AB04F4416}" presName="rootComposite3" presStyleCnt="0"/>
      <dgm:spPr/>
    </dgm:pt>
    <dgm:pt modelId="{C917DA84-CC21-4223-88C7-C3414C31D8C7}" type="pres">
      <dgm:prSet presAssocID="{B4617C1E-C706-42DA-B787-616AB04F4416}" presName="rootText3" presStyleLbl="asst1" presStyleIdx="0" presStyleCnt="2">
        <dgm:presLayoutVars>
          <dgm:chPref val="3"/>
        </dgm:presLayoutVars>
      </dgm:prSet>
      <dgm:spPr/>
      <dgm:t>
        <a:bodyPr/>
        <a:p>
          <a:endParaRPr lang="zh-CN" altLang="en-US"/>
        </a:p>
      </dgm:t>
    </dgm:pt>
    <dgm:pt modelId="{78742086-20B6-40D1-AF72-A90EAF63F099}" type="pres">
      <dgm:prSet presAssocID="{B4617C1E-C706-42DA-B787-616AB04F4416}" presName="rootConnector3" presStyleCnt="0"/>
      <dgm:spPr/>
      <dgm:t>
        <a:bodyPr/>
        <a:p>
          <a:endParaRPr lang="zh-CN" altLang="en-US"/>
        </a:p>
      </dgm:t>
    </dgm:pt>
    <dgm:pt modelId="{9C308E23-36BD-42D0-9B39-DE25405DC533}" type="pres">
      <dgm:prSet presAssocID="{B4617C1E-C706-42DA-B787-616AB04F4416}" presName="hierChild6" presStyleCnt="0"/>
      <dgm:spPr/>
    </dgm:pt>
    <dgm:pt modelId="{B2D4D5F8-8FF4-4EF6-B9FA-9A5B1212FECA}" type="pres">
      <dgm:prSet presAssocID="{B4617C1E-C706-42DA-B787-616AB04F4416}" presName="hierChild7" presStyleCnt="0"/>
      <dgm:spPr/>
    </dgm:pt>
    <dgm:pt modelId="{0F85A629-9FD5-48C1-A451-59B14BD664B6}" type="pres">
      <dgm:prSet presAssocID="{58ADE605-5DC1-4FF2-A619-2D106AA0DC07}" presName="Name111" presStyleLbl="parChTrans1D2" presStyleIdx="5" presStyleCnt="6"/>
      <dgm:spPr/>
      <dgm:t>
        <a:bodyPr/>
        <a:p>
          <a:endParaRPr lang="zh-CN" altLang="en-US"/>
        </a:p>
      </dgm:t>
    </dgm:pt>
    <dgm:pt modelId="{E1373DC9-4D55-4F93-95B4-4BD8FD6FCDE1}" type="pres">
      <dgm:prSet presAssocID="{3B7F570D-3AA5-48D1-9FC5-BA891BC46E6D}" presName="hierRoot3" presStyleCnt="0">
        <dgm:presLayoutVars>
          <dgm:hierBranch val="init"/>
        </dgm:presLayoutVars>
      </dgm:prSet>
      <dgm:spPr/>
    </dgm:pt>
    <dgm:pt modelId="{EF747C90-C66D-4213-88C7-1BC2C2754D33}" type="pres">
      <dgm:prSet presAssocID="{3B7F570D-3AA5-48D1-9FC5-BA891BC46E6D}" presName="rootComposite3" presStyleCnt="0"/>
      <dgm:spPr/>
    </dgm:pt>
    <dgm:pt modelId="{A3F0D15A-F26B-4ED9-AA8C-6C66F2DABB29}" type="pres">
      <dgm:prSet presAssocID="{3B7F570D-3AA5-48D1-9FC5-BA891BC46E6D}" presName="rootText3" presStyleLbl="asst1" presStyleIdx="1" presStyleCnt="2">
        <dgm:presLayoutVars>
          <dgm:chPref val="3"/>
        </dgm:presLayoutVars>
      </dgm:prSet>
      <dgm:spPr/>
      <dgm:t>
        <a:bodyPr/>
        <a:p>
          <a:endParaRPr lang="zh-CN" altLang="en-US"/>
        </a:p>
      </dgm:t>
    </dgm:pt>
    <dgm:pt modelId="{CED74FB4-502C-4A57-A7EF-483FCB3D515C}" type="pres">
      <dgm:prSet presAssocID="{3B7F570D-3AA5-48D1-9FC5-BA891BC46E6D}" presName="rootConnector3" presStyleCnt="0"/>
      <dgm:spPr/>
      <dgm:t>
        <a:bodyPr/>
        <a:p>
          <a:endParaRPr lang="zh-CN" altLang="en-US"/>
        </a:p>
      </dgm:t>
    </dgm:pt>
    <dgm:pt modelId="{01059E6B-3FED-4A72-BDFD-34D2F44AF464}" type="pres">
      <dgm:prSet presAssocID="{3B7F570D-3AA5-48D1-9FC5-BA891BC46E6D}" presName="hierChild6" presStyleCnt="0"/>
      <dgm:spPr/>
    </dgm:pt>
    <dgm:pt modelId="{26F4BA7C-76EA-43C7-931B-1A49EAD68BE2}" type="pres">
      <dgm:prSet presAssocID="{3B7F570D-3AA5-48D1-9FC5-BA891BC46E6D}" presName="hierChild7" presStyleCnt="0"/>
      <dgm:spPr/>
    </dgm:pt>
  </dgm:ptLst>
  <dgm:cxnLst>
    <dgm:cxn modelId="{A24A97FD-77FB-409A-A451-D40D21B942A1}" srcId="{9AF40B69-2F3C-4A9A-9FD8-4A8D5884F5B6}" destId="{B1ECC6AD-E5F9-4CE5-8838-807BBA4B198C}" srcOrd="0" destOrd="0" parTransId="{2CD3C66D-4CA4-4AD4-AB08-1452C27241E0}" sibTransId="{0B9B290A-9304-44D7-9F43-7B7E01F46A09}"/>
    <dgm:cxn modelId="{DB8E9116-C39F-44EE-B8E1-5F5814CB648E}" srcId="{B1ECC6AD-E5F9-4CE5-8838-807BBA4B198C}" destId="{B4617C1E-C706-42DA-B787-616AB04F4416}" srcOrd="0" destOrd="0" parTransId="{C9DF2DD3-83D5-4FA9-B362-8FE074992DD8}" sibTransId="{46976012-34A0-46FE-9124-06AD86A1A7AE}"/>
    <dgm:cxn modelId="{B20BF861-9911-4F4D-A6FF-72AF7C57E1E1}" srcId="{B1ECC6AD-E5F9-4CE5-8838-807BBA4B198C}" destId="{55DEBB8F-BD54-441F-97DC-DC5C43E6C0A7}" srcOrd="1" destOrd="0" parTransId="{90CDB2BD-E761-4894-9DE3-E13D4A51EDF8}" sibTransId="{CA74B306-F65B-4316-A398-62B6E9AA25AF}"/>
    <dgm:cxn modelId="{BEB062E3-18BD-437F-AD58-16DCC72E8171}" srcId="{B1ECC6AD-E5F9-4CE5-8838-807BBA4B198C}" destId="{83030DBE-0D50-495E-9A5E-CA2A01762BE5}" srcOrd="2" destOrd="0" parTransId="{614F3407-EB91-4F2A-B73E-0E5EB212D136}" sibTransId="{B00283A9-5EB1-4558-B05A-DDCF2C6725D2}"/>
    <dgm:cxn modelId="{F223E858-0142-4344-9C68-96506AD0DAF6}" srcId="{B1ECC6AD-E5F9-4CE5-8838-807BBA4B198C}" destId="{4DBAFF91-F332-4E77-AB93-EB76D6CB03D8}" srcOrd="3" destOrd="0" parTransId="{0D697E7E-473C-44CA-BAD5-575BD3FEFF05}" sibTransId="{25446E05-5139-4C81-A809-DF92BA21C8B8}"/>
    <dgm:cxn modelId="{778C6813-E9DD-432E-9F52-E2C14195290A}" srcId="{B1ECC6AD-E5F9-4CE5-8838-807BBA4B198C}" destId="{97AB67E1-120D-4E11-83C4-4D1A6BD50969}" srcOrd="4" destOrd="0" parTransId="{9803B863-B2D4-4E0B-8B6D-153616AA18AF}" sibTransId="{A1B7FCF9-333E-47E0-82FB-BF2764A77830}"/>
    <dgm:cxn modelId="{6D0EBF91-B55E-4A39-A331-057F5FD2C671}" srcId="{B1ECC6AD-E5F9-4CE5-8838-807BBA4B198C}" destId="{3B7F570D-3AA5-48D1-9FC5-BA891BC46E6D}" srcOrd="5" destOrd="0" parTransId="{58ADE605-5DC1-4FF2-A619-2D106AA0DC07}" sibTransId="{65F89904-C494-45AB-B94B-DDB49CF72F32}"/>
    <dgm:cxn modelId="{D4C43146-7D94-4C0D-B746-653B539E32F1}" type="presOf" srcId="{9AF40B69-2F3C-4A9A-9FD8-4A8D5884F5B6}" destId="{36884D8A-A78E-4D35-BBA7-28A80B915BE8}" srcOrd="0" destOrd="0" presId="urn:microsoft.com/office/officeart/2005/8/layout/orgChart1"/>
    <dgm:cxn modelId="{347EC218-D92B-4E2B-8571-B2D720F1FB66}" type="presParOf" srcId="{36884D8A-A78E-4D35-BBA7-28A80B915BE8}" destId="{DAB705CF-7F55-4D1C-A339-3ABBDA16CA39}" srcOrd="0" destOrd="0" presId="urn:microsoft.com/office/officeart/2005/8/layout/orgChart1"/>
    <dgm:cxn modelId="{14E99B84-0408-44CE-A845-C08B3AD1583B}" type="presParOf" srcId="{DAB705CF-7F55-4D1C-A339-3ABBDA16CA39}" destId="{A8186A9B-7B2D-4719-8383-95C6D1898770}" srcOrd="0" destOrd="0" presId="urn:microsoft.com/office/officeart/2005/8/layout/orgChart1"/>
    <dgm:cxn modelId="{22E69360-3CAB-4622-826D-3F8C2DD37D57}" type="presOf" srcId="{B1ECC6AD-E5F9-4CE5-8838-807BBA4B198C}" destId="{A8186A9B-7B2D-4719-8383-95C6D1898770}" srcOrd="0" destOrd="0" presId="urn:microsoft.com/office/officeart/2005/8/layout/orgChart1"/>
    <dgm:cxn modelId="{6E31DC0A-EE9E-43B6-84A4-CC6FFADB63B9}" type="presParOf" srcId="{A8186A9B-7B2D-4719-8383-95C6D1898770}" destId="{B703BEFE-595C-4D1F-A3AE-6B9D9C7E18F2}" srcOrd="0" destOrd="0" presId="urn:microsoft.com/office/officeart/2005/8/layout/orgChart1"/>
    <dgm:cxn modelId="{0EB7A17A-C3E1-4B8B-A485-AD83AF40514D}" type="presOf" srcId="{B1ECC6AD-E5F9-4CE5-8838-807BBA4B198C}" destId="{B703BEFE-595C-4D1F-A3AE-6B9D9C7E18F2}" srcOrd="0" destOrd="0" presId="urn:microsoft.com/office/officeart/2005/8/layout/orgChart1"/>
    <dgm:cxn modelId="{966A4FCC-E8BA-4D14-91A4-C370F7AA1CAF}" type="presParOf" srcId="{A8186A9B-7B2D-4719-8383-95C6D1898770}" destId="{098AC73B-69F8-4116-8A49-920871796AE9}" srcOrd="1" destOrd="0" presId="urn:microsoft.com/office/officeart/2005/8/layout/orgChart1"/>
    <dgm:cxn modelId="{7DB6DC11-FA5E-4670-BFAC-CE9A39BCC1D5}" type="presOf" srcId="{B1ECC6AD-E5F9-4CE5-8838-807BBA4B198C}" destId="{098AC73B-69F8-4116-8A49-920871796AE9}" srcOrd="0" destOrd="0" presId="urn:microsoft.com/office/officeart/2005/8/layout/orgChart1"/>
    <dgm:cxn modelId="{1E04DE63-DC4C-492A-91BA-1D3D9D01B84C}" type="presParOf" srcId="{DAB705CF-7F55-4D1C-A339-3ABBDA16CA39}" destId="{4C8A6324-4237-48D1-9C8F-44847CE01AC1}" srcOrd="1" destOrd="0" presId="urn:microsoft.com/office/officeart/2005/8/layout/orgChart1"/>
    <dgm:cxn modelId="{E625D461-4B05-4A9D-B8AB-99D429CF1C3C}" type="presParOf" srcId="{4C8A6324-4237-48D1-9C8F-44847CE01AC1}" destId="{85B56362-2EDF-4048-B162-C7D66083F40E}" srcOrd="0" destOrd="1" presId="urn:microsoft.com/office/officeart/2005/8/layout/orgChart1"/>
    <dgm:cxn modelId="{0E3A304B-C6D4-43C6-98E8-BF773DA8DB2A}" type="presOf" srcId="{90CDB2BD-E761-4894-9DE3-E13D4A51EDF8}" destId="{85B56362-2EDF-4048-B162-C7D66083F40E}" srcOrd="0" destOrd="0" presId="urn:microsoft.com/office/officeart/2005/8/layout/orgChart1"/>
    <dgm:cxn modelId="{61A6DD22-2823-4C55-9770-DCEDDD723441}" type="presParOf" srcId="{4C8A6324-4237-48D1-9C8F-44847CE01AC1}" destId="{7E9F221D-B90D-42E2-AD53-5F331B76773C}" srcOrd="1" destOrd="1" presId="urn:microsoft.com/office/officeart/2005/8/layout/orgChart1"/>
    <dgm:cxn modelId="{067AD96A-4C11-42CB-B62B-0C9013A627D2}" type="presParOf" srcId="{7E9F221D-B90D-42E2-AD53-5F331B76773C}" destId="{DFC4AC48-D758-46F1-9522-193C1C6C7017}" srcOrd="0" destOrd="1" presId="urn:microsoft.com/office/officeart/2005/8/layout/orgChart1"/>
    <dgm:cxn modelId="{4101F937-D199-4B9E-A973-BA408958EEB0}" type="presOf" srcId="{55DEBB8F-BD54-441F-97DC-DC5C43E6C0A7}" destId="{DFC4AC48-D758-46F1-9522-193C1C6C7017}" srcOrd="0" destOrd="0" presId="urn:microsoft.com/office/officeart/2005/8/layout/orgChart1"/>
    <dgm:cxn modelId="{C63DC8D5-CD5B-42E8-9F4C-FAE1F9B9D61E}" type="presParOf" srcId="{DFC4AC48-D758-46F1-9522-193C1C6C7017}" destId="{C27A570F-6D8E-43CD-93C0-5F3DBDA67462}" srcOrd="0" destOrd="0" presId="urn:microsoft.com/office/officeart/2005/8/layout/orgChart1"/>
    <dgm:cxn modelId="{72649D1F-F20E-4560-AAD7-F1B5E5E7CAE9}" type="presOf" srcId="{55DEBB8F-BD54-441F-97DC-DC5C43E6C0A7}" destId="{C27A570F-6D8E-43CD-93C0-5F3DBDA67462}" srcOrd="0" destOrd="0" presId="urn:microsoft.com/office/officeart/2005/8/layout/orgChart1"/>
    <dgm:cxn modelId="{BA559C5E-9659-4FCB-83CD-445C90B1CA90}" type="presParOf" srcId="{DFC4AC48-D758-46F1-9522-193C1C6C7017}" destId="{FD6B0BC8-8828-4CBD-9275-5A15D8803B97}" srcOrd="1" destOrd="0" presId="urn:microsoft.com/office/officeart/2005/8/layout/orgChart1"/>
    <dgm:cxn modelId="{66736322-383B-4701-ABA5-534FC2DB4BAE}" type="presOf" srcId="{55DEBB8F-BD54-441F-97DC-DC5C43E6C0A7}" destId="{FD6B0BC8-8828-4CBD-9275-5A15D8803B97}" srcOrd="0" destOrd="0" presId="urn:microsoft.com/office/officeart/2005/8/layout/orgChart1"/>
    <dgm:cxn modelId="{D28A611E-8F6A-4335-9B46-6009E45B1F39}" type="presParOf" srcId="{7E9F221D-B90D-42E2-AD53-5F331B76773C}" destId="{00578C2E-DA58-4F66-9598-C8ECCFEF2678}" srcOrd="1" destOrd="1" presId="urn:microsoft.com/office/officeart/2005/8/layout/orgChart1"/>
    <dgm:cxn modelId="{BEC4DCB7-5042-4C28-AC67-D1B1204C07D2}" type="presParOf" srcId="{7E9F221D-B90D-42E2-AD53-5F331B76773C}" destId="{6B26E7A9-D06C-4799-86F1-077F7510B8B3}" srcOrd="2" destOrd="1" presId="urn:microsoft.com/office/officeart/2005/8/layout/orgChart1"/>
    <dgm:cxn modelId="{6FF9AAF2-17C8-420D-AC1B-818D67F5DF58}" type="presParOf" srcId="{4C8A6324-4237-48D1-9C8F-44847CE01AC1}" destId="{AE586AE3-E2FB-456A-969E-F9F1ABF27129}" srcOrd="2" destOrd="1" presId="urn:microsoft.com/office/officeart/2005/8/layout/orgChart1"/>
    <dgm:cxn modelId="{454492F1-EE78-40B8-A3E6-4A193998A8B0}" type="presOf" srcId="{614F3407-EB91-4F2A-B73E-0E5EB212D136}" destId="{AE586AE3-E2FB-456A-969E-F9F1ABF27129}" srcOrd="0" destOrd="0" presId="urn:microsoft.com/office/officeart/2005/8/layout/orgChart1"/>
    <dgm:cxn modelId="{36705954-C367-46B1-BF95-8462038587D2}" type="presParOf" srcId="{4C8A6324-4237-48D1-9C8F-44847CE01AC1}" destId="{866FF2A6-8979-41CC-9C7F-16B548AD0C38}" srcOrd="3" destOrd="1" presId="urn:microsoft.com/office/officeart/2005/8/layout/orgChart1"/>
    <dgm:cxn modelId="{2FF3A91D-8A4E-44DC-BC8C-719C06DE5DD5}" type="presParOf" srcId="{866FF2A6-8979-41CC-9C7F-16B548AD0C38}" destId="{0952716F-B549-4F6B-978D-66CE1AE9940B}" srcOrd="0" destOrd="3" presId="urn:microsoft.com/office/officeart/2005/8/layout/orgChart1"/>
    <dgm:cxn modelId="{E0F123CB-86F8-48A3-B707-1F972F78E6C0}" type="presOf" srcId="{83030DBE-0D50-495E-9A5E-CA2A01762BE5}" destId="{0952716F-B549-4F6B-978D-66CE1AE9940B}" srcOrd="0" destOrd="0" presId="urn:microsoft.com/office/officeart/2005/8/layout/orgChart1"/>
    <dgm:cxn modelId="{55640ED7-8003-4194-87A2-C4B5FB1B250D}" type="presParOf" srcId="{0952716F-B549-4F6B-978D-66CE1AE9940B}" destId="{C3B311C4-2393-49E2-B573-30BC9688FB6F}" srcOrd="0" destOrd="0" presId="urn:microsoft.com/office/officeart/2005/8/layout/orgChart1"/>
    <dgm:cxn modelId="{40215D74-4583-4D87-8FB9-49F580FF09E5}" type="presOf" srcId="{83030DBE-0D50-495E-9A5E-CA2A01762BE5}" destId="{C3B311C4-2393-49E2-B573-30BC9688FB6F}" srcOrd="0" destOrd="0" presId="urn:microsoft.com/office/officeart/2005/8/layout/orgChart1"/>
    <dgm:cxn modelId="{1750DD9F-11E5-47C3-A758-CFD097D65A8F}" type="presParOf" srcId="{0952716F-B549-4F6B-978D-66CE1AE9940B}" destId="{60436285-C70B-473A-BBEA-E955EF3AEA5C}" srcOrd="1" destOrd="0" presId="urn:microsoft.com/office/officeart/2005/8/layout/orgChart1"/>
    <dgm:cxn modelId="{737CD576-3514-4509-A561-C345C7BA523E}" type="presOf" srcId="{83030DBE-0D50-495E-9A5E-CA2A01762BE5}" destId="{60436285-C70B-473A-BBEA-E955EF3AEA5C}" srcOrd="0" destOrd="0" presId="urn:microsoft.com/office/officeart/2005/8/layout/orgChart1"/>
    <dgm:cxn modelId="{9BF4939F-ACD8-43CD-A0F9-9C176A7967C8}" type="presParOf" srcId="{866FF2A6-8979-41CC-9C7F-16B548AD0C38}" destId="{9FA79B49-DAFC-49AD-9B5F-1FB87FCAAC72}" srcOrd="1" destOrd="3" presId="urn:microsoft.com/office/officeart/2005/8/layout/orgChart1"/>
    <dgm:cxn modelId="{55D1DDD9-1C90-4392-BF05-9FA97CBFCF88}" type="presParOf" srcId="{866FF2A6-8979-41CC-9C7F-16B548AD0C38}" destId="{5B8E6679-2335-4EBD-9E64-FC77A231B6B9}" srcOrd="2" destOrd="3" presId="urn:microsoft.com/office/officeart/2005/8/layout/orgChart1"/>
    <dgm:cxn modelId="{EDC8DA3D-07F5-470C-B65F-833B277F2C9B}" type="presParOf" srcId="{4C8A6324-4237-48D1-9C8F-44847CE01AC1}" destId="{55DC8E4D-20C9-42EF-8384-93471ED91831}" srcOrd="4" destOrd="1" presId="urn:microsoft.com/office/officeart/2005/8/layout/orgChart1"/>
    <dgm:cxn modelId="{F1A2B96F-4DEF-4144-AE18-2937EC66B768}" type="presOf" srcId="{0D697E7E-473C-44CA-BAD5-575BD3FEFF05}" destId="{55DC8E4D-20C9-42EF-8384-93471ED91831}" srcOrd="0" destOrd="0" presId="urn:microsoft.com/office/officeart/2005/8/layout/orgChart1"/>
    <dgm:cxn modelId="{4278E68D-C0B3-4CFD-AF4D-BEC8DA481146}" type="presParOf" srcId="{4C8A6324-4237-48D1-9C8F-44847CE01AC1}" destId="{4751AB86-84FF-4482-8DA8-8CDDF0543705}" srcOrd="5" destOrd="1" presId="urn:microsoft.com/office/officeart/2005/8/layout/orgChart1"/>
    <dgm:cxn modelId="{1CF16CF0-E730-4F52-A01D-A60C99615D9E}" type="presParOf" srcId="{4751AB86-84FF-4482-8DA8-8CDDF0543705}" destId="{493E7027-50D1-4036-9615-F32A0E878841}" srcOrd="0" destOrd="5" presId="urn:microsoft.com/office/officeart/2005/8/layout/orgChart1"/>
    <dgm:cxn modelId="{DAA542BD-060C-46EC-BA60-303C232DF2E5}" type="presOf" srcId="{4DBAFF91-F332-4E77-AB93-EB76D6CB03D8}" destId="{493E7027-50D1-4036-9615-F32A0E878841}" srcOrd="0" destOrd="0" presId="urn:microsoft.com/office/officeart/2005/8/layout/orgChart1"/>
    <dgm:cxn modelId="{45B40593-F2DC-4EBB-BD14-F751EC321B4D}" type="presParOf" srcId="{493E7027-50D1-4036-9615-F32A0E878841}" destId="{A800DA4C-249F-439B-825A-E917AC1FA5CA}" srcOrd="0" destOrd="0" presId="urn:microsoft.com/office/officeart/2005/8/layout/orgChart1"/>
    <dgm:cxn modelId="{76D9D0A1-7EF4-4593-A617-F6E441C3A137}" type="presOf" srcId="{4DBAFF91-F332-4E77-AB93-EB76D6CB03D8}" destId="{A800DA4C-249F-439B-825A-E917AC1FA5CA}" srcOrd="0" destOrd="0" presId="urn:microsoft.com/office/officeart/2005/8/layout/orgChart1"/>
    <dgm:cxn modelId="{CE5C8453-7720-46E6-9DC3-4612861754A8}" type="presParOf" srcId="{493E7027-50D1-4036-9615-F32A0E878841}" destId="{E1D2048E-4E2A-4130-8A37-AD7D6B65F0FA}" srcOrd="1" destOrd="0" presId="urn:microsoft.com/office/officeart/2005/8/layout/orgChart1"/>
    <dgm:cxn modelId="{4219580A-6EC1-4122-BC2C-46213B754A03}" type="presOf" srcId="{4DBAFF91-F332-4E77-AB93-EB76D6CB03D8}" destId="{E1D2048E-4E2A-4130-8A37-AD7D6B65F0FA}" srcOrd="0" destOrd="0" presId="urn:microsoft.com/office/officeart/2005/8/layout/orgChart1"/>
    <dgm:cxn modelId="{A0ABD1E5-DE2B-4D64-952F-38DFC23613C5}" type="presParOf" srcId="{4751AB86-84FF-4482-8DA8-8CDDF0543705}" destId="{ABAECB24-887F-483E-A024-4D2591E6BFC9}" srcOrd="1" destOrd="5" presId="urn:microsoft.com/office/officeart/2005/8/layout/orgChart1"/>
    <dgm:cxn modelId="{4F6D087B-3028-416B-B638-575903F4F298}" type="presParOf" srcId="{4751AB86-84FF-4482-8DA8-8CDDF0543705}" destId="{C21BB17B-EC18-4B3A-ABA7-BFAB3A314E84}" srcOrd="2" destOrd="5" presId="urn:microsoft.com/office/officeart/2005/8/layout/orgChart1"/>
    <dgm:cxn modelId="{E9ACE187-9AC8-478A-AEB4-26E6AB13E99F}" type="presParOf" srcId="{4C8A6324-4237-48D1-9C8F-44847CE01AC1}" destId="{898F5CAF-07E1-45F4-B56E-E04159AB0977}" srcOrd="6" destOrd="1" presId="urn:microsoft.com/office/officeart/2005/8/layout/orgChart1"/>
    <dgm:cxn modelId="{D8EA71C7-4313-4CA6-9980-B8D01A6866E6}" type="presOf" srcId="{9803B863-B2D4-4E0B-8B6D-153616AA18AF}" destId="{898F5CAF-07E1-45F4-B56E-E04159AB0977}" srcOrd="0" destOrd="0" presId="urn:microsoft.com/office/officeart/2005/8/layout/orgChart1"/>
    <dgm:cxn modelId="{CF3D614D-3C10-4BEF-B4E5-7B143DF1D426}" type="presParOf" srcId="{4C8A6324-4237-48D1-9C8F-44847CE01AC1}" destId="{3696886D-703C-4602-9F59-D0A4224EE58F}" srcOrd="7" destOrd="1" presId="urn:microsoft.com/office/officeart/2005/8/layout/orgChart1"/>
    <dgm:cxn modelId="{8D4A0261-1283-43D2-9B60-C3659AF82C30}" type="presParOf" srcId="{3696886D-703C-4602-9F59-D0A4224EE58F}" destId="{6FA2F4A9-C762-42A5-9F34-A54A10A7345A}" srcOrd="0" destOrd="7" presId="urn:microsoft.com/office/officeart/2005/8/layout/orgChart1"/>
    <dgm:cxn modelId="{94B16589-F612-459B-8F7B-7C0D6D1BE379}" type="presOf" srcId="{97AB67E1-120D-4E11-83C4-4D1A6BD50969}" destId="{6FA2F4A9-C762-42A5-9F34-A54A10A7345A}" srcOrd="0" destOrd="0" presId="urn:microsoft.com/office/officeart/2005/8/layout/orgChart1"/>
    <dgm:cxn modelId="{B73218B8-1331-4554-9EB7-8BCD28AA281D}" type="presParOf" srcId="{6FA2F4A9-C762-42A5-9F34-A54A10A7345A}" destId="{68E60F7A-2500-440D-AECC-30C91689F43D}" srcOrd="0" destOrd="0" presId="urn:microsoft.com/office/officeart/2005/8/layout/orgChart1"/>
    <dgm:cxn modelId="{50D2724A-C433-4E55-9063-BA558A2ADC6E}" type="presOf" srcId="{97AB67E1-120D-4E11-83C4-4D1A6BD50969}" destId="{68E60F7A-2500-440D-AECC-30C91689F43D}" srcOrd="0" destOrd="0" presId="urn:microsoft.com/office/officeart/2005/8/layout/orgChart1"/>
    <dgm:cxn modelId="{EB2BDD4C-E928-41FC-AE7F-2E687AAF0B4C}" type="presParOf" srcId="{6FA2F4A9-C762-42A5-9F34-A54A10A7345A}" destId="{DD635A7A-6CEE-4563-8454-E3F996321DC5}" srcOrd="1" destOrd="0" presId="urn:microsoft.com/office/officeart/2005/8/layout/orgChart1"/>
    <dgm:cxn modelId="{60920645-48E9-4598-BAFE-A2C2F0670B93}" type="presOf" srcId="{97AB67E1-120D-4E11-83C4-4D1A6BD50969}" destId="{DD635A7A-6CEE-4563-8454-E3F996321DC5}" srcOrd="0" destOrd="0" presId="urn:microsoft.com/office/officeart/2005/8/layout/orgChart1"/>
    <dgm:cxn modelId="{747B8248-61C5-4DF6-8C9A-BAA8A9F267BB}" type="presParOf" srcId="{3696886D-703C-4602-9F59-D0A4224EE58F}" destId="{A43D21CB-E9B7-4D14-8CBD-A86428E7638B}" srcOrd="1" destOrd="7" presId="urn:microsoft.com/office/officeart/2005/8/layout/orgChart1"/>
    <dgm:cxn modelId="{93DF7334-0DE3-421D-9C49-25404E71365F}" type="presParOf" srcId="{3696886D-703C-4602-9F59-D0A4224EE58F}" destId="{E29324D9-CC68-4F09-8B3C-3CA09D5104BA}" srcOrd="2" destOrd="7" presId="urn:microsoft.com/office/officeart/2005/8/layout/orgChart1"/>
    <dgm:cxn modelId="{A9274F02-A373-4555-8EAB-44B7401C34DE}" type="presParOf" srcId="{DAB705CF-7F55-4D1C-A339-3ABBDA16CA39}" destId="{0C385248-BC7B-42D0-9D8C-FFB9E40CA15D}" srcOrd="2" destOrd="0" presId="urn:microsoft.com/office/officeart/2005/8/layout/orgChart1"/>
    <dgm:cxn modelId="{6EAAE175-58DD-4EBC-853A-BDA7C779E33C}" type="presParOf" srcId="{0C385248-BC7B-42D0-9D8C-FFB9E40CA15D}" destId="{72BF2EFC-A001-44C0-9051-9E31A5BAA739}" srcOrd="0" destOrd="2" presId="urn:microsoft.com/office/officeart/2005/8/layout/orgChart1"/>
    <dgm:cxn modelId="{8575F21E-1102-4088-A3CC-A25C24059FA5}" type="presOf" srcId="{C9DF2DD3-83D5-4FA9-B362-8FE074992DD8}" destId="{72BF2EFC-A001-44C0-9051-9E31A5BAA739}" srcOrd="0" destOrd="0" presId="urn:microsoft.com/office/officeart/2005/8/layout/orgChart1"/>
    <dgm:cxn modelId="{CFDEE1C3-D636-4BA9-93A6-AA8E420B3D75}" type="presParOf" srcId="{0C385248-BC7B-42D0-9D8C-FFB9E40CA15D}" destId="{E38DADA3-2280-4830-A6FD-33A16CF59621}" srcOrd="1" destOrd="2" presId="urn:microsoft.com/office/officeart/2005/8/layout/orgChart1"/>
    <dgm:cxn modelId="{479EEC20-2482-44A5-905E-BD09DAFD24E9}" type="presParOf" srcId="{E38DADA3-2280-4830-A6FD-33A16CF59621}" destId="{D97E023E-8226-41D9-916C-344B9ADA34ED}" srcOrd="0" destOrd="1" presId="urn:microsoft.com/office/officeart/2005/8/layout/orgChart1"/>
    <dgm:cxn modelId="{F7B56D64-8A34-491A-B30C-6A39F0855E75}" type="presOf" srcId="{B4617C1E-C706-42DA-B787-616AB04F4416}" destId="{D97E023E-8226-41D9-916C-344B9ADA34ED}" srcOrd="0" destOrd="0" presId="urn:microsoft.com/office/officeart/2005/8/layout/orgChart1"/>
    <dgm:cxn modelId="{7A29AD9D-6702-45E1-B6DE-BF7E5F83551B}" type="presParOf" srcId="{D97E023E-8226-41D9-916C-344B9ADA34ED}" destId="{C917DA84-CC21-4223-88C7-C3414C31D8C7}" srcOrd="0" destOrd="0" presId="urn:microsoft.com/office/officeart/2005/8/layout/orgChart1"/>
    <dgm:cxn modelId="{EF45E472-0AAB-41A3-BDF1-73D460601D28}" type="presOf" srcId="{B4617C1E-C706-42DA-B787-616AB04F4416}" destId="{C917DA84-CC21-4223-88C7-C3414C31D8C7}" srcOrd="0" destOrd="0" presId="urn:microsoft.com/office/officeart/2005/8/layout/orgChart1"/>
    <dgm:cxn modelId="{793B8958-A654-4BDF-A32F-9F28B33D75DE}" type="presParOf" srcId="{D97E023E-8226-41D9-916C-344B9ADA34ED}" destId="{78742086-20B6-40D1-AF72-A90EAF63F099}" srcOrd="1" destOrd="0" presId="urn:microsoft.com/office/officeart/2005/8/layout/orgChart1"/>
    <dgm:cxn modelId="{0527FC13-F8C9-4864-B27E-656032CDC91C}" type="presOf" srcId="{B4617C1E-C706-42DA-B787-616AB04F4416}" destId="{78742086-20B6-40D1-AF72-A90EAF63F099}" srcOrd="0" destOrd="0" presId="urn:microsoft.com/office/officeart/2005/8/layout/orgChart1"/>
    <dgm:cxn modelId="{940561F0-E253-4BC9-9579-320801EA4517}" type="presParOf" srcId="{E38DADA3-2280-4830-A6FD-33A16CF59621}" destId="{9C308E23-36BD-42D0-9B39-DE25405DC533}" srcOrd="1" destOrd="1" presId="urn:microsoft.com/office/officeart/2005/8/layout/orgChart1"/>
    <dgm:cxn modelId="{2E7B70EC-AF7F-4690-B64B-47D45FBFEE15}" type="presParOf" srcId="{E38DADA3-2280-4830-A6FD-33A16CF59621}" destId="{B2D4D5F8-8FF4-4EF6-B9FA-9A5B1212FECA}" srcOrd="2" destOrd="1" presId="urn:microsoft.com/office/officeart/2005/8/layout/orgChart1"/>
    <dgm:cxn modelId="{08BCB0A7-B42C-4160-884D-54A001B88CB2}" type="presParOf" srcId="{0C385248-BC7B-42D0-9D8C-FFB9E40CA15D}" destId="{0F85A629-9FD5-48C1-A451-59B14BD664B6}" srcOrd="2" destOrd="2" presId="urn:microsoft.com/office/officeart/2005/8/layout/orgChart1"/>
    <dgm:cxn modelId="{2E47C7F9-187A-4995-9B4E-29F97161DC82}" type="presOf" srcId="{58ADE605-5DC1-4FF2-A619-2D106AA0DC07}" destId="{0F85A629-9FD5-48C1-A451-59B14BD664B6}" srcOrd="0" destOrd="0" presId="urn:microsoft.com/office/officeart/2005/8/layout/orgChart1"/>
    <dgm:cxn modelId="{1A1AC9DF-C1C5-456D-B83E-4FF0456E8B1C}" type="presParOf" srcId="{0C385248-BC7B-42D0-9D8C-FFB9E40CA15D}" destId="{E1373DC9-4D55-4F93-95B4-4BD8FD6FCDE1}" srcOrd="3" destOrd="2" presId="urn:microsoft.com/office/officeart/2005/8/layout/orgChart1"/>
    <dgm:cxn modelId="{139A55B7-CF27-4F78-8D80-9673C93357E7}" type="presParOf" srcId="{E1373DC9-4D55-4F93-95B4-4BD8FD6FCDE1}" destId="{EF747C90-C66D-4213-88C7-1BC2C2754D33}" srcOrd="0" destOrd="3" presId="urn:microsoft.com/office/officeart/2005/8/layout/orgChart1"/>
    <dgm:cxn modelId="{927FD75D-CAC4-43B7-9EFB-CE92D0F2438B}" type="presOf" srcId="{3B7F570D-3AA5-48D1-9FC5-BA891BC46E6D}" destId="{EF747C90-C66D-4213-88C7-1BC2C2754D33}" srcOrd="0" destOrd="0" presId="urn:microsoft.com/office/officeart/2005/8/layout/orgChart1"/>
    <dgm:cxn modelId="{35CA0014-F578-4131-99EA-AC6FCA18FBFA}" type="presParOf" srcId="{EF747C90-C66D-4213-88C7-1BC2C2754D33}" destId="{A3F0D15A-F26B-4ED9-AA8C-6C66F2DABB29}" srcOrd="0" destOrd="0" presId="urn:microsoft.com/office/officeart/2005/8/layout/orgChart1"/>
    <dgm:cxn modelId="{DC7DA551-959A-4370-B82F-9AEA58B4A853}" type="presOf" srcId="{3B7F570D-3AA5-48D1-9FC5-BA891BC46E6D}" destId="{A3F0D15A-F26B-4ED9-AA8C-6C66F2DABB29}" srcOrd="0" destOrd="0" presId="urn:microsoft.com/office/officeart/2005/8/layout/orgChart1"/>
    <dgm:cxn modelId="{9395241F-AE91-4521-98F0-8E393A0F2273}" type="presParOf" srcId="{EF747C90-C66D-4213-88C7-1BC2C2754D33}" destId="{CED74FB4-502C-4A57-A7EF-483FCB3D515C}" srcOrd="1" destOrd="0" presId="urn:microsoft.com/office/officeart/2005/8/layout/orgChart1"/>
    <dgm:cxn modelId="{88C8FF53-49D2-4D2B-B560-E8317EC75C74}" type="presOf" srcId="{3B7F570D-3AA5-48D1-9FC5-BA891BC46E6D}" destId="{CED74FB4-502C-4A57-A7EF-483FCB3D515C}" srcOrd="0" destOrd="0" presId="urn:microsoft.com/office/officeart/2005/8/layout/orgChart1"/>
    <dgm:cxn modelId="{945A5087-9373-45F8-B88D-457D8C17B9BE}" type="presParOf" srcId="{E1373DC9-4D55-4F93-95B4-4BD8FD6FCDE1}" destId="{01059E6B-3FED-4A72-BDFD-34D2F44AF464}" srcOrd="1" destOrd="3" presId="urn:microsoft.com/office/officeart/2005/8/layout/orgChart1"/>
    <dgm:cxn modelId="{83A6331A-9519-409C-9205-F6F875E1C7D9}" type="presParOf" srcId="{E1373DC9-4D55-4F93-95B4-4BD8FD6FCDE1}" destId="{26F4BA7C-76EA-43C7-931B-1A49EAD68BE2}" srcOrd="2" destOrd="3"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5A629-9FD5-48C1-A451-59B14BD664B6}">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F2EFC-A001-44C0-9051-9E31A5BAA739}">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F5CAF-07E1-45F4-B56E-E04159AB0977}">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C8E4D-20C9-42EF-8384-93471ED91831}">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86AE3-E2FB-456A-969E-F9F1ABF27129}">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56362-2EDF-4048-B162-C7D66083F40E}">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3BEFE-595C-4D1F-A3AE-6B9D9C7E18F2}">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总经理</a:t>
          </a:r>
        </a:p>
      </dsp:txBody>
      <dsp:txXfrm>
        <a:off x="2151329" y="463807"/>
        <a:ext cx="1183741" cy="591870"/>
      </dsp:txXfrm>
    </dsp:sp>
    <dsp:sp modelId="{C27A570F-6D8E-43CD-93C0-5F3DBDA67462}">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行政部</a:t>
          </a:r>
        </a:p>
      </dsp:txBody>
      <dsp:txXfrm>
        <a:off x="2837" y="2144721"/>
        <a:ext cx="1183741" cy="591870"/>
      </dsp:txXfrm>
    </dsp:sp>
    <dsp:sp modelId="{C3B311C4-2393-49E2-B573-30BC9688FB6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财务</a:t>
          </a:r>
          <a:r>
            <a:rPr lang="zh-CN" sz="1900" kern="1200"/>
            <a:t>部</a:t>
          </a:r>
          <a:endParaRPr lang="zh-CN" altLang="en-US" sz="1900" kern="1200"/>
        </a:p>
      </dsp:txBody>
      <dsp:txXfrm>
        <a:off x="1435165" y="2144721"/>
        <a:ext cx="1183741" cy="591870"/>
      </dsp:txXfrm>
    </dsp:sp>
    <dsp:sp modelId="{A800DA4C-249F-439B-825A-E917AC1FA5CA}">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销售部</a:t>
          </a:r>
        </a:p>
      </dsp:txBody>
      <dsp:txXfrm>
        <a:off x="2867492" y="2144721"/>
        <a:ext cx="1183741" cy="591870"/>
      </dsp:txXfrm>
    </dsp:sp>
    <dsp:sp modelId="{68E60F7A-2500-440D-AECC-30C91689F43D}">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sz="1900" kern="1200"/>
            <a:t>工程部</a:t>
          </a:r>
          <a:endParaRPr lang="zh-CN" altLang="en-US" sz="1900" kern="1200"/>
        </a:p>
      </dsp:txBody>
      <dsp:txXfrm>
        <a:off x="4299820" y="2144721"/>
        <a:ext cx="1183741" cy="591870"/>
      </dsp:txXfrm>
    </dsp:sp>
    <dsp:sp modelId="{C917DA84-CC21-4223-88C7-C3414C31D8C7}">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管代</a:t>
          </a:r>
        </a:p>
      </dsp:txBody>
      <dsp:txXfrm>
        <a:off x="1435165" y="1304264"/>
        <a:ext cx="1183741" cy="591870"/>
      </dsp:txXfrm>
    </dsp:sp>
    <dsp:sp modelId="{A3F0D15A-F26B-4ED9-AA8C-6C66F2DABB29}">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安全事务代表</a:t>
          </a:r>
        </a:p>
      </dsp:txBody>
      <dsp:txXfrm>
        <a:off x="2867492"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580EB-ECAC-40FC-81FF-487FC6973B68}">
  <ds:schemaRefs/>
</ds:datastoreItem>
</file>

<file path=docProps/app.xml><?xml version="1.0" encoding="utf-8"?>
<Properties xmlns="http://schemas.openxmlformats.org/officeDocument/2006/extended-properties" xmlns:vt="http://schemas.openxmlformats.org/officeDocument/2006/docPropsVTypes">
  <Template>Normal</Template>
  <Company>EACC FZ</Company>
  <Pages>27</Pages>
  <Words>3838</Words>
  <Characters>21878</Characters>
  <Lines>182</Lines>
  <Paragraphs>51</Paragraphs>
  <TotalTime>10</TotalTime>
  <ScaleCrop>false</ScaleCrop>
  <LinksUpToDate>false</LinksUpToDate>
  <CharactersWithSpaces>25665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2019-05-28T03:09:00Z</dcterms:created>
  <dc:creator>Sky123.Org</dc:creator>
  <cp:lastModifiedBy>way一直都在</cp:lastModifiedBy>
  <cp:lastPrinted>2016-11-02T08:33:00Z</cp:lastPrinted>
  <dcterms:modified xsi:type="dcterms:W3CDTF">2020-05-31T13:07:51Z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