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楷体_GB2312" w:hAnsi="楷体_GB2312" w:eastAsia="楷体_GB2312" w:cs="楷体_GB2312"/>
          <w:b/>
          <w:bCs/>
          <w:kern w:val="0"/>
          <w:sz w:val="84"/>
          <w:szCs w:val="84"/>
          <w:lang w:val="zh-CN" w:bidi="zh-CN"/>
        </w:rPr>
      </w:pPr>
    </w:p>
    <w:p>
      <w:pPr>
        <w:autoSpaceDE w:val="0"/>
        <w:autoSpaceDN w:val="0"/>
        <w:jc w:val="center"/>
        <w:rPr>
          <w:rFonts w:ascii="楷体_GB2312" w:hAnsi="楷体_GB2312" w:eastAsia="楷体_GB2312" w:cs="楷体_GB2312"/>
          <w:kern w:val="0"/>
          <w:sz w:val="90"/>
          <w:szCs w:val="90"/>
          <w:lang w:val="zh-CN" w:bidi="zh-CN"/>
        </w:rPr>
      </w:pPr>
      <w:r>
        <w:rPr>
          <w:rFonts w:hint="eastAsia" w:ascii="楷体_GB2312" w:hAnsi="楷体_GB2312" w:eastAsia="楷体_GB2312" w:cs="楷体_GB2312"/>
          <w:b/>
          <w:bCs/>
          <w:kern w:val="0"/>
          <w:sz w:val="84"/>
          <w:szCs w:val="84"/>
          <w:lang w:val="zh-CN" w:bidi="zh-CN"/>
        </w:rPr>
        <w:t>诚信管理手册</w:t>
      </w:r>
    </w:p>
    <w:p>
      <w:pPr>
        <w:autoSpaceDE w:val="0"/>
        <w:autoSpaceDN w:val="0"/>
        <w:jc w:val="center"/>
        <w:rPr>
          <w:rFonts w:ascii="楷体_GB2312" w:hAnsi="宋体" w:eastAsia="楷体_GB2312" w:cs="宋体"/>
          <w:kern w:val="0"/>
          <w:sz w:val="32"/>
          <w:szCs w:val="32"/>
          <w:lang w:val="zh-CN" w:bidi="zh-CN"/>
        </w:rPr>
      </w:pP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（依据GB/T 31950-2023标准编制）</w:t>
      </w:r>
    </w:p>
    <w:p>
      <w:pPr>
        <w:autoSpaceDE w:val="0"/>
        <w:autoSpaceDN w:val="0"/>
        <w:spacing w:line="600" w:lineRule="exact"/>
        <w:jc w:val="center"/>
        <w:rPr>
          <w:rFonts w:ascii="楷体_GB2312" w:hAnsi="宋体" w:eastAsia="楷体_GB2312" w:cs="宋体"/>
          <w:kern w:val="0"/>
          <w:sz w:val="32"/>
          <w:szCs w:val="32"/>
          <w:lang w:bidi="zh-CN"/>
        </w:rPr>
      </w:pPr>
      <w:r>
        <w:rPr>
          <w:rFonts w:hint="eastAsia" w:ascii="楷体_GB2312" w:hAnsi="宋体" w:eastAsia="楷体_GB2312" w:cs="宋体"/>
          <w:kern w:val="0"/>
          <w:sz w:val="32"/>
          <w:szCs w:val="32"/>
          <w:lang w:val="en-US" w:bidi="zh-CN"/>
        </w:rPr>
        <w:t>HY</w:t>
      </w:r>
      <w:r>
        <w:rPr>
          <w:rFonts w:hint="eastAsia" w:ascii="楷体_GB2312" w:hAnsi="宋体" w:eastAsia="楷体_GB2312" w:cs="宋体"/>
          <w:kern w:val="0"/>
          <w:sz w:val="32"/>
          <w:szCs w:val="32"/>
          <w:lang w:val="zh-CN" w:bidi="zh-CN"/>
        </w:rPr>
        <w:t>-CX-20</w:t>
      </w:r>
      <w:r>
        <w:rPr>
          <w:rFonts w:hint="eastAsia" w:ascii="楷体_GB2312" w:hAnsi="宋体" w:eastAsia="楷体_GB2312" w:cs="宋体"/>
          <w:kern w:val="0"/>
          <w:sz w:val="32"/>
          <w:szCs w:val="32"/>
          <w:lang w:bidi="zh-CN"/>
        </w:rPr>
        <w:t>23</w:t>
      </w:r>
    </w:p>
    <w:p>
      <w:pPr>
        <w:autoSpaceDE w:val="0"/>
        <w:autoSpaceDN w:val="0"/>
        <w:jc w:val="center"/>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bidi="zh-CN"/>
        </w:rPr>
        <w:t>B0</w:t>
      </w:r>
      <w:r>
        <w:rPr>
          <w:rFonts w:hint="eastAsia" w:ascii="楷体_GB2312" w:hAnsi="宋体" w:eastAsia="楷体_GB2312" w:cs="宋体"/>
          <w:kern w:val="0"/>
          <w:sz w:val="32"/>
          <w:szCs w:val="32"/>
          <w:lang w:val="zh-CN" w:bidi="zh-CN"/>
        </w:rPr>
        <w:t>版</w:t>
      </w: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jc w:val="left"/>
        <w:rPr>
          <w:rFonts w:ascii="楷体_GB2312" w:hAnsi="宋体" w:eastAsia="楷体_GB2312" w:cs="宋体"/>
          <w:kern w:val="0"/>
          <w:sz w:val="32"/>
          <w:szCs w:val="32"/>
          <w:lang w:val="zh-CN" w:bidi="zh-CN"/>
        </w:rPr>
      </w:pP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编</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制：诚信文件编制小组</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审</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核：崔敏</w:t>
      </w:r>
    </w:p>
    <w:p>
      <w:pPr>
        <w:autoSpaceDE w:val="0"/>
        <w:autoSpaceDN w:val="0"/>
        <w:spacing w:line="600" w:lineRule="exact"/>
        <w:ind w:firstLine="3084" w:firstLineChars="964"/>
        <w:jc w:val="left"/>
        <w:rPr>
          <w:rFonts w:ascii="楷体_GB2312" w:hAnsi="宋体" w:eastAsia="楷体_GB2312" w:cs="宋体"/>
          <w:kern w:val="0"/>
          <w:sz w:val="32"/>
          <w:szCs w:val="32"/>
          <w:lang w:val="zh-CN" w:bidi="zh-CN"/>
        </w:rPr>
      </w:pPr>
      <w:r>
        <w:rPr>
          <w:rFonts w:hint="eastAsia" w:ascii="楷体_GB2312" w:hAnsi="宋体" w:eastAsia="楷体_GB2312" w:cs="宋体"/>
          <w:kern w:val="0"/>
          <w:sz w:val="32"/>
          <w:szCs w:val="32"/>
          <w:lang w:val="zh-CN" w:bidi="zh-CN"/>
        </w:rPr>
        <w:t>批</w:t>
      </w:r>
      <w:r>
        <w:rPr>
          <w:rFonts w:hint="eastAsia" w:ascii="楷体_GB2312" w:hAnsi="宋体" w:eastAsia="楷体_GB2312" w:cs="宋体"/>
          <w:kern w:val="0"/>
          <w:sz w:val="32"/>
          <w:szCs w:val="32"/>
          <w:lang w:bidi="zh-CN"/>
        </w:rPr>
        <w:t xml:space="preserve">    </w:t>
      </w:r>
      <w:r>
        <w:rPr>
          <w:rFonts w:hint="eastAsia" w:ascii="楷体_GB2312" w:hAnsi="宋体" w:eastAsia="楷体_GB2312" w:cs="宋体"/>
          <w:kern w:val="0"/>
          <w:sz w:val="32"/>
          <w:szCs w:val="32"/>
          <w:lang w:val="zh-CN" w:bidi="zh-CN"/>
        </w:rPr>
        <w:t>准：罗建群</w:t>
      </w:r>
    </w:p>
    <w:p>
      <w:pPr>
        <w:autoSpaceDE w:val="0"/>
        <w:autoSpaceDN w:val="0"/>
        <w:spacing w:line="600" w:lineRule="exact"/>
        <w:ind w:firstLine="3084" w:firstLineChars="964"/>
        <w:jc w:val="left"/>
        <w:rPr>
          <w:rFonts w:ascii="宋体" w:hAnsi="宋体" w:eastAsia="楷体_GB2312" w:cs="宋体"/>
          <w:b/>
          <w:kern w:val="0"/>
          <w:sz w:val="32"/>
          <w:szCs w:val="32"/>
          <w:u w:val="single"/>
          <w:lang w:bidi="zh-CN"/>
        </w:rPr>
      </w:pPr>
      <w:r>
        <w:rPr>
          <w:rFonts w:hint="eastAsia" w:ascii="楷体_GB2312" w:hAnsi="宋体" w:eastAsia="楷体_GB2312" w:cs="宋体"/>
          <w:kern w:val="0"/>
          <w:sz w:val="32"/>
          <w:szCs w:val="32"/>
          <w:lang w:bidi="zh-CN"/>
        </w:rPr>
        <w:t>受控状态</w:t>
      </w:r>
      <w:r>
        <w:rPr>
          <w:rFonts w:hint="eastAsia" w:ascii="楷体_GB2312" w:hAnsi="宋体" w:eastAsia="楷体_GB2312" w:cs="宋体"/>
          <w:kern w:val="0"/>
          <w:sz w:val="32"/>
          <w:szCs w:val="32"/>
          <w:lang w:val="zh-CN" w:bidi="zh-CN"/>
        </w:rPr>
        <w:t>：</w:t>
      </w:r>
      <w:r>
        <w:rPr>
          <w:rFonts w:hint="eastAsia" w:ascii="楷体_GB2312" w:hAnsi="宋体" w:eastAsia="楷体_GB2312" w:cs="宋体"/>
          <w:kern w:val="0"/>
          <w:sz w:val="32"/>
          <w:szCs w:val="32"/>
          <w:lang w:bidi="zh-CN"/>
        </w:rPr>
        <w:t>受控</w:t>
      </w: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30"/>
          <w:szCs w:val="22"/>
          <w:u w:val="single"/>
          <w:lang w:val="zh-CN" w:bidi="zh-CN"/>
        </w:rPr>
      </w:pPr>
    </w:p>
    <w:p>
      <w:pPr>
        <w:autoSpaceDE w:val="0"/>
        <w:autoSpaceDN w:val="0"/>
        <w:jc w:val="left"/>
        <w:rPr>
          <w:rFonts w:ascii="宋体" w:hAnsi="宋体" w:cs="宋体"/>
          <w:b/>
          <w:kern w:val="0"/>
          <w:sz w:val="24"/>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p>
    <w:p>
      <w:pPr>
        <w:autoSpaceDE w:val="0"/>
        <w:autoSpaceDN w:val="0"/>
        <w:jc w:val="center"/>
        <w:rPr>
          <w:rFonts w:ascii="宋体" w:hAnsi="宋体" w:cs="宋体"/>
          <w:b/>
          <w:kern w:val="0"/>
          <w:sz w:val="36"/>
          <w:szCs w:val="22"/>
          <w:lang w:val="zh-CN" w:bidi="zh-CN"/>
        </w:rPr>
      </w:pPr>
      <w:r>
        <w:rPr>
          <w:rFonts w:hint="eastAsia" w:ascii="宋体" w:hAnsi="宋体" w:cs="宋体"/>
          <w:b/>
          <w:kern w:val="0"/>
          <w:sz w:val="36"/>
          <w:szCs w:val="22"/>
          <w:lang w:val="zh-CN" w:bidi="zh-CN"/>
        </w:rPr>
        <w:t xml:space="preserve"> </w:t>
      </w:r>
    </w:p>
    <w:p>
      <w:pPr>
        <w:autoSpaceDE w:val="0"/>
        <w:autoSpaceDN w:val="0"/>
        <w:ind w:firstLine="280" w:firstLineChars="100"/>
        <w:rPr>
          <w:rFonts w:ascii="楷体_GB2312" w:hAnsi="宋体" w:eastAsia="楷体_GB2312" w:cs="宋体"/>
          <w:kern w:val="0"/>
          <w:sz w:val="32"/>
          <w:szCs w:val="32"/>
          <w:lang w:bidi="zh-CN"/>
        </w:rPr>
      </w:pPr>
      <w:r>
        <w:rPr>
          <w:rFonts w:hint="eastAsia" w:ascii="宋体" w:hAnsi="宋体" w:cs="宋体"/>
          <w:kern w:val="0"/>
          <w:sz w:val="28"/>
          <w:szCs w:val="28"/>
          <w:lang w:bidi="zh-CN"/>
        </w:rPr>
        <w:t xml:space="preserve">发布日期：2023-03-17                        实施日期：2023-03-17 </w:t>
      </w:r>
      <w:r>
        <w:pict>
          <v:line id="直接连接符 9" o:spid="_x0000_s2125" o:spt="20" style="position:absolute;left:0pt;margin-left:3.5pt;margin-top:29.9pt;height:0pt;width:488.25pt;z-index:251661312;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">
            <v:path arrowok="t"/>
            <v:fill focussize="0,0"/>
            <v:stroke/>
            <v:imagedata o:title=""/>
            <o:lock v:ext="edit"/>
          </v:line>
        </w:pic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修订记录</w:t>
      </w:r>
    </w:p>
    <w:tbl>
      <w:tblPr>
        <w:tblStyle w:val="17"/>
        <w:tblW w:w="99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518"/>
        <w:gridCol w:w="708"/>
        <w:gridCol w:w="1329"/>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修订摘要</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版次</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修订日期</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修订人</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因标准更新，现对管理手册进行换版。</w:t>
            </w: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B</w:t>
            </w: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023/3/17</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崔敏</w:t>
            </w: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罗建群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23"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451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708"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29"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c>
          <w:tcPr>
            <w:tcW w:w="1330" w:type="dxa"/>
            <w:shd w:val="clear" w:color="auto" w:fill="auto"/>
            <w:vAlign w:val="center"/>
          </w:tcPr>
          <w:p>
            <w:pPr>
              <w:widowControl/>
              <w:spacing w:line="360" w:lineRule="auto"/>
              <w:jc w:val="center"/>
              <w:rPr>
                <w:rFonts w:cs="宋体" w:asciiTheme="minorEastAsia" w:hAnsiTheme="minorEastAsia" w:eastAsiaTheme="minorEastAsia"/>
                <w:kern w:val="0"/>
                <w:sz w:val="24"/>
                <w:szCs w:val="24"/>
              </w:rPr>
            </w:pPr>
          </w:p>
        </w:tc>
      </w:tr>
    </w:tbl>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sectPr>
          <w:pgSz w:w="11906" w:h="16838"/>
          <w:pgMar w:top="851" w:right="851" w:bottom="851" w:left="851" w:header="851" w:footer="992" w:gutter="0"/>
          <w:cols w:space="425" w:num="1"/>
          <w:docGrid w:type="lines" w:linePitch="312" w:charSpace="0"/>
        </w:sectPr>
      </w:pP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本公司依据《民法典》、《中华人民共和国消费者权益保护法》等，并结合行业及本公司实际建立企业诚信管理体系，并编制《企业诚信手册》、成立企业诚信委员会、确立企业诚信组织机构、制定相关职责、各过程的诚信及诚信结果验证等文件，其部分文件引用了质量、环境和职业健康安全体系的部分内容。</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本手册是本公司企业诚信管理体系的纲领性文件，是指导本公司建立和实施企业诚信管理体系运行的准则，本体系是公司内部编制的独立性文件，通过审定，现批准版本，于202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r>
        <w:rPr>
          <w:rFonts w:hint="eastAsia" w:ascii="宋体" w:hAnsi="宋体" w:cs="宋体"/>
          <w:kern w:val="0"/>
          <w:szCs w:val="21"/>
          <w:lang w:val="zh-CN" w:bidi="zh-CN"/>
        </w:rPr>
        <w:t>起正式实施。要求各职能部门和全体员工必须认真学习和贯彻执行，并待续改进和提高，确保企业诚信体系的要求和方针、目标的实现，使顾客满意。</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总经理</w:t>
      </w:r>
      <w:r>
        <w:rPr>
          <w:rFonts w:hint="eastAsia" w:ascii="宋体" w:hAnsi="宋体" w:cs="宋体"/>
          <w:kern w:val="0"/>
          <w:szCs w:val="21"/>
          <w:lang w:bidi="zh-CN"/>
        </w:rPr>
        <w:t>：罗建群</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hint="eastAsia" w:ascii="宋体" w:hAnsi="宋体" w:cs="宋体"/>
          <w:kern w:val="0"/>
          <w:szCs w:val="21"/>
          <w:lang w:bidi="zh-CN"/>
        </w:rPr>
        <w:t xml:space="preserve">     </w:t>
      </w:r>
      <w:r>
        <w:rPr>
          <w:rFonts w:ascii="宋体" w:hAnsi="宋体" w:cs="宋体"/>
          <w:kern w:val="0"/>
          <w:szCs w:val="21"/>
          <w:lang w:bidi="zh-CN"/>
        </w:rPr>
        <w:t xml:space="preserve">                    </w:t>
      </w:r>
      <w:r>
        <w:rPr>
          <w:rFonts w:hint="eastAsia" w:ascii="宋体" w:hAnsi="宋体" w:cs="宋体"/>
          <w:kern w:val="0"/>
          <w:szCs w:val="21"/>
          <w:lang w:bidi="zh-CN"/>
        </w:rPr>
        <w:t xml:space="preserve"> </w:t>
      </w:r>
      <w:r>
        <w:rPr>
          <w:rFonts w:hint="eastAsia" w:ascii="宋体" w:hAnsi="宋体" w:cs="宋体"/>
          <w:kern w:val="0"/>
          <w:szCs w:val="21"/>
          <w:lang w:val="zh-CN" w:bidi="zh-CN"/>
        </w:rPr>
        <w:t>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before="100" w:beforeAutospacing="1" w:after="100" w:afterAutospacing="1"/>
        <w:jc w:val="left"/>
        <w:rPr>
          <w:rFonts w:ascii="宋体" w:hAnsi="宋体" w:cs="宋体"/>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诚信手册的管理与控制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本手册版权属于</w:t>
      </w:r>
      <w:r>
        <w:rPr>
          <w:rFonts w:hint="eastAsia" w:ascii="宋体" w:hAnsi="宋体" w:cs="宋体"/>
          <w:kern w:val="0"/>
          <w:szCs w:val="21"/>
          <w:lang w:val="en-US" w:bidi="zh-CN"/>
        </w:rPr>
        <w:t>西安华扬家具</w:t>
      </w:r>
      <w:r>
        <w:rPr>
          <w:rFonts w:hint="eastAsia" w:ascii="宋体" w:hAnsi="宋体" w:cs="宋体"/>
          <w:kern w:val="0"/>
          <w:szCs w:val="21"/>
          <w:lang w:val="zh-CN" w:bidi="zh-CN"/>
        </w:rPr>
        <w:t>有限公司所有，未经批准任何人不得全部或部分复制，违者将追究法律责任。</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手册由诚信小组负责组织编写，经总经理批准后颁布实施。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行政部负责手册的编写、评审、修改、换版及条文解释等工作，并确定手册的发放范围，负责对手册进行统一编号，编制分发目录后以“受控文件”形式发放。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当出现以下情况时，需对手册内容进行评审及更改：</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a) 法律法规发生变化时；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b) 公司的活动、产品、服务发生变动时；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c) 公司的诚信方针更改时；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d) 组织机构变更时；</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手册的更改及换版由行政部负责，更改或换版后的手册由总经理批准后颁布实施。</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若顾客或相关方索阅诚信手册，经诚信经理批准后，以“非受控文件”形式发放。</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有关手册的控制详情，按《文件控制程序》执行。</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注：手册中部分内容需要进行调整或变更时，如不涉及职责与流程变化，仅对部分章节进行修订，使用章节修订说明进行修订（变更章节必须进行标记，便于区分），经诚信经理批准后进行更新并发布实施。</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before="100" w:beforeAutospacing="1" w:after="100" w:afterAutospacing="1"/>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本手册第1-</w:t>
      </w:r>
      <w:r>
        <w:rPr>
          <w:rFonts w:hint="eastAsia" w:ascii="宋体" w:hAnsi="宋体" w:cs="宋体"/>
          <w:b/>
          <w:bCs/>
          <w:kern w:val="0"/>
          <w:szCs w:val="21"/>
          <w:lang w:bidi="zh-CN"/>
        </w:rPr>
        <w:t>11</w:t>
      </w:r>
      <w:r>
        <w:rPr>
          <w:rFonts w:hint="eastAsia" w:ascii="宋体" w:hAnsi="宋体" w:cs="宋体"/>
          <w:b/>
          <w:bCs/>
          <w:kern w:val="0"/>
          <w:szCs w:val="21"/>
          <w:lang w:val="zh-CN" w:bidi="zh-CN"/>
        </w:rPr>
        <w:t>章依据GB/T 31950-2023编制</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1 范围</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本文件提供了企业实施诚信管理体系的原则和方法,规定了企业环境、领导作用、策划、支持、管理实现、检查与分析和持续改进的要求。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本文件适用于企业内部建立和实施诚信管理体系，也可用于指导行业组织和第三方机构对诚信管理体系进行审核。</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本公司诚信体系覆盖范围见</w:t>
      </w:r>
      <w:r>
        <w:rPr>
          <w:rFonts w:hint="eastAsia" w:ascii="宋体" w:hAnsi="宋体" w:cs="宋体"/>
          <w:b/>
          <w:bCs/>
          <w:kern w:val="0"/>
          <w:szCs w:val="21"/>
          <w:lang w:val="zh-CN" w:bidi="zh-CN"/>
        </w:rPr>
        <w:t>附件1</w:t>
      </w:r>
      <w:r>
        <w:rPr>
          <w:rFonts w:hint="eastAsia" w:ascii="宋体" w:hAnsi="宋体" w:cs="宋体"/>
          <w:kern w:val="0"/>
          <w:szCs w:val="21"/>
          <w:lang w:val="zh-CN" w:bidi="zh-CN"/>
        </w:rPr>
        <w:t>。</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2规范性引用文件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19000质量管理体系基础和术语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19001质量管理体系 要求</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19011管理体系审核指南</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22116企业信用等级表示方法</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GB/T22117信用 基本术语</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GB/T23793合格供应商信用评价规范</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GB/T23794企业信用评价指标</w:t>
      </w:r>
    </w:p>
    <w:p>
      <w:pPr>
        <w:autoSpaceDE w:val="0"/>
        <w:autoSpaceDN w:val="0"/>
        <w:spacing w:line="480"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GB/T 33718企业合同信用指标指南</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3术语和定义</w:t>
      </w: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GB/T 19000、GB/T 19001,GB/T 19011,GB/T 22117 界定的以及下列术语和定义适用于本文件</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3.1诚信方针</w:t>
      </w:r>
      <w:r>
        <w:rPr>
          <w:rFonts w:hint="eastAsia" w:ascii="宋体" w:hAnsi="宋体" w:cs="宋体"/>
          <w:kern w:val="0"/>
          <w:szCs w:val="21"/>
          <w:lang w:val="zh-CN" w:bidi="zh-CN"/>
        </w:rPr>
        <w:t>：由企业最高管理就企业的诚信价值正式表述的总体意图和方向。</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3.2</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诚信目标</w:t>
      </w:r>
      <w:r>
        <w:rPr>
          <w:rFonts w:hint="eastAsia" w:ascii="宋体" w:hAnsi="宋体" w:cs="宋体"/>
          <w:kern w:val="0"/>
          <w:szCs w:val="21"/>
          <w:lang w:val="zh-CN" w:bidi="zh-CN"/>
        </w:rPr>
        <w:t>：企业依据诚信方针规定的所要实现的诚信目的。</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3.3</w:t>
      </w:r>
      <w:r>
        <w:rPr>
          <w:rFonts w:hint="eastAsia" w:ascii="宋体" w:hAnsi="宋体" w:cs="宋体"/>
          <w:kern w:val="0"/>
          <w:szCs w:val="21"/>
          <w:lang w:val="zh-CN" w:bidi="zh-CN"/>
        </w:rPr>
        <w:t xml:space="preserve"> </w:t>
      </w:r>
      <w:r>
        <w:rPr>
          <w:rFonts w:hint="eastAsia" w:ascii="宋体" w:hAnsi="宋体" w:cs="宋体"/>
          <w:b/>
          <w:bCs/>
          <w:kern w:val="0"/>
          <w:szCs w:val="21"/>
          <w:lang w:val="zh-CN" w:bidi="zh-CN"/>
        </w:rPr>
        <w:t>诚信</w:t>
      </w:r>
      <w:r>
        <w:rPr>
          <w:rFonts w:hint="eastAsia" w:ascii="宋体" w:hAnsi="宋体" w:cs="宋体"/>
          <w:b/>
          <w:bCs/>
          <w:kern w:val="0"/>
          <w:szCs w:val="21"/>
          <w:lang w:bidi="zh-CN"/>
        </w:rPr>
        <w:t>管理</w:t>
      </w:r>
      <w:r>
        <w:rPr>
          <w:rFonts w:hint="eastAsia" w:ascii="宋体" w:hAnsi="宋体" w:cs="宋体"/>
          <w:kern w:val="0"/>
          <w:szCs w:val="21"/>
          <w:lang w:val="zh-CN" w:bidi="zh-CN"/>
        </w:rPr>
        <w:t>：依据诚信方针和诚信目标确立相应的承诺,跟踪承诺兑现的过程，开展对承诺兑现情况的评价，并根据评价结果实施改进措施等一系列相互关联活动的集合。</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3.4 诚信</w:t>
      </w:r>
      <w:r>
        <w:rPr>
          <w:rFonts w:hint="eastAsia" w:ascii="宋体" w:hAnsi="宋体" w:cs="宋体"/>
          <w:b/>
          <w:bCs/>
          <w:kern w:val="0"/>
          <w:szCs w:val="21"/>
          <w:lang w:bidi="zh-CN"/>
        </w:rPr>
        <w:t>管理体系</w:t>
      </w:r>
      <w:r>
        <w:rPr>
          <w:rFonts w:hint="eastAsia" w:ascii="宋体" w:hAnsi="宋体" w:cs="宋体"/>
          <w:kern w:val="0"/>
          <w:szCs w:val="21"/>
          <w:lang w:val="zh-CN" w:bidi="zh-CN"/>
        </w:rPr>
        <w:t>：企业确定其诚信方针和诚信目标以及为获得期望的结果确定其过程和所需资源的活动。</w:t>
      </w:r>
    </w:p>
    <w:p>
      <w:pPr>
        <w:autoSpaceDE w:val="0"/>
        <w:autoSpaceDN w:val="0"/>
        <w:spacing w:line="480" w:lineRule="auto"/>
        <w:jc w:val="left"/>
        <w:rPr>
          <w:rFonts w:ascii="宋体" w:hAnsi="宋体" w:cs="宋体"/>
          <w:kern w:val="0"/>
          <w:szCs w:val="21"/>
          <w:lang w:val="zh-CN" w:bidi="zh-CN"/>
        </w:rPr>
      </w:pPr>
      <w:r>
        <w:rPr>
          <w:rFonts w:hint="eastAsia" w:ascii="宋体" w:hAnsi="宋体" w:cs="宋体"/>
          <w:b/>
          <w:bCs/>
          <w:kern w:val="0"/>
          <w:szCs w:val="21"/>
          <w:lang w:val="zh-CN" w:bidi="zh-CN"/>
        </w:rPr>
        <w:t>3.5 相关方</w:t>
      </w:r>
      <w:r>
        <w:rPr>
          <w:rFonts w:hint="eastAsia" w:ascii="宋体" w:hAnsi="宋体" w:cs="宋体"/>
          <w:kern w:val="0"/>
          <w:szCs w:val="21"/>
          <w:lang w:val="zh-CN" w:bidi="zh-CN"/>
        </w:rPr>
        <w:t>：若其需求和期望未能满足,将对企业的持续发展产生重大风险的个人或团体。</w:t>
      </w:r>
    </w:p>
    <w:p>
      <w:pPr>
        <w:autoSpaceDE w:val="0"/>
        <w:autoSpaceDN w:val="0"/>
        <w:spacing w:before="100" w:beforeAutospacing="1" w:after="100" w:afterAutospacing="1"/>
        <w:jc w:val="left"/>
        <w:rPr>
          <w:rFonts w:ascii="宋体" w:hAnsi="宋体" w:cs="宋体"/>
          <w:kern w:val="0"/>
          <w:sz w:val="22"/>
          <w:szCs w:val="22"/>
          <w:lang w:val="zh-CN" w:bidi="zh-CN"/>
        </w:rPr>
      </w:pPr>
    </w:p>
    <w:p>
      <w:pPr>
        <w:numPr>
          <w:ilvl w:val="0"/>
          <w:numId w:val="1"/>
        </w:numPr>
        <w:tabs>
          <w:tab w:val="left" w:pos="325"/>
        </w:tabs>
        <w:autoSpaceDE w:val="0"/>
        <w:autoSpaceDN w:val="0"/>
        <w:spacing w:before="149" w:line="360" w:lineRule="auto"/>
        <w:jc w:val="left"/>
        <w:rPr>
          <w:rFonts w:ascii="黑体" w:hAnsi="宋体" w:eastAsia="黑体" w:cs="宋体"/>
          <w:kern w:val="0"/>
          <w:szCs w:val="22"/>
          <w:lang w:val="zh-CN" w:bidi="zh-CN"/>
        </w:rPr>
      </w:pPr>
      <w:bookmarkStart w:id="0" w:name="_bookmark5"/>
      <w:bookmarkEnd w:id="0"/>
      <w:r>
        <w:rPr>
          <w:rFonts w:hint="eastAsia" w:ascii="黑体" w:hAnsi="宋体" w:eastAsia="黑体" w:cs="宋体"/>
          <w:spacing w:val="-3"/>
          <w:kern w:val="0"/>
          <w:szCs w:val="22"/>
          <w:lang w:val="zh-CN" w:bidi="zh-CN"/>
        </w:rPr>
        <w:t>原则和</w:t>
      </w:r>
      <w:r>
        <w:rPr>
          <w:rFonts w:hint="eastAsia" w:ascii="黑体" w:hAnsi="宋体" w:eastAsia="黑体" w:cs="宋体"/>
          <w:spacing w:val="-3"/>
          <w:kern w:val="0"/>
          <w:szCs w:val="22"/>
          <w:lang w:bidi="zh-CN"/>
        </w:rPr>
        <w:t>方法</w:t>
      </w:r>
    </w:p>
    <w:p>
      <w:pPr>
        <w:numPr>
          <w:ilvl w:val="1"/>
          <w:numId w:val="1"/>
        </w:numPr>
        <w:tabs>
          <w:tab w:val="left" w:pos="483"/>
        </w:tabs>
        <w:autoSpaceDE w:val="0"/>
        <w:autoSpaceDN w:val="0"/>
        <w:spacing w:before="1" w:line="360" w:lineRule="auto"/>
        <w:ind w:hanging="370"/>
        <w:jc w:val="left"/>
        <w:rPr>
          <w:rFonts w:ascii="黑体" w:hAnsi="宋体" w:eastAsia="黑体" w:cs="宋体"/>
          <w:kern w:val="0"/>
          <w:szCs w:val="22"/>
          <w:lang w:val="zh-CN" w:bidi="zh-CN"/>
        </w:rPr>
      </w:pPr>
      <w:bookmarkStart w:id="1" w:name="_bookmark6"/>
      <w:bookmarkEnd w:id="1"/>
      <w:r>
        <w:rPr>
          <w:rFonts w:hint="eastAsia" w:ascii="黑体" w:hAnsi="宋体" w:eastAsia="黑体" w:cs="宋体"/>
          <w:spacing w:val="-3"/>
          <w:kern w:val="0"/>
          <w:szCs w:val="22"/>
          <w:lang w:val="zh-CN" w:bidi="zh-CN"/>
        </w:rPr>
        <w:t>诚信管理原则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诚信管理以提升企业诚信管理能力、提高企业整体绩效并推动其可持续发展为目标,提出以下八项原则:</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a) 以满足相关方的需求和期望并契合自身的发展愿景和目标为关注焦点</w:t>
      </w:r>
    </w:p>
    <w:p>
      <w:pPr>
        <w:autoSpaceDE w:val="0"/>
        <w:autoSpaceDN w:val="0"/>
        <w:spacing w:before="171" w:line="393" w:lineRule="auto"/>
        <w:ind w:right="566" w:firstLine="416"/>
        <w:rPr>
          <w:rFonts w:ascii="宋体" w:hAnsi="宋体" w:cs="宋体"/>
          <w:kern w:val="0"/>
          <w:szCs w:val="21"/>
          <w:lang w:val="zh-CN" w:bidi="zh-CN"/>
        </w:rPr>
      </w:pPr>
      <w:r>
        <w:rPr>
          <w:rFonts w:hint="eastAsia" w:ascii="宋体" w:hAnsi="宋体" w:cs="宋体"/>
          <w:kern w:val="0"/>
          <w:szCs w:val="21"/>
          <w:lang w:val="zh-CN" w:bidi="zh-CN"/>
        </w:rPr>
        <w:t>通过建立诚信管理体系，将诚实守信的理念纳人企业核心价值观加强诚信管理和信用风险防范,在生产经营、财务管理和劳动用工管理等各环节中强化诚信自律,为相关方提供值得信赖的产品和服务,同时契合自身的发展愿景和目标,树立良好的品牌形象，提升社会美誉度,实现企业的可持续发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 xml:space="preserve">  b)领导作用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企业的各级领导引导建立统一的宗旨和方向,确保企业的诚信目标与社会及行业要求、企业经营方向的一致性，并创造全员参与实现诚信目标的条件。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 职能部门推动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由企业内的某一部门专门负责诚信管理体系的实施，或者将诚信管理的职能赋予其他管理部门。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大型企业或集团公司为此可单独设立专业部门。</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d)全员参与</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尊重各级人员并鼓励和促使全员参与实现企业诚信目标的全过程，以有效和高效地实施诚信管理,将诚信理念融入生产经营各环节。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e)过程方法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诚信管理体系是将与诚信相关的资源和活动作为过程进行管理,从诚信风险预警、防范、控制与处置的角度出发,通过建立基于过程的承诺识别和确认、诚信数据采集、承诺履行和跟踪、承诺兑现评价以及承诺改进等机制,可更加有效和高效地得到一致的,可预知的结果。</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f) 持续改进</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企业在其内外部条件的变化下,基于当前诚信管理水平,持续提升其能力g)循证决策</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对事实、证据和数据的分析可使决策更加客观可信。建立在数据和信息分析基础之上的决策，能够克服或避免人为因素的影响。</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h)关系管理</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企业与相关方相互依存，以诚信为基础的互利共赢关系可增强企业的凝聚力,实现企业价值和社会价值的最大化,有利于企业的持续健康发展。企业通过管理与相关方的关系,能够确保诚信目标的持续达成。</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4.2体系运行方法</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4.2.1 总则</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将企业内外部环境、相关方的需求和期望以及企业自身发展的愿景和目标作为企业策划其诚信方针和诚信目标及其配套制度的依据,并采用过程方法,按照“策划一实施一检查一处置”(PDCA)循环模式对与企业诚信管理相关的过程实施控制。</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本文件制定的管理体系标准框架,与其他管理体系标准协调一致,不要求改变现行的管理体系,但可能会为了实施符合本文件要求的诚信管理体系而对现行的管理体系进行调整或补充。</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4.2.2 PDCA循环</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 循环能够应用于所有与诚信管理相关的过程以及整个诚信管理体系。图1表明了第 5章~第11章是如何构成PDCA循环的。</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PDCA循环简要描述如下:</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a) 策划(Plan);根据企业应对内外部环境,相关方的需求和期望以及企业自身发展的愿景和目标，确立企业诚信目标及其配套制度的要求,明确企业承诺及承诺履行和跟踪的要求，以及应对风险和机遇以及变更的要求:</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b)实施(Do):执行所制定的策划;</w:t>
      </w:r>
    </w:p>
    <w:p>
      <w:pPr>
        <w:autoSpaceDE w:val="0"/>
        <w:autoSpaceDN w:val="0"/>
        <w:spacing w:before="171" w:line="393" w:lineRule="auto"/>
        <w:ind w:right="566"/>
        <w:rPr>
          <w:rFonts w:ascii="宋体" w:hAnsi="宋体" w:cs="宋体"/>
          <w:kern w:val="0"/>
          <w:szCs w:val="21"/>
          <w:lang w:bidi="zh-CN"/>
        </w:rPr>
      </w:pPr>
      <w:r>
        <w:rPr>
          <w:rFonts w:hint="eastAsia" w:ascii="宋体" w:hAnsi="宋体" w:cs="宋体"/>
          <w:kern w:val="0"/>
          <w:szCs w:val="21"/>
          <w:lang w:bidi="zh-CN"/>
        </w:rPr>
        <w:t>c)检查(Check);根据诚信方针、诚信目标以及所策划的活动，对诚信管理实现情况进行核查和c)分析,并报告结果:</w:t>
      </w:r>
    </w:p>
    <w:p>
      <w:pPr>
        <w:autoSpaceDE w:val="0"/>
        <w:autoSpaceDN w:val="0"/>
        <w:spacing w:before="171" w:line="393" w:lineRule="auto"/>
        <w:ind w:right="566"/>
        <w:rPr>
          <w:rFonts w:hint="eastAsia" w:ascii="宋体" w:hAnsi="宋体" w:cs="宋体"/>
          <w:kern w:val="0"/>
          <w:szCs w:val="21"/>
          <w:lang w:bidi="zh-CN"/>
        </w:rPr>
        <w:sectPr>
          <w:footerReference r:id="rId3" w:type="default"/>
          <w:pgSz w:w="11910" w:h="16850"/>
          <w:pgMar w:top="1240" w:right="560" w:bottom="1060" w:left="1020" w:header="0" w:footer="871" w:gutter="0"/>
          <w:cols w:space="720" w:num="1"/>
        </w:sectPr>
      </w:pPr>
      <w:r>
        <w:rPr>
          <w:rFonts w:hint="eastAsia" w:ascii="宋体" w:hAnsi="宋体" w:cs="宋体"/>
          <w:kern w:val="0"/>
          <w:szCs w:val="21"/>
          <w:lang w:bidi="zh-CN"/>
        </w:rPr>
        <w:t>d)处置(Act):必要时，采取措施改进诚信管理体系，以提高绩效</w:t>
      </w:r>
    </w:p>
    <w:p>
      <w:pPr>
        <w:autoSpaceDE w:val="0"/>
        <w:autoSpaceDN w:val="0"/>
        <w:spacing w:before="1" w:line="393" w:lineRule="auto"/>
        <w:ind w:right="507"/>
        <w:jc w:val="left"/>
        <w:rPr>
          <w:rFonts w:hint="eastAsia" w:ascii="宋体" w:hAnsi="宋体" w:cs="宋体"/>
          <w:kern w:val="0"/>
          <w:szCs w:val="21"/>
          <w:lang w:val="zh-CN" w:bidi="zh-CN"/>
        </w:rPr>
      </w:pPr>
      <w:bookmarkStart w:id="2" w:name="_bookmark7"/>
      <w:bookmarkEnd w:id="2"/>
      <w:bookmarkStart w:id="3" w:name="_bookmark9"/>
      <w:bookmarkEnd w:id="3"/>
      <w:r>
        <w:rPr>
          <w:rFonts w:ascii="宋体" w:hAnsi="宋体" w:cs="宋体"/>
          <w:kern w:val="0"/>
          <w:szCs w:val="21"/>
          <w:lang w:val="zh-CN" w:bidi="zh-CN"/>
        </w:rPr>
        <w:drawing>
          <wp:anchor distT="0" distB="0" distL="0" distR="0" simplePos="0" relativeHeight="251660288" behindDoc="1" locked="0" layoutInCell="1" allowOverlap="1">
            <wp:simplePos x="0" y="0"/>
            <wp:positionH relativeFrom="page">
              <wp:posOffset>716280</wp:posOffset>
            </wp:positionH>
            <wp:positionV relativeFrom="paragraph">
              <wp:posOffset>521970</wp:posOffset>
            </wp:positionV>
            <wp:extent cx="6088380" cy="4434840"/>
            <wp:effectExtent l="0" t="0" r="0" b="0"/>
            <wp:wrapNone/>
            <wp:docPr id="3" name="image2.jpeg"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图示&#10;&#10;描述已自动生成"/>
                    <pic:cNvPicPr>
                      <a:picLocks noChangeAspect="1"/>
                    </pic:cNvPicPr>
                  </pic:nvPicPr>
                  <pic:blipFill>
                    <a:blip r:embed="rId6" cstate="print"/>
                    <a:stretch>
                      <a:fillRect/>
                    </a:stretch>
                  </pic:blipFill>
                  <pic:spPr>
                    <a:xfrm>
                      <a:off x="0" y="0"/>
                      <a:ext cx="6088380" cy="4434840"/>
                    </a:xfrm>
                    <a:prstGeom prst="rect">
                      <a:avLst/>
                    </a:prstGeom>
                  </pic:spPr>
                </pic:pic>
              </a:graphicData>
            </a:graphic>
          </wp:anchor>
        </w:drawing>
      </w: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jc w:val="left"/>
        <w:rPr>
          <w:rFonts w:ascii="宋体" w:hAnsi="宋体" w:cs="宋体"/>
          <w:kern w:val="0"/>
          <w:sz w:val="24"/>
          <w:szCs w:val="21"/>
          <w:lang w:val="zh-CN" w:bidi="zh-CN"/>
        </w:rPr>
      </w:pPr>
    </w:p>
    <w:p>
      <w:pPr>
        <w:autoSpaceDE w:val="0"/>
        <w:autoSpaceDN w:val="0"/>
        <w:spacing w:before="1"/>
        <w:jc w:val="left"/>
        <w:rPr>
          <w:rFonts w:ascii="宋体" w:hAnsi="宋体" w:cs="宋体"/>
          <w:kern w:val="0"/>
          <w:sz w:val="26"/>
          <w:szCs w:val="21"/>
          <w:lang w:val="zh-CN" w:bidi="zh-CN"/>
        </w:rPr>
      </w:pPr>
    </w:p>
    <w:p>
      <w:pPr>
        <w:autoSpaceDE w:val="0"/>
        <w:autoSpaceDN w:val="0"/>
        <w:jc w:val="left"/>
        <w:rPr>
          <w:rFonts w:ascii="宋体" w:hAnsi="宋体" w:cs="宋体"/>
          <w:kern w:val="0"/>
          <w:sz w:val="18"/>
          <w:szCs w:val="22"/>
          <w:lang w:val="zh-CN" w:bidi="zh-CN"/>
        </w:rPr>
      </w:pPr>
      <w:r>
        <w:rPr>
          <w:rFonts w:ascii="宋体" w:hAnsi="宋体" w:cs="宋体"/>
          <w:kern w:val="0"/>
          <w:sz w:val="18"/>
          <w:szCs w:val="22"/>
          <w:lang w:val="zh-CN" w:bidi="zh-CN"/>
        </w:rPr>
        <w:t>注：括号中的数字表示本文件的相应章节。</w:t>
      </w:r>
    </w:p>
    <w:p>
      <w:pPr>
        <w:autoSpaceDE w:val="0"/>
        <w:autoSpaceDN w:val="0"/>
        <w:spacing w:before="12"/>
        <w:jc w:val="left"/>
        <w:rPr>
          <w:rFonts w:ascii="宋体" w:hAnsi="宋体" w:cs="宋体"/>
          <w:kern w:val="0"/>
          <w:sz w:val="13"/>
          <w:szCs w:val="21"/>
          <w:lang w:val="zh-CN" w:bidi="zh-CN"/>
        </w:rPr>
      </w:pPr>
    </w:p>
    <w:p>
      <w:pPr>
        <w:tabs>
          <w:tab w:val="left" w:pos="3804"/>
        </w:tabs>
        <w:autoSpaceDE w:val="0"/>
        <w:autoSpaceDN w:val="0"/>
        <w:jc w:val="left"/>
        <w:rPr>
          <w:rFonts w:ascii="黑体" w:hAnsi="宋体" w:eastAsia="黑体" w:cs="宋体"/>
          <w:kern w:val="0"/>
          <w:szCs w:val="21"/>
          <w:lang w:val="zh-CN" w:bidi="zh-CN"/>
        </w:rPr>
      </w:pPr>
      <w:r>
        <w:rPr>
          <w:rFonts w:hint="eastAsia" w:ascii="黑体" w:hAnsi="宋体" w:eastAsia="黑体" w:cs="宋体"/>
          <w:kern w:val="0"/>
          <w:szCs w:val="21"/>
          <w:lang w:val="zh-CN" w:bidi="zh-CN"/>
        </w:rPr>
        <w:t>图</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1</w:t>
      </w:r>
      <w:r>
        <w:rPr>
          <w:rFonts w:hint="eastAsia" w:ascii="黑体" w:hAnsi="宋体" w:eastAsia="黑体" w:cs="宋体"/>
          <w:kern w:val="0"/>
          <w:szCs w:val="21"/>
          <w:lang w:val="zh-CN" w:bidi="zh-CN"/>
        </w:rPr>
        <w:tab/>
      </w:r>
      <w:r>
        <w:rPr>
          <w:rFonts w:hint="eastAsia" w:ascii="黑体" w:hAnsi="宋体" w:eastAsia="黑体" w:cs="宋体"/>
          <w:kern w:val="0"/>
          <w:szCs w:val="21"/>
          <w:lang w:val="zh-CN" w:bidi="zh-CN"/>
        </w:rPr>
        <w:t>本</w:t>
      </w:r>
      <w:r>
        <w:rPr>
          <w:rFonts w:hint="eastAsia" w:ascii="黑体" w:hAnsi="宋体" w:eastAsia="黑体" w:cs="宋体"/>
          <w:spacing w:val="-3"/>
          <w:kern w:val="0"/>
          <w:szCs w:val="21"/>
          <w:lang w:val="zh-CN" w:bidi="zh-CN"/>
        </w:rPr>
        <w:t>文</w:t>
      </w:r>
      <w:r>
        <w:rPr>
          <w:rFonts w:hint="eastAsia" w:ascii="黑体" w:hAnsi="宋体" w:eastAsia="黑体" w:cs="宋体"/>
          <w:kern w:val="0"/>
          <w:szCs w:val="21"/>
          <w:lang w:val="zh-CN" w:bidi="zh-CN"/>
        </w:rPr>
        <w:t>件</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结</w:t>
      </w:r>
      <w:r>
        <w:rPr>
          <w:rFonts w:hint="eastAsia" w:ascii="黑体" w:hAnsi="宋体" w:eastAsia="黑体" w:cs="宋体"/>
          <w:spacing w:val="-3"/>
          <w:kern w:val="0"/>
          <w:szCs w:val="21"/>
          <w:lang w:val="zh-CN" w:bidi="zh-CN"/>
        </w:rPr>
        <w:t>构</w:t>
      </w:r>
      <w:r>
        <w:rPr>
          <w:rFonts w:hint="eastAsia" w:ascii="黑体" w:hAnsi="宋体" w:eastAsia="黑体" w:cs="宋体"/>
          <w:kern w:val="0"/>
          <w:szCs w:val="21"/>
          <w:lang w:val="zh-CN" w:bidi="zh-CN"/>
        </w:rPr>
        <w:t>在</w:t>
      </w:r>
      <w:r>
        <w:rPr>
          <w:rFonts w:hint="eastAsia" w:ascii="黑体" w:hAnsi="宋体" w:eastAsia="黑体" w:cs="宋体"/>
          <w:spacing w:val="-52"/>
          <w:kern w:val="0"/>
          <w:szCs w:val="21"/>
          <w:lang w:val="zh-CN" w:bidi="zh-CN"/>
        </w:rPr>
        <w:t xml:space="preserve"> </w:t>
      </w:r>
      <w:r>
        <w:rPr>
          <w:rFonts w:hint="eastAsia" w:ascii="黑体" w:hAnsi="宋体" w:eastAsia="黑体" w:cs="宋体"/>
          <w:kern w:val="0"/>
          <w:szCs w:val="21"/>
          <w:lang w:val="zh-CN" w:bidi="zh-CN"/>
        </w:rPr>
        <w:t>PDCA</w:t>
      </w:r>
      <w:r>
        <w:rPr>
          <w:rFonts w:hint="eastAsia" w:ascii="黑体" w:hAnsi="宋体" w:eastAsia="黑体" w:cs="宋体"/>
          <w:spacing w:val="-53"/>
          <w:kern w:val="0"/>
          <w:szCs w:val="21"/>
          <w:lang w:val="zh-CN" w:bidi="zh-CN"/>
        </w:rPr>
        <w:t xml:space="preserve"> </w:t>
      </w:r>
      <w:r>
        <w:rPr>
          <w:rFonts w:hint="eastAsia" w:ascii="黑体" w:hAnsi="宋体" w:eastAsia="黑体" w:cs="宋体"/>
          <w:kern w:val="0"/>
          <w:szCs w:val="21"/>
          <w:lang w:val="zh-CN" w:bidi="zh-CN"/>
        </w:rPr>
        <w:t>循</w:t>
      </w:r>
      <w:r>
        <w:rPr>
          <w:rFonts w:hint="eastAsia" w:ascii="黑体" w:hAnsi="宋体" w:eastAsia="黑体" w:cs="宋体"/>
          <w:spacing w:val="-3"/>
          <w:kern w:val="0"/>
          <w:szCs w:val="21"/>
          <w:lang w:val="zh-CN" w:bidi="zh-CN"/>
        </w:rPr>
        <w:t>环</w:t>
      </w:r>
      <w:r>
        <w:rPr>
          <w:rFonts w:hint="eastAsia" w:ascii="黑体" w:hAnsi="宋体" w:eastAsia="黑体" w:cs="宋体"/>
          <w:kern w:val="0"/>
          <w:szCs w:val="21"/>
          <w:lang w:val="zh-CN" w:bidi="zh-CN"/>
        </w:rPr>
        <w:t>中</w:t>
      </w:r>
      <w:r>
        <w:rPr>
          <w:rFonts w:hint="eastAsia" w:ascii="黑体" w:hAnsi="宋体" w:eastAsia="黑体" w:cs="宋体"/>
          <w:spacing w:val="-3"/>
          <w:kern w:val="0"/>
          <w:szCs w:val="21"/>
          <w:lang w:val="zh-CN" w:bidi="zh-CN"/>
        </w:rPr>
        <w:t>的</w:t>
      </w:r>
      <w:r>
        <w:rPr>
          <w:rFonts w:hint="eastAsia" w:ascii="黑体" w:hAnsi="宋体" w:eastAsia="黑体" w:cs="宋体"/>
          <w:kern w:val="0"/>
          <w:szCs w:val="21"/>
          <w:lang w:val="zh-CN" w:bidi="zh-CN"/>
        </w:rPr>
        <w:t>展示</w:t>
      </w:r>
    </w:p>
    <w:p>
      <w:pPr>
        <w:autoSpaceDE w:val="0"/>
        <w:autoSpaceDN w:val="0"/>
        <w:spacing w:before="170"/>
        <w:jc w:val="left"/>
        <w:rPr>
          <w:rFonts w:ascii="宋体" w:hAnsi="宋体" w:cs="宋体"/>
          <w:kern w:val="0"/>
          <w:szCs w:val="22"/>
          <w:lang w:val="zh-CN" w:bidi="zh-CN"/>
        </w:rPr>
      </w:pPr>
    </w:p>
    <w:p>
      <w:pPr>
        <w:tabs>
          <w:tab w:val="left" w:pos="302"/>
        </w:tabs>
        <w:jc w:val="left"/>
        <w:rPr>
          <w:rFonts w:ascii="宋体" w:hAnsi="宋体" w:cs="宋体"/>
          <w:kern w:val="0"/>
          <w:szCs w:val="22"/>
          <w:lang w:bidi="zh-CN"/>
        </w:rPr>
        <w:sectPr>
          <w:pgSz w:w="11910" w:h="16850"/>
          <w:pgMar w:top="1240" w:right="560" w:bottom="1060" w:left="1020" w:header="0" w:footer="871" w:gutter="0"/>
          <w:cols w:space="720" w:num="1"/>
        </w:sectPr>
      </w:pPr>
      <w:r>
        <w:rPr>
          <w:rFonts w:hint="eastAsia" w:ascii="宋体" w:hAnsi="宋体" w:cs="宋体"/>
          <w:kern w:val="0"/>
          <w:szCs w:val="22"/>
          <w:lang w:val="zh-CN" w:bidi="zh-CN"/>
        </w:rPr>
        <w:tab/>
      </w:r>
      <w:r>
        <w:rPr>
          <w:rFonts w:hint="eastAsia" w:ascii="宋体" w:hAnsi="宋体" w:cs="宋体"/>
          <w:kern w:val="0"/>
          <w:szCs w:val="22"/>
          <w:lang w:bidi="zh-CN"/>
        </w:rPr>
        <w:t>注：括号中的数字表示本文件的相应章条号</w:t>
      </w:r>
    </w:p>
    <w:p>
      <w:pPr>
        <w:autoSpaceDE w:val="0"/>
        <w:autoSpaceDN w:val="0"/>
        <w:spacing w:before="1"/>
        <w:jc w:val="left"/>
        <w:rPr>
          <w:rFonts w:hint="eastAsia" w:ascii="宋体" w:hAnsi="宋体" w:cs="宋体"/>
          <w:kern w:val="0"/>
          <w:szCs w:val="21"/>
          <w:lang w:val="zh-CN" w:bidi="zh-CN"/>
        </w:rPr>
      </w:pPr>
      <w:r>
        <w:rPr>
          <w:rFonts w:hint="eastAsia" w:ascii="宋体" w:hAnsi="宋体" w:cs="宋体"/>
          <w:kern w:val="0"/>
          <w:szCs w:val="21"/>
          <w:lang w:val="zh-CN" w:bidi="zh-CN"/>
        </w:rPr>
        <w:t>4.2.3基于风险的思维</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ab/>
      </w:r>
      <w:r>
        <w:rPr>
          <w:rFonts w:hint="eastAsia" w:ascii="宋体" w:hAnsi="宋体" w:cs="宋体"/>
          <w:kern w:val="0"/>
          <w:szCs w:val="21"/>
          <w:lang w:val="zh-CN" w:bidi="zh-CN"/>
        </w:rPr>
        <w:t>为了满足本文件的要求,企业需策划和实施应对风险和机遇的措施，并可将风险管理过程形成文件,作为确定风险的证据。</w:t>
      </w:r>
    </w:p>
    <w:p>
      <w:pPr>
        <w:tabs>
          <w:tab w:val="left" w:pos="401"/>
        </w:tabs>
        <w:jc w:val="left"/>
        <w:rPr>
          <w:rFonts w:hint="eastAsia" w:ascii="宋体" w:hAnsi="宋体" w:cs="宋体"/>
          <w:kern w:val="0"/>
          <w:szCs w:val="21"/>
          <w:lang w:val="zh-CN" w:bidi="zh-CN"/>
        </w:rPr>
      </w:pPr>
      <w:r>
        <w:rPr>
          <w:rFonts w:hint="eastAsia" w:ascii="宋体" w:hAnsi="宋体" w:cs="宋体"/>
          <w:kern w:val="0"/>
          <w:szCs w:val="21"/>
          <w:lang w:val="zh-CN" w:bidi="zh-CN"/>
        </w:rPr>
        <w:t>企业可自行决定是否采用超出本文件要求的更多风险管理方法，如通过应用其他指南或标准。</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5企业环境</w:t>
      </w:r>
    </w:p>
    <w:p>
      <w:pPr>
        <w:tabs>
          <w:tab w:val="left" w:pos="401"/>
        </w:tabs>
        <w:jc w:val="left"/>
        <w:rPr>
          <w:rFonts w:ascii="宋体" w:hAnsi="宋体" w:cs="宋体"/>
          <w:kern w:val="0"/>
          <w:szCs w:val="21"/>
          <w:lang w:val="zh-CN" w:bidi="zh-CN"/>
        </w:rPr>
      </w:pPr>
      <w:r>
        <w:rPr>
          <w:rFonts w:hint="eastAsia" w:ascii="宋体" w:hAnsi="宋体" w:cs="宋体"/>
          <w:kern w:val="0"/>
          <w:szCs w:val="21"/>
          <w:lang w:val="zh-CN" w:bidi="zh-CN"/>
        </w:rPr>
        <w:t>5.1企业诚信环境</w:t>
      </w:r>
    </w:p>
    <w:p>
      <w:pPr>
        <w:rPr>
          <w:rFonts w:ascii="宋体" w:hAnsi="宋体" w:cs="宋体"/>
          <w:kern w:val="0"/>
          <w:szCs w:val="21"/>
          <w:lang w:bidi="zh-CN"/>
        </w:rPr>
      </w:pPr>
      <w:r>
        <w:rPr>
          <w:rFonts w:hint="eastAsia" w:ascii="宋体" w:hAnsi="宋体" w:cs="宋体"/>
          <w:kern w:val="0"/>
          <w:szCs w:val="21"/>
          <w:lang w:bidi="zh-CN"/>
        </w:rPr>
        <w:t>5.1.1内部环境</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为了理解内部环境，企业应评估:</w:t>
      </w:r>
    </w:p>
    <w:p>
      <w:pPr>
        <w:numPr>
          <w:ilvl w:val="0"/>
          <w:numId w:val="2"/>
        </w:num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企业信用认知情况,包括愿景、价值观和目标以及建立企业独有的诚信知识体系等;</w:t>
      </w:r>
    </w:p>
    <w:p>
      <w:pPr>
        <w:tabs>
          <w:tab w:val="left" w:pos="352"/>
        </w:tabs>
        <w:jc w:val="left"/>
        <w:rPr>
          <w:rFonts w:ascii="宋体" w:hAnsi="宋体" w:cs="宋体"/>
          <w:kern w:val="0"/>
          <w:szCs w:val="21"/>
          <w:lang w:val="zh-CN" w:bidi="zh-CN"/>
        </w:rPr>
      </w:pPr>
      <w:r>
        <w:rPr>
          <w:rFonts w:hint="eastAsia" w:ascii="宋体" w:hAnsi="宋体" w:cs="宋体"/>
          <w:kern w:val="0"/>
          <w:szCs w:val="21"/>
          <w:lang w:val="zh-CN" w:bidi="zh-CN"/>
        </w:rPr>
        <w:t>b) 内部信用管理现状,包括诚信教育培训、员工诚信行为和诚信考核评价、投资人及管理团队的诚信管理行为等;</w:t>
      </w:r>
    </w:p>
    <w:p>
      <w:pPr>
        <w:tabs>
          <w:tab w:val="left" w:pos="352"/>
        </w:tabs>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）企业运营现状,包括治理结构、财务状况和履约能力等:</w:t>
      </w:r>
    </w:p>
    <w:p>
      <w:pPr>
        <w:tabs>
          <w:tab w:val="left" w:pos="352"/>
        </w:tabs>
        <w:jc w:val="left"/>
        <w:rPr>
          <w:rFonts w:hint="eastAsia" w:ascii="宋体" w:hAnsi="宋体" w:cs="宋体"/>
          <w:kern w:val="0"/>
          <w:szCs w:val="21"/>
          <w:lang w:val="zh-CN" w:bidi="zh-CN"/>
        </w:rPr>
      </w:pPr>
      <w:r>
        <w:rPr>
          <w:rFonts w:hint="eastAsia" w:ascii="宋体" w:hAnsi="宋体" w:cs="宋体"/>
          <w:kern w:val="0"/>
          <w:szCs w:val="21"/>
          <w:lang w:val="zh-CN" w:bidi="zh-CN"/>
        </w:rPr>
        <w:t>d)相关方基础与交易信用管理现状。</w:t>
      </w:r>
    </w:p>
    <w:p>
      <w:pPr>
        <w:jc w:val="left"/>
        <w:rPr>
          <w:lang w:val="zh-CN"/>
        </w:rPr>
      </w:pPr>
      <w:r>
        <w:rPr>
          <w:rFonts w:hint="eastAsia"/>
          <w:lang w:val="zh-CN"/>
        </w:rPr>
        <w:t>5.1.2外部环境</w:t>
      </w:r>
    </w:p>
    <w:p>
      <w:pPr>
        <w:jc w:val="left"/>
        <w:rPr>
          <w:lang w:val="zh-CN"/>
        </w:rPr>
      </w:pPr>
      <w:r>
        <w:rPr>
          <w:rFonts w:hint="eastAsia"/>
          <w:lang w:val="zh-CN"/>
        </w:rPr>
        <w:t>为了理解外部环境,企业应评估:</w:t>
      </w:r>
    </w:p>
    <w:p>
      <w:pPr>
        <w:jc w:val="left"/>
        <w:rPr>
          <w:lang w:val="zh-CN"/>
        </w:rPr>
      </w:pPr>
      <w:r>
        <w:rPr>
          <w:rFonts w:hint="eastAsia"/>
        </w:rPr>
        <w:t>a)</w:t>
      </w:r>
      <w:r>
        <w:rPr>
          <w:rFonts w:hint="eastAsia"/>
          <w:lang w:val="zh-CN"/>
        </w:rPr>
        <w:t>国际、国内与企业产品和服务相关的法律法规和技术规范的适用性:a)</w:t>
      </w:r>
    </w:p>
    <w:p>
      <w:pPr>
        <w:jc w:val="left"/>
        <w:rPr>
          <w:lang w:val="zh-CN"/>
        </w:rPr>
      </w:pPr>
      <w:r>
        <w:rPr>
          <w:rFonts w:hint="eastAsia"/>
          <w:lang w:val="zh-CN"/>
        </w:rPr>
        <w:t>b)消费者的需求和期望;</w:t>
      </w:r>
    </w:p>
    <w:p>
      <w:pPr>
        <w:jc w:val="left"/>
      </w:pPr>
      <w:r>
        <w:rPr>
          <w:rFonts w:hint="eastAsia"/>
          <w:lang w:val="zh-CN"/>
        </w:rPr>
        <w:t>c)外部供方的需求和期望</w:t>
      </w:r>
      <w:r>
        <w:rPr>
          <w:rFonts w:hint="eastAsia"/>
        </w:rPr>
        <w:t>;</w:t>
      </w:r>
    </w:p>
    <w:p>
      <w:pPr>
        <w:jc w:val="left"/>
        <w:rPr>
          <w:lang w:val="zh-CN"/>
        </w:rPr>
      </w:pPr>
      <w:r>
        <w:rPr>
          <w:rFonts w:hint="eastAsia"/>
          <w:lang w:val="zh-CN"/>
        </w:rPr>
        <w:t>d)国家主管部门信用监管措施的适用性:</w:t>
      </w:r>
    </w:p>
    <w:p>
      <w:pPr>
        <w:jc w:val="left"/>
        <w:rPr>
          <w:lang w:val="zh-CN"/>
        </w:rPr>
      </w:pPr>
      <w:r>
        <w:rPr>
          <w:rFonts w:hint="eastAsia"/>
          <w:lang w:val="zh-CN"/>
        </w:rPr>
        <w:t>e)社会信用体系推进对企业的影响;</w:t>
      </w:r>
    </w:p>
    <w:p>
      <w:pPr>
        <w:jc w:val="left"/>
        <w:rPr>
          <w:lang w:val="zh-CN"/>
        </w:rPr>
      </w:pPr>
      <w:r>
        <w:rPr>
          <w:rFonts w:hint="eastAsia"/>
        </w:rPr>
        <w:t>f)</w:t>
      </w:r>
      <w:r>
        <w:rPr>
          <w:rFonts w:hint="eastAsia"/>
          <w:lang w:val="zh-CN"/>
        </w:rPr>
        <w:t>行业约束;</w:t>
      </w:r>
    </w:p>
    <w:p>
      <w:pPr>
        <w:jc w:val="left"/>
        <w:rPr>
          <w:lang w:val="zh-CN"/>
        </w:rPr>
      </w:pPr>
      <w:r>
        <w:rPr>
          <w:rFonts w:hint="eastAsia"/>
          <w:lang w:val="zh-CN"/>
        </w:rPr>
        <w:t>g)同行业竞争:</w:t>
      </w:r>
    </w:p>
    <w:p>
      <w:pPr>
        <w:jc w:val="left"/>
        <w:rPr>
          <w:rFonts w:hint="eastAsia"/>
          <w:lang w:val="zh-CN"/>
        </w:rPr>
      </w:pPr>
      <w:r>
        <w:rPr>
          <w:rFonts w:hint="eastAsia"/>
          <w:lang w:val="zh-CN"/>
        </w:rPr>
        <w:t>h)经济环境和社会文化环境的影响。</w:t>
      </w:r>
    </w:p>
    <w:p>
      <w:pPr>
        <w:jc w:val="left"/>
      </w:pPr>
      <w:r>
        <w:rPr>
          <w:rFonts w:hint="eastAsia"/>
        </w:rPr>
        <w:t>5.2相关方需求和期望</w:t>
      </w:r>
    </w:p>
    <w:p>
      <w:pPr>
        <w:jc w:val="left"/>
      </w:pPr>
      <w:r>
        <w:rPr>
          <w:rFonts w:hint="eastAsia"/>
        </w:rPr>
        <w:t>5.2.1 基本要求</w:t>
      </w:r>
    </w:p>
    <w:p>
      <w:pPr>
        <w:jc w:val="left"/>
      </w:pPr>
      <w:r>
        <w:rPr>
          <w:rFonts w:hint="eastAsia"/>
        </w:rPr>
        <w:t>企业应稳定提供满足相关方需求和期望并符合相关标准或规范要求的产品和服务,识别和分析这些相关方的信息及其相关要求。</w:t>
      </w:r>
    </w:p>
    <w:p>
      <w:pPr>
        <w:jc w:val="left"/>
      </w:pPr>
      <w:r>
        <w:rPr>
          <w:rFonts w:hint="eastAsia"/>
        </w:rPr>
        <w:t>5.2.2 所有者</w:t>
      </w:r>
    </w:p>
    <w:p>
      <w:pPr>
        <w:jc w:val="left"/>
      </w:pPr>
      <w:r>
        <w:rPr>
          <w:rFonts w:hint="eastAsia"/>
        </w:rPr>
        <w:t>所有者的需求和期望.包括但不限于:</w:t>
      </w:r>
    </w:p>
    <w:p>
      <w:pPr>
        <w:jc w:val="left"/>
      </w:pPr>
      <w:r>
        <w:rPr>
          <w:rFonts w:hint="eastAsia"/>
        </w:rPr>
        <w:t>a)符合预期的投资效益:</w:t>
      </w:r>
    </w:p>
    <w:p>
      <w:pPr>
        <w:jc w:val="left"/>
      </w:pPr>
      <w:r>
        <w:rPr>
          <w:rFonts w:hint="eastAsia"/>
        </w:rPr>
        <w:t>b）企业发展的可持续性;</w:t>
      </w:r>
    </w:p>
    <w:p>
      <w:pPr>
        <w:jc w:val="left"/>
        <w:rPr>
          <w:rFonts w:hint="eastAsia"/>
        </w:rPr>
      </w:pPr>
      <w:r>
        <w:rPr>
          <w:rFonts w:hint="eastAsia"/>
        </w:rPr>
        <w:t>c)提高品牌影响力和社会美誉度.</w:t>
      </w:r>
    </w:p>
    <w:p>
      <w:pPr>
        <w:jc w:val="left"/>
      </w:pPr>
      <w:r>
        <w:rPr>
          <w:rFonts w:hint="eastAsia"/>
        </w:rPr>
        <w:t>5.2.3员工</w:t>
      </w:r>
    </w:p>
    <w:p>
      <w:pPr>
        <w:jc w:val="left"/>
      </w:pPr>
      <w:r>
        <w:rPr>
          <w:rFonts w:hint="eastAsia"/>
        </w:rPr>
        <w:t>员工的需求和期望,包括但不限于:</w:t>
      </w:r>
    </w:p>
    <w:p>
      <w:pPr>
        <w:jc w:val="left"/>
        <w:rPr>
          <w:rFonts w:hint="eastAsia"/>
        </w:rPr>
      </w:pPr>
      <w:r>
        <w:rPr>
          <w:rFonts w:hint="eastAsia"/>
        </w:rPr>
        <w:t>a)薪资和福利稳定;</w:t>
      </w:r>
    </w:p>
    <w:p>
      <w:pPr>
        <w:numPr>
          <w:ilvl w:val="0"/>
          <w:numId w:val="2"/>
        </w:numPr>
        <w:jc w:val="left"/>
      </w:pPr>
      <w:r>
        <w:rPr>
          <w:rFonts w:hint="eastAsia"/>
        </w:rPr>
        <w:t>公正和信息透明的管理制度;</w:t>
      </w:r>
    </w:p>
    <w:p>
      <w:pPr>
        <w:numPr>
          <w:ilvl w:val="0"/>
          <w:numId w:val="2"/>
        </w:numPr>
        <w:tabs>
          <w:tab w:val="left" w:pos="339"/>
        </w:tabs>
        <w:jc w:val="left"/>
      </w:pPr>
      <w:r>
        <w:rPr>
          <w:rFonts w:hint="eastAsia"/>
        </w:rPr>
        <w:t>健康和安全的工作环境;</w:t>
      </w:r>
    </w:p>
    <w:p>
      <w:pPr>
        <w:tabs>
          <w:tab w:val="left" w:pos="339"/>
        </w:tabs>
        <w:jc w:val="left"/>
      </w:pPr>
      <w:r>
        <w:rPr>
          <w:rFonts w:hint="eastAsia"/>
        </w:rPr>
        <w:t>d）提供培训,创造个人能力提升机会.</w:t>
      </w:r>
    </w:p>
    <w:p>
      <w:pPr>
        <w:jc w:val="left"/>
      </w:pPr>
      <w:r>
        <w:rPr>
          <w:rFonts w:hint="eastAsia"/>
        </w:rPr>
        <w:t>5.2.4顾客</w:t>
      </w:r>
    </w:p>
    <w:p>
      <w:pPr>
        <w:jc w:val="left"/>
      </w:pPr>
      <w:r>
        <w:rPr>
          <w:rFonts w:hint="eastAsia"/>
        </w:rPr>
        <w:t>顾客的需求和期望.包括但不限于:</w:t>
      </w:r>
    </w:p>
    <w:p>
      <w:pPr>
        <w:jc w:val="left"/>
      </w:pPr>
      <w:r>
        <w:rPr>
          <w:rFonts w:hint="eastAsia"/>
        </w:rPr>
        <w:t>a) 产品和服务的设计和质量符合要求:</w:t>
      </w:r>
    </w:p>
    <w:p>
      <w:pPr>
        <w:jc w:val="left"/>
      </w:pPr>
      <w:r>
        <w:rPr>
          <w:rFonts w:hint="eastAsia"/>
        </w:rPr>
        <w:t>b)及时交货;</w:t>
      </w:r>
    </w:p>
    <w:p>
      <w:pPr>
        <w:jc w:val="left"/>
      </w:pPr>
      <w:r>
        <w:rPr>
          <w:rFonts w:hint="eastAsia"/>
        </w:rPr>
        <w:t>C)价格合理;</w:t>
      </w:r>
    </w:p>
    <w:p>
      <w:pPr>
        <w:jc w:val="left"/>
        <w:rPr>
          <w:rFonts w:hint="eastAsia"/>
        </w:rPr>
      </w:pPr>
      <w:r>
        <w:rPr>
          <w:rFonts w:hint="eastAsia"/>
        </w:rPr>
        <w:t>d)服务良好，包括建立必要的渠道使顾客能够全面掌握和了解产品和服务的信息，在产品全生命</w:t>
      </w:r>
    </w:p>
    <w:p>
      <w:pPr>
        <w:jc w:val="left"/>
      </w:pPr>
      <w:r>
        <w:rPr>
          <w:rFonts w:hint="eastAsia"/>
        </w:rPr>
        <w:t>周期内建立监督和信息反馈机制:</w:t>
      </w:r>
    </w:p>
    <w:p>
      <w:pPr>
        <w:jc w:val="left"/>
      </w:pPr>
      <w:r>
        <w:rPr>
          <w:rFonts w:hint="eastAsia"/>
        </w:rPr>
        <w:t>e)运营状况良好,具备一定的抗风险能力且有良好的口碑;e)</w:t>
      </w:r>
    </w:p>
    <w:p>
      <w:pPr>
        <w:jc w:val="left"/>
      </w:pPr>
      <w:r>
        <w:rPr>
          <w:rFonts w:hint="eastAsia"/>
        </w:rPr>
        <w:t>f)建立质量管理体系并有效运行;o</w:t>
      </w:r>
    </w:p>
    <w:p>
      <w:pPr>
        <w:jc w:val="left"/>
      </w:pPr>
      <w:r>
        <w:rPr>
          <w:rFonts w:hint="eastAsia"/>
        </w:rPr>
        <w:t>g)互联网平台企业应建立诚信管理机制,对入驻平台的经营者实施监督.</w:t>
      </w:r>
    </w:p>
    <w:p>
      <w:pPr>
        <w:tabs>
          <w:tab w:val="left" w:pos="302"/>
        </w:tabs>
        <w:jc w:val="left"/>
      </w:pPr>
      <w:r>
        <w:rPr>
          <w:rFonts w:hint="eastAsia"/>
        </w:rPr>
        <w:tab/>
      </w:r>
      <w:r>
        <w:rPr>
          <w:rFonts w:hint="eastAsia"/>
        </w:rPr>
        <w:t>5.25供方</w:t>
      </w:r>
    </w:p>
    <w:p>
      <w:pPr>
        <w:tabs>
          <w:tab w:val="left" w:pos="302"/>
        </w:tabs>
        <w:jc w:val="left"/>
      </w:pPr>
      <w:r>
        <w:rPr>
          <w:rFonts w:hint="eastAsia"/>
        </w:rPr>
        <w:t>供方的需求和期望.包括但不限于:</w:t>
      </w:r>
    </w:p>
    <w:p>
      <w:pPr>
        <w:tabs>
          <w:tab w:val="left" w:pos="302"/>
        </w:tabs>
        <w:jc w:val="left"/>
      </w:pPr>
      <w:r>
        <w:rPr>
          <w:rFonts w:hint="eastAsia"/>
        </w:rPr>
        <w:t>a)稳定和持续的合作/互利双赢;a</w:t>
      </w:r>
    </w:p>
    <w:p>
      <w:pPr>
        <w:tabs>
          <w:tab w:val="left" w:pos="302"/>
        </w:tabs>
        <w:jc w:val="left"/>
      </w:pPr>
      <w:r>
        <w:rPr>
          <w:rFonts w:hint="eastAsia"/>
        </w:rPr>
        <w:t>b)公开透明的采购机制;</w:t>
      </w:r>
    </w:p>
    <w:p>
      <w:pPr>
        <w:tabs>
          <w:tab w:val="left" w:pos="302"/>
        </w:tabs>
        <w:jc w:val="left"/>
      </w:pPr>
      <w:r>
        <w:rPr>
          <w:rFonts w:hint="eastAsia"/>
        </w:rPr>
        <w:t>c)按合同要求付款。</w:t>
      </w:r>
    </w:p>
    <w:p>
      <w:pPr>
        <w:rPr>
          <w:rFonts w:hint="eastAsia"/>
        </w:rPr>
      </w:pPr>
    </w:p>
    <w:p>
      <w:pPr>
        <w:tabs>
          <w:tab w:val="left" w:pos="240"/>
        </w:tabs>
        <w:jc w:val="left"/>
        <w:rPr>
          <w:rFonts w:hint="eastAsia"/>
        </w:rPr>
      </w:pPr>
      <w:r>
        <w:rPr>
          <w:rFonts w:hint="eastAsia"/>
        </w:rPr>
        <w:tab/>
      </w:r>
      <w:r>
        <w:rPr>
          <w:rFonts w:hint="eastAsia"/>
        </w:rPr>
        <w:t>5.2.6信用监管机构或部门</w:t>
      </w:r>
    </w:p>
    <w:p>
      <w:pPr>
        <w:tabs>
          <w:tab w:val="left" w:pos="277"/>
        </w:tabs>
        <w:jc w:val="left"/>
        <w:rPr>
          <w:rFonts w:hint="eastAsia"/>
        </w:rPr>
      </w:pPr>
      <w:r>
        <w:rPr>
          <w:rFonts w:hint="eastAsia"/>
        </w:rPr>
        <w:tab/>
      </w:r>
      <w:r>
        <w:rPr>
          <w:rFonts w:hint="eastAsia"/>
        </w:rPr>
        <w:t>信用监管机构或部门的需求和期望,包括但不限于:</w:t>
      </w:r>
    </w:p>
    <w:p>
      <w:pPr>
        <w:numPr>
          <w:ilvl w:val="0"/>
          <w:numId w:val="3"/>
        </w:numPr>
        <w:jc w:val="left"/>
        <w:rPr>
          <w:rFonts w:hint="eastAsia"/>
        </w:rPr>
      </w:pPr>
      <w:r>
        <w:rPr>
          <w:rFonts w:hint="eastAsia"/>
        </w:rPr>
        <w:t>安全生产;</w:t>
      </w:r>
    </w:p>
    <w:p>
      <w:pPr>
        <w:tabs>
          <w:tab w:val="left" w:pos="537"/>
        </w:tabs>
        <w:ind w:firstLine="210" w:firstLineChars="100"/>
        <w:jc w:val="left"/>
      </w:pPr>
      <w:r>
        <w:rPr>
          <w:rFonts w:hint="eastAsia"/>
        </w:rPr>
        <w:t>b)环保生产;</w:t>
      </w:r>
    </w:p>
    <w:p>
      <w:pPr>
        <w:rPr>
          <w:rFonts w:hint="eastAsia"/>
        </w:rPr>
      </w:pPr>
      <w:r>
        <w:rPr>
          <w:rFonts w:hint="eastAsia"/>
        </w:rPr>
        <w:t xml:space="preserve">  c)就业最大化;</w:t>
      </w:r>
    </w:p>
    <w:p>
      <w:pPr>
        <w:ind w:firstLine="210" w:firstLineChars="100"/>
        <w:jc w:val="left"/>
        <w:rPr>
          <w:rFonts w:hint="eastAsia"/>
        </w:rPr>
      </w:pPr>
      <w:r>
        <w:rPr>
          <w:rFonts w:hint="eastAsia"/>
        </w:rPr>
        <w:t>d)合法经营,且良好的经营效益;</w:t>
      </w:r>
    </w:p>
    <w:p>
      <w:pPr>
        <w:ind w:firstLine="210" w:firstLineChars="100"/>
        <w:jc w:val="left"/>
      </w:pPr>
      <w:r>
        <w:rPr>
          <w:rFonts w:hint="eastAsia"/>
        </w:rPr>
        <w:t>e)必要的信息公开;</w:t>
      </w:r>
    </w:p>
    <w:p>
      <w:pPr>
        <w:ind w:firstLine="210" w:firstLineChars="100"/>
        <w:jc w:val="left"/>
        <w:rPr>
          <w:rFonts w:hint="eastAsia"/>
        </w:rPr>
      </w:pPr>
      <w:r>
        <w:rPr>
          <w:rFonts w:hint="eastAsia"/>
        </w:rPr>
        <w:t>f)积极主动配合市场监管、税务、劳动和社会保障、安监、消防、环保等方面的审核和检查;</w:t>
      </w:r>
    </w:p>
    <w:p>
      <w:pPr>
        <w:ind w:firstLine="210" w:firstLineChars="100"/>
        <w:jc w:val="left"/>
        <w:rPr>
          <w:rFonts w:hint="eastAsia"/>
        </w:rPr>
      </w:pPr>
      <w:r>
        <w:rPr>
          <w:rFonts w:hint="eastAsia"/>
        </w:rPr>
        <w:t>g)互联网平台企业应签署依法合规经营承诺,采取必要的措施以应对数字经济时代新型商业模g式下知识产权保护、反垄断、广告、消费者权益保护方面出现的新问题。</w:t>
      </w:r>
    </w:p>
    <w:p>
      <w:pPr>
        <w:tabs>
          <w:tab w:val="left" w:pos="364"/>
        </w:tabs>
        <w:jc w:val="left"/>
      </w:pPr>
      <w:r>
        <w:rPr>
          <w:rFonts w:hint="eastAsia"/>
        </w:rPr>
        <w:tab/>
      </w:r>
      <w:r>
        <w:rPr>
          <w:rFonts w:hint="eastAsia"/>
        </w:rPr>
        <w:t>5.2.7行业组织</w:t>
      </w:r>
    </w:p>
    <w:p>
      <w:pPr>
        <w:tabs>
          <w:tab w:val="left" w:pos="686"/>
        </w:tabs>
        <w:ind w:firstLine="210" w:firstLineChars="100"/>
        <w:jc w:val="left"/>
      </w:pPr>
      <w:r>
        <w:rPr>
          <w:rFonts w:hint="eastAsia"/>
        </w:rPr>
        <w:t>行业组织的需求和期望,包括但不限于:</w:t>
      </w:r>
    </w:p>
    <w:p>
      <w:pPr>
        <w:tabs>
          <w:tab w:val="left" w:pos="170"/>
        </w:tabs>
        <w:jc w:val="left"/>
      </w:pPr>
      <w:r>
        <w:rPr>
          <w:rFonts w:hint="eastAsia"/>
        </w:rPr>
        <w:tab/>
      </w:r>
      <w:r>
        <w:rPr>
          <w:rFonts w:hint="eastAsia"/>
        </w:rPr>
        <w:t>a)遵守行业管理条例和规章:</w:t>
      </w:r>
    </w:p>
    <w:p>
      <w:pPr>
        <w:tabs>
          <w:tab w:val="left" w:pos="587"/>
        </w:tabs>
        <w:jc w:val="left"/>
        <w:rPr>
          <w:szCs w:val="22"/>
          <w:lang w:val="zh-CN"/>
        </w:rPr>
      </w:pPr>
      <w:r>
        <w:rPr>
          <w:rFonts w:hint="eastAsia"/>
        </w:rPr>
        <w:t>b) 提供必要的信息。</w:t>
      </w:r>
      <w:bookmarkStart w:id="4" w:name="_bookmark116"/>
      <w:bookmarkEnd w:id="4"/>
      <w:r>
        <w:rPr>
          <w:rFonts w:hint="eastAsia"/>
          <w:szCs w:val="22"/>
          <w:lang w:val="zh-CN"/>
        </w:rPr>
        <w:t>5.2.8竞争对手</w:t>
      </w:r>
    </w:p>
    <w:p>
      <w:pPr>
        <w:tabs>
          <w:tab w:val="left" w:pos="587"/>
        </w:tabs>
        <w:jc w:val="left"/>
        <w:rPr>
          <w:szCs w:val="22"/>
          <w:lang w:val="zh-CN"/>
        </w:rPr>
      </w:pPr>
    </w:p>
    <w:p>
      <w:pPr>
        <w:tabs>
          <w:tab w:val="left" w:pos="587"/>
        </w:tabs>
        <w:jc w:val="left"/>
        <w:rPr>
          <w:szCs w:val="22"/>
          <w:lang w:val="zh-CN"/>
        </w:rPr>
      </w:pPr>
      <w:r>
        <w:rPr>
          <w:rFonts w:hint="eastAsia"/>
          <w:szCs w:val="22"/>
          <w:lang w:val="zh-CN"/>
        </w:rPr>
        <w:t>竞争对手的需求和期望是进行正当竞争。</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rFonts w:ascii="宋体" w:hAnsi="宋体" w:cs="宋体"/>
          <w:b/>
          <w:bCs/>
          <w:kern w:val="0"/>
          <w:szCs w:val="21"/>
          <w:u w:val="single"/>
          <w:lang w:bidi="zh-CN"/>
        </w:rPr>
      </w:pPr>
      <w:r>
        <w:rPr>
          <w:rFonts w:hint="eastAsia"/>
          <w:szCs w:val="22"/>
        </w:rPr>
        <w:t>5.3愿景和目标</w:t>
      </w:r>
    </w:p>
    <w:p>
      <w:pPr>
        <w:autoSpaceDE w:val="0"/>
        <w:autoSpaceDN w:val="0"/>
        <w:spacing w:line="276" w:lineRule="auto"/>
        <w:jc w:val="left"/>
        <w:rPr>
          <w:szCs w:val="22"/>
          <w:lang w:val="zh-CN"/>
        </w:rPr>
      </w:pPr>
      <w:r>
        <w:rPr>
          <w:rFonts w:hint="eastAsia"/>
          <w:szCs w:val="22"/>
          <w:lang w:val="zh-CN"/>
        </w:rPr>
        <w:t>企业应制定未来发展方向和战略定位,提出发展蓝图及提高品牌影响力和社会美誉度的长期目标</w:t>
      </w:r>
    </w:p>
    <w:p>
      <w:pPr>
        <w:autoSpaceDE w:val="0"/>
        <w:autoSpaceDN w:val="0"/>
        <w:spacing w:line="276" w:lineRule="auto"/>
        <w:jc w:val="left"/>
        <w:rPr>
          <w:szCs w:val="22"/>
          <w:lang w:val="zh-CN"/>
        </w:rPr>
      </w:pPr>
      <w:r>
        <w:rPr>
          <w:rFonts w:hint="eastAsia"/>
          <w:szCs w:val="22"/>
          <w:lang w:val="zh-CN"/>
        </w:rPr>
        <w:t>及中短期目标,作为内部所有部门的共同目标,并给员工指明发展方向,提供激励的基本框架。</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5.4 诚信管理体系范围</w:t>
      </w:r>
    </w:p>
    <w:p>
      <w:pPr>
        <w:autoSpaceDE w:val="0"/>
        <w:autoSpaceDN w:val="0"/>
        <w:spacing w:line="276" w:lineRule="auto"/>
        <w:jc w:val="left"/>
        <w:rPr>
          <w:szCs w:val="22"/>
          <w:lang w:val="zh-CN"/>
        </w:rPr>
      </w:pPr>
      <w:r>
        <w:rPr>
          <w:rFonts w:hint="eastAsia"/>
          <w:szCs w:val="22"/>
          <w:lang w:val="zh-CN"/>
        </w:rPr>
        <w:t>在确定范围时，企业应确定诚信管理体系的边界和适用性,评估 5.1 中提及的各种内外部环境因素的影响,以及5.2中提及的相关方的需求和期望.并遵循以下要求:</w:t>
      </w:r>
    </w:p>
    <w:p>
      <w:pPr>
        <w:autoSpaceDE w:val="0"/>
        <w:autoSpaceDN w:val="0"/>
        <w:spacing w:line="276" w:lineRule="auto"/>
        <w:jc w:val="left"/>
        <w:rPr>
          <w:szCs w:val="22"/>
          <w:lang w:val="zh-CN"/>
        </w:rPr>
      </w:pPr>
      <w:r>
        <w:rPr>
          <w:rFonts w:hint="eastAsia"/>
          <w:szCs w:val="22"/>
        </w:rPr>
        <w:t>a)</w:t>
      </w:r>
      <w:r>
        <w:rPr>
          <w:rFonts w:hint="eastAsia"/>
          <w:szCs w:val="22"/>
          <w:lang w:val="zh-CN"/>
        </w:rPr>
        <w:t>企业以实现诚信经营、提高品牌影响力和社会美誉度为目标而作出的与其产品和服务相关的a)承诺.包括 5.3中提及的愿景和目标;</w:t>
      </w:r>
    </w:p>
    <w:p>
      <w:pPr>
        <w:autoSpaceDE w:val="0"/>
        <w:autoSpaceDN w:val="0"/>
        <w:spacing w:line="276" w:lineRule="auto"/>
        <w:jc w:val="left"/>
        <w:rPr>
          <w:szCs w:val="22"/>
          <w:lang w:val="zh-CN"/>
        </w:rPr>
      </w:pPr>
      <w:r>
        <w:rPr>
          <w:rFonts w:hint="eastAsia"/>
          <w:szCs w:val="22"/>
        </w:rPr>
        <w:t>b)</w:t>
      </w:r>
      <w:r>
        <w:rPr>
          <w:rFonts w:hint="eastAsia"/>
          <w:szCs w:val="22"/>
          <w:lang w:val="zh-CN"/>
        </w:rPr>
        <w:t>企业的诚信管理体系范围应作为成文信息,可获得并得到保存。该范围应描述所覆盖的与其b)产品和服务相关的所有承诺。</w:t>
      </w:r>
    </w:p>
    <w:p>
      <w:pPr>
        <w:autoSpaceDE w:val="0"/>
        <w:autoSpaceDN w:val="0"/>
        <w:spacing w:line="276" w:lineRule="auto"/>
        <w:jc w:val="left"/>
        <w:rPr>
          <w:szCs w:val="22"/>
          <w:lang w:val="zh-CN"/>
        </w:rPr>
      </w:pPr>
      <w:r>
        <w:rPr>
          <w:rFonts w:hint="eastAsia"/>
          <w:szCs w:val="22"/>
          <w:lang w:val="zh-CN"/>
        </w:rPr>
        <w:t>5.5诚信管理体系所需过程</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rPr>
        <w:t>5.</w:t>
      </w:r>
      <w:r>
        <w:rPr>
          <w:rFonts w:hint="eastAsia"/>
          <w:szCs w:val="22"/>
          <w:lang w:val="zh-CN"/>
        </w:rPr>
        <w:t>5.1 企业应确定诚信管理体系所需的过程及其在整个企业中的应用，且应:</w:t>
      </w:r>
    </w:p>
    <w:p>
      <w:pPr>
        <w:autoSpaceDE w:val="0"/>
        <w:autoSpaceDN w:val="0"/>
        <w:spacing w:line="276" w:lineRule="auto"/>
        <w:jc w:val="left"/>
        <w:rPr>
          <w:szCs w:val="22"/>
          <w:lang w:val="zh-CN"/>
        </w:rPr>
      </w:pPr>
      <w:r>
        <w:rPr>
          <w:rFonts w:hint="eastAsia"/>
          <w:szCs w:val="22"/>
        </w:rPr>
        <w:t>a)</w:t>
      </w:r>
      <w:r>
        <w:rPr>
          <w:rFonts w:hint="eastAsia"/>
          <w:szCs w:val="22"/>
          <w:lang w:val="zh-CN"/>
        </w:rPr>
        <w:t>确定这些过程所需的输入和期望的输出:a)</w:t>
      </w:r>
    </w:p>
    <w:p>
      <w:pPr>
        <w:autoSpaceDE w:val="0"/>
        <w:autoSpaceDN w:val="0"/>
        <w:spacing w:line="276" w:lineRule="auto"/>
        <w:jc w:val="left"/>
        <w:rPr>
          <w:szCs w:val="22"/>
          <w:lang w:val="zh-CN"/>
        </w:rPr>
      </w:pPr>
      <w:r>
        <w:rPr>
          <w:rFonts w:hint="eastAsia"/>
          <w:szCs w:val="22"/>
        </w:rPr>
        <w:t>b)</w:t>
      </w:r>
      <w:r>
        <w:rPr>
          <w:rFonts w:hint="eastAsia"/>
          <w:szCs w:val="22"/>
          <w:lang w:val="zh-CN"/>
        </w:rPr>
        <w:t>确定这些过程的顺序和相互作用;</w:t>
      </w:r>
    </w:p>
    <w:p>
      <w:pPr>
        <w:autoSpaceDE w:val="0"/>
        <w:autoSpaceDN w:val="0"/>
        <w:spacing w:line="276" w:lineRule="auto"/>
        <w:jc w:val="left"/>
        <w:rPr>
          <w:szCs w:val="22"/>
          <w:lang w:val="zh-CN"/>
        </w:rPr>
      </w:pPr>
      <w:r>
        <w:rPr>
          <w:rFonts w:hint="eastAsia"/>
          <w:szCs w:val="22"/>
        </w:rPr>
        <w:t>c)</w:t>
      </w:r>
      <w:r>
        <w:rPr>
          <w:rFonts w:hint="eastAsia"/>
          <w:szCs w:val="22"/>
          <w:lang w:val="zh-CN"/>
        </w:rPr>
        <w:t>确定和应用所需的准则和方法(包括承诺及其履行的核查、分析、评价和相关指标),以确保这c)些过程的有效运行和控制;</w:t>
      </w:r>
    </w:p>
    <w:p>
      <w:pPr>
        <w:autoSpaceDE w:val="0"/>
        <w:autoSpaceDN w:val="0"/>
        <w:spacing w:line="276" w:lineRule="auto"/>
        <w:jc w:val="left"/>
        <w:rPr>
          <w:szCs w:val="22"/>
          <w:lang w:val="zh-CN"/>
        </w:rPr>
      </w:pPr>
      <w:r>
        <w:rPr>
          <w:rFonts w:hint="eastAsia"/>
          <w:szCs w:val="22"/>
          <w:lang w:val="zh-CN"/>
        </w:rPr>
        <w:t>d)确定这些过程所需的资源并确保其可获得;</w:t>
      </w:r>
    </w:p>
    <w:p>
      <w:pPr>
        <w:autoSpaceDE w:val="0"/>
        <w:autoSpaceDN w:val="0"/>
        <w:spacing w:line="276" w:lineRule="auto"/>
        <w:jc w:val="left"/>
        <w:rPr>
          <w:szCs w:val="22"/>
          <w:lang w:val="zh-CN"/>
        </w:rPr>
      </w:pPr>
      <w:r>
        <w:rPr>
          <w:rFonts w:hint="eastAsia"/>
          <w:szCs w:val="22"/>
        </w:rPr>
        <w:t>e)</w:t>
      </w:r>
      <w:r>
        <w:rPr>
          <w:rFonts w:hint="eastAsia"/>
          <w:szCs w:val="22"/>
          <w:lang w:val="zh-CN"/>
        </w:rPr>
        <w:t>分配这些过程的职责和权限:</w:t>
      </w:r>
    </w:p>
    <w:p>
      <w:pPr>
        <w:autoSpaceDE w:val="0"/>
        <w:autoSpaceDN w:val="0"/>
        <w:spacing w:line="276" w:lineRule="auto"/>
        <w:jc w:val="left"/>
        <w:rPr>
          <w:szCs w:val="22"/>
          <w:lang w:val="zh-CN"/>
        </w:rPr>
      </w:pPr>
      <w:r>
        <w:rPr>
          <w:rFonts w:hint="eastAsia"/>
          <w:szCs w:val="22"/>
        </w:rPr>
        <w:t>f)</w:t>
      </w:r>
      <w:r>
        <w:rPr>
          <w:rFonts w:hint="eastAsia"/>
          <w:szCs w:val="22"/>
          <w:lang w:val="zh-CN"/>
        </w:rPr>
        <w:t>按照 7.3的要求应对失信风险和机遇;</w:t>
      </w:r>
    </w:p>
    <w:p>
      <w:pPr>
        <w:autoSpaceDE w:val="0"/>
        <w:autoSpaceDN w:val="0"/>
        <w:spacing w:line="276" w:lineRule="auto"/>
        <w:jc w:val="left"/>
        <w:rPr>
          <w:szCs w:val="22"/>
          <w:lang w:val="zh-CN"/>
        </w:rPr>
      </w:pPr>
      <w:r>
        <w:rPr>
          <w:rFonts w:hint="eastAsia"/>
          <w:szCs w:val="22"/>
          <w:lang w:val="zh-CN"/>
        </w:rPr>
        <w:t>g)评价这些过程，实施所需的变更，以确保实现这些过程的预期结果;</w:t>
      </w:r>
    </w:p>
    <w:p>
      <w:pPr>
        <w:autoSpaceDE w:val="0"/>
        <w:autoSpaceDN w:val="0"/>
        <w:spacing w:line="276" w:lineRule="auto"/>
        <w:jc w:val="left"/>
        <w:rPr>
          <w:szCs w:val="22"/>
          <w:lang w:val="zh-CN"/>
        </w:rPr>
      </w:pPr>
      <w:r>
        <w:rPr>
          <w:rFonts w:hint="eastAsia"/>
          <w:szCs w:val="22"/>
          <w:lang w:val="zh-CN"/>
        </w:rPr>
        <w:t>h)改进过程和诚信管理体系。</w:t>
      </w:r>
    </w:p>
    <w:p>
      <w:pPr>
        <w:autoSpaceDE w:val="0"/>
        <w:autoSpaceDN w:val="0"/>
        <w:spacing w:line="276" w:lineRule="auto"/>
        <w:jc w:val="left"/>
        <w:rPr>
          <w:szCs w:val="22"/>
          <w:lang w:val="zh-CN"/>
        </w:rPr>
      </w:pPr>
      <w:r>
        <w:rPr>
          <w:rFonts w:hint="eastAsia"/>
          <w:szCs w:val="22"/>
          <w:lang w:val="zh-CN"/>
        </w:rPr>
        <w:t>5.5.2 在必要的范围和程度上，企业应保持成文信息以支持过程运行。并确信其过程按策划进行。</w:t>
      </w:r>
    </w:p>
    <w:p>
      <w:pPr>
        <w:autoSpaceDE w:val="0"/>
        <w:autoSpaceDN w:val="0"/>
        <w:spacing w:line="276" w:lineRule="auto"/>
        <w:jc w:val="left"/>
        <w:rPr>
          <w:szCs w:val="22"/>
          <w:lang w:val="zh-CN"/>
        </w:rPr>
      </w:pPr>
      <w:r>
        <w:rPr>
          <w:rFonts w:hint="eastAsia"/>
          <w:szCs w:val="22"/>
        </w:rPr>
        <w:t>6.</w:t>
      </w:r>
      <w:r>
        <w:rPr>
          <w:rFonts w:hint="eastAsia"/>
          <w:szCs w:val="22"/>
          <w:lang w:val="zh-CN"/>
        </w:rPr>
        <w:t>领导作用</w:t>
      </w:r>
    </w:p>
    <w:p>
      <w:pPr>
        <w:autoSpaceDE w:val="0"/>
        <w:autoSpaceDN w:val="0"/>
        <w:spacing w:line="276"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6.1 总则</w:t>
      </w:r>
    </w:p>
    <w:p>
      <w:pPr>
        <w:autoSpaceDE w:val="0"/>
        <w:autoSpaceDN w:val="0"/>
        <w:spacing w:line="276" w:lineRule="auto"/>
        <w:jc w:val="left"/>
        <w:rPr>
          <w:szCs w:val="22"/>
          <w:lang w:val="zh-CN"/>
        </w:rPr>
      </w:pPr>
      <w:r>
        <w:rPr>
          <w:rFonts w:hint="eastAsia"/>
          <w:szCs w:val="22"/>
          <w:lang w:val="zh-CN"/>
        </w:rPr>
        <w:t>在企业诚信管理体系的建立和实施中,最高管理者通过以下方面证实其对诚信管理体系的领导作用和承诺:</w:t>
      </w:r>
    </w:p>
    <w:p>
      <w:pPr>
        <w:autoSpaceDE w:val="0"/>
        <w:autoSpaceDN w:val="0"/>
        <w:spacing w:line="276" w:lineRule="auto"/>
        <w:jc w:val="left"/>
        <w:rPr>
          <w:szCs w:val="22"/>
          <w:lang w:val="zh-CN"/>
        </w:rPr>
      </w:pPr>
      <w:r>
        <w:rPr>
          <w:rFonts w:hint="eastAsia"/>
          <w:szCs w:val="22"/>
          <w:lang w:val="zh-CN"/>
        </w:rPr>
        <w:t>a) 确保制定诚信方针、诚信目标和承诺.并与企业环境相适应,与相关方的需求和期望相符,与企业自身发展的愿景和目标相匹配;</w:t>
      </w:r>
    </w:p>
    <w:p>
      <w:pPr>
        <w:autoSpaceDE w:val="0"/>
        <w:autoSpaceDN w:val="0"/>
        <w:spacing w:line="276" w:lineRule="auto"/>
        <w:jc w:val="left"/>
        <w:rPr>
          <w:szCs w:val="22"/>
          <w:lang w:val="zh-CN"/>
        </w:rPr>
      </w:pPr>
      <w:r>
        <w:rPr>
          <w:rFonts w:hint="eastAsia"/>
          <w:szCs w:val="22"/>
          <w:lang w:val="zh-CN"/>
        </w:rPr>
        <w:t>b)确保公司章程、议事规则中体现诚信经营的要求,并将履行承诺的要求融入企业的各项业务过程:</w:t>
      </w:r>
    </w:p>
    <w:p>
      <w:pPr>
        <w:autoSpaceDE w:val="0"/>
        <w:autoSpaceDN w:val="0"/>
        <w:spacing w:line="276" w:lineRule="auto"/>
        <w:jc w:val="left"/>
        <w:rPr>
          <w:szCs w:val="22"/>
          <w:lang w:val="zh-CN"/>
        </w:rPr>
      </w:pPr>
      <w:r>
        <w:rPr>
          <w:rFonts w:hint="eastAsia"/>
          <w:szCs w:val="22"/>
          <w:lang w:val="zh-CN"/>
        </w:rPr>
        <w:t>c)确保履行承诺所需的资源是可获得的;</w:t>
      </w:r>
    </w:p>
    <w:p>
      <w:pPr>
        <w:autoSpaceDE w:val="0"/>
        <w:autoSpaceDN w:val="0"/>
        <w:spacing w:line="276" w:lineRule="auto"/>
        <w:jc w:val="left"/>
        <w:rPr>
          <w:szCs w:val="22"/>
          <w:lang w:val="zh-CN"/>
        </w:rPr>
      </w:pPr>
      <w:r>
        <w:rPr>
          <w:rFonts w:hint="eastAsia"/>
          <w:szCs w:val="22"/>
        </w:rPr>
        <w:t>d)</w:t>
      </w:r>
      <w:r>
        <w:rPr>
          <w:rFonts w:hint="eastAsia"/>
          <w:szCs w:val="22"/>
          <w:lang w:val="zh-CN"/>
        </w:rPr>
        <w:t>促使全员积极参与,指导和支持他们为诚信管理体系的有效性作出贡献;</w:t>
      </w:r>
    </w:p>
    <w:p>
      <w:pPr>
        <w:autoSpaceDE w:val="0"/>
        <w:autoSpaceDN w:val="0"/>
        <w:spacing w:line="276" w:lineRule="auto"/>
        <w:jc w:val="left"/>
        <w:rPr>
          <w:szCs w:val="22"/>
          <w:lang w:val="zh-CN"/>
        </w:rPr>
      </w:pPr>
      <w:r>
        <w:rPr>
          <w:rFonts w:hint="eastAsia"/>
          <w:szCs w:val="22"/>
        </w:rPr>
        <w:t>d)</w:t>
      </w:r>
      <w:r>
        <w:rPr>
          <w:rFonts w:hint="eastAsia"/>
          <w:szCs w:val="22"/>
          <w:lang w:val="zh-CN"/>
        </w:rPr>
        <w:t>确立企业内部诚信管理部门及其人员的岗位职责，并协调与其他相关部门间在诚信管理方面的分工和协作:</w:t>
      </w:r>
    </w:p>
    <w:p>
      <w:pPr>
        <w:autoSpaceDE w:val="0"/>
        <w:autoSpaceDN w:val="0"/>
        <w:spacing w:line="276" w:lineRule="auto"/>
        <w:jc w:val="left"/>
        <w:rPr>
          <w:szCs w:val="22"/>
          <w:lang w:val="zh-CN"/>
        </w:rPr>
      </w:pPr>
      <w:r>
        <w:rPr>
          <w:rFonts w:hint="eastAsia"/>
          <w:szCs w:val="22"/>
          <w:lang w:val="zh-CN"/>
        </w:rPr>
        <w:t>f) 支持其他相关管理者在其职责范围内发挥领导作用。</w:t>
      </w:r>
    </w:p>
    <w:p>
      <w:pPr>
        <w:autoSpaceDE w:val="0"/>
        <w:autoSpaceDN w:val="0"/>
        <w:spacing w:line="276" w:lineRule="auto"/>
        <w:jc w:val="left"/>
        <w:rPr>
          <w:szCs w:val="22"/>
          <w:lang w:val="zh-CN"/>
        </w:rPr>
      </w:pPr>
      <w:r>
        <w:rPr>
          <w:rFonts w:hint="eastAsia"/>
          <w:szCs w:val="22"/>
        </w:rPr>
        <w:t>6.2</w:t>
      </w:r>
      <w:r>
        <w:rPr>
          <w:rFonts w:hint="eastAsia"/>
          <w:szCs w:val="22"/>
          <w:lang w:val="zh-CN"/>
        </w:rPr>
        <w:t>确认诚信方针</w:t>
      </w:r>
    </w:p>
    <w:p>
      <w:pPr>
        <w:autoSpaceDE w:val="0"/>
        <w:autoSpaceDN w:val="0"/>
        <w:spacing w:line="276" w:lineRule="auto"/>
        <w:jc w:val="left"/>
        <w:rPr>
          <w:szCs w:val="22"/>
          <w:lang w:val="zh-CN"/>
        </w:rPr>
      </w:pPr>
      <w:r>
        <w:rPr>
          <w:rFonts w:hint="eastAsia"/>
          <w:szCs w:val="22"/>
          <w:lang w:val="zh-CN"/>
        </w:rPr>
        <w:t>最高管理者应确保企业的诚信方针满足以下条件:</w:t>
      </w:r>
    </w:p>
    <w:p>
      <w:pPr>
        <w:autoSpaceDE w:val="0"/>
        <w:autoSpaceDN w:val="0"/>
        <w:spacing w:line="276" w:lineRule="auto"/>
        <w:jc w:val="left"/>
        <w:rPr>
          <w:szCs w:val="22"/>
          <w:lang w:val="zh-CN"/>
        </w:rPr>
      </w:pPr>
      <w:r>
        <w:rPr>
          <w:rFonts w:hint="eastAsia"/>
          <w:szCs w:val="22"/>
          <w:lang w:val="zh-CN"/>
        </w:rPr>
        <w:t>a)适应企业的宗旨和环境并支持其战略方向;</w:t>
      </w:r>
    </w:p>
    <w:p>
      <w:pPr>
        <w:autoSpaceDE w:val="0"/>
        <w:autoSpaceDN w:val="0"/>
        <w:spacing w:line="276" w:lineRule="auto"/>
        <w:jc w:val="left"/>
        <w:rPr>
          <w:szCs w:val="22"/>
          <w:lang w:val="zh-CN"/>
        </w:rPr>
      </w:pPr>
      <w:r>
        <w:rPr>
          <w:rFonts w:hint="eastAsia"/>
          <w:szCs w:val="22"/>
          <w:lang w:val="zh-CN"/>
        </w:rPr>
        <w:t>b)为建立诚信目标提供框架;</w:t>
      </w:r>
    </w:p>
    <w:p>
      <w:pPr>
        <w:autoSpaceDE w:val="0"/>
        <w:autoSpaceDN w:val="0"/>
        <w:spacing w:line="276" w:lineRule="auto"/>
        <w:jc w:val="left"/>
        <w:rPr>
          <w:szCs w:val="22"/>
          <w:lang w:val="zh-CN"/>
        </w:rPr>
      </w:pPr>
      <w:r>
        <w:rPr>
          <w:rFonts w:hint="eastAsia"/>
          <w:szCs w:val="22"/>
        </w:rPr>
        <w:t>c)</w:t>
      </w:r>
      <w:r>
        <w:rPr>
          <w:rFonts w:hint="eastAsia"/>
          <w:szCs w:val="22"/>
          <w:lang w:val="zh-CN"/>
        </w:rPr>
        <w:t>满足对相关方的承诺,承诺的内容包括但不限于;产品和服务的质量、安全、环保、售后服务,接c)受国家主管部门信用监管,遵守行业自律公约,响应社会公众投诉和举报,公开失信信息，履行社会责任，提高品牌影响力和社会美誉度等;</w:t>
      </w:r>
    </w:p>
    <w:p>
      <w:pPr>
        <w:autoSpaceDE w:val="0"/>
        <w:autoSpaceDN w:val="0"/>
        <w:spacing w:line="276" w:lineRule="auto"/>
        <w:jc w:val="left"/>
        <w:rPr>
          <w:szCs w:val="22"/>
          <w:lang w:val="zh-CN"/>
        </w:rPr>
      </w:pPr>
      <w:r>
        <w:rPr>
          <w:rFonts w:hint="eastAsia"/>
          <w:szCs w:val="22"/>
          <w:lang w:val="zh-CN"/>
        </w:rPr>
        <w:t>d)满足维护诚信管理体系有效性且持续改进的承诺:</w:t>
      </w:r>
    </w:p>
    <w:p>
      <w:pPr>
        <w:autoSpaceDE w:val="0"/>
        <w:autoSpaceDN w:val="0"/>
        <w:spacing w:line="276" w:lineRule="auto"/>
        <w:jc w:val="left"/>
        <w:rPr>
          <w:szCs w:val="22"/>
          <w:lang w:val="zh-CN"/>
        </w:rPr>
      </w:pPr>
      <w:r>
        <w:rPr>
          <w:rFonts w:hint="eastAsia"/>
          <w:szCs w:val="22"/>
        </w:rPr>
        <w:t>c)</w:t>
      </w:r>
      <w:r>
        <w:rPr>
          <w:rFonts w:hint="eastAsia"/>
          <w:szCs w:val="22"/>
          <w:lang w:val="zh-CN"/>
        </w:rPr>
        <w:t>在企业内得到沟通、理解和应用;</w:t>
      </w:r>
    </w:p>
    <w:p>
      <w:pPr>
        <w:autoSpaceDE w:val="0"/>
        <w:autoSpaceDN w:val="0"/>
        <w:spacing w:line="276" w:lineRule="auto"/>
        <w:jc w:val="left"/>
        <w:rPr>
          <w:szCs w:val="22"/>
          <w:lang w:val="zh-CN"/>
        </w:rPr>
      </w:pPr>
      <w:r>
        <w:rPr>
          <w:rFonts w:hint="eastAsia"/>
          <w:szCs w:val="22"/>
        </w:rPr>
        <w:t>f)</w:t>
      </w:r>
      <w:r>
        <w:rPr>
          <w:rFonts w:hint="eastAsia"/>
          <w:szCs w:val="22"/>
          <w:lang w:val="zh-CN"/>
        </w:rPr>
        <w:t>保持成文信息，必要时可为相关方所获取。</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6.3确认诚信目标及相关制度</w:t>
      </w:r>
    </w:p>
    <w:p>
      <w:pPr>
        <w:autoSpaceDE w:val="0"/>
        <w:autoSpaceDN w:val="0"/>
        <w:spacing w:line="276" w:lineRule="auto"/>
        <w:jc w:val="left"/>
        <w:rPr>
          <w:szCs w:val="22"/>
          <w:lang w:val="zh-CN"/>
        </w:rPr>
      </w:pPr>
      <w:r>
        <w:rPr>
          <w:rFonts w:hint="eastAsia"/>
          <w:szCs w:val="22"/>
          <w:lang w:val="zh-CN"/>
        </w:rPr>
        <w:t>6.3.1诚信目标总体要求</w:t>
      </w:r>
    </w:p>
    <w:p>
      <w:pPr>
        <w:autoSpaceDE w:val="0"/>
        <w:autoSpaceDN w:val="0"/>
        <w:spacing w:line="276" w:lineRule="auto"/>
        <w:ind w:firstLine="420" w:firstLineChars="200"/>
        <w:jc w:val="left"/>
        <w:rPr>
          <w:szCs w:val="22"/>
          <w:lang w:val="zh-CN"/>
        </w:rPr>
      </w:pPr>
      <w:r>
        <w:rPr>
          <w:rFonts w:hint="eastAsia"/>
          <w:szCs w:val="22"/>
          <w:lang w:val="zh-CN"/>
        </w:rPr>
        <w:t>最高管理者应确保企业针对相关职能、层次和诚信管理体系所需的过程建立诚信目标，并形成文件，由最高管理者签署发布。诚信目标应满足以下条件:</w:t>
      </w:r>
    </w:p>
    <w:p>
      <w:pPr>
        <w:autoSpaceDE w:val="0"/>
        <w:autoSpaceDN w:val="0"/>
        <w:spacing w:line="276" w:lineRule="auto"/>
        <w:jc w:val="left"/>
        <w:rPr>
          <w:szCs w:val="22"/>
          <w:lang w:val="zh-CN"/>
        </w:rPr>
      </w:pPr>
      <w:r>
        <w:rPr>
          <w:rFonts w:hint="eastAsia"/>
          <w:szCs w:val="22"/>
          <w:lang w:val="zh-CN"/>
        </w:rPr>
        <w:t>a)与诚信方针保持一致:</w:t>
      </w:r>
    </w:p>
    <w:p>
      <w:pPr>
        <w:autoSpaceDE w:val="0"/>
        <w:autoSpaceDN w:val="0"/>
        <w:spacing w:line="276" w:lineRule="auto"/>
        <w:jc w:val="left"/>
        <w:rPr>
          <w:szCs w:val="22"/>
          <w:lang w:val="zh-CN"/>
        </w:rPr>
      </w:pPr>
      <w:r>
        <w:rPr>
          <w:rFonts w:hint="eastAsia"/>
          <w:szCs w:val="22"/>
        </w:rPr>
        <w:t>b)</w:t>
      </w:r>
      <w:r>
        <w:rPr>
          <w:rFonts w:hint="eastAsia"/>
          <w:szCs w:val="22"/>
          <w:lang w:val="zh-CN"/>
        </w:rPr>
        <w:t>可测量;</w:t>
      </w:r>
    </w:p>
    <w:p>
      <w:pPr>
        <w:autoSpaceDE w:val="0"/>
        <w:autoSpaceDN w:val="0"/>
        <w:spacing w:line="276" w:lineRule="auto"/>
        <w:jc w:val="left"/>
        <w:rPr>
          <w:szCs w:val="22"/>
          <w:lang w:val="zh-CN"/>
        </w:rPr>
      </w:pPr>
      <w:r>
        <w:rPr>
          <w:rFonts w:hint="eastAsia"/>
          <w:szCs w:val="22"/>
        </w:rPr>
        <w:t>c)</w:t>
      </w:r>
      <w:r>
        <w:rPr>
          <w:rFonts w:hint="eastAsia"/>
          <w:szCs w:val="22"/>
          <w:lang w:val="zh-CN"/>
        </w:rPr>
        <w:t>适用性的要求;</w:t>
      </w:r>
    </w:p>
    <w:p>
      <w:pPr>
        <w:autoSpaceDE w:val="0"/>
        <w:autoSpaceDN w:val="0"/>
        <w:spacing w:line="276" w:lineRule="auto"/>
        <w:jc w:val="left"/>
        <w:rPr>
          <w:szCs w:val="22"/>
          <w:lang w:val="zh-CN"/>
        </w:rPr>
      </w:pPr>
      <w:r>
        <w:rPr>
          <w:rFonts w:hint="eastAsia"/>
          <w:szCs w:val="22"/>
        </w:rPr>
        <w:t>d)</w:t>
      </w:r>
      <w:r>
        <w:rPr>
          <w:rFonts w:hint="eastAsia"/>
          <w:szCs w:val="22"/>
          <w:lang w:val="zh-CN"/>
        </w:rPr>
        <w:t>可核查;</w:t>
      </w:r>
    </w:p>
    <w:p>
      <w:pPr>
        <w:autoSpaceDE w:val="0"/>
        <w:autoSpaceDN w:val="0"/>
        <w:spacing w:line="276" w:lineRule="auto"/>
        <w:jc w:val="left"/>
        <w:rPr>
          <w:szCs w:val="22"/>
          <w:lang w:val="zh-CN"/>
        </w:rPr>
      </w:pPr>
      <w:r>
        <w:rPr>
          <w:rFonts w:hint="eastAsia"/>
          <w:szCs w:val="22"/>
        </w:rPr>
        <w:t>e)</w:t>
      </w:r>
      <w:r>
        <w:rPr>
          <w:rFonts w:hint="eastAsia"/>
          <w:szCs w:val="22"/>
          <w:lang w:val="zh-CN"/>
        </w:rPr>
        <w:t>可沟通;</w:t>
      </w:r>
    </w:p>
    <w:p>
      <w:pPr>
        <w:autoSpaceDE w:val="0"/>
        <w:autoSpaceDN w:val="0"/>
        <w:spacing w:line="276" w:lineRule="auto"/>
        <w:jc w:val="left"/>
        <w:rPr>
          <w:szCs w:val="22"/>
        </w:rPr>
      </w:pPr>
      <w:r>
        <w:rPr>
          <w:rFonts w:hint="eastAsia"/>
          <w:szCs w:val="22"/>
        </w:rPr>
        <w:t>f)</w:t>
      </w:r>
      <w:r>
        <w:rPr>
          <w:rFonts w:hint="eastAsia"/>
          <w:szCs w:val="22"/>
          <w:lang w:val="zh-CN"/>
        </w:rPr>
        <w:t>适时更新</w:t>
      </w:r>
      <w:r>
        <w:rPr>
          <w:rFonts w:hint="eastAsia"/>
          <w:szCs w:val="22"/>
        </w:rPr>
        <w:t>.</w:t>
      </w:r>
    </w:p>
    <w:p>
      <w:pPr>
        <w:autoSpaceDE w:val="0"/>
        <w:autoSpaceDN w:val="0"/>
        <w:spacing w:line="276" w:lineRule="auto"/>
        <w:jc w:val="left"/>
        <w:rPr>
          <w:szCs w:val="22"/>
        </w:rPr>
      </w:pPr>
      <w:r>
        <w:rPr>
          <w:rFonts w:hint="eastAsia"/>
          <w:szCs w:val="22"/>
        </w:rPr>
        <w:t>6.3.2相关诚信管理制度</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最高管理者应确保企业制定与诚信目标相适应的诚信管理手册及相关的诚信管理制度，在制度运行中体现诚信要求，如建立反欺诈、反舞弊、反商业贿赂的机制。诚信管理制度还应与企业内控合规、风险管理审计等其他制度进行衔接。诚信管理制度包括但不限于:</w:t>
      </w:r>
    </w:p>
    <w:p>
      <w:pPr>
        <w:autoSpaceDE w:val="0"/>
        <w:autoSpaceDN w:val="0"/>
        <w:spacing w:line="276" w:lineRule="auto"/>
        <w:jc w:val="left"/>
        <w:rPr>
          <w:szCs w:val="22"/>
          <w:lang w:val="zh-CN"/>
        </w:rPr>
      </w:pPr>
      <w:r>
        <w:rPr>
          <w:rFonts w:hint="eastAsia"/>
          <w:szCs w:val="22"/>
          <w:lang w:val="zh-CN"/>
        </w:rPr>
        <w:t>a)诚信管理岗位责任制度:</w:t>
      </w:r>
    </w:p>
    <w:p>
      <w:pPr>
        <w:autoSpaceDE w:val="0"/>
        <w:autoSpaceDN w:val="0"/>
        <w:spacing w:line="276" w:lineRule="auto"/>
        <w:jc w:val="left"/>
        <w:rPr>
          <w:szCs w:val="22"/>
          <w:lang w:val="zh-CN"/>
        </w:rPr>
      </w:pPr>
      <w:r>
        <w:rPr>
          <w:rFonts w:hint="eastAsia"/>
          <w:szCs w:val="22"/>
          <w:lang w:val="zh-CN"/>
        </w:rPr>
        <w:t>b) 信用档案管理制度:</w:t>
      </w:r>
    </w:p>
    <w:p>
      <w:pPr>
        <w:autoSpaceDE w:val="0"/>
        <w:autoSpaceDN w:val="0"/>
        <w:spacing w:line="276" w:lineRule="auto"/>
        <w:jc w:val="left"/>
        <w:rPr>
          <w:szCs w:val="22"/>
          <w:lang w:val="zh-CN"/>
        </w:rPr>
      </w:pPr>
      <w:r>
        <w:rPr>
          <w:rFonts w:hint="eastAsia"/>
          <w:szCs w:val="22"/>
          <w:lang w:val="zh-CN"/>
        </w:rPr>
        <w:t>c) 信用调查管理制度:</w:t>
      </w:r>
    </w:p>
    <w:p>
      <w:pPr>
        <w:autoSpaceDE w:val="0"/>
        <w:autoSpaceDN w:val="0"/>
        <w:spacing w:line="276" w:lineRule="auto"/>
        <w:jc w:val="left"/>
        <w:rPr>
          <w:szCs w:val="22"/>
          <w:lang w:val="zh-CN"/>
        </w:rPr>
      </w:pPr>
      <w:r>
        <w:rPr>
          <w:rFonts w:hint="eastAsia"/>
          <w:szCs w:val="22"/>
          <w:lang w:val="zh-CN"/>
        </w:rPr>
        <w:t>d)授信管理制度(或预付款采购管理制度);</w:t>
      </w:r>
    </w:p>
    <w:p>
      <w:pPr>
        <w:autoSpaceDE w:val="0"/>
        <w:autoSpaceDN w:val="0"/>
        <w:spacing w:line="276" w:lineRule="auto"/>
        <w:jc w:val="left"/>
        <w:rPr>
          <w:szCs w:val="22"/>
          <w:lang w:val="zh-CN"/>
        </w:rPr>
      </w:pPr>
      <w:r>
        <w:rPr>
          <w:rFonts w:hint="eastAsia"/>
          <w:szCs w:val="22"/>
        </w:rPr>
        <w:t>e)</w:t>
      </w:r>
      <w:r>
        <w:rPr>
          <w:rFonts w:hint="eastAsia"/>
          <w:szCs w:val="22"/>
          <w:lang w:val="zh-CN"/>
        </w:rPr>
        <w:t>合同(或招投标)管理制度:e)</w:t>
      </w:r>
    </w:p>
    <w:p>
      <w:pPr>
        <w:autoSpaceDE w:val="0"/>
        <w:autoSpaceDN w:val="0"/>
        <w:spacing w:line="276" w:lineRule="auto"/>
        <w:jc w:val="left"/>
        <w:rPr>
          <w:szCs w:val="22"/>
          <w:lang w:val="zh-CN"/>
        </w:rPr>
      </w:pPr>
      <w:r>
        <w:rPr>
          <w:rFonts w:hint="eastAsia"/>
          <w:szCs w:val="22"/>
          <w:lang w:val="zh-CN"/>
        </w:rPr>
        <w:t>f) 商账管理制度:</w:t>
      </w:r>
    </w:p>
    <w:p>
      <w:pPr>
        <w:autoSpaceDE w:val="0"/>
        <w:autoSpaceDN w:val="0"/>
        <w:spacing w:line="276" w:lineRule="auto"/>
        <w:jc w:val="left"/>
        <w:rPr>
          <w:szCs w:val="22"/>
          <w:lang w:val="zh-CN"/>
        </w:rPr>
      </w:pPr>
      <w:r>
        <w:rPr>
          <w:rFonts w:hint="eastAsia"/>
          <w:szCs w:val="22"/>
          <w:lang w:val="zh-CN"/>
        </w:rPr>
        <w:t>g)内外部失信行为责任追究制度:</w:t>
      </w:r>
    </w:p>
    <w:p>
      <w:pPr>
        <w:autoSpaceDE w:val="0"/>
        <w:autoSpaceDN w:val="0"/>
        <w:spacing w:line="276" w:lineRule="auto"/>
        <w:jc w:val="left"/>
        <w:rPr>
          <w:szCs w:val="22"/>
          <w:lang w:val="zh-CN"/>
        </w:rPr>
      </w:pPr>
      <w:r>
        <w:rPr>
          <w:rFonts w:hint="eastAsia"/>
          <w:szCs w:val="22"/>
          <w:lang w:val="zh-CN"/>
        </w:rPr>
        <w:t>注:“内部”指企业内相关部门或员工有举报内部失信的义务:“外部”指企业有对国家主管部门在监管方面的失信进行上诉的权利。</w:t>
      </w:r>
    </w:p>
    <w:p>
      <w:pPr>
        <w:autoSpaceDE w:val="0"/>
        <w:autoSpaceDN w:val="0"/>
        <w:spacing w:line="276" w:lineRule="auto"/>
        <w:jc w:val="left"/>
        <w:rPr>
          <w:szCs w:val="22"/>
          <w:lang w:val="zh-CN"/>
        </w:rPr>
      </w:pPr>
      <w:r>
        <w:rPr>
          <w:rFonts w:hint="eastAsia"/>
          <w:szCs w:val="22"/>
        </w:rPr>
        <w:t>h</w:t>
      </w:r>
      <w:r>
        <w:rPr>
          <w:rFonts w:hint="eastAsia"/>
          <w:szCs w:val="22"/>
          <w:lang w:val="zh-CN"/>
        </w:rPr>
        <w:t>)守信激励制度;</w:t>
      </w:r>
    </w:p>
    <w:p>
      <w:pPr>
        <w:autoSpaceDE w:val="0"/>
        <w:autoSpaceDN w:val="0"/>
        <w:spacing w:line="276" w:lineRule="auto"/>
        <w:jc w:val="left"/>
        <w:rPr>
          <w:szCs w:val="22"/>
          <w:lang w:val="zh-CN"/>
        </w:rPr>
      </w:pPr>
      <w:r>
        <w:rPr>
          <w:rFonts w:hint="eastAsia"/>
          <w:szCs w:val="22"/>
        </w:rPr>
        <w:t>i)</w:t>
      </w:r>
      <w:r>
        <w:rPr>
          <w:rFonts w:hint="eastAsia"/>
          <w:szCs w:val="22"/>
          <w:lang w:val="zh-CN"/>
        </w:rPr>
        <w:t>社会责任履行制度:0</w:t>
      </w:r>
    </w:p>
    <w:p>
      <w:pPr>
        <w:autoSpaceDE w:val="0"/>
        <w:autoSpaceDN w:val="0"/>
        <w:spacing w:line="276" w:lineRule="auto"/>
        <w:jc w:val="left"/>
        <w:rPr>
          <w:szCs w:val="22"/>
          <w:lang w:val="zh-CN"/>
        </w:rPr>
      </w:pPr>
      <w:r>
        <w:rPr>
          <w:rFonts w:hint="eastAsia"/>
          <w:szCs w:val="22"/>
          <w:lang w:val="zh-CN"/>
        </w:rPr>
        <w:t>j) 信息公开制度;</w:t>
      </w:r>
    </w:p>
    <w:p>
      <w:pPr>
        <w:autoSpaceDE w:val="0"/>
        <w:autoSpaceDN w:val="0"/>
        <w:spacing w:line="276" w:lineRule="auto"/>
        <w:jc w:val="left"/>
        <w:rPr>
          <w:szCs w:val="22"/>
          <w:lang w:val="zh-CN"/>
        </w:rPr>
      </w:pPr>
      <w:r>
        <w:rPr>
          <w:rFonts w:hint="eastAsia"/>
          <w:szCs w:val="22"/>
          <w:lang w:val="zh-CN"/>
        </w:rPr>
        <w:t>k)诚信系统运维管理制度:</w:t>
      </w:r>
    </w:p>
    <w:p>
      <w:pPr>
        <w:autoSpaceDE w:val="0"/>
        <w:autoSpaceDN w:val="0"/>
        <w:spacing w:line="276" w:lineRule="auto"/>
        <w:jc w:val="left"/>
        <w:rPr>
          <w:szCs w:val="22"/>
          <w:lang w:val="zh-CN"/>
        </w:rPr>
      </w:pPr>
      <w:r>
        <w:rPr>
          <w:rFonts w:hint="eastAsia"/>
          <w:szCs w:val="22"/>
        </w:rPr>
        <w:t>l)</w:t>
      </w:r>
      <w:r>
        <w:rPr>
          <w:rFonts w:hint="eastAsia"/>
          <w:szCs w:val="22"/>
          <w:lang w:val="zh-CN"/>
        </w:rPr>
        <w:t>风险管控制度;</w:t>
      </w:r>
    </w:p>
    <w:p>
      <w:pPr>
        <w:autoSpaceDE w:val="0"/>
        <w:autoSpaceDN w:val="0"/>
        <w:spacing w:line="276" w:lineRule="auto"/>
        <w:jc w:val="left"/>
        <w:rPr>
          <w:szCs w:val="22"/>
          <w:lang w:val="zh-CN"/>
        </w:rPr>
      </w:pPr>
      <w:r>
        <w:rPr>
          <w:rFonts w:hint="eastAsia"/>
          <w:szCs w:val="22"/>
          <w:lang w:val="zh-CN"/>
        </w:rPr>
        <w:t>m)公共关系管理制度。</w:t>
      </w:r>
    </w:p>
    <w:p>
      <w:pPr>
        <w:autoSpaceDE w:val="0"/>
        <w:autoSpaceDN w:val="0"/>
        <w:spacing w:line="276" w:lineRule="auto"/>
        <w:jc w:val="left"/>
        <w:rPr>
          <w:szCs w:val="22"/>
          <w:lang w:val="zh-CN"/>
        </w:rPr>
      </w:pPr>
      <w:r>
        <w:rPr>
          <w:rFonts w:hint="eastAsia"/>
          <w:szCs w:val="22"/>
          <w:lang w:val="zh-CN"/>
        </w:rPr>
        <w:t>注:每个企业的诚信目标不尽相同,与之相匹配的诚信管理制度也有所不同</w:t>
      </w:r>
    </w:p>
    <w:p>
      <w:pPr>
        <w:autoSpaceDE w:val="0"/>
        <w:autoSpaceDN w:val="0"/>
        <w:spacing w:line="276" w:lineRule="auto"/>
        <w:jc w:val="left"/>
        <w:rPr>
          <w:szCs w:val="22"/>
          <w:lang w:val="zh-CN"/>
        </w:rPr>
      </w:pPr>
      <w:r>
        <w:rPr>
          <w:rFonts w:hint="eastAsia"/>
          <w:szCs w:val="22"/>
          <w:lang w:val="zh-CN"/>
        </w:rPr>
        <w:t>6.3.3相关制度发布</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6.3.3.1相关制度应由最高管理者签署发布并正式执行。</w:t>
      </w:r>
    </w:p>
    <w:p>
      <w:pPr>
        <w:autoSpaceDE w:val="0"/>
        <w:autoSpaceDN w:val="0"/>
        <w:spacing w:line="276" w:lineRule="auto"/>
        <w:jc w:val="left"/>
        <w:rPr>
          <w:szCs w:val="22"/>
        </w:rPr>
      </w:pPr>
      <w:r>
        <w:rPr>
          <w:rFonts w:hint="eastAsia"/>
          <w:szCs w:val="22"/>
        </w:rPr>
        <w:t>6.3.3.2</w:t>
      </w:r>
      <w:r>
        <w:rPr>
          <w:rFonts w:hint="eastAsia"/>
          <w:szCs w:val="22"/>
          <w:lang w:val="zh-CN"/>
        </w:rPr>
        <w:t>最高管理者应采取必要措施确保相关制度被相关人员知晓、准确理解和贯彻实施,并在实践</w:t>
      </w:r>
      <w:r>
        <w:rPr>
          <w:rFonts w:hint="eastAsia"/>
          <w:szCs w:val="22"/>
        </w:rPr>
        <w:t>过程中不断完善。</w:t>
      </w:r>
    </w:p>
    <w:p>
      <w:pPr>
        <w:autoSpaceDE w:val="0"/>
        <w:autoSpaceDN w:val="0"/>
        <w:spacing w:line="276" w:lineRule="auto"/>
        <w:jc w:val="left"/>
        <w:rPr>
          <w:szCs w:val="22"/>
        </w:rPr>
      </w:pPr>
      <w:r>
        <w:rPr>
          <w:rFonts w:hint="eastAsia"/>
          <w:szCs w:val="22"/>
        </w:rPr>
        <w:t>6.4确认诚信管理部门/岗位职责和权限</w:t>
      </w:r>
    </w:p>
    <w:p>
      <w:pPr>
        <w:autoSpaceDE w:val="0"/>
        <w:autoSpaceDN w:val="0"/>
        <w:spacing w:line="276" w:lineRule="auto"/>
        <w:jc w:val="left"/>
        <w:rPr>
          <w:szCs w:val="22"/>
          <w:lang w:val="zh-CN"/>
        </w:rPr>
      </w:pPr>
      <w:r>
        <w:rPr>
          <w:rFonts w:hint="eastAsia"/>
          <w:szCs w:val="22"/>
          <w:lang w:val="zh-CN"/>
        </w:rPr>
        <w:t>6.4.1部门组建/岗位设置</w:t>
      </w:r>
    </w:p>
    <w:p>
      <w:pPr>
        <w:autoSpaceDE w:val="0"/>
        <w:autoSpaceDN w:val="0"/>
        <w:spacing w:line="276" w:lineRule="auto"/>
        <w:jc w:val="left"/>
        <w:rPr>
          <w:szCs w:val="22"/>
          <w:lang w:val="zh-CN"/>
        </w:rPr>
      </w:pPr>
      <w:r>
        <w:rPr>
          <w:rFonts w:hint="eastAsia"/>
          <w:szCs w:val="22"/>
          <w:lang w:val="zh-CN"/>
        </w:rPr>
        <w:t>最高管理者应确保诚信管理部门/岗位相关角色的职责、权限得到分配、沟通和理解。诚信管理部门/岗位应直接对企业最高管理层或董事会负责。</w:t>
      </w:r>
    </w:p>
    <w:p>
      <w:pPr>
        <w:autoSpaceDE w:val="0"/>
        <w:autoSpaceDN w:val="0"/>
        <w:spacing w:line="276" w:lineRule="auto"/>
        <w:jc w:val="left"/>
        <w:rPr>
          <w:szCs w:val="22"/>
          <w:lang w:val="zh-CN"/>
        </w:rPr>
      </w:pPr>
      <w:r>
        <w:rPr>
          <w:rFonts w:hint="eastAsia"/>
          <w:szCs w:val="22"/>
          <w:lang w:val="zh-CN"/>
        </w:rPr>
        <w:t>注 1:通常大型企业或集团公司单独组建诚信管理部门或确定诚信管理的职责由哪个部门具体承担;中小企业则因规模和资源所限，仅设置诚信管理岗位。</w:t>
      </w:r>
    </w:p>
    <w:p>
      <w:pPr>
        <w:autoSpaceDE w:val="0"/>
        <w:autoSpaceDN w:val="0"/>
        <w:spacing w:line="276" w:lineRule="auto"/>
        <w:jc w:val="left"/>
        <w:rPr>
          <w:szCs w:val="22"/>
          <w:lang w:val="zh-CN"/>
        </w:rPr>
      </w:pPr>
      <w:r>
        <w:rPr>
          <w:rFonts w:hint="eastAsia"/>
          <w:szCs w:val="22"/>
          <w:lang w:val="zh-CN"/>
        </w:rPr>
        <w:t>注2:集团公司宜根据诚信管理工作的实际需要单独组建诚信管理部门，对子公司和分支机构的诚信管理工作进行业务管理、指导和监督,并实现数据的共享组建诚信管理部门时,最高管理者应:</w:t>
      </w:r>
    </w:p>
    <w:p>
      <w:pPr>
        <w:numPr>
          <w:ilvl w:val="0"/>
          <w:numId w:val="4"/>
        </w:numPr>
        <w:autoSpaceDE w:val="0"/>
        <w:autoSpaceDN w:val="0"/>
        <w:spacing w:line="276" w:lineRule="auto"/>
        <w:jc w:val="left"/>
        <w:rPr>
          <w:szCs w:val="22"/>
          <w:lang w:val="zh-CN"/>
        </w:rPr>
      </w:pPr>
      <w:r>
        <w:rPr>
          <w:rFonts w:hint="eastAsia"/>
          <w:szCs w:val="22"/>
          <w:lang w:val="zh-CN"/>
        </w:rPr>
        <w:t>建立诚信管理部门的组织架构,可成立独立的部门，也可将诚信管理职能明确赋予有关业务部门,并由该部门牵头协调相关部门分工协作开展诚信管理工作;</w:t>
      </w:r>
    </w:p>
    <w:p>
      <w:pPr>
        <w:numPr>
          <w:ilvl w:val="0"/>
          <w:numId w:val="4"/>
        </w:numPr>
        <w:autoSpaceDE w:val="0"/>
        <w:autoSpaceDN w:val="0"/>
        <w:spacing w:line="276" w:lineRule="auto"/>
        <w:jc w:val="left"/>
        <w:rPr>
          <w:szCs w:val="22"/>
          <w:lang w:val="zh-CN"/>
        </w:rPr>
      </w:pPr>
      <w:r>
        <w:rPr>
          <w:rFonts w:hint="eastAsia"/>
          <w:szCs w:val="22"/>
          <w:lang w:val="zh-CN"/>
        </w:rPr>
        <w:t>明确界定诚信管理部门与销售、采购、财务、法务等部门之间的职责边界与工作分工，诚信管理部门应处理好与其他部门之间的服务、协作和监督等关系:</w:t>
      </w:r>
    </w:p>
    <w:p>
      <w:pPr>
        <w:autoSpaceDE w:val="0"/>
        <w:autoSpaceDN w:val="0"/>
        <w:spacing w:line="276" w:lineRule="auto"/>
        <w:jc w:val="left"/>
        <w:rPr>
          <w:szCs w:val="22"/>
          <w:lang w:val="zh-CN"/>
        </w:rPr>
      </w:pPr>
      <w:r>
        <w:rPr>
          <w:rFonts w:hint="eastAsia"/>
          <w:szCs w:val="22"/>
        </w:rPr>
        <w:t>c)</w:t>
      </w:r>
      <w:r>
        <w:rPr>
          <w:rFonts w:hint="eastAsia"/>
          <w:szCs w:val="22"/>
          <w:lang w:val="zh-CN"/>
        </w:rPr>
        <w:t>根据工作需要配置具备一定的诚信管理专业知识和业务能力的专(兼)职人员重要职位应由c具备信用管理、财务、金融和法律等领域实践经验及专业证书的人员担任。</w:t>
      </w:r>
    </w:p>
    <w:p>
      <w:pPr>
        <w:autoSpaceDE w:val="0"/>
        <w:autoSpaceDN w:val="0"/>
        <w:spacing w:line="276" w:lineRule="auto"/>
        <w:jc w:val="left"/>
        <w:rPr>
          <w:szCs w:val="22"/>
          <w:lang w:val="zh-CN"/>
        </w:rPr>
      </w:pPr>
      <w:r>
        <w:rPr>
          <w:rFonts w:hint="eastAsia"/>
          <w:szCs w:val="22"/>
          <w:lang w:val="zh-CN"/>
        </w:rPr>
        <w:t>6.4.2部门/岗位职责和权限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诚信管理部门/岗位的职责和权限包括但不限于:</w:t>
      </w:r>
    </w:p>
    <w:p>
      <w:pPr>
        <w:autoSpaceDE w:val="0"/>
        <w:autoSpaceDN w:val="0"/>
        <w:spacing w:line="276" w:lineRule="auto"/>
        <w:jc w:val="left"/>
        <w:rPr>
          <w:szCs w:val="22"/>
          <w:lang w:val="zh-CN"/>
        </w:rPr>
      </w:pPr>
      <w:r>
        <w:rPr>
          <w:rFonts w:hint="eastAsia"/>
          <w:szCs w:val="22"/>
          <w:lang w:val="zh-CN"/>
        </w:rPr>
        <w:t>a)主导制定、发布、修改、废除本企业诚信目标与制度:</w:t>
      </w:r>
    </w:p>
    <w:p>
      <w:pPr>
        <w:autoSpaceDE w:val="0"/>
        <w:autoSpaceDN w:val="0"/>
        <w:spacing w:line="276" w:lineRule="auto"/>
        <w:jc w:val="left"/>
        <w:rPr>
          <w:szCs w:val="22"/>
          <w:lang w:val="zh-CN"/>
        </w:rPr>
      </w:pPr>
      <w:r>
        <w:rPr>
          <w:rFonts w:hint="eastAsia"/>
          <w:szCs w:val="22"/>
        </w:rPr>
        <w:t>b)</w:t>
      </w:r>
      <w:r>
        <w:rPr>
          <w:rFonts w:hint="eastAsia"/>
          <w:szCs w:val="22"/>
          <w:lang w:val="zh-CN"/>
        </w:rPr>
        <w:t>建立承诺识别与确认、承诺履行和跟踪、承诺兑现评价、承诺持续改进等机制,在此基础上确定b)相关角色的职责、层级和程序上的诚信目标，以明确各相关角色应履行的承诺内容并以文件的形式保留;</w:t>
      </w:r>
    </w:p>
    <w:p>
      <w:pPr>
        <w:autoSpaceDE w:val="0"/>
        <w:autoSpaceDN w:val="0"/>
        <w:spacing w:line="276" w:lineRule="auto"/>
        <w:jc w:val="left"/>
        <w:rPr>
          <w:szCs w:val="22"/>
          <w:lang w:val="zh-CN"/>
        </w:rPr>
      </w:pPr>
      <w:r>
        <w:rPr>
          <w:rFonts w:hint="eastAsia"/>
          <w:szCs w:val="22"/>
        </w:rPr>
        <w:t>c)</w:t>
      </w:r>
      <w:r>
        <w:rPr>
          <w:rFonts w:hint="eastAsia"/>
          <w:szCs w:val="22"/>
          <w:lang w:val="zh-CN"/>
        </w:rPr>
        <w:t>根据企业自身生产经营能力对满足相关方对产品和服务的质量、安全、环保、售后服务,接受国c家主管部门信用监管,遵守行业自律公约，响应社会公众投诉和举报,公开失信信息，履行社会责任等要求的能力进行评价,确保自身的承诺与能力相匹配:</w:t>
      </w:r>
    </w:p>
    <w:p>
      <w:pPr>
        <w:autoSpaceDE w:val="0"/>
        <w:autoSpaceDN w:val="0"/>
        <w:spacing w:line="276" w:lineRule="auto"/>
        <w:jc w:val="left"/>
        <w:rPr>
          <w:szCs w:val="22"/>
          <w:lang w:val="zh-CN"/>
        </w:rPr>
      </w:pPr>
      <w:r>
        <w:rPr>
          <w:rFonts w:hint="eastAsia"/>
          <w:szCs w:val="22"/>
        </w:rPr>
        <w:t>d)</w:t>
      </w:r>
      <w:r>
        <w:rPr>
          <w:rFonts w:hint="eastAsia"/>
          <w:szCs w:val="22"/>
          <w:lang w:val="zh-CN"/>
        </w:rPr>
        <w:t>对承诺履行的过程及承诺兑现的结果进行核查和评价，对可能存在或已经存在的失信风险，制d定预警、预防和控制、处置方法;</w:t>
      </w:r>
    </w:p>
    <w:p>
      <w:pPr>
        <w:autoSpaceDE w:val="0"/>
        <w:autoSpaceDN w:val="0"/>
        <w:spacing w:line="276" w:lineRule="auto"/>
        <w:jc w:val="left"/>
        <w:rPr>
          <w:szCs w:val="22"/>
          <w:lang w:val="zh-CN"/>
        </w:rPr>
      </w:pPr>
      <w:r>
        <w:rPr>
          <w:rFonts w:hint="eastAsia"/>
          <w:szCs w:val="22"/>
        </w:rPr>
        <w:t>e)</w:t>
      </w:r>
      <w:r>
        <w:rPr>
          <w:rFonts w:hint="eastAsia"/>
          <w:szCs w:val="22"/>
          <w:lang w:val="zh-CN"/>
        </w:rPr>
        <w:t>建立和完善企业诚信管理体系,包括资信管理、信用档案管理、授信管理(或预付款采购管理)、合同(或招投标)管理、商账管理和外部信用工具应用等内容:</w:t>
      </w:r>
    </w:p>
    <w:p>
      <w:pPr>
        <w:autoSpaceDE w:val="0"/>
        <w:autoSpaceDN w:val="0"/>
        <w:spacing w:line="276" w:lineRule="auto"/>
        <w:jc w:val="left"/>
        <w:rPr>
          <w:szCs w:val="22"/>
          <w:lang w:val="zh-CN"/>
        </w:rPr>
      </w:pPr>
      <w:r>
        <w:rPr>
          <w:rFonts w:hint="eastAsia"/>
          <w:szCs w:val="22"/>
        </w:rPr>
        <w:t>f)</w:t>
      </w:r>
      <w:r>
        <w:rPr>
          <w:rFonts w:hint="eastAsia"/>
          <w:szCs w:val="22"/>
          <w:lang w:val="zh-CN"/>
        </w:rPr>
        <w:t>组织宣传、贯彻执行相关法律法规和诚信管理制度,开展诚信管理业务培训并做记录(内容可包括诚信管理知识培训国家主管部门文件讲解和诚信管理工作交流等):</w:t>
      </w:r>
    </w:p>
    <w:p>
      <w:pPr>
        <w:autoSpaceDE w:val="0"/>
        <w:autoSpaceDN w:val="0"/>
        <w:spacing w:line="276" w:lineRule="auto"/>
        <w:jc w:val="left"/>
        <w:rPr>
          <w:szCs w:val="22"/>
          <w:lang w:val="zh-CN"/>
        </w:rPr>
      </w:pPr>
      <w:r>
        <w:rPr>
          <w:rFonts w:hint="eastAsia"/>
          <w:szCs w:val="22"/>
        </w:rPr>
        <w:t>g</w:t>
      </w:r>
      <w:r>
        <w:rPr>
          <w:rFonts w:hint="eastAsia"/>
          <w:szCs w:val="22"/>
          <w:lang w:val="zh-CN"/>
        </w:rPr>
        <w:t>）编制诚信管理部门的经费预算并予以执行，确保诚信管理部门正常运转。</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 策划</w:t>
      </w:r>
    </w:p>
    <w:p>
      <w:pPr>
        <w:autoSpaceDE w:val="0"/>
        <w:autoSpaceDN w:val="0"/>
        <w:spacing w:line="276" w:lineRule="auto"/>
        <w:jc w:val="left"/>
        <w:rPr>
          <w:szCs w:val="22"/>
          <w:lang w:val="zh-CN"/>
        </w:rPr>
      </w:pPr>
      <w:r>
        <w:rPr>
          <w:rFonts w:hint="eastAsia"/>
          <w:szCs w:val="22"/>
          <w:lang w:val="zh-CN"/>
        </w:rPr>
        <w:t>7.1 确立诚信目标及相关制度要求</w:t>
      </w:r>
    </w:p>
    <w:p>
      <w:pPr>
        <w:autoSpaceDE w:val="0"/>
        <w:autoSpaceDN w:val="0"/>
        <w:spacing w:line="276" w:lineRule="auto"/>
        <w:jc w:val="left"/>
        <w:rPr>
          <w:szCs w:val="22"/>
          <w:lang w:val="zh-CN"/>
        </w:rPr>
      </w:pPr>
      <w:r>
        <w:rPr>
          <w:rFonts w:hint="eastAsia"/>
          <w:szCs w:val="22"/>
          <w:lang w:val="zh-CN"/>
        </w:rPr>
        <w:t>企业确立诚信目标及相关制度应满足以下条件: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涵盖满足相关方对产品和服务的质量、安全、环保、售后服务,接受国家主管部门信用监管，遵a)守法定义务,遵守行业自律公约,响应社会公众投诉和举报,公开失信信息,履行社会责任,以及提高品牌影响力和社会美誉度等方面的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b)涵盖企业不断提高满足这些要求的能力的期望;</w:t>
      </w:r>
    </w:p>
    <w:p>
      <w:pPr>
        <w:autoSpaceDE w:val="0"/>
        <w:autoSpaceDN w:val="0"/>
        <w:spacing w:line="276" w:lineRule="auto"/>
        <w:jc w:val="left"/>
        <w:rPr>
          <w:szCs w:val="22"/>
          <w:lang w:val="zh-CN"/>
        </w:rPr>
      </w:pPr>
      <w:r>
        <w:rPr>
          <w:rFonts w:hint="eastAsia"/>
          <w:szCs w:val="22"/>
        </w:rPr>
        <w:t>c)</w:t>
      </w:r>
      <w:r>
        <w:rPr>
          <w:rFonts w:hint="eastAsia"/>
          <w:szCs w:val="22"/>
          <w:lang w:val="zh-CN"/>
        </w:rPr>
        <w:t>目标应是可测量的,且与企业确立的诚信方针相协调,与企业经营管理实际状况相吻合,并覆盖与诚信管理相关的过程;</w:t>
      </w:r>
    </w:p>
    <w:p>
      <w:pPr>
        <w:autoSpaceDE w:val="0"/>
        <w:autoSpaceDN w:val="0"/>
        <w:spacing w:line="276" w:lineRule="auto"/>
        <w:jc w:val="left"/>
        <w:rPr>
          <w:szCs w:val="22"/>
          <w:lang w:val="zh-CN"/>
        </w:rPr>
      </w:pPr>
      <w:r>
        <w:rPr>
          <w:rFonts w:hint="eastAsia"/>
          <w:szCs w:val="22"/>
          <w:lang w:val="zh-CN"/>
        </w:rPr>
        <w:t>d)企业诚信目标应在企业经营目标中适当体现，且应结合内部因素和外部因素进行调整。</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7.2 企业承诺及其要求</w:t>
      </w:r>
    </w:p>
    <w:p>
      <w:pPr>
        <w:autoSpaceDE w:val="0"/>
        <w:autoSpaceDN w:val="0"/>
        <w:spacing w:line="276" w:lineRule="auto"/>
        <w:jc w:val="left"/>
        <w:rPr>
          <w:szCs w:val="22"/>
          <w:lang w:val="zh-CN"/>
        </w:rPr>
      </w:pPr>
      <w:r>
        <w:rPr>
          <w:rFonts w:hint="eastAsia"/>
          <w:szCs w:val="22"/>
          <w:lang w:val="zh-CN"/>
        </w:rPr>
        <w:t>7.2.1 规定性承诺企业应履行法律法规和行业管理条例中要求的责任,并对此作出承诺。承诺的内容包括但不限于:</w:t>
      </w:r>
    </w:p>
    <w:p>
      <w:pPr>
        <w:autoSpaceDE w:val="0"/>
        <w:autoSpaceDN w:val="0"/>
        <w:spacing w:line="276" w:lineRule="auto"/>
        <w:jc w:val="left"/>
        <w:rPr>
          <w:szCs w:val="22"/>
          <w:lang w:val="zh-CN"/>
        </w:rPr>
      </w:pPr>
      <w:r>
        <w:rPr>
          <w:rFonts w:hint="eastAsia"/>
          <w:szCs w:val="22"/>
          <w:lang w:val="zh-CN"/>
        </w:rPr>
        <w:t>a)遵守法律法规;</w:t>
      </w:r>
    </w:p>
    <w:p>
      <w:pPr>
        <w:autoSpaceDE w:val="0"/>
        <w:autoSpaceDN w:val="0"/>
        <w:spacing w:line="276" w:lineRule="auto"/>
        <w:jc w:val="left"/>
        <w:rPr>
          <w:szCs w:val="22"/>
          <w:lang w:val="zh-CN"/>
        </w:rPr>
      </w:pPr>
      <w:r>
        <w:rPr>
          <w:rFonts w:hint="eastAsia"/>
          <w:szCs w:val="22"/>
          <w:lang w:val="zh-CN"/>
        </w:rPr>
        <w:t>b)不因提供产品和服务而造成环境污染:</w:t>
      </w:r>
    </w:p>
    <w:p>
      <w:pPr>
        <w:autoSpaceDE w:val="0"/>
        <w:autoSpaceDN w:val="0"/>
        <w:spacing w:line="276" w:lineRule="auto"/>
        <w:jc w:val="left"/>
        <w:rPr>
          <w:szCs w:val="22"/>
          <w:lang w:val="zh-CN"/>
        </w:rPr>
      </w:pPr>
      <w:r>
        <w:rPr>
          <w:rFonts w:hint="eastAsia"/>
          <w:szCs w:val="22"/>
          <w:lang w:val="zh-CN"/>
        </w:rPr>
        <w:t>c)遵守所在行业的管理规章;</w:t>
      </w:r>
    </w:p>
    <w:p>
      <w:pPr>
        <w:autoSpaceDE w:val="0"/>
        <w:autoSpaceDN w:val="0"/>
        <w:spacing w:line="276" w:lineRule="auto"/>
        <w:jc w:val="left"/>
        <w:rPr>
          <w:szCs w:val="22"/>
          <w:lang w:val="zh-CN"/>
        </w:rPr>
      </w:pPr>
      <w:r>
        <w:rPr>
          <w:rFonts w:hint="eastAsia"/>
          <w:szCs w:val="22"/>
        </w:rPr>
        <w:t>d)</w:t>
      </w:r>
      <w:r>
        <w:rPr>
          <w:rFonts w:hint="eastAsia"/>
          <w:szCs w:val="22"/>
          <w:lang w:val="zh-CN"/>
        </w:rPr>
        <w:t>接受并配合国家主管部门的监管:</w:t>
      </w:r>
    </w:p>
    <w:p>
      <w:pPr>
        <w:autoSpaceDE w:val="0"/>
        <w:autoSpaceDN w:val="0"/>
        <w:spacing w:line="276" w:lineRule="auto"/>
        <w:jc w:val="left"/>
        <w:rPr>
          <w:szCs w:val="22"/>
          <w:lang w:val="zh-CN"/>
        </w:rPr>
      </w:pPr>
      <w:r>
        <w:rPr>
          <w:rFonts w:hint="eastAsia"/>
          <w:szCs w:val="22"/>
        </w:rPr>
        <w:t>e</w:t>
      </w:r>
      <w:r>
        <w:rPr>
          <w:rFonts w:hint="eastAsia"/>
          <w:szCs w:val="22"/>
          <w:lang w:val="zh-CN"/>
        </w:rPr>
        <w:t>)公平竞争;</w:t>
      </w:r>
    </w:p>
    <w:p>
      <w:pPr>
        <w:autoSpaceDE w:val="0"/>
        <w:autoSpaceDN w:val="0"/>
        <w:spacing w:line="276" w:lineRule="auto"/>
        <w:jc w:val="left"/>
        <w:rPr>
          <w:szCs w:val="22"/>
          <w:lang w:val="zh-CN"/>
        </w:rPr>
      </w:pPr>
      <w:r>
        <w:rPr>
          <w:rFonts w:hint="eastAsia"/>
          <w:szCs w:val="22"/>
        </w:rPr>
        <w:t>f)</w:t>
      </w:r>
      <w:r>
        <w:rPr>
          <w:rFonts w:hint="eastAsia"/>
          <w:szCs w:val="22"/>
          <w:lang w:val="zh-CN"/>
        </w:rPr>
        <w:t>保证员工的正当合法权益,如按时足额发放工资、为员工缴纳社会保险:</w:t>
      </w:r>
    </w:p>
    <w:p>
      <w:pPr>
        <w:autoSpaceDE w:val="0"/>
        <w:autoSpaceDN w:val="0"/>
        <w:spacing w:line="276" w:lineRule="auto"/>
        <w:jc w:val="left"/>
        <w:rPr>
          <w:szCs w:val="22"/>
          <w:lang w:val="zh-CN"/>
        </w:rPr>
      </w:pPr>
      <w:r>
        <w:rPr>
          <w:rFonts w:hint="eastAsia"/>
          <w:szCs w:val="22"/>
        </w:rPr>
        <w:t>g)</w:t>
      </w:r>
      <w:r>
        <w:rPr>
          <w:rFonts w:hint="eastAsia"/>
          <w:szCs w:val="22"/>
          <w:lang w:val="zh-CN"/>
        </w:rPr>
        <w:t>遵守安全生产规定，保障员工生命安全。</w:t>
      </w:r>
    </w:p>
    <w:p>
      <w:pPr>
        <w:autoSpaceDE w:val="0"/>
        <w:autoSpaceDN w:val="0"/>
        <w:spacing w:line="276" w:lineRule="auto"/>
        <w:jc w:val="left"/>
        <w:rPr>
          <w:szCs w:val="22"/>
          <w:lang w:val="zh-CN"/>
        </w:rPr>
      </w:pPr>
      <w:r>
        <w:rPr>
          <w:rFonts w:hint="eastAsia"/>
          <w:szCs w:val="22"/>
          <w:lang w:val="zh-CN"/>
        </w:rPr>
        <w:t>7.2.2约定性承诺</w:t>
      </w:r>
    </w:p>
    <w:p>
      <w:pPr>
        <w:autoSpaceDE w:val="0"/>
        <w:autoSpaceDN w:val="0"/>
        <w:spacing w:line="276" w:lineRule="auto"/>
        <w:ind w:firstLine="420" w:firstLineChars="200"/>
        <w:jc w:val="left"/>
        <w:rPr>
          <w:szCs w:val="22"/>
          <w:lang w:val="zh-CN"/>
        </w:rPr>
      </w:pPr>
      <w:r>
        <w:rPr>
          <w:rFonts w:hint="eastAsia"/>
          <w:szCs w:val="22"/>
          <w:lang w:val="zh-CN"/>
        </w:rPr>
        <w:t>除应履行法律法规和行业管理规章中要求的责任之外，企业还应履行合同中明确约定的以及相关方明确普遍期望的责任,并对此作出承诺。承诺的内容包括但不限于: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）建立公平的员工晋升制度:a</w:t>
      </w:r>
    </w:p>
    <w:p>
      <w:pPr>
        <w:autoSpaceDE w:val="0"/>
        <w:autoSpaceDN w:val="0"/>
        <w:spacing w:line="276" w:lineRule="auto"/>
        <w:jc w:val="left"/>
        <w:rPr>
          <w:szCs w:val="22"/>
          <w:lang w:val="zh-CN"/>
        </w:rPr>
      </w:pPr>
      <w:r>
        <w:rPr>
          <w:rFonts w:hint="eastAsia"/>
          <w:szCs w:val="22"/>
          <w:lang w:val="zh-CN"/>
        </w:rPr>
        <w:t>b)设立诚信管理部门.并提供经费和人员保障,承担信用调查、信用档案管理、授信管理、合同管理和商账管理等职责;</w:t>
      </w:r>
    </w:p>
    <w:p>
      <w:pPr>
        <w:autoSpaceDE w:val="0"/>
        <w:autoSpaceDN w:val="0"/>
        <w:spacing w:line="276" w:lineRule="auto"/>
        <w:jc w:val="left"/>
        <w:rPr>
          <w:szCs w:val="22"/>
          <w:lang w:val="zh-CN"/>
        </w:rPr>
      </w:pPr>
      <w:r>
        <w:rPr>
          <w:rFonts w:hint="eastAsia"/>
          <w:szCs w:val="22"/>
          <w:lang w:val="zh-CN"/>
        </w:rPr>
        <w:t>c)开展诚信风险管理的绩效评价:</w:t>
      </w:r>
    </w:p>
    <w:p>
      <w:pPr>
        <w:autoSpaceDE w:val="0"/>
        <w:autoSpaceDN w:val="0"/>
        <w:spacing w:line="276" w:lineRule="auto"/>
        <w:jc w:val="left"/>
        <w:rPr>
          <w:szCs w:val="22"/>
          <w:lang w:val="zh-CN"/>
        </w:rPr>
      </w:pPr>
      <w:r>
        <w:rPr>
          <w:rFonts w:hint="eastAsia"/>
          <w:szCs w:val="22"/>
        </w:rPr>
        <w:t>d)</w:t>
      </w:r>
      <w:r>
        <w:rPr>
          <w:rFonts w:hint="eastAsia"/>
          <w:szCs w:val="22"/>
          <w:lang w:val="zh-CN"/>
        </w:rPr>
        <w:t>提供质量合格的产品和服务,并制定合理的价格;</w:t>
      </w:r>
    </w:p>
    <w:p>
      <w:pPr>
        <w:autoSpaceDE w:val="0"/>
        <w:autoSpaceDN w:val="0"/>
        <w:spacing w:line="276" w:lineRule="auto"/>
        <w:jc w:val="left"/>
        <w:rPr>
          <w:szCs w:val="22"/>
          <w:lang w:val="zh-CN"/>
        </w:rPr>
      </w:pPr>
      <w:r>
        <w:rPr>
          <w:rFonts w:hint="eastAsia"/>
          <w:szCs w:val="22"/>
        </w:rPr>
        <w:t>e)</w:t>
      </w:r>
      <w:r>
        <w:rPr>
          <w:rFonts w:hint="eastAsia"/>
          <w:szCs w:val="22"/>
          <w:lang w:val="zh-CN"/>
        </w:rPr>
        <w:t>不对所提供的产品和服务进行虚假宣传;</w:t>
      </w:r>
    </w:p>
    <w:p>
      <w:pPr>
        <w:autoSpaceDE w:val="0"/>
        <w:autoSpaceDN w:val="0"/>
        <w:spacing w:line="276" w:lineRule="auto"/>
        <w:jc w:val="left"/>
        <w:rPr>
          <w:szCs w:val="22"/>
          <w:lang w:val="zh-CN"/>
        </w:rPr>
      </w:pPr>
      <w:r>
        <w:rPr>
          <w:rFonts w:hint="eastAsia"/>
          <w:szCs w:val="22"/>
        </w:rPr>
        <w:t>f)</w:t>
      </w:r>
      <w:r>
        <w:rPr>
          <w:rFonts w:hint="eastAsia"/>
          <w:szCs w:val="22"/>
          <w:lang w:val="zh-CN"/>
        </w:rPr>
        <w:t>不对周边的社区生活带来扰乱:</w:t>
      </w:r>
    </w:p>
    <w:p>
      <w:pPr>
        <w:autoSpaceDE w:val="0"/>
        <w:autoSpaceDN w:val="0"/>
        <w:spacing w:line="276" w:lineRule="auto"/>
        <w:jc w:val="left"/>
        <w:rPr>
          <w:szCs w:val="22"/>
          <w:lang w:val="zh-CN"/>
        </w:rPr>
      </w:pPr>
      <w:r>
        <w:rPr>
          <w:rFonts w:hint="eastAsia"/>
          <w:szCs w:val="22"/>
        </w:rPr>
        <w:t>g)</w:t>
      </w:r>
      <w:r>
        <w:rPr>
          <w:rFonts w:hint="eastAsia"/>
          <w:szCs w:val="22"/>
          <w:lang w:val="zh-CN"/>
        </w:rPr>
        <w:t>遵守行业诚信自律公约;</w:t>
      </w:r>
    </w:p>
    <w:p>
      <w:pPr>
        <w:autoSpaceDE w:val="0"/>
        <w:autoSpaceDN w:val="0"/>
        <w:spacing w:line="276" w:lineRule="auto"/>
        <w:jc w:val="left"/>
        <w:rPr>
          <w:szCs w:val="22"/>
          <w:lang w:val="zh-CN"/>
        </w:rPr>
      </w:pPr>
      <w:r>
        <w:rPr>
          <w:rFonts w:hint="eastAsia"/>
          <w:szCs w:val="22"/>
          <w:lang w:val="zh-CN"/>
        </w:rPr>
        <w:t>h)履行社会责任;</w:t>
      </w:r>
    </w:p>
    <w:p>
      <w:pPr>
        <w:autoSpaceDE w:val="0"/>
        <w:autoSpaceDN w:val="0"/>
        <w:spacing w:line="276" w:lineRule="auto"/>
        <w:jc w:val="left"/>
        <w:rPr>
          <w:szCs w:val="22"/>
          <w:lang w:val="zh-CN"/>
        </w:rPr>
      </w:pPr>
      <w:r>
        <w:rPr>
          <w:rFonts w:hint="eastAsia"/>
          <w:szCs w:val="22"/>
        </w:rPr>
        <w:t>i)</w:t>
      </w:r>
      <w:r>
        <w:rPr>
          <w:rFonts w:hint="eastAsia"/>
          <w:szCs w:val="22"/>
          <w:lang w:val="zh-CN"/>
        </w:rPr>
        <w:t>响应社会公众投诉和举报</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7.2.3自愿性承诺</w:t>
      </w:r>
    </w:p>
    <w:p>
      <w:pPr>
        <w:autoSpaceDE w:val="0"/>
        <w:autoSpaceDN w:val="0"/>
        <w:spacing w:line="276" w:lineRule="auto"/>
        <w:ind w:firstLine="420" w:firstLineChars="200"/>
        <w:jc w:val="left"/>
        <w:rPr>
          <w:szCs w:val="22"/>
          <w:lang w:val="zh-CN"/>
        </w:rPr>
      </w:pPr>
      <w:r>
        <w:rPr>
          <w:rFonts w:hint="eastAsia"/>
          <w:szCs w:val="22"/>
          <w:lang w:val="zh-CN"/>
        </w:rPr>
        <w:t>企业基于可持续发展角度，出于企业自愿的社会贡献，或者是为解决重大问题而自愿承担的责任,可自愿对此作出承诺。承诺的内容包括但不限于:</w:t>
      </w:r>
    </w:p>
    <w:p>
      <w:pPr>
        <w:autoSpaceDE w:val="0"/>
        <w:autoSpaceDN w:val="0"/>
        <w:spacing w:line="276" w:lineRule="auto"/>
        <w:jc w:val="left"/>
        <w:rPr>
          <w:szCs w:val="22"/>
          <w:lang w:val="zh-CN"/>
        </w:rPr>
      </w:pPr>
      <w:r>
        <w:rPr>
          <w:rFonts w:hint="eastAsia"/>
          <w:szCs w:val="22"/>
          <w:lang w:val="zh-CN"/>
        </w:rPr>
        <w:t>a)自行选择的有利于社会可持续性发展的战略目标;</w:t>
      </w:r>
    </w:p>
    <w:p>
      <w:pPr>
        <w:autoSpaceDE w:val="0"/>
        <w:autoSpaceDN w:val="0"/>
        <w:spacing w:line="276" w:lineRule="auto"/>
        <w:jc w:val="left"/>
        <w:rPr>
          <w:szCs w:val="22"/>
          <w:lang w:val="zh-CN"/>
        </w:rPr>
      </w:pPr>
      <w:r>
        <w:rPr>
          <w:rFonts w:hint="eastAsia"/>
          <w:szCs w:val="22"/>
          <w:lang w:val="zh-CN"/>
        </w:rPr>
        <w:t>b)提高品牌影响力和社会美誉度的长期目标:</w:t>
      </w:r>
    </w:p>
    <w:p>
      <w:pPr>
        <w:autoSpaceDE w:val="0"/>
        <w:autoSpaceDN w:val="0"/>
        <w:spacing w:line="276" w:lineRule="auto"/>
        <w:jc w:val="left"/>
        <w:rPr>
          <w:szCs w:val="22"/>
          <w:lang w:val="zh-CN"/>
        </w:rPr>
      </w:pPr>
      <w:r>
        <w:rPr>
          <w:rFonts w:hint="eastAsia"/>
          <w:szCs w:val="22"/>
        </w:rPr>
        <w:t>c)</w:t>
      </w:r>
      <w:r>
        <w:rPr>
          <w:rFonts w:hint="eastAsia"/>
          <w:szCs w:val="22"/>
          <w:lang w:val="zh-CN"/>
        </w:rPr>
        <w:t>运用大数据、云计算、人工智能、移动互联、智能终端等技术手段或工具实施诚信管理,以适应并满足数字经济时代新型商业模式下的诚信管理需求;</w:t>
      </w:r>
    </w:p>
    <w:p>
      <w:pPr>
        <w:autoSpaceDE w:val="0"/>
        <w:autoSpaceDN w:val="0"/>
        <w:spacing w:line="276" w:lineRule="auto"/>
        <w:jc w:val="left"/>
        <w:rPr>
          <w:szCs w:val="22"/>
          <w:lang w:val="zh-CN"/>
        </w:rPr>
      </w:pPr>
      <w:r>
        <w:rPr>
          <w:rFonts w:hint="eastAsia"/>
          <w:szCs w:val="22"/>
        </w:rPr>
        <w:t>d)</w:t>
      </w:r>
      <w:r>
        <w:rPr>
          <w:rFonts w:hint="eastAsia"/>
          <w:szCs w:val="22"/>
          <w:lang w:val="zh-CN"/>
        </w:rPr>
        <w:t>诚信教育和诚信文化建设:</w:t>
      </w:r>
    </w:p>
    <w:p>
      <w:pPr>
        <w:autoSpaceDE w:val="0"/>
        <w:autoSpaceDN w:val="0"/>
        <w:spacing w:line="276" w:lineRule="auto"/>
        <w:jc w:val="left"/>
        <w:rPr>
          <w:szCs w:val="22"/>
          <w:lang w:val="zh-CN"/>
        </w:rPr>
      </w:pPr>
      <w:r>
        <w:rPr>
          <w:rFonts w:hint="eastAsia"/>
          <w:szCs w:val="22"/>
        </w:rPr>
        <w:t>e)</w:t>
      </w:r>
      <w:r>
        <w:rPr>
          <w:rFonts w:hint="eastAsia"/>
          <w:szCs w:val="22"/>
          <w:lang w:val="zh-CN"/>
        </w:rPr>
        <w:t>积极参与公益活动。</w:t>
      </w:r>
    </w:p>
    <w:p>
      <w:pPr>
        <w:autoSpaceDE w:val="0"/>
        <w:autoSpaceDN w:val="0"/>
        <w:spacing w:line="276" w:lineRule="auto"/>
        <w:jc w:val="left"/>
        <w:rPr>
          <w:szCs w:val="22"/>
          <w:lang w:val="zh-CN"/>
        </w:rPr>
      </w:pPr>
      <w:r>
        <w:rPr>
          <w:rFonts w:hint="eastAsia"/>
          <w:szCs w:val="22"/>
          <w:lang w:val="zh-CN"/>
        </w:rPr>
        <w:t>7.3 应对风险和机遇要求</w:t>
      </w:r>
    </w:p>
    <w:p>
      <w:pPr>
        <w:autoSpaceDE w:val="0"/>
        <w:autoSpaceDN w:val="0"/>
        <w:spacing w:line="276" w:lineRule="auto"/>
        <w:jc w:val="left"/>
        <w:rPr>
          <w:szCs w:val="22"/>
          <w:lang w:val="zh-CN"/>
        </w:rPr>
      </w:pPr>
      <w:r>
        <w:rPr>
          <w:rFonts w:hint="eastAsia"/>
          <w:szCs w:val="22"/>
          <w:lang w:val="zh-CN"/>
        </w:rPr>
        <w:t>7.3.1 在策划诚信管理体系时,企业应评估影响企业内外部环境的各项因素,识别和分析各相关方的需求和期望,确定需要应对的风险和机遇应满足以下条件:</w:t>
      </w:r>
    </w:p>
    <w:p>
      <w:pPr>
        <w:autoSpaceDE w:val="0"/>
        <w:autoSpaceDN w:val="0"/>
        <w:spacing w:line="276" w:lineRule="auto"/>
        <w:jc w:val="left"/>
        <w:rPr>
          <w:szCs w:val="22"/>
          <w:lang w:val="zh-CN"/>
        </w:rPr>
      </w:pPr>
      <w:r>
        <w:rPr>
          <w:rFonts w:hint="eastAsia"/>
          <w:szCs w:val="22"/>
          <w:lang w:val="zh-CN"/>
        </w:rPr>
        <w:t>a)确保诚信管理体系能够实现其预期结果;</w:t>
      </w:r>
    </w:p>
    <w:p>
      <w:pPr>
        <w:autoSpaceDE w:val="0"/>
        <w:autoSpaceDN w:val="0"/>
        <w:spacing w:line="276" w:lineRule="auto"/>
        <w:jc w:val="left"/>
        <w:rPr>
          <w:szCs w:val="22"/>
          <w:lang w:val="zh-CN"/>
        </w:rPr>
      </w:pPr>
      <w:r>
        <w:rPr>
          <w:rFonts w:hint="eastAsia"/>
          <w:szCs w:val="22"/>
          <w:lang w:val="zh-CN"/>
        </w:rPr>
        <w:t>b)增强有利影响;</w:t>
      </w:r>
    </w:p>
    <w:p>
      <w:pPr>
        <w:autoSpaceDE w:val="0"/>
        <w:autoSpaceDN w:val="0"/>
        <w:spacing w:line="276" w:lineRule="auto"/>
        <w:jc w:val="left"/>
        <w:rPr>
          <w:szCs w:val="22"/>
          <w:lang w:val="zh-CN"/>
        </w:rPr>
      </w:pPr>
      <w:r>
        <w:rPr>
          <w:rFonts w:hint="eastAsia"/>
          <w:szCs w:val="22"/>
        </w:rPr>
        <w:t>c)</w:t>
      </w:r>
      <w:r>
        <w:rPr>
          <w:rFonts w:hint="eastAsia"/>
          <w:szCs w:val="22"/>
          <w:lang w:val="zh-CN"/>
        </w:rPr>
        <w:t>预防或减少不利影响;</w:t>
      </w:r>
    </w:p>
    <w:p>
      <w:pPr>
        <w:autoSpaceDE w:val="0"/>
        <w:autoSpaceDN w:val="0"/>
        <w:spacing w:line="276" w:lineRule="auto"/>
        <w:jc w:val="left"/>
        <w:rPr>
          <w:szCs w:val="22"/>
          <w:lang w:val="zh-CN"/>
        </w:rPr>
      </w:pPr>
      <w:r>
        <w:rPr>
          <w:rFonts w:hint="eastAsia"/>
          <w:szCs w:val="22"/>
          <w:lang w:val="zh-CN"/>
        </w:rPr>
        <w:t>d)实现改进。</w:t>
      </w:r>
    </w:p>
    <w:p>
      <w:pPr>
        <w:autoSpaceDE w:val="0"/>
        <w:autoSpaceDN w:val="0"/>
        <w:spacing w:line="276" w:lineRule="auto"/>
        <w:jc w:val="left"/>
        <w:rPr>
          <w:szCs w:val="22"/>
          <w:lang w:val="zh-CN"/>
        </w:rPr>
      </w:pPr>
      <w:r>
        <w:rPr>
          <w:rFonts w:hint="eastAsia"/>
          <w:szCs w:val="22"/>
          <w:lang w:val="zh-CN"/>
        </w:rPr>
        <w:t>7.3.2企业应策划的内容包括但不限于: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应对这些风险和机遇的措施:</w:t>
      </w:r>
    </w:p>
    <w:p>
      <w:pPr>
        <w:autoSpaceDE w:val="0"/>
        <w:autoSpaceDN w:val="0"/>
        <w:spacing w:line="276" w:lineRule="auto"/>
        <w:jc w:val="left"/>
        <w:rPr>
          <w:szCs w:val="22"/>
          <w:lang w:val="zh-CN"/>
        </w:rPr>
      </w:pPr>
      <w:r>
        <w:rPr>
          <w:rFonts w:hint="eastAsia"/>
          <w:szCs w:val="22"/>
          <w:lang w:val="zh-CN"/>
        </w:rPr>
        <w:t>b)如何在诚信管理体系过程中整合并实施这些措施:</w:t>
      </w:r>
    </w:p>
    <w:p>
      <w:pPr>
        <w:autoSpaceDE w:val="0"/>
        <w:autoSpaceDN w:val="0"/>
        <w:spacing w:line="276" w:lineRule="auto"/>
        <w:jc w:val="left"/>
        <w:rPr>
          <w:szCs w:val="22"/>
          <w:lang w:val="zh-CN"/>
        </w:rPr>
      </w:pPr>
      <w:r>
        <w:rPr>
          <w:rFonts w:hint="eastAsia"/>
          <w:szCs w:val="22"/>
        </w:rPr>
        <w:t>c)</w:t>
      </w:r>
      <w:r>
        <w:rPr>
          <w:rFonts w:hint="eastAsia"/>
          <w:szCs w:val="22"/>
          <w:lang w:val="zh-CN"/>
        </w:rPr>
        <w:t>措施的应急预案;</w:t>
      </w:r>
    </w:p>
    <w:p>
      <w:pPr>
        <w:autoSpaceDE w:val="0"/>
        <w:autoSpaceDN w:val="0"/>
        <w:spacing w:line="276" w:lineRule="auto"/>
        <w:jc w:val="left"/>
        <w:rPr>
          <w:szCs w:val="22"/>
          <w:lang w:val="zh-CN"/>
        </w:rPr>
      </w:pPr>
      <w:r>
        <w:rPr>
          <w:rFonts w:hint="eastAsia"/>
          <w:szCs w:val="22"/>
          <w:lang w:val="zh-CN"/>
        </w:rPr>
        <w:t>d)如何评价这些措施及其应急预案的有效性。</w:t>
      </w:r>
    </w:p>
    <w:p>
      <w:pPr>
        <w:autoSpaceDE w:val="0"/>
        <w:autoSpaceDN w:val="0"/>
        <w:spacing w:line="276" w:lineRule="auto"/>
        <w:jc w:val="left"/>
        <w:rPr>
          <w:szCs w:val="22"/>
          <w:lang w:val="zh-CN"/>
        </w:rPr>
      </w:pPr>
      <w:r>
        <w:rPr>
          <w:rFonts w:hint="eastAsia"/>
          <w:szCs w:val="22"/>
          <w:lang w:val="zh-CN"/>
        </w:rPr>
        <w:t>应对措施及其应急预案应与风险和机遇对企业满足产品和服务的质量、安全、环保、售后服务,接受国家主管部门信用监管，遵守行业自律公约,响应社会公众投诉和举报,公开失信信息,履行社会责任等要求的潜在影响相适应。</w:t>
      </w:r>
    </w:p>
    <w:p>
      <w:pPr>
        <w:autoSpaceDE w:val="0"/>
        <w:autoSpaceDN w:val="0"/>
        <w:spacing w:line="276" w:lineRule="auto"/>
        <w:jc w:val="left"/>
        <w:rPr>
          <w:szCs w:val="22"/>
          <w:lang w:val="zh-CN"/>
        </w:rPr>
      </w:pPr>
      <w:r>
        <w:rPr>
          <w:rFonts w:hint="eastAsia"/>
          <w:szCs w:val="22"/>
          <w:lang w:val="zh-CN"/>
        </w:rPr>
        <w:t>7.4应对变更要求</w:t>
      </w:r>
    </w:p>
    <w:p>
      <w:pPr>
        <w:autoSpaceDE w:val="0"/>
        <w:autoSpaceDN w:val="0"/>
        <w:spacing w:line="276" w:lineRule="auto"/>
        <w:ind w:firstLine="420" w:firstLineChars="200"/>
        <w:jc w:val="left"/>
        <w:rPr>
          <w:szCs w:val="22"/>
          <w:lang w:val="zh-CN"/>
        </w:rPr>
      </w:pPr>
      <w:r>
        <w:rPr>
          <w:rFonts w:hint="eastAsia"/>
          <w:szCs w:val="22"/>
          <w:lang w:val="zh-CN"/>
        </w:rPr>
        <w:t>企业应控制策划的变更，评审非预期变更的后果,并采取措施减轻不利影响。对于实施企业诚信管理体系中可能涉及的变化.企业应做好应对变化的规划和部署,并评估以下情况，</w:t>
      </w:r>
    </w:p>
    <w:p>
      <w:pPr>
        <w:autoSpaceDE w:val="0"/>
        <w:autoSpaceDN w:val="0"/>
        <w:spacing w:line="276" w:lineRule="auto"/>
        <w:jc w:val="left"/>
        <w:rPr>
          <w:szCs w:val="22"/>
          <w:lang w:val="zh-CN"/>
        </w:rPr>
      </w:pPr>
      <w:r>
        <w:rPr>
          <w:rFonts w:hint="eastAsia"/>
          <w:szCs w:val="22"/>
          <w:lang w:val="zh-CN"/>
        </w:rPr>
        <w:t>a)变更的目的及可能带来的后果:</w:t>
      </w:r>
    </w:p>
    <w:p>
      <w:pPr>
        <w:autoSpaceDE w:val="0"/>
        <w:autoSpaceDN w:val="0"/>
        <w:spacing w:line="276" w:lineRule="auto"/>
        <w:jc w:val="left"/>
        <w:rPr>
          <w:szCs w:val="22"/>
          <w:lang w:val="zh-CN"/>
        </w:rPr>
      </w:pPr>
      <w:r>
        <w:rPr>
          <w:rFonts w:hint="eastAsia"/>
          <w:szCs w:val="22"/>
          <w:lang w:val="zh-CN"/>
        </w:rPr>
        <w:t>b)企业诚信管理体系的完整性:</w:t>
      </w:r>
    </w:p>
    <w:p>
      <w:pPr>
        <w:autoSpaceDE w:val="0"/>
        <w:autoSpaceDN w:val="0"/>
        <w:spacing w:line="276" w:lineRule="auto"/>
        <w:jc w:val="left"/>
        <w:rPr>
          <w:szCs w:val="22"/>
          <w:lang w:val="zh-CN"/>
        </w:rPr>
      </w:pPr>
      <w:r>
        <w:rPr>
          <w:rFonts w:hint="eastAsia"/>
          <w:szCs w:val="22"/>
          <w:lang w:val="zh-CN"/>
        </w:rPr>
        <w:t>c)涉及资源的可获取性:</w:t>
      </w:r>
    </w:p>
    <w:p>
      <w:pPr>
        <w:autoSpaceDE w:val="0"/>
        <w:autoSpaceDN w:val="0"/>
        <w:spacing w:line="276" w:lineRule="auto"/>
        <w:jc w:val="left"/>
        <w:rPr>
          <w:szCs w:val="22"/>
          <w:lang w:val="zh-CN"/>
        </w:rPr>
      </w:pPr>
      <w:r>
        <w:rPr>
          <w:rFonts w:hint="eastAsia"/>
          <w:szCs w:val="22"/>
          <w:lang w:val="zh-CN"/>
        </w:rPr>
        <w:t>d)责任和权利的分配或重新分配的合理性。</w:t>
      </w:r>
    </w:p>
    <w:p>
      <w:pPr>
        <w:autoSpaceDE w:val="0"/>
        <w:autoSpaceDN w:val="0"/>
        <w:spacing w:line="276" w:lineRule="auto"/>
        <w:jc w:val="left"/>
        <w:rPr>
          <w:szCs w:val="22"/>
        </w:rPr>
      </w:pPr>
      <w:r>
        <w:rPr>
          <w:rFonts w:hint="eastAsia"/>
          <w:szCs w:val="22"/>
        </w:rPr>
        <w:t>8支持</w:t>
      </w:r>
    </w:p>
    <w:p>
      <w:pPr>
        <w:autoSpaceDE w:val="0"/>
        <w:autoSpaceDN w:val="0"/>
        <w:spacing w:line="276" w:lineRule="auto"/>
        <w:jc w:val="left"/>
        <w:rPr>
          <w:szCs w:val="22"/>
        </w:rPr>
      </w:pPr>
      <w:r>
        <w:rPr>
          <w:rFonts w:hint="eastAsia"/>
          <w:szCs w:val="22"/>
        </w:rPr>
        <w:t>8.1资源</w:t>
      </w:r>
    </w:p>
    <w:p>
      <w:pPr>
        <w:autoSpaceDE w:val="0"/>
        <w:autoSpaceDN w:val="0"/>
        <w:spacing w:line="276" w:lineRule="auto"/>
        <w:jc w:val="left"/>
        <w:rPr>
          <w:szCs w:val="22"/>
        </w:rPr>
      </w:pPr>
      <w:r>
        <w:rPr>
          <w:rFonts w:hint="eastAsia"/>
          <w:szCs w:val="22"/>
        </w:rPr>
        <w:t>8.1.1 基本要求</w:t>
      </w:r>
    </w:p>
    <w:p>
      <w:pPr>
        <w:autoSpaceDE w:val="0"/>
        <w:autoSpaceDN w:val="0"/>
        <w:spacing w:line="276" w:lineRule="auto"/>
        <w:jc w:val="left"/>
        <w:rPr>
          <w:szCs w:val="22"/>
        </w:rPr>
      </w:pPr>
      <w:r>
        <w:rPr>
          <w:rFonts w:hint="eastAsia"/>
          <w:szCs w:val="22"/>
        </w:rPr>
        <w:t>企业应确定并提供建立、实施、维护和持续提升企业诚信管理体系所需要的资源。同时应评估现有内部资源的能力和局限，以及需要从外部供方获得的资源。</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8.1.2人员及能力</w:t>
      </w:r>
    </w:p>
    <w:p>
      <w:pPr>
        <w:autoSpaceDE w:val="0"/>
        <w:autoSpaceDN w:val="0"/>
        <w:spacing w:line="276" w:lineRule="auto"/>
        <w:jc w:val="left"/>
        <w:rPr>
          <w:szCs w:val="22"/>
          <w:lang w:val="zh-CN"/>
        </w:rPr>
      </w:pPr>
      <w:r>
        <w:rPr>
          <w:rFonts w:hint="eastAsia"/>
          <w:szCs w:val="22"/>
          <w:lang w:val="zh-CN"/>
        </w:rPr>
        <w:t>为实现企业的诚信方针和诚信目标，企业应满足以下条件:</w:t>
      </w:r>
    </w:p>
    <w:p>
      <w:pPr>
        <w:numPr>
          <w:ilvl w:val="0"/>
          <w:numId w:val="5"/>
        </w:numPr>
        <w:autoSpaceDE w:val="0"/>
        <w:autoSpaceDN w:val="0"/>
        <w:spacing w:line="276" w:lineRule="auto"/>
        <w:jc w:val="left"/>
        <w:rPr>
          <w:szCs w:val="22"/>
          <w:lang w:val="zh-CN"/>
        </w:rPr>
      </w:pPr>
      <w:r>
        <w:rPr>
          <w:rFonts w:hint="eastAsia"/>
          <w:szCs w:val="22"/>
          <w:lang w:val="zh-CN"/>
        </w:rPr>
        <w:t>适时提供培训或采取其他措施,持续提高员工对国家主管部门、行业和企业内部诚信体系建设有关要求的认同与认知程度,并形成其自觉的行为准则;</w:t>
      </w:r>
    </w:p>
    <w:p>
      <w:pPr>
        <w:numPr>
          <w:ilvl w:val="0"/>
          <w:numId w:val="5"/>
        </w:numPr>
        <w:autoSpaceDE w:val="0"/>
        <w:autoSpaceDN w:val="0"/>
        <w:spacing w:line="276" w:lineRule="auto"/>
        <w:jc w:val="left"/>
        <w:rPr>
          <w:szCs w:val="22"/>
          <w:lang w:val="zh-CN"/>
        </w:rPr>
      </w:pPr>
      <w:r>
        <w:rPr>
          <w:rFonts w:hint="eastAsia"/>
          <w:szCs w:val="22"/>
          <w:lang w:val="zh-CN"/>
        </w:rPr>
        <w:t>确定关键过程负责人和执行人、诚信管理人员所需的诚信管理能力,且基于适当的教育、培训b)技能和经验，以确保其应是能够胜任的:</w:t>
      </w:r>
    </w:p>
    <w:p>
      <w:pPr>
        <w:autoSpaceDE w:val="0"/>
        <w:autoSpaceDN w:val="0"/>
        <w:spacing w:line="276" w:lineRule="auto"/>
        <w:jc w:val="left"/>
        <w:rPr>
          <w:szCs w:val="22"/>
          <w:lang w:val="zh-CN"/>
        </w:rPr>
      </w:pPr>
      <w:r>
        <w:rPr>
          <w:rFonts w:hint="eastAsia"/>
          <w:szCs w:val="22"/>
        </w:rPr>
        <w:t>c</w:t>
      </w:r>
      <w:r>
        <w:rPr>
          <w:rFonts w:hint="eastAsia"/>
          <w:szCs w:val="22"/>
          <w:lang w:val="zh-CN"/>
        </w:rPr>
        <w:t>）确保员工认识到所从事的活动与企业诚信水平的相关性和重要性，以及如何为实现诚信目标c)履行承诺作出贡献:</w:t>
      </w:r>
    </w:p>
    <w:p>
      <w:pPr>
        <w:autoSpaceDE w:val="0"/>
        <w:autoSpaceDN w:val="0"/>
        <w:spacing w:line="276" w:lineRule="auto"/>
        <w:jc w:val="left"/>
        <w:rPr>
          <w:szCs w:val="22"/>
          <w:lang w:val="zh-CN"/>
        </w:rPr>
      </w:pPr>
      <w:r>
        <w:rPr>
          <w:rFonts w:hint="eastAsia"/>
          <w:szCs w:val="22"/>
          <w:lang w:val="zh-CN"/>
        </w:rPr>
        <w:t>d)适时评价企业人力资源保障的有效性,并采取有效的持续改进措施。</w:t>
      </w:r>
    </w:p>
    <w:p>
      <w:pPr>
        <w:autoSpaceDE w:val="0"/>
        <w:autoSpaceDN w:val="0"/>
        <w:spacing w:line="276" w:lineRule="auto"/>
        <w:jc w:val="left"/>
        <w:rPr>
          <w:szCs w:val="22"/>
          <w:lang w:val="zh-CN"/>
        </w:rPr>
      </w:pPr>
      <w:r>
        <w:rPr>
          <w:rFonts w:hint="eastAsia"/>
          <w:szCs w:val="22"/>
          <w:lang w:val="zh-CN"/>
        </w:rPr>
        <w:t>企业应保留适当的成文信息，作为人员能力的证据。</w:t>
      </w:r>
    </w:p>
    <w:p>
      <w:pPr>
        <w:autoSpaceDE w:val="0"/>
        <w:autoSpaceDN w:val="0"/>
        <w:spacing w:line="276" w:lineRule="auto"/>
        <w:jc w:val="left"/>
        <w:rPr>
          <w:rFonts w:hint="eastAsia"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8.1.3信息基础设施</w:t>
      </w:r>
    </w:p>
    <w:p>
      <w:pPr>
        <w:autoSpaceDE w:val="0"/>
        <w:autoSpaceDN w:val="0"/>
        <w:spacing w:line="276" w:lineRule="auto"/>
        <w:jc w:val="left"/>
        <w:rPr>
          <w:szCs w:val="22"/>
          <w:lang w:val="zh-CN"/>
        </w:rPr>
      </w:pPr>
      <w:r>
        <w:rPr>
          <w:rFonts w:hint="eastAsia"/>
          <w:szCs w:val="22"/>
          <w:lang w:val="zh-CN"/>
        </w:rPr>
        <w:t>8.1.3.1 基本要求</w:t>
      </w:r>
    </w:p>
    <w:p>
      <w:pPr>
        <w:autoSpaceDE w:val="0"/>
        <w:autoSpaceDN w:val="0"/>
        <w:spacing w:line="276" w:lineRule="auto"/>
        <w:jc w:val="left"/>
        <w:rPr>
          <w:szCs w:val="22"/>
          <w:lang w:val="zh-CN"/>
        </w:rPr>
      </w:pPr>
      <w:r>
        <w:rPr>
          <w:rFonts w:hint="eastAsia"/>
          <w:szCs w:val="22"/>
          <w:lang w:val="zh-CN"/>
        </w:rPr>
        <w:t>企业应确定、提供并维护用于支撑企业诚信管理体系实施的信息基础设施,确保与产品和服务的一致。信息基础设施包括以下方面:</w:t>
      </w:r>
    </w:p>
    <w:p>
      <w:pPr>
        <w:autoSpaceDE w:val="0"/>
        <w:autoSpaceDN w:val="0"/>
        <w:spacing w:line="276" w:lineRule="auto"/>
        <w:jc w:val="left"/>
        <w:rPr>
          <w:szCs w:val="22"/>
          <w:lang w:val="zh-CN"/>
        </w:rPr>
      </w:pPr>
      <w:r>
        <w:rPr>
          <w:rFonts w:hint="eastAsia"/>
          <w:szCs w:val="22"/>
          <w:lang w:val="zh-CN"/>
        </w:rPr>
        <w:t>a)运行环境(包括资源环境和内部管理制度):</w:t>
      </w:r>
    </w:p>
    <w:p>
      <w:pPr>
        <w:autoSpaceDE w:val="0"/>
        <w:autoSpaceDN w:val="0"/>
        <w:spacing w:line="276" w:lineRule="auto"/>
        <w:jc w:val="left"/>
        <w:rPr>
          <w:szCs w:val="22"/>
          <w:lang w:val="zh-CN"/>
        </w:rPr>
      </w:pPr>
      <w:r>
        <w:rPr>
          <w:rFonts w:hint="eastAsia"/>
          <w:szCs w:val="22"/>
          <w:lang w:val="zh-CN"/>
        </w:rPr>
        <w:t>b) 硬件和软件(包括外部国家主管部门信用监管平台、企业内部诚信管理信息化系统以及诚信风险管控工具等);</w:t>
      </w:r>
    </w:p>
    <w:p>
      <w:pPr>
        <w:autoSpaceDE w:val="0"/>
        <w:autoSpaceDN w:val="0"/>
        <w:spacing w:line="276" w:lineRule="auto"/>
        <w:jc w:val="left"/>
        <w:rPr>
          <w:szCs w:val="22"/>
          <w:lang w:val="zh-CN"/>
        </w:rPr>
      </w:pPr>
      <w:r>
        <w:rPr>
          <w:rFonts w:hint="eastAsia"/>
          <w:szCs w:val="22"/>
        </w:rPr>
        <w:t>c)</w:t>
      </w:r>
      <w:r>
        <w:rPr>
          <w:rFonts w:hint="eastAsia"/>
          <w:szCs w:val="22"/>
          <w:lang w:val="zh-CN"/>
        </w:rPr>
        <w:t>与诚信管理相关的信息(包括诚信管理体系范围、诚信目标和承诺以及信用档案等成文信息);</w:t>
      </w:r>
    </w:p>
    <w:p>
      <w:pPr>
        <w:autoSpaceDE w:val="0"/>
        <w:autoSpaceDN w:val="0"/>
        <w:spacing w:line="276" w:lineRule="auto"/>
        <w:jc w:val="left"/>
        <w:rPr>
          <w:szCs w:val="22"/>
          <w:lang w:val="zh-CN"/>
        </w:rPr>
      </w:pPr>
      <w:r>
        <w:rPr>
          <w:rFonts w:hint="eastAsia"/>
          <w:szCs w:val="22"/>
          <w:lang w:val="zh-CN"/>
        </w:rPr>
        <w:t>d)信息和通信技术。</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8.1.3.2信息化系统</w:t>
      </w:r>
    </w:p>
    <w:p>
      <w:pPr>
        <w:autoSpaceDE w:val="0"/>
        <w:autoSpaceDN w:val="0"/>
        <w:spacing w:line="276" w:lineRule="auto"/>
        <w:jc w:val="left"/>
        <w:rPr>
          <w:szCs w:val="22"/>
          <w:lang w:val="zh-CN"/>
        </w:rPr>
      </w:pPr>
      <w:r>
        <w:rPr>
          <w:rFonts w:hint="eastAsia"/>
          <w:szCs w:val="22"/>
          <w:lang w:val="zh-CN"/>
        </w:rPr>
        <w:t>企业可根据诚信管理工作需要,将诚信管理要求融入业务、财务、办公等现有系统,与现有系统衔接，体现诚信管理要求。鼓励企业单独建立一套信息化系统进行诚信管理。信息化系统应具备诚信管理的主要功能，可通过多个信息化系统共同完成诚信管理的今部流程,实现数据自动同步事新。</w:t>
      </w:r>
    </w:p>
    <w:p>
      <w:pPr>
        <w:autoSpaceDE w:val="0"/>
        <w:autoSpaceDN w:val="0"/>
        <w:spacing w:line="276" w:lineRule="auto"/>
        <w:jc w:val="left"/>
        <w:rPr>
          <w:szCs w:val="22"/>
          <w:lang w:val="zh-CN"/>
        </w:rPr>
      </w:pPr>
      <w:r>
        <w:rPr>
          <w:rFonts w:hint="eastAsia"/>
          <w:szCs w:val="22"/>
          <w:lang w:val="zh-CN"/>
        </w:rPr>
        <w:t>系统功能包括但不限于:</w:t>
      </w:r>
    </w:p>
    <w:p>
      <w:pPr>
        <w:autoSpaceDE w:val="0"/>
        <w:autoSpaceDN w:val="0"/>
        <w:spacing w:line="276" w:lineRule="auto"/>
        <w:jc w:val="left"/>
        <w:rPr>
          <w:szCs w:val="22"/>
          <w:lang w:val="zh-CN"/>
        </w:rPr>
      </w:pPr>
      <w:r>
        <w:rPr>
          <w:rFonts w:hint="eastAsia"/>
          <w:szCs w:val="22"/>
          <w:lang w:val="zh-CN"/>
        </w:rPr>
        <w:t>a) 信用评估功能:</w:t>
      </w:r>
    </w:p>
    <w:p>
      <w:pPr>
        <w:autoSpaceDE w:val="0"/>
        <w:autoSpaceDN w:val="0"/>
        <w:spacing w:line="276" w:lineRule="auto"/>
        <w:jc w:val="left"/>
        <w:rPr>
          <w:szCs w:val="22"/>
          <w:lang w:val="zh-CN"/>
        </w:rPr>
      </w:pPr>
      <w:r>
        <w:rPr>
          <w:rFonts w:hint="eastAsia"/>
          <w:szCs w:val="22"/>
          <w:lang w:val="zh-CN"/>
        </w:rPr>
        <w:t>b) 授信申请审批功能:</w:t>
      </w:r>
    </w:p>
    <w:p>
      <w:pPr>
        <w:autoSpaceDE w:val="0"/>
        <w:autoSpaceDN w:val="0"/>
        <w:spacing w:line="276" w:lineRule="auto"/>
        <w:jc w:val="left"/>
        <w:rPr>
          <w:szCs w:val="22"/>
          <w:lang w:val="zh-CN"/>
        </w:rPr>
      </w:pPr>
      <w:r>
        <w:rPr>
          <w:rFonts w:hint="eastAsia"/>
          <w:szCs w:val="22"/>
          <w:lang w:val="zh-CN"/>
        </w:rPr>
        <w:t>c) 授信额度控制功能:</w:t>
      </w:r>
    </w:p>
    <w:p>
      <w:pPr>
        <w:autoSpaceDE w:val="0"/>
        <w:autoSpaceDN w:val="0"/>
        <w:spacing w:line="276" w:lineRule="auto"/>
        <w:jc w:val="left"/>
        <w:rPr>
          <w:szCs w:val="22"/>
          <w:lang w:val="zh-CN"/>
        </w:rPr>
      </w:pPr>
      <w:r>
        <w:rPr>
          <w:rFonts w:hint="eastAsia"/>
          <w:szCs w:val="22"/>
          <w:lang w:val="zh-CN"/>
        </w:rPr>
        <w:t>d) 合同管理功能;</w:t>
      </w:r>
    </w:p>
    <w:p>
      <w:pPr>
        <w:autoSpaceDE w:val="0"/>
        <w:autoSpaceDN w:val="0"/>
        <w:spacing w:line="276" w:lineRule="auto"/>
        <w:jc w:val="left"/>
        <w:rPr>
          <w:szCs w:val="22"/>
          <w:lang w:val="zh-CN"/>
        </w:rPr>
      </w:pPr>
      <w:r>
        <w:rPr>
          <w:rFonts w:hint="eastAsia"/>
          <w:szCs w:val="22"/>
          <w:lang w:val="zh-CN"/>
        </w:rPr>
        <w:t>e)发货(或服务过程)控制功能;</w:t>
      </w:r>
    </w:p>
    <w:p>
      <w:pPr>
        <w:autoSpaceDE w:val="0"/>
        <w:autoSpaceDN w:val="0"/>
        <w:spacing w:line="276" w:lineRule="auto"/>
        <w:jc w:val="left"/>
        <w:rPr>
          <w:szCs w:val="22"/>
          <w:lang w:val="zh-CN"/>
        </w:rPr>
      </w:pPr>
      <w:r>
        <w:rPr>
          <w:rFonts w:hint="eastAsia"/>
          <w:szCs w:val="22"/>
        </w:rPr>
        <w:t>f)</w:t>
      </w:r>
      <w:r>
        <w:rPr>
          <w:rFonts w:hint="eastAsia"/>
          <w:szCs w:val="22"/>
          <w:lang w:val="zh-CN"/>
        </w:rPr>
        <w:t>应付(预收)账款统计,账龄分析功能:</w:t>
      </w:r>
    </w:p>
    <w:p>
      <w:pPr>
        <w:autoSpaceDE w:val="0"/>
        <w:autoSpaceDN w:val="0"/>
        <w:spacing w:line="276" w:lineRule="auto"/>
        <w:jc w:val="left"/>
        <w:rPr>
          <w:szCs w:val="22"/>
          <w:lang w:val="zh-CN"/>
        </w:rPr>
      </w:pPr>
      <w:r>
        <w:rPr>
          <w:rFonts w:hint="eastAsia"/>
          <w:szCs w:val="22"/>
          <w:lang w:val="zh-CN"/>
        </w:rPr>
        <w:t>g)应付(预收)账款预警跟踪功能;</w:t>
      </w:r>
    </w:p>
    <w:p>
      <w:pPr>
        <w:autoSpaceDE w:val="0"/>
        <w:autoSpaceDN w:val="0"/>
        <w:spacing w:line="276" w:lineRule="auto"/>
        <w:jc w:val="left"/>
        <w:rPr>
          <w:szCs w:val="22"/>
          <w:lang w:val="zh-CN"/>
        </w:rPr>
      </w:pPr>
      <w:r>
        <w:rPr>
          <w:rFonts w:hint="eastAsia"/>
          <w:szCs w:val="22"/>
        </w:rPr>
        <w:t>b)</w:t>
      </w:r>
      <w:r>
        <w:rPr>
          <w:rFonts w:hint="eastAsia"/>
          <w:szCs w:val="22"/>
          <w:lang w:val="zh-CN"/>
        </w:rPr>
        <w:t>信用销售(或预付款采购)交易记录查询功能:</w:t>
      </w:r>
    </w:p>
    <w:p>
      <w:pPr>
        <w:autoSpaceDE w:val="0"/>
        <w:autoSpaceDN w:val="0"/>
        <w:spacing w:line="276" w:lineRule="auto"/>
        <w:jc w:val="left"/>
        <w:rPr>
          <w:szCs w:val="22"/>
          <w:lang w:val="zh-CN"/>
        </w:rPr>
      </w:pPr>
      <w:r>
        <w:rPr>
          <w:rFonts w:hint="eastAsia"/>
          <w:szCs w:val="22"/>
          <w:lang w:val="zh-CN"/>
        </w:rPr>
        <w:t>i)供方信用风险预警功能:</w:t>
      </w:r>
    </w:p>
    <w:p>
      <w:pPr>
        <w:autoSpaceDE w:val="0"/>
        <w:autoSpaceDN w:val="0"/>
        <w:spacing w:line="276" w:lineRule="auto"/>
        <w:jc w:val="left"/>
        <w:rPr>
          <w:szCs w:val="22"/>
          <w:lang w:val="zh-CN"/>
        </w:rPr>
      </w:pPr>
      <w:r>
        <w:rPr>
          <w:rFonts w:hint="eastAsia"/>
          <w:szCs w:val="22"/>
        </w:rPr>
        <w:t>j)</w:t>
      </w:r>
      <w:r>
        <w:rPr>
          <w:rFonts w:hint="eastAsia"/>
          <w:szCs w:val="22"/>
          <w:lang w:val="zh-CN"/>
        </w:rPr>
        <w:t>自动信息报告功能;</w:t>
      </w:r>
    </w:p>
    <w:p>
      <w:pPr>
        <w:autoSpaceDE w:val="0"/>
        <w:autoSpaceDN w:val="0"/>
        <w:spacing w:line="276" w:lineRule="auto"/>
        <w:jc w:val="left"/>
        <w:rPr>
          <w:szCs w:val="22"/>
          <w:lang w:val="zh-CN"/>
        </w:rPr>
      </w:pPr>
      <w:r>
        <w:rPr>
          <w:rFonts w:hint="eastAsia"/>
          <w:szCs w:val="22"/>
        </w:rPr>
        <w:t>k)</w:t>
      </w:r>
      <w:r>
        <w:rPr>
          <w:rFonts w:hint="eastAsia"/>
          <w:szCs w:val="22"/>
          <w:lang w:val="zh-CN"/>
        </w:rPr>
        <w:t>全面查询、统计功能;</w:t>
      </w:r>
    </w:p>
    <w:p>
      <w:pPr>
        <w:autoSpaceDE w:val="0"/>
        <w:autoSpaceDN w:val="0"/>
        <w:spacing w:line="276" w:lineRule="auto"/>
        <w:jc w:val="left"/>
        <w:rPr>
          <w:szCs w:val="22"/>
          <w:lang w:val="zh-CN"/>
        </w:rPr>
      </w:pPr>
      <w:r>
        <w:rPr>
          <w:rFonts w:hint="eastAsia"/>
          <w:szCs w:val="22"/>
        </w:rPr>
        <w:t>i)</w:t>
      </w:r>
      <w:r>
        <w:rPr>
          <w:rFonts w:hint="eastAsia"/>
          <w:szCs w:val="22"/>
          <w:lang w:val="zh-CN"/>
        </w:rPr>
        <w:t>指标完成情况考核功能。</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8.1.3.3风险管控工具应用</w:t>
      </w:r>
    </w:p>
    <w:p>
      <w:pPr>
        <w:autoSpaceDE w:val="0"/>
        <w:autoSpaceDN w:val="0"/>
        <w:spacing w:line="276" w:lineRule="auto"/>
        <w:jc w:val="left"/>
        <w:rPr>
          <w:szCs w:val="22"/>
          <w:lang w:val="zh-CN"/>
        </w:rPr>
      </w:pPr>
      <w:r>
        <w:rPr>
          <w:rFonts w:hint="eastAsia"/>
          <w:szCs w:val="22"/>
          <w:lang w:val="zh-CN"/>
        </w:rPr>
        <w:t>8.1.3.3.1应用方式</w:t>
      </w:r>
    </w:p>
    <w:p>
      <w:pPr>
        <w:autoSpaceDE w:val="0"/>
        <w:autoSpaceDN w:val="0"/>
        <w:spacing w:line="276" w:lineRule="auto"/>
        <w:jc w:val="left"/>
        <w:rPr>
          <w:szCs w:val="22"/>
          <w:lang w:val="zh-CN"/>
        </w:rPr>
      </w:pPr>
      <w:r>
        <w:rPr>
          <w:rFonts w:hint="eastAsia"/>
          <w:szCs w:val="22"/>
          <w:lang w:val="zh-CN"/>
        </w:rPr>
        <w:t>诚信风险管控工具应用方式,包括但不限于:</w:t>
      </w:r>
    </w:p>
    <w:p>
      <w:pPr>
        <w:numPr>
          <w:ilvl w:val="0"/>
          <w:numId w:val="6"/>
        </w:numPr>
        <w:autoSpaceDE w:val="0"/>
        <w:autoSpaceDN w:val="0"/>
        <w:spacing w:line="276" w:lineRule="auto"/>
        <w:jc w:val="left"/>
        <w:rPr>
          <w:szCs w:val="22"/>
          <w:lang w:val="zh-CN"/>
        </w:rPr>
      </w:pPr>
      <w:r>
        <w:rPr>
          <w:rFonts w:hint="eastAsia"/>
          <w:szCs w:val="22"/>
          <w:lang w:val="zh-CN"/>
        </w:rPr>
        <w:t>外部信用信息:国家主管部门,行业协会、媒体的公开信息和企业上下游客户信用信息:</w:t>
      </w:r>
    </w:p>
    <w:p>
      <w:pPr>
        <w:numPr>
          <w:ilvl w:val="0"/>
          <w:numId w:val="6"/>
        </w:numPr>
        <w:autoSpaceDE w:val="0"/>
        <w:autoSpaceDN w:val="0"/>
        <w:spacing w:line="276" w:lineRule="auto"/>
        <w:jc w:val="left"/>
        <w:rPr>
          <w:szCs w:val="22"/>
          <w:lang w:val="zh-CN"/>
        </w:rPr>
      </w:pPr>
      <w:r>
        <w:rPr>
          <w:rFonts w:hint="eastAsia"/>
          <w:szCs w:val="22"/>
          <w:lang w:val="zh-CN"/>
        </w:rPr>
        <w:t>外部信用报告:征信报告、信用评级报告、信用评价报告、公共信用信息报告等;</w:t>
      </w:r>
    </w:p>
    <w:p>
      <w:pPr>
        <w:autoSpaceDE w:val="0"/>
        <w:autoSpaceDN w:val="0"/>
        <w:spacing w:line="276" w:lineRule="auto"/>
        <w:jc w:val="left"/>
        <w:rPr>
          <w:szCs w:val="22"/>
          <w:lang w:val="zh-CN"/>
        </w:rPr>
      </w:pPr>
      <w:r>
        <w:rPr>
          <w:rFonts w:hint="eastAsia"/>
          <w:szCs w:val="22"/>
        </w:rPr>
        <w:t>c)</w:t>
      </w:r>
      <w:r>
        <w:rPr>
          <w:rFonts w:hint="eastAsia"/>
          <w:szCs w:val="22"/>
          <w:lang w:val="zh-CN"/>
        </w:rPr>
        <w:t>诚信管理咨询辅导服务:在开展诚信管理贯标及示范创建时，应用第三方信用服务机构的咨询g辅导服务,包括企业诚信管理状况评价,指导企业建立诚信管理制度、制定企业信用策略、设计诚信管理部门、设计客户信用分析模型、建立企业信用档案、开展诚信管理培训和设计开发诚信管理信息化系统等服务;</w:t>
      </w:r>
    </w:p>
    <w:p>
      <w:pPr>
        <w:autoSpaceDE w:val="0"/>
        <w:autoSpaceDN w:val="0"/>
        <w:spacing w:line="276" w:lineRule="auto"/>
        <w:jc w:val="left"/>
        <w:rPr>
          <w:szCs w:val="22"/>
          <w:lang w:val="zh-CN"/>
        </w:rPr>
      </w:pPr>
      <w:r>
        <w:rPr>
          <w:rFonts w:hint="eastAsia"/>
          <w:szCs w:val="22"/>
          <w:lang w:val="zh-CN"/>
        </w:rPr>
        <w:t>d)信用风险转移工具:信用担保、信用保险、商业保理、债权融资等工具。</w:t>
      </w:r>
    </w:p>
    <w:p>
      <w:pPr>
        <w:autoSpaceDE w:val="0"/>
        <w:autoSpaceDN w:val="0"/>
        <w:spacing w:line="276" w:lineRule="auto"/>
        <w:jc w:val="left"/>
        <w:rPr>
          <w:szCs w:val="22"/>
          <w:lang w:val="zh-CN"/>
        </w:rPr>
      </w:pPr>
      <w:r>
        <w:rPr>
          <w:rFonts w:hint="eastAsia"/>
          <w:szCs w:val="22"/>
          <w:lang w:val="zh-CN"/>
        </w:rPr>
        <w:t>8.1.3.3.2应用领域</w:t>
      </w:r>
    </w:p>
    <w:p>
      <w:pPr>
        <w:autoSpaceDE w:val="0"/>
        <w:autoSpaceDN w:val="0"/>
        <w:spacing w:line="276" w:lineRule="auto"/>
        <w:jc w:val="left"/>
        <w:rPr>
          <w:szCs w:val="22"/>
          <w:lang w:val="zh-CN"/>
        </w:rPr>
      </w:pPr>
      <w:r>
        <w:rPr>
          <w:rFonts w:hint="eastAsia"/>
          <w:szCs w:val="22"/>
          <w:lang w:val="zh-CN"/>
        </w:rPr>
        <w:t>诚信风险管控工具主要在供应商选择、客户信用调查、商账管理、招投标活动、对外投融资、期货或</w:t>
      </w:r>
    </w:p>
    <w:p>
      <w:pPr>
        <w:autoSpaceDE w:val="0"/>
        <w:autoSpaceDN w:val="0"/>
        <w:spacing w:line="276" w:lineRule="auto"/>
        <w:jc w:val="left"/>
        <w:rPr>
          <w:szCs w:val="22"/>
          <w:lang w:val="zh-CN"/>
        </w:rPr>
      </w:pPr>
      <w:r>
        <w:rPr>
          <w:rFonts w:hint="eastAsia"/>
          <w:szCs w:val="22"/>
          <w:lang w:val="zh-CN"/>
        </w:rPr>
        <w:t>汇率风险对冲,以及诚信管理贯标和示范创建、信用修复等多领域进行运用。</w:t>
      </w:r>
    </w:p>
    <w:p>
      <w:pPr>
        <w:autoSpaceDE w:val="0"/>
        <w:autoSpaceDN w:val="0"/>
        <w:spacing w:line="276" w:lineRule="auto"/>
        <w:jc w:val="left"/>
        <w:rPr>
          <w:szCs w:val="22"/>
          <w:lang w:val="zh-CN"/>
        </w:rPr>
      </w:pPr>
      <w:r>
        <w:rPr>
          <w:rFonts w:hint="eastAsia"/>
          <w:szCs w:val="22"/>
          <w:lang w:val="zh-CN"/>
        </w:rPr>
        <w:t>8.1.4过程运行环境</w:t>
      </w:r>
    </w:p>
    <w:p>
      <w:pPr>
        <w:autoSpaceDE w:val="0"/>
        <w:autoSpaceDN w:val="0"/>
        <w:spacing w:line="276" w:lineRule="auto"/>
        <w:jc w:val="left"/>
        <w:rPr>
          <w:szCs w:val="22"/>
          <w:lang w:val="zh-CN"/>
        </w:rPr>
      </w:pPr>
      <w:r>
        <w:rPr>
          <w:rFonts w:hint="eastAsia"/>
          <w:szCs w:val="22"/>
          <w:lang w:val="zh-CN"/>
        </w:rPr>
        <w:t>企业应确定、提供并维护支撑企业诚信管理体系实施所需的环境注:环境可能包括物理的、社会的、心理上的、外界的以及其他因素。</w:t>
      </w:r>
    </w:p>
    <w:p>
      <w:pPr>
        <w:autoSpaceDE w:val="0"/>
        <w:autoSpaceDN w:val="0"/>
        <w:spacing w:line="276" w:lineRule="auto"/>
        <w:jc w:val="left"/>
        <w:rPr>
          <w:szCs w:val="22"/>
          <w:lang w:val="zh-CN"/>
        </w:rPr>
      </w:pPr>
      <w:r>
        <w:rPr>
          <w:rFonts w:hint="eastAsia"/>
          <w:szCs w:val="22"/>
          <w:lang w:val="zh-CN"/>
        </w:rPr>
        <w:t>企业应确定与其宗旨、战略方向、承诺相关并影响其实现诚信管理体系预期结果的能力的各种外部和内部因素。企业还应对这些外部和内部因素的相关信息进行识别和分析评价。</w:t>
      </w:r>
    </w:p>
    <w:p>
      <w:pPr>
        <w:autoSpaceDE w:val="0"/>
        <w:autoSpaceDN w:val="0"/>
        <w:spacing w:line="276" w:lineRule="auto"/>
        <w:jc w:val="left"/>
        <w:rPr>
          <w:szCs w:val="22"/>
          <w:lang w:val="zh-CN"/>
        </w:rPr>
      </w:pPr>
      <w:r>
        <w:rPr>
          <w:rFonts w:hint="eastAsia"/>
          <w:szCs w:val="22"/>
          <w:lang w:val="zh-CN"/>
        </w:rPr>
        <w:t>8.1.5资源核查和评估</w:t>
      </w:r>
    </w:p>
    <w:p>
      <w:pPr>
        <w:autoSpaceDE w:val="0"/>
        <w:autoSpaceDN w:val="0"/>
        <w:spacing w:line="276" w:lineRule="auto"/>
        <w:jc w:val="left"/>
        <w:rPr>
          <w:szCs w:val="22"/>
          <w:lang w:val="zh-CN"/>
        </w:rPr>
      </w:pPr>
      <w:r>
        <w:rPr>
          <w:rFonts w:hint="eastAsia"/>
          <w:szCs w:val="22"/>
          <w:lang w:val="zh-CN"/>
        </w:rPr>
        <w:t>企业应依据核查和评估的结果确保实施诚信管理体系所需的资源的有效性和可靠性，确保提供的资源通过维护能够始终符合实施诚信管理体系所需。</w:t>
      </w:r>
    </w:p>
    <w:p>
      <w:pPr>
        <w:autoSpaceDE w:val="0"/>
        <w:autoSpaceDN w:val="0"/>
        <w:spacing w:line="276" w:lineRule="auto"/>
        <w:jc w:val="left"/>
        <w:rPr>
          <w:szCs w:val="22"/>
          <w:lang w:val="zh-CN"/>
        </w:rPr>
      </w:pPr>
      <w:r>
        <w:rPr>
          <w:rFonts w:hint="eastAsia"/>
          <w:szCs w:val="22"/>
          <w:lang w:val="zh-CN"/>
        </w:rPr>
        <w:t>企业应保留成文信息，作为资源符合实施诚信管理体系需求的证据。</w:t>
      </w:r>
    </w:p>
    <w:p>
      <w:pPr>
        <w:autoSpaceDE w:val="0"/>
        <w:autoSpaceDN w:val="0"/>
        <w:spacing w:line="276" w:lineRule="auto"/>
        <w:jc w:val="left"/>
        <w:rPr>
          <w:szCs w:val="22"/>
          <w:lang w:val="zh-CN"/>
        </w:rPr>
      </w:pPr>
      <w:r>
        <w:rPr>
          <w:rFonts w:hint="eastAsia"/>
          <w:szCs w:val="22"/>
          <w:lang w:val="zh-CN"/>
        </w:rPr>
        <w:t>8.1.6企业知识</w:t>
      </w:r>
    </w:p>
    <w:p>
      <w:pPr>
        <w:autoSpaceDE w:val="0"/>
        <w:autoSpaceDN w:val="0"/>
        <w:spacing w:line="276" w:lineRule="auto"/>
        <w:jc w:val="left"/>
        <w:rPr>
          <w:szCs w:val="22"/>
          <w:lang w:val="zh-CN"/>
        </w:rPr>
      </w:pPr>
      <w:r>
        <w:rPr>
          <w:rFonts w:hint="eastAsia"/>
          <w:szCs w:val="22"/>
          <w:lang w:val="zh-CN"/>
        </w:rPr>
        <w:t>企业应确定实施诚信管理体系所需的知识,并在必要的范围内实现共享。当需求和趋势有所变化时，企业应及时审视现有知识结构并确定如何去获取和补充额外的知识。</w:t>
      </w:r>
    </w:p>
    <w:p>
      <w:pPr>
        <w:autoSpaceDE w:val="0"/>
        <w:autoSpaceDN w:val="0"/>
        <w:spacing w:line="276" w:lineRule="auto"/>
        <w:jc w:val="left"/>
        <w:rPr>
          <w:szCs w:val="22"/>
          <w:lang w:val="zh-CN"/>
        </w:rPr>
      </w:pPr>
      <w:r>
        <w:rPr>
          <w:rFonts w:hint="eastAsia"/>
          <w:szCs w:val="22"/>
          <w:lang w:val="zh-CN"/>
        </w:rPr>
        <w:t>8.2信息交流与控制</w:t>
      </w:r>
    </w:p>
    <w:p>
      <w:pPr>
        <w:autoSpaceDE w:val="0"/>
        <w:autoSpaceDN w:val="0"/>
        <w:spacing w:line="276" w:lineRule="auto"/>
        <w:jc w:val="left"/>
        <w:rPr>
          <w:szCs w:val="22"/>
          <w:lang w:val="zh-CN"/>
        </w:rPr>
      </w:pPr>
      <w:r>
        <w:rPr>
          <w:rFonts w:hint="eastAsia"/>
          <w:szCs w:val="22"/>
          <w:lang w:val="zh-CN"/>
        </w:rPr>
        <w:t>8.2.1 基本要求</w:t>
      </w:r>
    </w:p>
    <w:p>
      <w:pPr>
        <w:autoSpaceDE w:val="0"/>
        <w:autoSpaceDN w:val="0"/>
        <w:spacing w:line="276" w:lineRule="auto"/>
        <w:jc w:val="left"/>
        <w:rPr>
          <w:szCs w:val="22"/>
          <w:lang w:val="zh-CN"/>
        </w:rPr>
      </w:pPr>
      <w:r>
        <w:rPr>
          <w:rFonts w:hint="eastAsia"/>
          <w:szCs w:val="22"/>
          <w:lang w:val="zh-CN"/>
        </w:rPr>
        <w:t>企业应建立、实施并保持信息交流与管理的相关规章制度,规定内部、外部信息交流的内容、范围与形式,规范信息的接收、传递和处理,确保诚信管理体系的持续有效运行。</w:t>
      </w:r>
    </w:p>
    <w:p>
      <w:pPr>
        <w:autoSpaceDE w:val="0"/>
        <w:autoSpaceDN w:val="0"/>
        <w:spacing w:line="276" w:lineRule="auto"/>
        <w:jc w:val="left"/>
        <w:rPr>
          <w:szCs w:val="22"/>
          <w:lang w:val="zh-CN"/>
        </w:rPr>
      </w:pPr>
      <w:r>
        <w:rPr>
          <w:rFonts w:hint="eastAsia"/>
          <w:szCs w:val="22"/>
          <w:lang w:val="zh-CN"/>
        </w:rPr>
        <w:t>实施与诚信管理相关的信息交流时，应采取以下措施:</w:t>
      </w:r>
    </w:p>
    <w:p>
      <w:pPr>
        <w:autoSpaceDE w:val="0"/>
        <w:autoSpaceDN w:val="0"/>
        <w:spacing w:line="276" w:lineRule="auto"/>
        <w:jc w:val="left"/>
        <w:rPr>
          <w:szCs w:val="22"/>
          <w:lang w:val="zh-CN"/>
        </w:rPr>
      </w:pPr>
      <w:r>
        <w:rPr>
          <w:rFonts w:hint="eastAsia"/>
          <w:szCs w:val="22"/>
          <w:lang w:val="zh-CN"/>
        </w:rPr>
        <w:t>a)确定与诚信管理活动相关的信息以及流程和权限:</w:t>
      </w:r>
    </w:p>
    <w:p>
      <w:pPr>
        <w:autoSpaceDE w:val="0"/>
        <w:autoSpaceDN w:val="0"/>
        <w:spacing w:line="276" w:lineRule="auto"/>
        <w:jc w:val="left"/>
        <w:rPr>
          <w:szCs w:val="22"/>
          <w:lang w:val="zh-CN"/>
        </w:rPr>
      </w:pPr>
      <w:r>
        <w:rPr>
          <w:rFonts w:hint="eastAsia"/>
          <w:szCs w:val="22"/>
          <w:lang w:val="zh-CN"/>
        </w:rPr>
        <w:t>b)确保所有信息的流程和权限不对最高管理者构成限制;</w:t>
      </w:r>
    </w:p>
    <w:p>
      <w:pPr>
        <w:autoSpaceDE w:val="0"/>
        <w:autoSpaceDN w:val="0"/>
        <w:spacing w:line="276" w:lineRule="auto"/>
        <w:jc w:val="left"/>
        <w:rPr>
          <w:szCs w:val="22"/>
          <w:lang w:val="zh-CN"/>
        </w:rPr>
      </w:pPr>
      <w:r>
        <w:rPr>
          <w:rFonts w:hint="eastAsia"/>
          <w:szCs w:val="22"/>
        </w:rPr>
        <w:t>c)</w:t>
      </w:r>
      <w:r>
        <w:rPr>
          <w:rFonts w:hint="eastAsia"/>
          <w:szCs w:val="22"/>
          <w:lang w:val="zh-CN"/>
        </w:rPr>
        <w:t>确保信息在权限内的传递、索取、查询、披露不受任何干扰和阻碍;</w:t>
      </w:r>
    </w:p>
    <w:p>
      <w:pPr>
        <w:autoSpaceDE w:val="0"/>
        <w:autoSpaceDN w:val="0"/>
        <w:spacing w:line="276" w:lineRule="auto"/>
        <w:jc w:val="left"/>
        <w:rPr>
          <w:szCs w:val="22"/>
          <w:lang w:val="zh-CN"/>
        </w:rPr>
      </w:pPr>
      <w:r>
        <w:rPr>
          <w:rFonts w:hint="eastAsia"/>
          <w:szCs w:val="22"/>
        </w:rPr>
        <w:t>d)</w:t>
      </w:r>
      <w:r>
        <w:rPr>
          <w:rFonts w:hint="eastAsia"/>
          <w:szCs w:val="22"/>
          <w:lang w:val="zh-CN"/>
        </w:rPr>
        <w:t>确保信息的真实性、有效性、全面性和客观性;</w:t>
      </w:r>
    </w:p>
    <w:p>
      <w:pPr>
        <w:autoSpaceDE w:val="0"/>
        <w:autoSpaceDN w:val="0"/>
        <w:spacing w:line="276" w:lineRule="auto"/>
        <w:jc w:val="left"/>
        <w:rPr>
          <w:szCs w:val="22"/>
          <w:lang w:val="zh-CN"/>
        </w:rPr>
      </w:pPr>
      <w:r>
        <w:rPr>
          <w:rFonts w:hint="eastAsia"/>
          <w:szCs w:val="22"/>
        </w:rPr>
        <w:t>e)</w:t>
      </w:r>
      <w:r>
        <w:rPr>
          <w:rFonts w:hint="eastAsia"/>
          <w:szCs w:val="22"/>
          <w:lang w:val="zh-CN"/>
        </w:rPr>
        <w:t>保持所有信息的记录,并确保其可识别性和可追溯性;</w:t>
      </w:r>
    </w:p>
    <w:p>
      <w:pPr>
        <w:autoSpaceDE w:val="0"/>
        <w:autoSpaceDN w:val="0"/>
        <w:spacing w:line="276" w:lineRule="auto"/>
        <w:jc w:val="left"/>
        <w:rPr>
          <w:szCs w:val="22"/>
          <w:lang w:val="zh-CN"/>
        </w:rPr>
      </w:pPr>
      <w:r>
        <w:rPr>
          <w:rFonts w:hint="eastAsia"/>
          <w:szCs w:val="22"/>
          <w:lang w:val="zh-CN"/>
        </w:rPr>
        <w:t>f)遵守国家信息安全控制和个人隐私保护的相关要求。</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8.2.2内部信息</w:t>
      </w:r>
    </w:p>
    <w:p>
      <w:pPr>
        <w:autoSpaceDE w:val="0"/>
        <w:autoSpaceDN w:val="0"/>
        <w:spacing w:line="276" w:lineRule="auto"/>
        <w:jc w:val="left"/>
        <w:rPr>
          <w:szCs w:val="22"/>
          <w:lang w:val="zh-CN"/>
        </w:rPr>
      </w:pPr>
      <w:r>
        <w:rPr>
          <w:rFonts w:hint="eastAsia"/>
          <w:szCs w:val="22"/>
          <w:lang w:val="zh-CN"/>
        </w:rPr>
        <w:t>内部信息包括但不限于:</w:t>
      </w:r>
    </w:p>
    <w:p>
      <w:pPr>
        <w:autoSpaceDE w:val="0"/>
        <w:autoSpaceDN w:val="0"/>
        <w:spacing w:line="276" w:lineRule="auto"/>
        <w:jc w:val="left"/>
        <w:rPr>
          <w:szCs w:val="22"/>
          <w:lang w:val="zh-CN"/>
        </w:rPr>
      </w:pPr>
      <w:r>
        <w:rPr>
          <w:rFonts w:hint="eastAsia"/>
          <w:szCs w:val="22"/>
        </w:rPr>
        <w:t>a)</w:t>
      </w:r>
      <w:r>
        <w:rPr>
          <w:rFonts w:hint="eastAsia"/>
          <w:szCs w:val="22"/>
          <w:lang w:val="zh-CN"/>
        </w:rPr>
        <w:t>本企业的诚信方针、诚信目标;</w:t>
      </w:r>
    </w:p>
    <w:p>
      <w:pPr>
        <w:autoSpaceDE w:val="0"/>
        <w:autoSpaceDN w:val="0"/>
        <w:spacing w:line="276" w:lineRule="auto"/>
        <w:jc w:val="left"/>
        <w:rPr>
          <w:szCs w:val="22"/>
          <w:lang w:val="zh-CN"/>
        </w:rPr>
      </w:pPr>
      <w:r>
        <w:rPr>
          <w:rFonts w:hint="eastAsia"/>
          <w:szCs w:val="22"/>
        </w:rPr>
        <w:t>b)</w:t>
      </w:r>
      <w:r>
        <w:rPr>
          <w:rFonts w:hint="eastAsia"/>
          <w:szCs w:val="22"/>
          <w:lang w:val="zh-CN"/>
        </w:rPr>
        <w:t>本企业的诚信承诺;</w:t>
      </w:r>
    </w:p>
    <w:p>
      <w:pPr>
        <w:autoSpaceDE w:val="0"/>
        <w:autoSpaceDN w:val="0"/>
        <w:spacing w:line="276" w:lineRule="auto"/>
        <w:jc w:val="left"/>
        <w:rPr>
          <w:szCs w:val="22"/>
          <w:lang w:val="zh-CN"/>
        </w:rPr>
      </w:pPr>
      <w:r>
        <w:rPr>
          <w:rFonts w:hint="eastAsia"/>
          <w:szCs w:val="22"/>
        </w:rPr>
        <w:t>c)</w:t>
      </w:r>
      <w:r>
        <w:rPr>
          <w:rFonts w:hint="eastAsia"/>
          <w:szCs w:val="22"/>
          <w:lang w:val="zh-CN"/>
        </w:rPr>
        <w:t>诚信要素及更新信息:</w:t>
      </w:r>
    </w:p>
    <w:p>
      <w:pPr>
        <w:autoSpaceDE w:val="0"/>
        <w:autoSpaceDN w:val="0"/>
        <w:spacing w:line="276" w:lineRule="auto"/>
        <w:jc w:val="left"/>
        <w:rPr>
          <w:szCs w:val="22"/>
          <w:lang w:val="zh-CN"/>
        </w:rPr>
      </w:pPr>
      <w:r>
        <w:rPr>
          <w:rFonts w:hint="eastAsia"/>
          <w:szCs w:val="22"/>
        </w:rPr>
        <w:t>d)</w:t>
      </w:r>
      <w:r>
        <w:rPr>
          <w:rFonts w:hint="eastAsia"/>
          <w:szCs w:val="22"/>
          <w:lang w:val="zh-CN"/>
        </w:rPr>
        <w:t>诚信方针、诚信目标的分解,指令传达、完成情况等;</w:t>
      </w:r>
    </w:p>
    <w:p>
      <w:pPr>
        <w:autoSpaceDE w:val="0"/>
        <w:autoSpaceDN w:val="0"/>
        <w:spacing w:line="276" w:lineRule="auto"/>
        <w:jc w:val="left"/>
        <w:rPr>
          <w:szCs w:val="22"/>
          <w:lang w:val="zh-CN"/>
        </w:rPr>
      </w:pPr>
      <w:r>
        <w:rPr>
          <w:rFonts w:hint="eastAsia"/>
          <w:szCs w:val="22"/>
        </w:rPr>
        <w:t>e)</w:t>
      </w:r>
      <w:r>
        <w:rPr>
          <w:rFonts w:hint="eastAsia"/>
          <w:szCs w:val="22"/>
          <w:lang w:val="zh-CN"/>
        </w:rPr>
        <w:t>诚信管理体系运行信息及紧急状态信息;</w:t>
      </w:r>
    </w:p>
    <w:p>
      <w:pPr>
        <w:autoSpaceDE w:val="0"/>
        <w:autoSpaceDN w:val="0"/>
        <w:spacing w:line="276" w:lineRule="auto"/>
        <w:jc w:val="left"/>
        <w:rPr>
          <w:szCs w:val="22"/>
          <w:lang w:val="zh-CN"/>
        </w:rPr>
      </w:pPr>
      <w:r>
        <w:rPr>
          <w:rFonts w:hint="eastAsia"/>
          <w:szCs w:val="22"/>
        </w:rPr>
        <w:t>f)</w:t>
      </w:r>
      <w:r>
        <w:rPr>
          <w:rFonts w:hint="eastAsia"/>
          <w:szCs w:val="22"/>
          <w:lang w:val="zh-CN"/>
        </w:rPr>
        <w:t>职责信息;</w:t>
      </w:r>
    </w:p>
    <w:p>
      <w:pPr>
        <w:autoSpaceDE w:val="0"/>
        <w:autoSpaceDN w:val="0"/>
        <w:spacing w:line="276" w:lineRule="auto"/>
        <w:jc w:val="left"/>
        <w:rPr>
          <w:szCs w:val="22"/>
          <w:lang w:val="zh-CN"/>
        </w:rPr>
      </w:pPr>
      <w:r>
        <w:rPr>
          <w:rFonts w:hint="eastAsia"/>
          <w:szCs w:val="22"/>
        </w:rPr>
        <w:t>g)</w:t>
      </w:r>
      <w:r>
        <w:rPr>
          <w:rFonts w:hint="eastAsia"/>
          <w:szCs w:val="22"/>
          <w:lang w:val="zh-CN"/>
        </w:rPr>
        <w:t>权限信息;</w:t>
      </w:r>
    </w:p>
    <w:p>
      <w:pPr>
        <w:autoSpaceDE w:val="0"/>
        <w:autoSpaceDN w:val="0"/>
        <w:spacing w:line="276" w:lineRule="auto"/>
        <w:jc w:val="left"/>
        <w:rPr>
          <w:szCs w:val="22"/>
          <w:lang w:val="zh-CN"/>
        </w:rPr>
      </w:pPr>
      <w:r>
        <w:rPr>
          <w:rFonts w:hint="eastAsia"/>
          <w:szCs w:val="22"/>
        </w:rPr>
        <w:t>h)</w:t>
      </w:r>
      <w:r>
        <w:rPr>
          <w:rFonts w:hint="eastAsia"/>
          <w:szCs w:val="22"/>
          <w:lang w:val="zh-CN"/>
        </w:rPr>
        <w:t>相关方满意情况;</w:t>
      </w:r>
    </w:p>
    <w:p>
      <w:pPr>
        <w:autoSpaceDE w:val="0"/>
        <w:autoSpaceDN w:val="0"/>
        <w:spacing w:line="276" w:lineRule="auto"/>
        <w:jc w:val="left"/>
        <w:rPr>
          <w:szCs w:val="22"/>
          <w:lang w:val="zh-CN"/>
        </w:rPr>
      </w:pPr>
      <w:r>
        <w:rPr>
          <w:rFonts w:hint="eastAsia"/>
          <w:szCs w:val="22"/>
        </w:rPr>
        <w:t>i)</w:t>
      </w:r>
      <w:r>
        <w:rPr>
          <w:rFonts w:hint="eastAsia"/>
          <w:szCs w:val="22"/>
          <w:lang w:val="zh-CN"/>
        </w:rPr>
        <w:t>相关方投诉;</w:t>
      </w:r>
    </w:p>
    <w:p>
      <w:pPr>
        <w:autoSpaceDE w:val="0"/>
        <w:autoSpaceDN w:val="0"/>
        <w:spacing w:line="276" w:lineRule="auto"/>
        <w:jc w:val="left"/>
        <w:rPr>
          <w:szCs w:val="22"/>
          <w:lang w:val="zh-CN"/>
        </w:rPr>
      </w:pPr>
      <w:r>
        <w:rPr>
          <w:rFonts w:hint="eastAsia"/>
          <w:szCs w:val="22"/>
        </w:rPr>
        <w:t>j)</w:t>
      </w:r>
      <w:r>
        <w:rPr>
          <w:rFonts w:hint="eastAsia"/>
          <w:szCs w:val="22"/>
          <w:lang w:val="zh-CN"/>
        </w:rPr>
        <w:t>员工提出的合理意见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8.2.3外部信息</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外部信息包括但不限于:</w:t>
      </w:r>
    </w:p>
    <w:p>
      <w:pPr>
        <w:numPr>
          <w:ilvl w:val="0"/>
          <w:numId w:val="7"/>
        </w:numPr>
        <w:autoSpaceDE w:val="0"/>
        <w:autoSpaceDN w:val="0"/>
        <w:spacing w:line="276" w:lineRule="auto"/>
        <w:jc w:val="left"/>
        <w:rPr>
          <w:szCs w:val="22"/>
          <w:lang w:val="zh-CN"/>
        </w:rPr>
      </w:pPr>
      <w:r>
        <w:rPr>
          <w:rFonts w:hint="eastAsia"/>
          <w:szCs w:val="22"/>
          <w:lang w:val="zh-CN"/>
        </w:rPr>
        <w:t>质量、环保、产品安全、职业健康安全、计量管理有关的法律法规、规范和标准等信息;</w:t>
      </w:r>
    </w:p>
    <w:p>
      <w:pPr>
        <w:autoSpaceDE w:val="0"/>
        <w:autoSpaceDN w:val="0"/>
        <w:spacing w:line="276" w:lineRule="auto"/>
        <w:jc w:val="left"/>
        <w:rPr>
          <w:szCs w:val="22"/>
          <w:lang w:val="zh-CN"/>
        </w:rPr>
      </w:pPr>
      <w:r>
        <w:rPr>
          <w:rFonts w:hint="eastAsia"/>
          <w:szCs w:val="22"/>
          <w:lang w:val="zh-CN"/>
        </w:rPr>
        <w:t>b)上级或地方信用监管部门发出的规定、决定、要求、指示以及失信联合惩戒等信息;</w:t>
      </w:r>
    </w:p>
    <w:p>
      <w:pPr>
        <w:autoSpaceDE w:val="0"/>
        <w:autoSpaceDN w:val="0"/>
        <w:spacing w:line="276" w:lineRule="auto"/>
        <w:jc w:val="left"/>
        <w:rPr>
          <w:szCs w:val="22"/>
          <w:lang w:val="zh-CN"/>
        </w:rPr>
      </w:pPr>
      <w:r>
        <w:rPr>
          <w:rFonts w:hint="eastAsia"/>
          <w:szCs w:val="22"/>
        </w:rPr>
        <w:t>c)</w:t>
      </w:r>
      <w:r>
        <w:rPr>
          <w:rFonts w:hint="eastAsia"/>
          <w:szCs w:val="22"/>
          <w:lang w:val="zh-CN"/>
        </w:rPr>
        <w:t>与行业自律相关的规定要求、指示、失信被执行人及其信用修复等信息;</w:t>
      </w:r>
    </w:p>
    <w:p>
      <w:pPr>
        <w:autoSpaceDE w:val="0"/>
        <w:autoSpaceDN w:val="0"/>
        <w:spacing w:line="276" w:lineRule="auto"/>
        <w:jc w:val="left"/>
        <w:rPr>
          <w:szCs w:val="22"/>
          <w:lang w:val="zh-CN"/>
        </w:rPr>
      </w:pPr>
      <w:r>
        <w:rPr>
          <w:rFonts w:hint="eastAsia"/>
          <w:szCs w:val="22"/>
          <w:lang w:val="zh-CN"/>
        </w:rPr>
        <w:t>d)环境监测和职业健康安全等有关的信息;</w:t>
      </w:r>
    </w:p>
    <w:p>
      <w:pPr>
        <w:autoSpaceDE w:val="0"/>
        <w:autoSpaceDN w:val="0"/>
        <w:spacing w:line="276" w:lineRule="auto"/>
        <w:jc w:val="left"/>
        <w:rPr>
          <w:szCs w:val="22"/>
          <w:lang w:val="zh-CN"/>
        </w:rPr>
      </w:pPr>
      <w:r>
        <w:rPr>
          <w:rFonts w:hint="eastAsia"/>
          <w:szCs w:val="22"/>
        </w:rPr>
        <w:t>e)</w:t>
      </w:r>
      <w:r>
        <w:rPr>
          <w:rFonts w:hint="eastAsia"/>
          <w:szCs w:val="22"/>
          <w:lang w:val="zh-CN"/>
        </w:rPr>
        <w:t>相关方有关的信息，包括消费者、供应商、合作方的反馈评价信息，以及与周围社区居民的沟通信息，涉及重大消费品安全事故的处理,重要环境影响的处理,伤亡事故的公示和上报等;</w:t>
      </w:r>
    </w:p>
    <w:p>
      <w:pPr>
        <w:autoSpaceDE w:val="0"/>
        <w:autoSpaceDN w:val="0"/>
        <w:spacing w:line="276" w:lineRule="auto"/>
        <w:jc w:val="left"/>
        <w:rPr>
          <w:szCs w:val="22"/>
          <w:lang w:val="zh-CN"/>
        </w:rPr>
      </w:pPr>
      <w:r>
        <w:rPr>
          <w:rFonts w:hint="eastAsia"/>
          <w:szCs w:val="22"/>
          <w:lang w:val="zh-CN"/>
        </w:rPr>
        <w:t>f)与企业外部人员进行有关管理体系方面的信息交流。</w:t>
      </w:r>
    </w:p>
    <w:p>
      <w:pPr>
        <w:autoSpaceDE w:val="0"/>
        <w:autoSpaceDN w:val="0"/>
        <w:spacing w:line="276" w:lineRule="auto"/>
        <w:jc w:val="left"/>
        <w:rPr>
          <w:rFonts w:ascii="宋体" w:hAnsi="宋体" w:cs="宋体"/>
          <w:b/>
          <w:bCs/>
          <w:kern w:val="0"/>
          <w:szCs w:val="21"/>
          <w:u w:val="single"/>
          <w:lang w:val="zh-CN" w:bidi="zh-CN"/>
        </w:rPr>
      </w:pPr>
    </w:p>
    <w:p>
      <w:pPr>
        <w:autoSpaceDE w:val="0"/>
        <w:autoSpaceDN w:val="0"/>
        <w:spacing w:line="276" w:lineRule="auto"/>
        <w:jc w:val="left"/>
        <w:rPr>
          <w:szCs w:val="22"/>
          <w:lang w:val="zh-CN"/>
        </w:rPr>
      </w:pPr>
      <w:r>
        <w:rPr>
          <w:rFonts w:hint="eastAsia"/>
          <w:szCs w:val="22"/>
          <w:lang w:val="zh-CN"/>
        </w:rPr>
        <w:t>8.3成文信息</w:t>
      </w:r>
    </w:p>
    <w:p>
      <w:pPr>
        <w:autoSpaceDE w:val="0"/>
        <w:autoSpaceDN w:val="0"/>
        <w:spacing w:line="276" w:lineRule="auto"/>
        <w:jc w:val="left"/>
        <w:rPr>
          <w:szCs w:val="22"/>
          <w:lang w:val="zh-CN"/>
        </w:rPr>
      </w:pPr>
      <w:r>
        <w:rPr>
          <w:rFonts w:hint="eastAsia"/>
          <w:szCs w:val="22"/>
          <w:lang w:val="zh-CN"/>
        </w:rPr>
        <w:t>8.3</w:t>
      </w:r>
      <w:r>
        <w:rPr>
          <w:rFonts w:hint="eastAsia"/>
          <w:szCs w:val="22"/>
        </w:rPr>
        <w:t>.</w:t>
      </w:r>
      <w:r>
        <w:rPr>
          <w:rFonts w:hint="eastAsia"/>
          <w:szCs w:val="22"/>
          <w:lang w:val="zh-CN"/>
        </w:rPr>
        <w:t>1 基本要求</w:t>
      </w:r>
    </w:p>
    <w:p>
      <w:pPr>
        <w:autoSpaceDE w:val="0"/>
        <w:autoSpaceDN w:val="0"/>
        <w:spacing w:line="276" w:lineRule="auto"/>
        <w:jc w:val="left"/>
        <w:rPr>
          <w:szCs w:val="22"/>
          <w:lang w:val="zh-CN"/>
        </w:rPr>
      </w:pPr>
      <w:r>
        <w:rPr>
          <w:rFonts w:hint="eastAsia"/>
          <w:szCs w:val="22"/>
          <w:lang w:val="zh-CN"/>
        </w:rPr>
        <w:t>成文信息应是确保企业诚信管理体系有效实施所必需的,其内容和种类取决于企业的规模、经营性质、产品、服务及其流程的复杂程度和交互活动、编制文件的人员素质等因素。</w:t>
      </w:r>
    </w:p>
    <w:p>
      <w:pPr>
        <w:autoSpaceDE w:val="0"/>
        <w:autoSpaceDN w:val="0"/>
        <w:spacing w:line="276" w:lineRule="auto"/>
        <w:jc w:val="left"/>
        <w:rPr>
          <w:szCs w:val="22"/>
          <w:lang w:val="zh-CN"/>
        </w:rPr>
      </w:pPr>
      <w:r>
        <w:rPr>
          <w:rFonts w:hint="eastAsia"/>
          <w:szCs w:val="22"/>
          <w:lang w:val="zh-CN"/>
        </w:rPr>
        <w:t>8.3.2创建和更新</w:t>
      </w:r>
    </w:p>
    <w:p>
      <w:pPr>
        <w:autoSpaceDE w:val="0"/>
        <w:autoSpaceDN w:val="0"/>
        <w:spacing w:line="276" w:lineRule="auto"/>
        <w:jc w:val="left"/>
        <w:rPr>
          <w:szCs w:val="22"/>
          <w:lang w:val="zh-CN"/>
        </w:rPr>
      </w:pPr>
      <w:r>
        <w:rPr>
          <w:rFonts w:hint="eastAsia"/>
          <w:szCs w:val="22"/>
          <w:lang w:val="zh-CN"/>
        </w:rPr>
        <w:t>在创建和更新成文信息时，企业应充分关注以下方面:</w:t>
      </w:r>
    </w:p>
    <w:p>
      <w:pPr>
        <w:autoSpaceDE w:val="0"/>
        <w:autoSpaceDN w:val="0"/>
        <w:spacing w:line="276" w:lineRule="auto"/>
        <w:jc w:val="left"/>
        <w:rPr>
          <w:szCs w:val="22"/>
          <w:lang w:val="zh-CN"/>
        </w:rPr>
      </w:pPr>
      <w:r>
        <w:rPr>
          <w:rFonts w:hint="eastAsia"/>
          <w:szCs w:val="22"/>
          <w:lang w:val="zh-CN"/>
        </w:rPr>
        <w:t>a)识别信息和描述,包括标题、日期、作者或参考号;</w:t>
      </w:r>
    </w:p>
    <w:p>
      <w:pPr>
        <w:autoSpaceDE w:val="0"/>
        <w:autoSpaceDN w:val="0"/>
        <w:spacing w:line="276" w:lineRule="auto"/>
        <w:jc w:val="left"/>
        <w:rPr>
          <w:szCs w:val="22"/>
          <w:lang w:val="zh-CN"/>
        </w:rPr>
      </w:pPr>
      <w:r>
        <w:rPr>
          <w:rFonts w:hint="eastAsia"/>
          <w:szCs w:val="22"/>
        </w:rPr>
        <w:t>b)</w:t>
      </w:r>
      <w:r>
        <w:rPr>
          <w:rFonts w:hint="eastAsia"/>
          <w:szCs w:val="22"/>
          <w:lang w:val="zh-CN"/>
        </w:rPr>
        <w:t>格式(包括语言、软件版本、图表)和媒介(包括纸质版、电子版);</w:t>
      </w:r>
    </w:p>
    <w:p>
      <w:pPr>
        <w:autoSpaceDE w:val="0"/>
        <w:autoSpaceDN w:val="0"/>
        <w:spacing w:line="276" w:lineRule="auto"/>
        <w:jc w:val="left"/>
        <w:rPr>
          <w:szCs w:val="22"/>
          <w:lang w:val="zh-CN"/>
        </w:rPr>
      </w:pPr>
      <w:r>
        <w:rPr>
          <w:rFonts w:hint="eastAsia"/>
          <w:szCs w:val="22"/>
        </w:rPr>
        <w:t>c)</w:t>
      </w:r>
      <w:r>
        <w:rPr>
          <w:rFonts w:hint="eastAsia"/>
          <w:szCs w:val="22"/>
          <w:lang w:val="zh-CN"/>
        </w:rPr>
        <w:t>为确保其适用性和准确性的修订及审批的程序。</w:t>
      </w:r>
    </w:p>
    <w:p>
      <w:pPr>
        <w:autoSpaceDE w:val="0"/>
        <w:autoSpaceDN w:val="0"/>
        <w:spacing w:line="276" w:lineRule="auto"/>
        <w:jc w:val="left"/>
        <w:rPr>
          <w:szCs w:val="22"/>
          <w:lang w:val="zh-CN"/>
        </w:rPr>
      </w:pPr>
      <w:r>
        <w:rPr>
          <w:rFonts w:hint="eastAsia"/>
          <w:szCs w:val="22"/>
          <w:lang w:val="zh-CN"/>
        </w:rPr>
        <w:t>8.3.3版本管理</w:t>
      </w:r>
    </w:p>
    <w:p>
      <w:pPr>
        <w:autoSpaceDE w:val="0"/>
        <w:autoSpaceDN w:val="0"/>
        <w:spacing w:line="276" w:lineRule="auto"/>
        <w:jc w:val="left"/>
        <w:rPr>
          <w:szCs w:val="22"/>
          <w:lang w:val="zh-CN"/>
        </w:rPr>
      </w:pPr>
      <w:r>
        <w:rPr>
          <w:rFonts w:hint="eastAsia"/>
          <w:szCs w:val="22"/>
          <w:lang w:val="zh-CN"/>
        </w:rPr>
        <w:t>8.3.3.1 企业应对所保留的、作为符合性证据的成文信息应予以保护,防止非预期的变更。成文信息应进行版本管理,应满足以下条件:</w:t>
      </w:r>
    </w:p>
    <w:p>
      <w:pPr>
        <w:autoSpaceDE w:val="0"/>
        <w:autoSpaceDN w:val="0"/>
        <w:spacing w:line="276" w:lineRule="auto"/>
        <w:jc w:val="left"/>
        <w:rPr>
          <w:szCs w:val="22"/>
          <w:lang w:val="zh-CN"/>
        </w:rPr>
      </w:pPr>
      <w:r>
        <w:rPr>
          <w:rFonts w:hint="eastAsia"/>
          <w:szCs w:val="22"/>
        </w:rPr>
        <w:t>a)</w:t>
      </w:r>
      <w:r>
        <w:rPr>
          <w:rFonts w:hint="eastAsia"/>
          <w:szCs w:val="22"/>
          <w:lang w:val="zh-CN"/>
        </w:rPr>
        <w:t>在需要时便于并适于使用:</w:t>
      </w:r>
    </w:p>
    <w:p>
      <w:pPr>
        <w:autoSpaceDE w:val="0"/>
        <w:autoSpaceDN w:val="0"/>
        <w:spacing w:line="276" w:lineRule="auto"/>
        <w:jc w:val="left"/>
        <w:rPr>
          <w:szCs w:val="22"/>
          <w:lang w:val="zh-CN"/>
        </w:rPr>
      </w:pPr>
      <w:r>
        <w:rPr>
          <w:rFonts w:hint="eastAsia"/>
          <w:szCs w:val="22"/>
        </w:rPr>
        <w:t>b)</w:t>
      </w:r>
      <w:r>
        <w:rPr>
          <w:rFonts w:hint="eastAsia"/>
          <w:szCs w:val="22"/>
          <w:lang w:val="zh-CN"/>
        </w:rPr>
        <w:t>能被恰当地保存.防止泄密、使用不当或缺失。</w:t>
      </w:r>
    </w:p>
    <w:p>
      <w:pPr>
        <w:autoSpaceDE w:val="0"/>
        <w:autoSpaceDN w:val="0"/>
        <w:spacing w:line="276" w:lineRule="auto"/>
        <w:jc w:val="left"/>
        <w:rPr>
          <w:szCs w:val="22"/>
          <w:lang w:val="zh-CN"/>
        </w:rPr>
      </w:pPr>
      <w:r>
        <w:rPr>
          <w:rFonts w:hint="eastAsia"/>
          <w:szCs w:val="22"/>
          <w:lang w:val="zh-CN"/>
        </w:rPr>
        <w:t>8.3.3.2为实现成文信息的版本管理,企业应做好以下措施:</w:t>
      </w:r>
    </w:p>
    <w:p>
      <w:pPr>
        <w:autoSpaceDE w:val="0"/>
        <w:autoSpaceDN w:val="0"/>
        <w:spacing w:line="276" w:lineRule="auto"/>
        <w:jc w:val="left"/>
        <w:rPr>
          <w:szCs w:val="22"/>
          <w:lang w:val="zh-CN"/>
        </w:rPr>
      </w:pPr>
      <w:r>
        <w:rPr>
          <w:rFonts w:hint="eastAsia"/>
          <w:szCs w:val="22"/>
        </w:rPr>
        <w:t>a)</w:t>
      </w:r>
      <w:r>
        <w:rPr>
          <w:rFonts w:hint="eastAsia"/>
          <w:szCs w:val="22"/>
          <w:lang w:val="zh-CN"/>
        </w:rPr>
        <w:t>分发、获取、检索和使用;</w:t>
      </w:r>
    </w:p>
    <w:p>
      <w:pPr>
        <w:autoSpaceDE w:val="0"/>
        <w:autoSpaceDN w:val="0"/>
        <w:spacing w:line="276" w:lineRule="auto"/>
        <w:jc w:val="left"/>
        <w:rPr>
          <w:szCs w:val="22"/>
          <w:lang w:val="zh-CN"/>
        </w:rPr>
      </w:pPr>
      <w:r>
        <w:rPr>
          <w:rFonts w:hint="eastAsia"/>
          <w:szCs w:val="22"/>
          <w:lang w:val="zh-CN"/>
        </w:rPr>
        <w:t>b)存储和保存,包括确保其易读性;</w:t>
      </w:r>
    </w:p>
    <w:p>
      <w:pPr>
        <w:autoSpaceDE w:val="0"/>
        <w:autoSpaceDN w:val="0"/>
        <w:spacing w:line="276" w:lineRule="auto"/>
        <w:jc w:val="left"/>
        <w:rPr>
          <w:szCs w:val="22"/>
          <w:lang w:val="zh-CN"/>
        </w:rPr>
      </w:pPr>
      <w:r>
        <w:rPr>
          <w:rFonts w:hint="eastAsia"/>
          <w:szCs w:val="22"/>
        </w:rPr>
        <w:t>c)</w:t>
      </w:r>
      <w:r>
        <w:rPr>
          <w:rFonts w:hint="eastAsia"/>
          <w:szCs w:val="22"/>
          <w:lang w:val="zh-CN"/>
        </w:rPr>
        <w:t>更改内容的审批:c</w:t>
      </w:r>
    </w:p>
    <w:p>
      <w:pPr>
        <w:autoSpaceDE w:val="0"/>
        <w:autoSpaceDN w:val="0"/>
        <w:spacing w:line="276" w:lineRule="auto"/>
        <w:jc w:val="left"/>
        <w:rPr>
          <w:szCs w:val="22"/>
          <w:lang w:val="zh-CN"/>
        </w:rPr>
      </w:pPr>
      <w:r>
        <w:rPr>
          <w:rFonts w:hint="eastAsia"/>
          <w:szCs w:val="22"/>
          <w:lang w:val="zh-CN"/>
        </w:rPr>
        <w:t>d)保持和销毁。</w:t>
      </w:r>
    </w:p>
    <w:p>
      <w:pPr>
        <w:autoSpaceDE w:val="0"/>
        <w:autoSpaceDN w:val="0"/>
        <w:spacing w:line="276" w:lineRule="auto"/>
        <w:jc w:val="left"/>
        <w:rPr>
          <w:szCs w:val="22"/>
          <w:lang w:val="zh-CN"/>
        </w:rPr>
      </w:pPr>
      <w:r>
        <w:rPr>
          <w:rFonts w:hint="eastAsia"/>
          <w:szCs w:val="22"/>
          <w:lang w:val="zh-CN"/>
        </w:rPr>
        <w:t>9管理实现</w:t>
      </w:r>
    </w:p>
    <w:p>
      <w:pPr>
        <w:autoSpaceDE w:val="0"/>
        <w:autoSpaceDN w:val="0"/>
        <w:spacing w:line="276" w:lineRule="auto"/>
        <w:jc w:val="left"/>
        <w:rPr>
          <w:szCs w:val="22"/>
          <w:lang w:val="zh-CN"/>
        </w:rPr>
      </w:pPr>
      <w:r>
        <w:rPr>
          <w:rFonts w:hint="eastAsia"/>
          <w:szCs w:val="22"/>
          <w:lang w:val="zh-CN"/>
        </w:rPr>
        <w:t>9.1总体要求</w:t>
      </w:r>
    </w:p>
    <w:p>
      <w:pPr>
        <w:autoSpaceDE w:val="0"/>
        <w:autoSpaceDN w:val="0"/>
        <w:spacing w:line="276" w:lineRule="auto"/>
        <w:jc w:val="left"/>
        <w:rPr>
          <w:szCs w:val="22"/>
          <w:lang w:val="zh-CN"/>
        </w:rPr>
      </w:pPr>
      <w:r>
        <w:rPr>
          <w:rFonts w:hint="eastAsia"/>
          <w:szCs w:val="22"/>
          <w:lang w:val="zh-CN"/>
        </w:rPr>
        <w:t>为满足承诺，并响应第7章所确定的要求，企业应通过以下措施对所需的过程进行实施和控制。</w:t>
      </w:r>
    </w:p>
    <w:p>
      <w:pPr>
        <w:numPr>
          <w:ilvl w:val="0"/>
          <w:numId w:val="8"/>
        </w:numPr>
        <w:autoSpaceDE w:val="0"/>
        <w:autoSpaceDN w:val="0"/>
        <w:spacing w:line="276" w:lineRule="auto"/>
        <w:jc w:val="left"/>
        <w:rPr>
          <w:szCs w:val="22"/>
          <w:lang w:val="zh-CN"/>
        </w:rPr>
      </w:pPr>
      <w:r>
        <w:rPr>
          <w:rFonts w:hint="eastAsia"/>
          <w:szCs w:val="22"/>
          <w:lang w:val="zh-CN"/>
        </w:rPr>
        <w:t>确定产品和服务的质量、安全、环保、售后服务,接受国家主管部门信用监管，遵守行业自律公约，响应社会公众投诉和举报,公开失信信息,履行社会责任等要求。</w:t>
      </w:r>
    </w:p>
    <w:p>
      <w:pPr>
        <w:autoSpaceDE w:val="0"/>
        <w:autoSpaceDN w:val="0"/>
        <w:spacing w:line="276" w:lineRule="auto"/>
        <w:jc w:val="left"/>
        <w:rPr>
          <w:szCs w:val="22"/>
          <w:lang w:val="zh-CN"/>
        </w:rPr>
      </w:pPr>
      <w:r>
        <w:rPr>
          <w:rFonts w:hint="eastAsia"/>
          <w:szCs w:val="22"/>
          <w:lang w:val="zh-CN"/>
        </w:rPr>
        <w:t>b) 建立下列内容的准则:</w:t>
      </w:r>
    </w:p>
    <w:p>
      <w:pPr>
        <w:autoSpaceDE w:val="0"/>
        <w:autoSpaceDN w:val="0"/>
        <w:spacing w:line="276" w:lineRule="auto"/>
        <w:jc w:val="left"/>
        <w:rPr>
          <w:szCs w:val="22"/>
          <w:lang w:val="zh-CN"/>
        </w:rPr>
      </w:pPr>
      <w:r>
        <w:rPr>
          <w:rFonts w:hint="eastAsia"/>
          <w:szCs w:val="22"/>
          <w:lang w:val="zh-CN"/>
        </w:rPr>
        <w:t>1)法律法规及行业诚信自律公约的核查和分析;</w:t>
      </w:r>
    </w:p>
    <w:p>
      <w:pPr>
        <w:autoSpaceDE w:val="0"/>
        <w:autoSpaceDN w:val="0"/>
        <w:spacing w:line="276" w:lineRule="auto"/>
        <w:jc w:val="left"/>
        <w:rPr>
          <w:szCs w:val="22"/>
          <w:lang w:val="zh-CN"/>
        </w:rPr>
      </w:pPr>
      <w:r>
        <w:rPr>
          <w:rFonts w:hint="eastAsia"/>
          <w:szCs w:val="22"/>
        </w:rPr>
        <w:t>2)</w:t>
      </w:r>
      <w:r>
        <w:rPr>
          <w:rFonts w:hint="eastAsia"/>
          <w:szCs w:val="22"/>
          <w:lang w:val="zh-CN"/>
        </w:rPr>
        <w:t>相关方的需求和期望的核查和分析;</w:t>
      </w:r>
    </w:p>
    <w:p>
      <w:pPr>
        <w:autoSpaceDE w:val="0"/>
        <w:autoSpaceDN w:val="0"/>
        <w:spacing w:line="276" w:lineRule="auto"/>
        <w:jc w:val="left"/>
        <w:rPr>
          <w:szCs w:val="22"/>
        </w:rPr>
      </w:pPr>
      <w:r>
        <w:rPr>
          <w:rFonts w:hint="eastAsia"/>
          <w:szCs w:val="22"/>
          <w:lang w:val="zh-CN"/>
        </w:rPr>
        <w:t>3)写人承诺的自身愿景和目标的核查和分析</w:t>
      </w:r>
      <w:r>
        <w:rPr>
          <w:rFonts w:hint="eastAsia"/>
          <w:szCs w:val="22"/>
        </w:rPr>
        <w:t>.</w:t>
      </w:r>
    </w:p>
    <w:p>
      <w:pPr>
        <w:autoSpaceDE w:val="0"/>
        <w:autoSpaceDN w:val="0"/>
        <w:spacing w:line="276" w:lineRule="auto"/>
        <w:jc w:val="left"/>
        <w:rPr>
          <w:szCs w:val="22"/>
        </w:rPr>
      </w:pPr>
      <w:r>
        <w:rPr>
          <w:rFonts w:hint="eastAsia"/>
          <w:szCs w:val="22"/>
        </w:rPr>
        <w:t>c)确定所需的资源以使企业满足a)中提及的要求。</w:t>
      </w:r>
    </w:p>
    <w:p>
      <w:pPr>
        <w:autoSpaceDE w:val="0"/>
        <w:autoSpaceDN w:val="0"/>
        <w:spacing w:line="276" w:lineRule="auto"/>
        <w:jc w:val="left"/>
        <w:rPr>
          <w:szCs w:val="22"/>
        </w:rPr>
      </w:pPr>
      <w:r>
        <w:rPr>
          <w:rFonts w:hint="eastAsia"/>
          <w:szCs w:val="22"/>
        </w:rPr>
        <w:t>d）按照准则实施过程控制。</w:t>
      </w:r>
    </w:p>
    <w:p>
      <w:pPr>
        <w:autoSpaceDE w:val="0"/>
        <w:autoSpaceDN w:val="0"/>
        <w:spacing w:line="276" w:lineRule="auto"/>
        <w:jc w:val="left"/>
        <w:rPr>
          <w:szCs w:val="22"/>
          <w:lang w:val="zh-CN"/>
        </w:rPr>
      </w:pPr>
      <w:r>
        <w:rPr>
          <w:rFonts w:hint="eastAsia"/>
          <w:szCs w:val="22"/>
        </w:rPr>
        <w:t>e)</w:t>
      </w:r>
      <w:r>
        <w:rPr>
          <w:rFonts w:hint="eastAsia"/>
          <w:szCs w:val="22"/>
          <w:lang w:val="zh-CN"/>
        </w:rPr>
        <w:t>在必要的范围和程度上，应确定并保持有关诚信目标以及承诺识别、履行和跟踪的成文信e)息.并满足以下条件:</w:t>
      </w:r>
    </w:p>
    <w:p>
      <w:pPr>
        <w:autoSpaceDE w:val="0"/>
        <w:autoSpaceDN w:val="0"/>
        <w:spacing w:line="276" w:lineRule="auto"/>
        <w:jc w:val="left"/>
        <w:rPr>
          <w:szCs w:val="22"/>
          <w:lang w:val="zh-CN"/>
        </w:rPr>
      </w:pPr>
      <w:r>
        <w:rPr>
          <w:rFonts w:hint="eastAsia"/>
          <w:szCs w:val="22"/>
          <w:lang w:val="zh-CN"/>
        </w:rPr>
        <w:t>1)确信承诺履行和跟踪的过程已经按策划进行;</w:t>
      </w:r>
    </w:p>
    <w:p>
      <w:pPr>
        <w:autoSpaceDE w:val="0"/>
        <w:autoSpaceDN w:val="0"/>
        <w:spacing w:line="276" w:lineRule="auto"/>
        <w:jc w:val="left"/>
        <w:rPr>
          <w:szCs w:val="22"/>
          <w:lang w:val="zh-CN"/>
        </w:rPr>
      </w:pPr>
      <w:r>
        <w:rPr>
          <w:rFonts w:hint="eastAsia"/>
          <w:szCs w:val="22"/>
          <w:lang w:val="zh-CN"/>
        </w:rPr>
        <w:t>2)证实产品和服务符合要求;</w:t>
      </w:r>
    </w:p>
    <w:p>
      <w:pPr>
        <w:autoSpaceDE w:val="0"/>
        <w:autoSpaceDN w:val="0"/>
        <w:spacing w:line="276" w:lineRule="auto"/>
        <w:jc w:val="left"/>
        <w:rPr>
          <w:szCs w:val="22"/>
          <w:lang w:val="zh-CN"/>
        </w:rPr>
      </w:pPr>
      <w:r>
        <w:rPr>
          <w:rFonts w:hint="eastAsia"/>
          <w:szCs w:val="22"/>
          <w:lang w:val="zh-CN"/>
        </w:rPr>
        <w:t>3)确保满足相关方的需求和期望;</w:t>
      </w:r>
    </w:p>
    <w:p>
      <w:pPr>
        <w:autoSpaceDE w:val="0"/>
        <w:autoSpaceDN w:val="0"/>
        <w:spacing w:line="276" w:lineRule="auto"/>
        <w:jc w:val="left"/>
        <w:rPr>
          <w:szCs w:val="22"/>
          <w:lang w:val="zh-CN"/>
        </w:rPr>
      </w:pPr>
      <w:r>
        <w:rPr>
          <w:rFonts w:hint="eastAsia"/>
          <w:szCs w:val="22"/>
          <w:lang w:val="zh-CN"/>
        </w:rPr>
        <w:t>4) 确保符合自身愿景和目标的要求。</w:t>
      </w:r>
    </w:p>
    <w:p>
      <w:pPr>
        <w:autoSpaceDE w:val="0"/>
        <w:autoSpaceDN w:val="0"/>
        <w:spacing w:line="276" w:lineRule="auto"/>
        <w:jc w:val="left"/>
        <w:rPr>
          <w:szCs w:val="22"/>
          <w:lang w:val="zh-CN"/>
        </w:rPr>
      </w:pPr>
      <w:r>
        <w:rPr>
          <w:rFonts w:hint="eastAsia"/>
          <w:szCs w:val="22"/>
          <w:lang w:val="zh-CN"/>
        </w:rPr>
        <w:t>企业应确保外部过程受控,包括:供应商提供的过程、产品和服务;实施外部供方的评价、选择、绩效评估以及再评价并保留成文信息;必要的验证或其他活动，以确保外部提供的过程、产品和服务满足要求。</w:t>
      </w:r>
    </w:p>
    <w:p>
      <w:pPr>
        <w:autoSpaceDE w:val="0"/>
        <w:autoSpaceDN w:val="0"/>
        <w:spacing w:line="276" w:lineRule="auto"/>
        <w:jc w:val="left"/>
        <w:rPr>
          <w:szCs w:val="22"/>
          <w:lang w:val="zh-CN"/>
        </w:rPr>
      </w:pPr>
      <w:r>
        <w:rPr>
          <w:rFonts w:hint="eastAsia"/>
          <w:szCs w:val="22"/>
          <w:lang w:val="zh-CN"/>
        </w:rPr>
        <w:t>9.2信用调查</w:t>
      </w:r>
    </w:p>
    <w:p>
      <w:pPr>
        <w:autoSpaceDE w:val="0"/>
        <w:autoSpaceDN w:val="0"/>
        <w:spacing w:line="276" w:lineRule="auto"/>
        <w:jc w:val="left"/>
        <w:rPr>
          <w:szCs w:val="22"/>
          <w:lang w:val="zh-CN"/>
        </w:rPr>
      </w:pPr>
      <w:r>
        <w:rPr>
          <w:rFonts w:hint="eastAsia"/>
          <w:szCs w:val="22"/>
          <w:lang w:val="zh-CN"/>
        </w:rPr>
        <w:t>9.2</w:t>
      </w:r>
      <w:r>
        <w:rPr>
          <w:rFonts w:hint="eastAsia"/>
          <w:szCs w:val="22"/>
        </w:rPr>
        <w:t>.</w:t>
      </w:r>
      <w:r>
        <w:rPr>
          <w:rFonts w:hint="eastAsia"/>
          <w:szCs w:val="22"/>
          <w:lang w:val="zh-CN"/>
        </w:rPr>
        <w:t>1调查内容</w:t>
      </w:r>
    </w:p>
    <w:p>
      <w:pPr>
        <w:autoSpaceDE w:val="0"/>
        <w:autoSpaceDN w:val="0"/>
        <w:spacing w:line="276" w:lineRule="auto"/>
        <w:jc w:val="left"/>
        <w:rPr>
          <w:szCs w:val="22"/>
          <w:lang w:val="zh-CN"/>
        </w:rPr>
      </w:pPr>
      <w:r>
        <w:rPr>
          <w:rFonts w:hint="eastAsia"/>
          <w:szCs w:val="22"/>
          <w:lang w:val="zh-CN"/>
        </w:rPr>
        <w:t>信用调查内容一般包括信用销售客户(或预付款采购供应商)的基本信息、人力资源信息、物质资源信息、经营状况信息、管理信息、财务信息、关联企业信息、银行贷款或抵押担保信息、所在行业状况以及企业守法、守约等信息。</w:t>
      </w:r>
    </w:p>
    <w:p>
      <w:pPr>
        <w:autoSpaceDE w:val="0"/>
        <w:autoSpaceDN w:val="0"/>
        <w:spacing w:line="276" w:lineRule="auto"/>
        <w:jc w:val="left"/>
        <w:rPr>
          <w:szCs w:val="22"/>
          <w:lang w:val="zh-CN"/>
        </w:rPr>
      </w:pPr>
      <w:r>
        <w:rPr>
          <w:rFonts w:hint="eastAsia"/>
          <w:szCs w:val="22"/>
          <w:lang w:val="zh-CN"/>
        </w:rPr>
        <w:t>9.2.2调查方法</w:t>
      </w:r>
    </w:p>
    <w:p>
      <w:pPr>
        <w:autoSpaceDE w:val="0"/>
        <w:autoSpaceDN w:val="0"/>
        <w:spacing w:line="276" w:lineRule="auto"/>
        <w:jc w:val="left"/>
        <w:rPr>
          <w:szCs w:val="22"/>
          <w:lang w:val="zh-CN"/>
        </w:rPr>
      </w:pPr>
      <w:r>
        <w:rPr>
          <w:rFonts w:hint="eastAsia"/>
          <w:szCs w:val="22"/>
          <w:lang w:val="zh-CN"/>
        </w:rPr>
        <w:t>企业可根据具体情况，选择下列的一种或多种调查方法:</w:t>
      </w:r>
    </w:p>
    <w:p>
      <w:pPr>
        <w:autoSpaceDE w:val="0"/>
        <w:autoSpaceDN w:val="0"/>
        <w:spacing w:line="276" w:lineRule="auto"/>
        <w:jc w:val="left"/>
        <w:rPr>
          <w:szCs w:val="22"/>
          <w:lang w:val="zh-CN"/>
        </w:rPr>
      </w:pPr>
      <w:r>
        <w:rPr>
          <w:rFonts w:hint="eastAsia"/>
          <w:szCs w:val="22"/>
          <w:lang w:val="zh-CN"/>
        </w:rPr>
        <w:t>a)业务员实地调研;</w:t>
      </w:r>
    </w:p>
    <w:p>
      <w:pPr>
        <w:autoSpaceDE w:val="0"/>
        <w:autoSpaceDN w:val="0"/>
        <w:spacing w:line="276" w:lineRule="auto"/>
        <w:jc w:val="left"/>
        <w:rPr>
          <w:szCs w:val="22"/>
          <w:lang w:val="zh-CN"/>
        </w:rPr>
      </w:pPr>
      <w:r>
        <w:rPr>
          <w:rFonts w:hint="eastAsia"/>
          <w:szCs w:val="22"/>
        </w:rPr>
        <w:t>b)</w:t>
      </w:r>
      <w:r>
        <w:rPr>
          <w:rFonts w:hint="eastAsia"/>
          <w:szCs w:val="22"/>
          <w:lang w:val="zh-CN"/>
        </w:rPr>
        <w:t>直接向信用销售客户(或预付款采购供应商)索取有关资料:</w:t>
      </w:r>
    </w:p>
    <w:p>
      <w:pPr>
        <w:autoSpaceDE w:val="0"/>
        <w:autoSpaceDN w:val="0"/>
        <w:spacing w:line="276" w:lineRule="auto"/>
        <w:jc w:val="left"/>
        <w:rPr>
          <w:szCs w:val="22"/>
          <w:lang w:val="zh-CN"/>
        </w:rPr>
      </w:pPr>
      <w:r>
        <w:rPr>
          <w:rFonts w:hint="eastAsia"/>
          <w:szCs w:val="22"/>
        </w:rPr>
        <w:t>c</w:t>
      </w:r>
      <w:r>
        <w:rPr>
          <w:rFonts w:hint="eastAsia"/>
          <w:szCs w:val="22"/>
          <w:lang w:val="zh-CN"/>
        </w:rPr>
        <w:t>)通过国家主管部门或媒体公开资料查询;c</w:t>
      </w:r>
    </w:p>
    <w:p>
      <w:pPr>
        <w:autoSpaceDE w:val="0"/>
        <w:autoSpaceDN w:val="0"/>
        <w:spacing w:line="276" w:lineRule="auto"/>
        <w:jc w:val="left"/>
        <w:rPr>
          <w:szCs w:val="22"/>
          <w:lang w:val="zh-CN"/>
        </w:rPr>
      </w:pPr>
      <w:r>
        <w:rPr>
          <w:rFonts w:hint="eastAsia"/>
          <w:szCs w:val="22"/>
        </w:rPr>
        <w:t>d)</w:t>
      </w:r>
      <w:r>
        <w:rPr>
          <w:rFonts w:hint="eastAsia"/>
          <w:szCs w:val="22"/>
          <w:lang w:val="zh-CN"/>
        </w:rPr>
        <w:t>向行业协会、同行、上下游客户合法咨询了解;</w:t>
      </w:r>
    </w:p>
    <w:p>
      <w:pPr>
        <w:autoSpaceDE w:val="0"/>
        <w:autoSpaceDN w:val="0"/>
        <w:spacing w:line="276" w:lineRule="auto"/>
        <w:jc w:val="left"/>
        <w:rPr>
          <w:szCs w:val="22"/>
          <w:lang w:val="zh-CN"/>
        </w:rPr>
      </w:pPr>
      <w:r>
        <w:rPr>
          <w:rFonts w:hint="eastAsia"/>
          <w:szCs w:val="22"/>
        </w:rPr>
        <w:t>e)</w:t>
      </w:r>
      <w:r>
        <w:rPr>
          <w:rFonts w:hint="eastAsia"/>
          <w:szCs w:val="22"/>
          <w:lang w:val="zh-CN"/>
        </w:rPr>
        <w:t>委托第三方专业机构调查。</w:t>
      </w:r>
    </w:p>
    <w:p>
      <w:pPr>
        <w:autoSpaceDE w:val="0"/>
        <w:autoSpaceDN w:val="0"/>
        <w:spacing w:line="276" w:lineRule="auto"/>
        <w:jc w:val="left"/>
        <w:rPr>
          <w:szCs w:val="22"/>
          <w:lang w:val="zh-CN"/>
        </w:rPr>
      </w:pPr>
    </w:p>
    <w:p>
      <w:pPr>
        <w:autoSpaceDE w:val="0"/>
        <w:autoSpaceDN w:val="0"/>
        <w:spacing w:line="276" w:lineRule="auto"/>
        <w:jc w:val="left"/>
        <w:rPr>
          <w:szCs w:val="22"/>
        </w:rPr>
      </w:pPr>
      <w:r>
        <w:rPr>
          <w:rFonts w:hint="eastAsia"/>
          <w:szCs w:val="22"/>
        </w:rPr>
        <w:t>9.2.3评价指标</w:t>
      </w:r>
    </w:p>
    <w:p>
      <w:pPr>
        <w:autoSpaceDE w:val="0"/>
        <w:autoSpaceDN w:val="0"/>
        <w:spacing w:line="276" w:lineRule="auto"/>
        <w:jc w:val="left"/>
        <w:rPr>
          <w:szCs w:val="22"/>
        </w:rPr>
      </w:pPr>
      <w:r>
        <w:rPr>
          <w:rFonts w:hint="eastAsia"/>
          <w:szCs w:val="22"/>
        </w:rPr>
        <w:t>9.2.3.1 企业可根据需要,建立信用销售客户(或预付款采购供应商)信用评价指标和评价模型9.2.3.2评价指标应依据GB/T23794 设定。</w:t>
      </w:r>
    </w:p>
    <w:p>
      <w:pPr>
        <w:autoSpaceDE w:val="0"/>
        <w:autoSpaceDN w:val="0"/>
        <w:spacing w:line="276" w:lineRule="auto"/>
        <w:jc w:val="left"/>
        <w:rPr>
          <w:szCs w:val="22"/>
        </w:rPr>
      </w:pPr>
      <w:r>
        <w:rPr>
          <w:rFonts w:hint="eastAsia"/>
          <w:szCs w:val="22"/>
        </w:rPr>
        <w:t>9.2.3.3 依据信用评价结果，对信用销售客户或预付款采购供应商的信用风险以及对本企业重要程度进行综合判断。</w:t>
      </w:r>
    </w:p>
    <w:p>
      <w:pPr>
        <w:autoSpaceDE w:val="0"/>
        <w:autoSpaceDN w:val="0"/>
        <w:spacing w:line="276" w:lineRule="auto"/>
        <w:jc w:val="left"/>
        <w:rPr>
          <w:szCs w:val="22"/>
        </w:rPr>
      </w:pPr>
      <w:r>
        <w:rPr>
          <w:rFonts w:hint="eastAsia"/>
          <w:szCs w:val="22"/>
        </w:rPr>
        <w:t>9.2.4评价方法</w:t>
      </w:r>
    </w:p>
    <w:p>
      <w:pPr>
        <w:autoSpaceDE w:val="0"/>
        <w:autoSpaceDN w:val="0"/>
        <w:spacing w:line="276" w:lineRule="auto"/>
        <w:jc w:val="left"/>
        <w:rPr>
          <w:szCs w:val="22"/>
        </w:rPr>
      </w:pPr>
      <w:r>
        <w:rPr>
          <w:rFonts w:hint="eastAsia"/>
          <w:szCs w:val="22"/>
        </w:rPr>
        <w:t>9.2.4.1 企业信用评价方法可采用定性分析与定量分析相结合、微观分析与宏观分析相结合、动态分析与静态分析相结合的方式。</w:t>
      </w:r>
    </w:p>
    <w:p>
      <w:pPr>
        <w:autoSpaceDE w:val="0"/>
        <w:autoSpaceDN w:val="0"/>
        <w:spacing w:line="276" w:lineRule="auto"/>
        <w:jc w:val="left"/>
        <w:rPr>
          <w:szCs w:val="22"/>
        </w:rPr>
      </w:pPr>
      <w:r>
        <w:rPr>
          <w:rFonts w:hint="eastAsia"/>
          <w:szCs w:val="22"/>
        </w:rPr>
        <w:t>9.2.4.2 企业应对信用销售客户(或预付款采购供应商)的信用情况进行全面分析和综合评估，得出客户的信用评分或信用等级。</w:t>
      </w:r>
    </w:p>
    <w:p>
      <w:pPr>
        <w:autoSpaceDE w:val="0"/>
        <w:autoSpaceDN w:val="0"/>
        <w:spacing w:line="276" w:lineRule="auto"/>
        <w:jc w:val="left"/>
        <w:rPr>
          <w:szCs w:val="22"/>
        </w:rPr>
      </w:pPr>
      <w:r>
        <w:rPr>
          <w:rFonts w:hint="eastAsia"/>
          <w:szCs w:val="22"/>
        </w:rPr>
        <w:t>9.2.4.3信用等级应符合GB/T22116 的规定</w:t>
      </w:r>
    </w:p>
    <w:p>
      <w:pPr>
        <w:autoSpaceDE w:val="0"/>
        <w:autoSpaceDN w:val="0"/>
        <w:spacing w:line="276" w:lineRule="auto"/>
        <w:jc w:val="left"/>
        <w:rPr>
          <w:szCs w:val="22"/>
          <w:lang w:val="zh-CN"/>
        </w:rPr>
      </w:pPr>
      <w:r>
        <w:rPr>
          <w:rFonts w:hint="eastAsia"/>
          <w:szCs w:val="22"/>
          <w:lang w:val="zh-CN"/>
        </w:rPr>
        <w:t>9.2.5分类管理</w:t>
      </w:r>
    </w:p>
    <w:p>
      <w:pPr>
        <w:autoSpaceDE w:val="0"/>
        <w:autoSpaceDN w:val="0"/>
        <w:spacing w:line="276" w:lineRule="auto"/>
        <w:jc w:val="left"/>
        <w:rPr>
          <w:szCs w:val="22"/>
          <w:lang w:val="zh-CN"/>
        </w:rPr>
      </w:pPr>
      <w:r>
        <w:rPr>
          <w:rFonts w:hint="eastAsia"/>
          <w:szCs w:val="22"/>
          <w:lang w:val="zh-CN"/>
        </w:rPr>
        <w:t>企业可按照信用销售客户(或预付款采购供应商)性质、合作时间、规模、类型、重要程度和信用评价结果进行分类管理，符合GB/T23793的规定。</w:t>
      </w:r>
    </w:p>
    <w:p>
      <w:pPr>
        <w:autoSpaceDE w:val="0"/>
        <w:autoSpaceDN w:val="0"/>
        <w:spacing w:line="276" w:lineRule="auto"/>
        <w:jc w:val="left"/>
        <w:rPr>
          <w:szCs w:val="22"/>
          <w:lang w:val="zh-CN"/>
        </w:rPr>
      </w:pPr>
      <w:r>
        <w:rPr>
          <w:rFonts w:hint="eastAsia"/>
          <w:szCs w:val="22"/>
          <w:lang w:val="zh-CN"/>
        </w:rPr>
        <w:t>9.3信用档案管理</w:t>
      </w:r>
    </w:p>
    <w:p>
      <w:pPr>
        <w:autoSpaceDE w:val="0"/>
        <w:autoSpaceDN w:val="0"/>
        <w:spacing w:line="276" w:lineRule="auto"/>
        <w:jc w:val="left"/>
        <w:rPr>
          <w:szCs w:val="22"/>
          <w:lang w:val="zh-CN"/>
        </w:rPr>
      </w:pPr>
      <w:r>
        <w:rPr>
          <w:rFonts w:hint="eastAsia"/>
          <w:szCs w:val="22"/>
          <w:lang w:val="zh-CN"/>
        </w:rPr>
        <w:t>9.3.1档案建立</w:t>
      </w:r>
    </w:p>
    <w:p>
      <w:pPr>
        <w:autoSpaceDE w:val="0"/>
        <w:autoSpaceDN w:val="0"/>
        <w:spacing w:line="276" w:lineRule="auto"/>
        <w:jc w:val="left"/>
        <w:rPr>
          <w:szCs w:val="22"/>
          <w:lang w:val="zh-CN"/>
        </w:rPr>
      </w:pPr>
      <w:r>
        <w:rPr>
          <w:rFonts w:hint="eastAsia"/>
          <w:szCs w:val="22"/>
          <w:lang w:val="zh-CN"/>
        </w:rPr>
        <w:t>企业应为产业上游产品、技术服务的供应商以及所有信用销售客户(或预付款采购供应商)建立信用档案,信用档案按编号立卷归档,建立检索目录并实现电子化管理。</w:t>
      </w:r>
    </w:p>
    <w:p>
      <w:pPr>
        <w:autoSpaceDE w:val="0"/>
        <w:autoSpaceDN w:val="0"/>
        <w:spacing w:line="276" w:lineRule="auto"/>
        <w:jc w:val="left"/>
        <w:rPr>
          <w:szCs w:val="22"/>
          <w:lang w:val="zh-CN"/>
        </w:rPr>
      </w:pPr>
      <w:r>
        <w:rPr>
          <w:rFonts w:hint="eastAsia"/>
          <w:szCs w:val="22"/>
          <w:lang w:val="zh-CN"/>
        </w:rPr>
        <w:t>信用档案编号应科学合理,具备规律性、连续性和唯一识别特性,可实现按客户名称、年份和类别等进行电子化检索。</w:t>
      </w:r>
    </w:p>
    <w:p>
      <w:pPr>
        <w:autoSpaceDE w:val="0"/>
        <w:autoSpaceDN w:val="0"/>
        <w:spacing w:line="276" w:lineRule="auto"/>
        <w:jc w:val="left"/>
        <w:rPr>
          <w:szCs w:val="22"/>
          <w:lang w:val="zh-CN"/>
        </w:rPr>
      </w:pPr>
      <w:r>
        <w:rPr>
          <w:rFonts w:hint="eastAsia"/>
          <w:szCs w:val="22"/>
          <w:lang w:val="zh-CN"/>
        </w:rPr>
        <w:t>9.3.2档案内容</w:t>
      </w:r>
    </w:p>
    <w:p>
      <w:pPr>
        <w:autoSpaceDE w:val="0"/>
        <w:autoSpaceDN w:val="0"/>
        <w:spacing w:line="276" w:lineRule="auto"/>
        <w:jc w:val="left"/>
        <w:rPr>
          <w:szCs w:val="22"/>
          <w:lang w:val="zh-CN"/>
        </w:rPr>
      </w:pPr>
      <w:r>
        <w:rPr>
          <w:rFonts w:hint="eastAsia"/>
          <w:szCs w:val="22"/>
          <w:lang w:val="zh-CN"/>
        </w:rPr>
        <w:t>客户信用档案的内容,包括但不限于:</w:t>
      </w:r>
    </w:p>
    <w:p>
      <w:pPr>
        <w:autoSpaceDE w:val="0"/>
        <w:autoSpaceDN w:val="0"/>
        <w:spacing w:line="276" w:lineRule="auto"/>
        <w:jc w:val="left"/>
        <w:rPr>
          <w:szCs w:val="22"/>
          <w:lang w:val="zh-CN"/>
        </w:rPr>
      </w:pPr>
      <w:r>
        <w:rPr>
          <w:rFonts w:hint="eastAsia"/>
          <w:szCs w:val="22"/>
          <w:lang w:val="zh-CN"/>
        </w:rPr>
        <w:t>a)客户基本资料;</w:t>
      </w:r>
    </w:p>
    <w:p>
      <w:pPr>
        <w:autoSpaceDE w:val="0"/>
        <w:autoSpaceDN w:val="0"/>
        <w:spacing w:line="276" w:lineRule="auto"/>
        <w:jc w:val="left"/>
        <w:rPr>
          <w:szCs w:val="22"/>
          <w:lang w:val="zh-CN"/>
        </w:rPr>
      </w:pPr>
      <w:r>
        <w:rPr>
          <w:rFonts w:hint="eastAsia"/>
          <w:szCs w:val="22"/>
        </w:rPr>
        <w:t>b)</w:t>
      </w:r>
      <w:r>
        <w:rPr>
          <w:rFonts w:hint="eastAsia"/>
          <w:szCs w:val="22"/>
          <w:lang w:val="zh-CN"/>
        </w:rPr>
        <w:t>客户调查资料;</w:t>
      </w:r>
    </w:p>
    <w:p>
      <w:pPr>
        <w:autoSpaceDE w:val="0"/>
        <w:autoSpaceDN w:val="0"/>
        <w:spacing w:line="276" w:lineRule="auto"/>
        <w:jc w:val="left"/>
        <w:rPr>
          <w:szCs w:val="22"/>
          <w:lang w:val="zh-CN"/>
        </w:rPr>
      </w:pPr>
      <w:r>
        <w:rPr>
          <w:rFonts w:hint="eastAsia"/>
          <w:szCs w:val="22"/>
        </w:rPr>
        <w:t>c)</w:t>
      </w:r>
      <w:r>
        <w:rPr>
          <w:rFonts w:hint="eastAsia"/>
          <w:szCs w:val="22"/>
          <w:lang w:val="zh-CN"/>
        </w:rPr>
        <w:t>与客户沟通资料;</w:t>
      </w:r>
    </w:p>
    <w:p>
      <w:pPr>
        <w:autoSpaceDE w:val="0"/>
        <w:autoSpaceDN w:val="0"/>
        <w:spacing w:line="276" w:lineRule="auto"/>
        <w:jc w:val="left"/>
        <w:rPr>
          <w:szCs w:val="22"/>
          <w:lang w:val="zh-CN"/>
        </w:rPr>
      </w:pPr>
      <w:r>
        <w:rPr>
          <w:rFonts w:hint="eastAsia"/>
          <w:szCs w:val="22"/>
          <w:lang w:val="zh-CN"/>
        </w:rPr>
        <w:t>d)业务资料;</w:t>
      </w:r>
    </w:p>
    <w:p>
      <w:pPr>
        <w:autoSpaceDE w:val="0"/>
        <w:autoSpaceDN w:val="0"/>
        <w:spacing w:line="276" w:lineRule="auto"/>
        <w:jc w:val="left"/>
        <w:rPr>
          <w:szCs w:val="22"/>
          <w:lang w:val="zh-CN"/>
        </w:rPr>
      </w:pPr>
      <w:r>
        <w:rPr>
          <w:rFonts w:hint="eastAsia"/>
          <w:szCs w:val="22"/>
        </w:rPr>
        <w:t>e)</w:t>
      </w:r>
      <w:r>
        <w:rPr>
          <w:rFonts w:hint="eastAsia"/>
          <w:szCs w:val="22"/>
          <w:lang w:val="zh-CN"/>
        </w:rPr>
        <w:t>商账资料;e</w:t>
      </w:r>
    </w:p>
    <w:p>
      <w:pPr>
        <w:autoSpaceDE w:val="0"/>
        <w:autoSpaceDN w:val="0"/>
        <w:spacing w:line="276" w:lineRule="auto"/>
        <w:jc w:val="left"/>
        <w:rPr>
          <w:szCs w:val="22"/>
          <w:lang w:val="zh-CN"/>
        </w:rPr>
      </w:pPr>
      <w:r>
        <w:rPr>
          <w:rFonts w:hint="eastAsia"/>
          <w:szCs w:val="22"/>
        </w:rPr>
        <w:t>f)</w:t>
      </w:r>
      <w:r>
        <w:rPr>
          <w:rFonts w:hint="eastAsia"/>
          <w:szCs w:val="22"/>
          <w:lang w:val="zh-CN"/>
        </w:rPr>
        <w:t>债权保障资料</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9.3.3档案更新和维护</w:t>
      </w:r>
    </w:p>
    <w:p>
      <w:pPr>
        <w:autoSpaceDE w:val="0"/>
        <w:autoSpaceDN w:val="0"/>
        <w:spacing w:line="276" w:lineRule="auto"/>
        <w:jc w:val="left"/>
        <w:rPr>
          <w:szCs w:val="22"/>
          <w:lang w:val="zh-CN"/>
        </w:rPr>
      </w:pPr>
      <w:r>
        <w:rPr>
          <w:rFonts w:hint="eastAsia"/>
          <w:szCs w:val="22"/>
          <w:lang w:val="zh-CN"/>
        </w:rPr>
        <w:t>客户信用档案应实行动态管理、适时更新,更新周期一般不超过半年，必要时电子档案与纸质档案可并存管理。</w:t>
      </w:r>
    </w:p>
    <w:p>
      <w:pPr>
        <w:autoSpaceDE w:val="0"/>
        <w:autoSpaceDN w:val="0"/>
        <w:spacing w:line="276" w:lineRule="auto"/>
        <w:jc w:val="left"/>
        <w:rPr>
          <w:szCs w:val="22"/>
          <w:lang w:val="zh-CN"/>
        </w:rPr>
      </w:pPr>
      <w:r>
        <w:rPr>
          <w:rFonts w:hint="eastAsia"/>
          <w:szCs w:val="22"/>
          <w:lang w:val="zh-CN"/>
        </w:rPr>
        <w:t>9.3.4档案保管和查阅</w:t>
      </w:r>
    </w:p>
    <w:p>
      <w:pPr>
        <w:autoSpaceDE w:val="0"/>
        <w:autoSpaceDN w:val="0"/>
        <w:spacing w:line="276" w:lineRule="auto"/>
        <w:jc w:val="left"/>
        <w:rPr>
          <w:szCs w:val="22"/>
          <w:lang w:val="zh-CN"/>
        </w:rPr>
      </w:pPr>
      <w:r>
        <w:rPr>
          <w:rFonts w:hint="eastAsia"/>
          <w:szCs w:val="22"/>
          <w:lang w:val="zh-CN"/>
        </w:rPr>
        <w:t>企业应对信用档案的保管年限及销毁处理作出规定，宜采用企业集中或部门集中的方式保管,保管期限最低不少于三年。企业应设立客户信用档案的查阅权限并建立审批程序，保留档案查阅记录，防止企业商业秘密和客户信息泄露。</w:t>
      </w:r>
    </w:p>
    <w:p>
      <w:pPr>
        <w:autoSpaceDE w:val="0"/>
        <w:autoSpaceDN w:val="0"/>
        <w:spacing w:line="276" w:lineRule="auto"/>
        <w:jc w:val="left"/>
        <w:rPr>
          <w:szCs w:val="22"/>
          <w:lang w:val="zh-CN"/>
        </w:rPr>
      </w:pPr>
      <w:r>
        <w:rPr>
          <w:rFonts w:hint="eastAsia"/>
          <w:szCs w:val="22"/>
          <w:lang w:val="zh-CN"/>
        </w:rPr>
        <w:t>9.4授信管理</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9.4.1总体授信计划</w:t>
      </w:r>
    </w:p>
    <w:p>
      <w:pPr>
        <w:autoSpaceDE w:val="0"/>
        <w:autoSpaceDN w:val="0"/>
        <w:spacing w:line="276" w:lineRule="auto"/>
        <w:jc w:val="left"/>
        <w:rPr>
          <w:szCs w:val="22"/>
          <w:lang w:val="zh-CN"/>
        </w:rPr>
      </w:pPr>
      <w:r>
        <w:rPr>
          <w:rFonts w:hint="eastAsia"/>
          <w:szCs w:val="22"/>
          <w:lang w:val="zh-CN"/>
        </w:rPr>
        <w:t>企业应根据内部条件(自身实力、资金流动性、产品特点、经营状况等)和外部环境(市场地位、行业特点、经济周期、国家主管部门文件等)制定总体授信策略,确定一定期限内(通常为一年)的授信额度总量和现金回收目标。</w:t>
      </w:r>
    </w:p>
    <w:p>
      <w:pPr>
        <w:autoSpaceDE w:val="0"/>
        <w:autoSpaceDN w:val="0"/>
        <w:spacing w:line="276" w:lineRule="auto"/>
        <w:jc w:val="left"/>
        <w:rPr>
          <w:szCs w:val="22"/>
          <w:lang w:val="zh-CN"/>
        </w:rPr>
      </w:pPr>
      <w:r>
        <w:rPr>
          <w:rFonts w:hint="eastAsia"/>
          <w:szCs w:val="22"/>
          <w:lang w:val="zh-CN"/>
        </w:rPr>
        <w:t>9.4.2明确授信策略</w:t>
      </w:r>
    </w:p>
    <w:p>
      <w:pPr>
        <w:autoSpaceDE w:val="0"/>
        <w:autoSpaceDN w:val="0"/>
        <w:spacing w:line="276" w:lineRule="auto"/>
        <w:jc w:val="left"/>
        <w:rPr>
          <w:szCs w:val="22"/>
          <w:lang w:val="zh-CN"/>
        </w:rPr>
      </w:pPr>
      <w:r>
        <w:rPr>
          <w:rFonts w:hint="eastAsia"/>
          <w:szCs w:val="22"/>
          <w:lang w:val="zh-CN"/>
        </w:rPr>
        <w:t>企业应制定授信业务的标准和管理原则，建立授信策略的调整和完善机制。对客户授信有明确的信用条件或要求，信用策略包含信用账期、信用额度和鼓励客户提早还款的信用折扣等,同时评估结算方式的风险和成本。</w:t>
      </w:r>
    </w:p>
    <w:p>
      <w:pPr>
        <w:autoSpaceDE w:val="0"/>
        <w:autoSpaceDN w:val="0"/>
        <w:spacing w:line="276" w:lineRule="auto"/>
        <w:jc w:val="left"/>
        <w:rPr>
          <w:szCs w:val="22"/>
          <w:lang w:val="zh-CN"/>
        </w:rPr>
      </w:pPr>
      <w:r>
        <w:rPr>
          <w:rFonts w:hint="eastAsia"/>
          <w:szCs w:val="22"/>
          <w:lang w:val="zh-CN"/>
        </w:rPr>
        <w:t>9.4</w:t>
      </w:r>
      <w:r>
        <w:rPr>
          <w:rFonts w:hint="eastAsia"/>
          <w:szCs w:val="22"/>
        </w:rPr>
        <w:t>.</w:t>
      </w:r>
      <w:r>
        <w:rPr>
          <w:rFonts w:hint="eastAsia"/>
          <w:szCs w:val="22"/>
          <w:lang w:val="zh-CN"/>
        </w:rPr>
        <w:t>3规范授信流程</w:t>
      </w:r>
    </w:p>
    <w:p>
      <w:pPr>
        <w:autoSpaceDE w:val="0"/>
        <w:autoSpaceDN w:val="0"/>
        <w:spacing w:line="276" w:lineRule="auto"/>
        <w:jc w:val="left"/>
        <w:rPr>
          <w:szCs w:val="22"/>
          <w:lang w:val="zh-CN"/>
        </w:rPr>
      </w:pPr>
      <w:r>
        <w:rPr>
          <w:rFonts w:hint="eastAsia"/>
          <w:szCs w:val="22"/>
          <w:lang w:val="zh-CN"/>
        </w:rPr>
        <w:t>企业应建立明确的授信(或预付款采购)业务流程和权限要求,确定授信范围、内容和对象等,授信(或预付款)审批签字手续齐全、符合权限要求,重大授信或超信用策略的授信(或大金额预付款)应由企业最高管理层集体审批决定。</w:t>
      </w:r>
    </w:p>
    <w:p>
      <w:pPr>
        <w:autoSpaceDE w:val="0"/>
        <w:autoSpaceDN w:val="0"/>
        <w:spacing w:line="276" w:lineRule="auto"/>
        <w:jc w:val="left"/>
        <w:rPr>
          <w:szCs w:val="22"/>
          <w:lang w:val="zh-CN"/>
        </w:rPr>
      </w:pPr>
      <w:r>
        <w:rPr>
          <w:rFonts w:hint="eastAsia"/>
          <w:szCs w:val="22"/>
          <w:lang w:val="zh-CN"/>
        </w:rPr>
        <w:t>9.4.4科学合理授信</w:t>
      </w:r>
    </w:p>
    <w:p>
      <w:pPr>
        <w:autoSpaceDE w:val="0"/>
        <w:autoSpaceDN w:val="0"/>
        <w:spacing w:line="276" w:lineRule="auto"/>
        <w:jc w:val="left"/>
        <w:rPr>
          <w:szCs w:val="22"/>
          <w:lang w:val="zh-CN"/>
        </w:rPr>
      </w:pPr>
      <w:r>
        <w:rPr>
          <w:rFonts w:hint="eastAsia"/>
          <w:szCs w:val="22"/>
          <w:lang w:val="zh-CN"/>
        </w:rPr>
        <w:t>9.4.4.1 企业应综合评估客户信用评价结果、客户信用需求量、客户产品市场前景、客户付款诚信记录、行业惯例等因素，确定某一客户的具体授信额度和账期。</w:t>
      </w:r>
    </w:p>
    <w:p>
      <w:pPr>
        <w:autoSpaceDE w:val="0"/>
        <w:autoSpaceDN w:val="0"/>
        <w:spacing w:line="276" w:lineRule="auto"/>
        <w:jc w:val="left"/>
        <w:rPr>
          <w:szCs w:val="22"/>
          <w:lang w:val="zh-CN"/>
        </w:rPr>
      </w:pPr>
      <w:r>
        <w:rPr>
          <w:rFonts w:hint="eastAsia"/>
          <w:szCs w:val="22"/>
          <w:lang w:val="zh-CN"/>
        </w:rPr>
        <w:t>9.4.4.2 授信方法包括但不限于:同业比较法、初次限额法、销售预测法、风险收益比较法。</w:t>
      </w:r>
    </w:p>
    <w:p>
      <w:pPr>
        <w:autoSpaceDE w:val="0"/>
        <w:autoSpaceDN w:val="0"/>
        <w:spacing w:line="276" w:lineRule="auto"/>
        <w:jc w:val="left"/>
        <w:rPr>
          <w:szCs w:val="22"/>
          <w:lang w:val="zh-CN"/>
        </w:rPr>
      </w:pPr>
      <w:r>
        <w:rPr>
          <w:rFonts w:hint="eastAsia"/>
          <w:szCs w:val="22"/>
          <w:lang w:val="zh-CN"/>
        </w:rPr>
        <w:t>9.4.4.3企业对客户授信时，可选用一种或多种方法。</w:t>
      </w:r>
    </w:p>
    <w:p>
      <w:pPr>
        <w:autoSpaceDE w:val="0"/>
        <w:autoSpaceDN w:val="0"/>
        <w:spacing w:line="276" w:lineRule="auto"/>
        <w:jc w:val="left"/>
        <w:rPr>
          <w:szCs w:val="22"/>
          <w:lang w:val="zh-CN"/>
        </w:rPr>
      </w:pPr>
      <w:r>
        <w:rPr>
          <w:rFonts w:hint="eastAsia"/>
          <w:szCs w:val="22"/>
          <w:lang w:val="zh-CN"/>
        </w:rPr>
        <w:t>9.4.5授信风险控制</w:t>
      </w:r>
    </w:p>
    <w:p>
      <w:pPr>
        <w:autoSpaceDE w:val="0"/>
        <w:autoSpaceDN w:val="0"/>
        <w:spacing w:line="276" w:lineRule="auto"/>
        <w:jc w:val="left"/>
        <w:rPr>
          <w:szCs w:val="22"/>
          <w:lang w:val="zh-CN"/>
        </w:rPr>
      </w:pPr>
      <w:r>
        <w:rPr>
          <w:rFonts w:hint="eastAsia"/>
          <w:szCs w:val="22"/>
          <w:lang w:val="zh-CN"/>
        </w:rPr>
        <w:t>9.4.5.1 授信对象出现超过信用策略规定状况时可采取停止发货(或服务)、停止接单、停止授信或要求客户增信等风险控制措施。</w:t>
      </w:r>
    </w:p>
    <w:p>
      <w:pPr>
        <w:autoSpaceDE w:val="0"/>
        <w:autoSpaceDN w:val="0"/>
        <w:spacing w:line="276" w:lineRule="auto"/>
        <w:jc w:val="left"/>
        <w:rPr>
          <w:szCs w:val="22"/>
          <w:lang w:val="zh-CN"/>
        </w:rPr>
      </w:pPr>
      <w:r>
        <w:rPr>
          <w:rFonts w:hint="eastAsia"/>
          <w:szCs w:val="22"/>
          <w:lang w:val="zh-CN"/>
        </w:rPr>
        <w:t>9.4.5.2授信风险转移方法包括但不限于:信用保险、信用担保应收账款保理等。</w:t>
      </w:r>
    </w:p>
    <w:p>
      <w:pPr>
        <w:autoSpaceDE w:val="0"/>
        <w:autoSpaceDN w:val="0"/>
        <w:spacing w:line="276" w:lineRule="auto"/>
        <w:jc w:val="left"/>
        <w:rPr>
          <w:szCs w:val="22"/>
          <w:lang w:val="zh-CN"/>
        </w:rPr>
      </w:pPr>
      <w:r>
        <w:rPr>
          <w:rFonts w:hint="eastAsia"/>
          <w:szCs w:val="22"/>
          <w:lang w:val="zh-CN"/>
        </w:rPr>
        <w:t>9.4.5,3企业可根据客户风险变化情况，适时采用一种或多种风险转移方法。</w:t>
      </w:r>
    </w:p>
    <w:p>
      <w:pPr>
        <w:autoSpaceDE w:val="0"/>
        <w:autoSpaceDN w:val="0"/>
        <w:spacing w:line="276" w:lineRule="auto"/>
        <w:jc w:val="left"/>
        <w:rPr>
          <w:szCs w:val="22"/>
          <w:lang w:val="zh-CN"/>
        </w:rPr>
      </w:pPr>
      <w:r>
        <w:rPr>
          <w:rFonts w:hint="eastAsia"/>
          <w:szCs w:val="22"/>
          <w:lang w:val="zh-CN"/>
        </w:rPr>
        <w:t>9.4.5.4 对重点信用销售客户(预付款采购供应商)要定期开展信用调查,及时掌控最新信用状况</w:t>
      </w:r>
    </w:p>
    <w:p>
      <w:pPr>
        <w:autoSpaceDE w:val="0"/>
        <w:autoSpaceDN w:val="0"/>
        <w:spacing w:line="276" w:lineRule="auto"/>
        <w:jc w:val="left"/>
        <w:rPr>
          <w:szCs w:val="22"/>
          <w:lang w:val="zh-CN"/>
        </w:rPr>
      </w:pPr>
      <w:r>
        <w:rPr>
          <w:rFonts w:hint="eastAsia"/>
          <w:szCs w:val="22"/>
          <w:lang w:val="zh-CN"/>
        </w:rPr>
        <w:t>9.5合同管理</w:t>
      </w:r>
    </w:p>
    <w:p>
      <w:pPr>
        <w:autoSpaceDE w:val="0"/>
        <w:autoSpaceDN w:val="0"/>
        <w:spacing w:line="276" w:lineRule="auto"/>
        <w:jc w:val="left"/>
        <w:rPr>
          <w:szCs w:val="22"/>
          <w:lang w:val="zh-CN"/>
        </w:rPr>
      </w:pPr>
      <w:r>
        <w:rPr>
          <w:rFonts w:hint="eastAsia"/>
          <w:szCs w:val="22"/>
          <w:lang w:val="zh-CN"/>
        </w:rPr>
        <w:t>9.5.1 签订前管理</w:t>
      </w:r>
    </w:p>
    <w:p>
      <w:pPr>
        <w:autoSpaceDE w:val="0"/>
        <w:autoSpaceDN w:val="0"/>
        <w:spacing w:line="276" w:lineRule="auto"/>
        <w:jc w:val="left"/>
        <w:rPr>
          <w:szCs w:val="22"/>
          <w:lang w:val="zh-CN"/>
        </w:rPr>
      </w:pPr>
      <w:r>
        <w:rPr>
          <w:rFonts w:hint="eastAsia"/>
          <w:szCs w:val="22"/>
          <w:lang w:val="zh-CN"/>
        </w:rPr>
        <w:t>企业应对合同履约风险进行全面评估,具体包括:在合同评审或招投标流程管理中,组织包括技术质量、生产(或服务),销售、财务、法务等相关部门对合同和标书进行全面评估。信用销售(或预付款采购)前应全面收集客户信息,审核并评估客户资信状况并对客户进行信用分级和信用额度、账期及折扣的核准。</w:t>
      </w:r>
    </w:p>
    <w:p>
      <w:pPr>
        <w:autoSpaceDE w:val="0"/>
        <w:autoSpaceDN w:val="0"/>
        <w:spacing w:line="276" w:lineRule="auto"/>
        <w:jc w:val="left"/>
        <w:rPr>
          <w:szCs w:val="22"/>
          <w:lang w:val="zh-CN"/>
        </w:rPr>
      </w:pPr>
      <w:r>
        <w:rPr>
          <w:rFonts w:hint="eastAsia"/>
          <w:szCs w:val="22"/>
          <w:lang w:val="zh-CN"/>
        </w:rPr>
        <w:t>9.5.2合同签订管理企业订立信用销售(或预付款采购)合同一般采用书面形式，不应采用口头形式。合同签订时应保障签字盖章手续规范、满足合同要求,仅有签字的合同需确认委托代理权限有效。合同主要条款应齐全,包括标的、数量和质量、价款或报酬、履行期限、履行地点和方式、结算方式、违约责任、其他(验收方法、风险责任、纠纷争议解决)等条款。</w:t>
      </w:r>
    </w:p>
    <w:p>
      <w:pPr>
        <w:autoSpaceDE w:val="0"/>
        <w:autoSpaceDN w:val="0"/>
        <w:spacing w:line="276" w:lineRule="auto"/>
        <w:jc w:val="left"/>
        <w:rPr>
          <w:szCs w:val="22"/>
          <w:lang w:val="zh-CN"/>
        </w:rPr>
      </w:pPr>
      <w:r>
        <w:rPr>
          <w:rFonts w:hint="eastAsia"/>
          <w:szCs w:val="22"/>
          <w:lang w:val="zh-CN"/>
        </w:rPr>
        <w:t>合同签订一般需经过法务审核,重大合同可采取担保措施。</w:t>
      </w:r>
    </w:p>
    <w:p>
      <w:pPr>
        <w:autoSpaceDE w:val="0"/>
        <w:autoSpaceDN w:val="0"/>
        <w:spacing w:line="276" w:lineRule="auto"/>
        <w:jc w:val="left"/>
        <w:rPr>
          <w:szCs w:val="22"/>
          <w:lang w:val="zh-CN"/>
        </w:rPr>
      </w:pPr>
      <w:r>
        <w:rPr>
          <w:rFonts w:hint="eastAsia"/>
          <w:szCs w:val="22"/>
          <w:lang w:val="zh-CN"/>
        </w:rPr>
        <w:t>9.5</w:t>
      </w:r>
      <w:r>
        <w:rPr>
          <w:rFonts w:hint="eastAsia"/>
          <w:szCs w:val="22"/>
        </w:rPr>
        <w:t>.</w:t>
      </w:r>
      <w:r>
        <w:rPr>
          <w:rFonts w:hint="eastAsia"/>
          <w:szCs w:val="22"/>
          <w:lang w:val="zh-CN"/>
        </w:rPr>
        <w:t>3履行过程管理</w:t>
      </w:r>
    </w:p>
    <w:p>
      <w:pPr>
        <w:autoSpaceDE w:val="0"/>
        <w:autoSpaceDN w:val="0"/>
        <w:spacing w:line="276" w:lineRule="auto"/>
        <w:jc w:val="left"/>
        <w:rPr>
          <w:szCs w:val="22"/>
          <w:lang w:val="zh-CN"/>
        </w:rPr>
      </w:pPr>
      <w:r>
        <w:rPr>
          <w:rFonts w:hint="eastAsia"/>
          <w:szCs w:val="22"/>
          <w:lang w:val="zh-CN"/>
        </w:rPr>
        <w:t>合同履行过程中,应对合同履约情况进行跟踪、监者。企业可通过建立合同台账或信息化管理系统记录合同履行情况,包括计划安排、生产(或服务)进度、发货(或服务完成)、开票,收款等内容情况。</w:t>
      </w:r>
    </w:p>
    <w:p>
      <w:pPr>
        <w:autoSpaceDE w:val="0"/>
        <w:autoSpaceDN w:val="0"/>
        <w:spacing w:line="276" w:lineRule="auto"/>
        <w:jc w:val="left"/>
        <w:rPr>
          <w:szCs w:val="22"/>
          <w:lang w:val="zh-CN"/>
        </w:rPr>
      </w:pPr>
      <w:r>
        <w:rPr>
          <w:rFonts w:hint="eastAsia"/>
          <w:szCs w:val="22"/>
          <w:lang w:val="zh-CN"/>
        </w:rPr>
        <w:t>企业应妥善保存和管理好合同执行过程中的重要原始资料和记录,对合同履行中出现的各类纠纷及时妥善处理,以防影响账款回收。</w:t>
      </w:r>
    </w:p>
    <w:p>
      <w:pPr>
        <w:autoSpaceDE w:val="0"/>
        <w:autoSpaceDN w:val="0"/>
        <w:spacing w:line="276" w:lineRule="auto"/>
        <w:jc w:val="left"/>
        <w:rPr>
          <w:szCs w:val="22"/>
          <w:lang w:val="zh-CN"/>
        </w:rPr>
      </w:pPr>
      <w:r>
        <w:rPr>
          <w:rFonts w:hint="eastAsia"/>
          <w:szCs w:val="22"/>
          <w:lang w:val="zh-CN"/>
        </w:rPr>
        <w:t>合同的变更、转让和解除、终止，应遵照合同约定执行。合同不能履行的,应遵照 GB/T 33718 相关规定采取风险控制措施和进行责任追究。</w:t>
      </w:r>
    </w:p>
    <w:p>
      <w:pPr>
        <w:autoSpaceDE w:val="0"/>
        <w:autoSpaceDN w:val="0"/>
        <w:spacing w:line="276" w:lineRule="auto"/>
        <w:jc w:val="left"/>
        <w:rPr>
          <w:szCs w:val="22"/>
          <w:lang w:val="zh-CN"/>
        </w:rPr>
      </w:pPr>
      <w:r>
        <w:rPr>
          <w:rFonts w:hint="eastAsia"/>
          <w:szCs w:val="22"/>
          <w:lang w:val="zh-CN"/>
        </w:rPr>
        <w:t>9.5.4履行后管理</w:t>
      </w:r>
    </w:p>
    <w:p>
      <w:pPr>
        <w:autoSpaceDE w:val="0"/>
        <w:autoSpaceDN w:val="0"/>
        <w:spacing w:line="276" w:lineRule="auto"/>
        <w:jc w:val="left"/>
        <w:rPr>
          <w:szCs w:val="22"/>
          <w:lang w:val="zh-CN"/>
        </w:rPr>
      </w:pPr>
      <w:r>
        <w:rPr>
          <w:rFonts w:hint="eastAsia"/>
          <w:szCs w:val="22"/>
          <w:lang w:val="zh-CN"/>
        </w:rPr>
        <w:t>企业应建立健全已签订合同履约分析制度,定期对合同完成情况进行统计和评估,并建立合同执行情况考核和责任追究机制。</w:t>
      </w:r>
    </w:p>
    <w:p>
      <w:pPr>
        <w:autoSpaceDE w:val="0"/>
        <w:autoSpaceDN w:val="0"/>
        <w:spacing w:line="276" w:lineRule="auto"/>
        <w:jc w:val="left"/>
        <w:rPr>
          <w:szCs w:val="22"/>
          <w:lang w:val="zh-CN"/>
        </w:rPr>
      </w:pPr>
      <w:r>
        <w:rPr>
          <w:rFonts w:hint="eastAsia"/>
          <w:szCs w:val="22"/>
          <w:lang w:val="zh-CN"/>
        </w:rPr>
        <w:t>9.6商账管理</w:t>
      </w:r>
    </w:p>
    <w:p>
      <w:pPr>
        <w:autoSpaceDE w:val="0"/>
        <w:autoSpaceDN w:val="0"/>
        <w:spacing w:line="276" w:lineRule="auto"/>
        <w:jc w:val="left"/>
        <w:rPr>
          <w:szCs w:val="22"/>
          <w:lang w:val="zh-CN"/>
        </w:rPr>
      </w:pPr>
      <w:r>
        <w:rPr>
          <w:rFonts w:hint="eastAsia"/>
          <w:szCs w:val="22"/>
          <w:lang w:val="zh-CN"/>
        </w:rPr>
        <w:t>9.6.1统计分析与结算</w:t>
      </w:r>
    </w:p>
    <w:p>
      <w:pPr>
        <w:autoSpaceDE w:val="0"/>
        <w:autoSpaceDN w:val="0"/>
        <w:spacing w:line="276" w:lineRule="auto"/>
        <w:jc w:val="left"/>
        <w:rPr>
          <w:szCs w:val="22"/>
          <w:lang w:val="zh-CN"/>
        </w:rPr>
      </w:pPr>
      <w:r>
        <w:rPr>
          <w:rFonts w:hint="eastAsia"/>
          <w:szCs w:val="22"/>
          <w:lang w:val="zh-CN"/>
        </w:rPr>
        <w:t>企业应定期进行商账统计和账龄分析,并将结果准确、及时地向最高管理层或董事会反馈或披露企业在信用销售(或预付款采购)中应采用安全性高、成本低的结算方式。企业在日常管理中应关注客户是否按订单或合同约定的账期和方式</w:t>
      </w:r>
    </w:p>
    <w:p>
      <w:pPr>
        <w:autoSpaceDE w:val="0"/>
        <w:autoSpaceDN w:val="0"/>
        <w:spacing w:line="276" w:lineRule="auto"/>
        <w:jc w:val="left"/>
        <w:rPr>
          <w:szCs w:val="22"/>
          <w:lang w:val="zh-CN"/>
        </w:rPr>
      </w:pPr>
      <w:r>
        <w:rPr>
          <w:rFonts w:hint="eastAsia"/>
          <w:szCs w:val="22"/>
          <w:lang w:val="zh-CN"/>
        </w:rPr>
        <w:t>9.6.2监控与预警</w:t>
      </w:r>
    </w:p>
    <w:p>
      <w:pPr>
        <w:autoSpaceDE w:val="0"/>
        <w:autoSpaceDN w:val="0"/>
        <w:spacing w:line="276" w:lineRule="auto"/>
        <w:jc w:val="left"/>
        <w:rPr>
          <w:szCs w:val="22"/>
          <w:lang w:val="zh-CN"/>
        </w:rPr>
      </w:pPr>
      <w:r>
        <w:rPr>
          <w:rFonts w:hint="eastAsia"/>
          <w:szCs w:val="22"/>
          <w:lang w:val="zh-CN"/>
        </w:rPr>
        <w:t>企业应设立符合实际经营状况的商账管理指标。并建立商账监控与预警机制，合理使用账龄分析比率分析、因素分析等方法,弄清逾期账款产生的原因,定期向业务部门发出预警,以便采取针对性管理措施。企业应重视结算方式的信用风险，如银行汇票、商业汇票等。</w:t>
      </w:r>
    </w:p>
    <w:p>
      <w:pPr>
        <w:autoSpaceDE w:val="0"/>
        <w:autoSpaceDN w:val="0"/>
        <w:spacing w:line="276" w:lineRule="auto"/>
        <w:jc w:val="left"/>
        <w:rPr>
          <w:szCs w:val="22"/>
          <w:lang w:val="zh-CN"/>
        </w:rPr>
      </w:pPr>
      <w:r>
        <w:rPr>
          <w:rFonts w:hint="eastAsia"/>
          <w:szCs w:val="22"/>
          <w:lang w:val="zh-CN"/>
        </w:rPr>
        <w:t>超过规定期限的逾期账款应按照财务核算规定计提坏账准备,明确坏账标准和处置方法,对长期挂账收回无望的商账应确认坏账,通过坏账损失比率高低及变化考量商账管理的绩效。注:商账管理指标包括合同金额界定、中期应收账款还款周期设计、快速回款方法设计、后期催收处理制度等。</w:t>
      </w:r>
    </w:p>
    <w:p>
      <w:pPr>
        <w:autoSpaceDE w:val="0"/>
        <w:autoSpaceDN w:val="0"/>
        <w:spacing w:line="276" w:lineRule="auto"/>
        <w:jc w:val="left"/>
        <w:rPr>
          <w:szCs w:val="22"/>
          <w:lang w:val="zh-CN"/>
        </w:rPr>
      </w:pPr>
      <w:r>
        <w:rPr>
          <w:rFonts w:hint="eastAsia"/>
          <w:szCs w:val="22"/>
          <w:lang w:val="zh-CN"/>
        </w:rPr>
        <w:t>9.6.3组织催收</w:t>
      </w:r>
    </w:p>
    <w:p>
      <w:pPr>
        <w:autoSpaceDE w:val="0"/>
        <w:autoSpaceDN w:val="0"/>
        <w:spacing w:line="276" w:lineRule="auto"/>
        <w:jc w:val="left"/>
        <w:rPr>
          <w:szCs w:val="22"/>
          <w:lang w:val="zh-CN"/>
        </w:rPr>
      </w:pPr>
      <w:r>
        <w:rPr>
          <w:rFonts w:hint="eastAsia"/>
          <w:szCs w:val="22"/>
          <w:lang w:val="zh-CN"/>
        </w:rPr>
        <w:t>商账催收方式包括内部催收和外部追收。</w:t>
      </w:r>
    </w:p>
    <w:p>
      <w:pPr>
        <w:autoSpaceDE w:val="0"/>
        <w:autoSpaceDN w:val="0"/>
        <w:spacing w:line="276" w:lineRule="auto"/>
        <w:jc w:val="left"/>
        <w:rPr>
          <w:szCs w:val="22"/>
          <w:lang w:val="zh-CN"/>
        </w:rPr>
      </w:pPr>
      <w:r>
        <w:rPr>
          <w:rFonts w:hint="eastAsia"/>
          <w:szCs w:val="22"/>
          <w:lang w:val="zh-CN"/>
        </w:rPr>
        <w:t>企业应优先采用及时规范有效的内部催收方式。同时，企业应妥善保管相关的纸面以及电子数据证据，并注意保持逾期账款的法律诉讼保护时效,对追讨难度较大的逾期账款，必要时可通过法务或聘请律师等法律途径进行外部追收。</w:t>
      </w:r>
    </w:p>
    <w:p>
      <w:pPr>
        <w:autoSpaceDE w:val="0"/>
        <w:autoSpaceDN w:val="0"/>
        <w:spacing w:line="276" w:lineRule="auto"/>
        <w:jc w:val="left"/>
        <w:rPr>
          <w:szCs w:val="22"/>
          <w:lang w:val="zh-CN"/>
        </w:rPr>
      </w:pPr>
      <w:r>
        <w:rPr>
          <w:rFonts w:hint="eastAsia"/>
          <w:szCs w:val="22"/>
          <w:lang w:val="zh-CN"/>
        </w:rPr>
        <w:t>9.7社会责任履行</w:t>
      </w:r>
    </w:p>
    <w:p>
      <w:pPr>
        <w:autoSpaceDE w:val="0"/>
        <w:autoSpaceDN w:val="0"/>
        <w:spacing w:line="276" w:lineRule="auto"/>
        <w:jc w:val="left"/>
        <w:rPr>
          <w:szCs w:val="22"/>
          <w:lang w:val="zh-CN"/>
        </w:rPr>
      </w:pPr>
      <w:r>
        <w:rPr>
          <w:rFonts w:hint="eastAsia"/>
          <w:szCs w:val="22"/>
          <w:lang w:val="zh-CN"/>
        </w:rPr>
        <w:t>9.7.1基本要求</w:t>
      </w:r>
    </w:p>
    <w:p>
      <w:pPr>
        <w:autoSpaceDE w:val="0"/>
        <w:autoSpaceDN w:val="0"/>
        <w:spacing w:line="276" w:lineRule="auto"/>
        <w:jc w:val="left"/>
        <w:rPr>
          <w:szCs w:val="22"/>
          <w:lang w:val="zh-CN"/>
        </w:rPr>
      </w:pPr>
      <w:r>
        <w:rPr>
          <w:rFonts w:hint="eastAsia"/>
          <w:szCs w:val="22"/>
          <w:lang w:val="zh-CN"/>
        </w:rPr>
        <w:t>企业应建立一套社会责任履行机制并对外公开承诺,通过自觉贯彻执行形成良好社会效果,实现企业持续经营和社会和谐发展相统一。企业履行社会责任的范畴,包括但不限于:</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a) 工资及支付;</w:t>
      </w:r>
    </w:p>
    <w:p>
      <w:pPr>
        <w:autoSpaceDE w:val="0"/>
        <w:autoSpaceDN w:val="0"/>
        <w:spacing w:line="276" w:lineRule="auto"/>
        <w:jc w:val="left"/>
        <w:rPr>
          <w:szCs w:val="22"/>
          <w:lang w:val="zh-CN"/>
        </w:rPr>
      </w:pPr>
      <w:r>
        <w:rPr>
          <w:rFonts w:hint="eastAsia"/>
          <w:szCs w:val="22"/>
        </w:rPr>
        <w:t>b)</w:t>
      </w:r>
      <w:r>
        <w:rPr>
          <w:rFonts w:hint="eastAsia"/>
          <w:szCs w:val="22"/>
          <w:lang w:val="zh-CN"/>
        </w:rPr>
        <w:t>劳动福利与社会保障:</w:t>
      </w:r>
    </w:p>
    <w:p>
      <w:pPr>
        <w:autoSpaceDE w:val="0"/>
        <w:autoSpaceDN w:val="0"/>
        <w:spacing w:line="276" w:lineRule="auto"/>
        <w:jc w:val="left"/>
        <w:rPr>
          <w:szCs w:val="22"/>
          <w:lang w:val="zh-CN"/>
        </w:rPr>
      </w:pPr>
      <w:r>
        <w:rPr>
          <w:rFonts w:hint="eastAsia"/>
          <w:szCs w:val="22"/>
        </w:rPr>
        <w:t>c)</w:t>
      </w:r>
      <w:r>
        <w:rPr>
          <w:rFonts w:hint="eastAsia"/>
          <w:szCs w:val="22"/>
          <w:lang w:val="zh-CN"/>
        </w:rPr>
        <w:t>职业健康安全保障;</w:t>
      </w:r>
    </w:p>
    <w:p>
      <w:pPr>
        <w:autoSpaceDE w:val="0"/>
        <w:autoSpaceDN w:val="0"/>
        <w:spacing w:line="276" w:lineRule="auto"/>
        <w:jc w:val="left"/>
        <w:rPr>
          <w:szCs w:val="22"/>
          <w:lang w:val="zh-CN"/>
        </w:rPr>
      </w:pPr>
      <w:r>
        <w:rPr>
          <w:rFonts w:hint="eastAsia"/>
          <w:szCs w:val="22"/>
        </w:rPr>
        <w:t>d)</w:t>
      </w:r>
      <w:r>
        <w:rPr>
          <w:rFonts w:hint="eastAsia"/>
          <w:szCs w:val="22"/>
          <w:lang w:val="zh-CN"/>
        </w:rPr>
        <w:t>对投资者、股东利益的保护;</w:t>
      </w:r>
    </w:p>
    <w:p>
      <w:pPr>
        <w:autoSpaceDE w:val="0"/>
        <w:autoSpaceDN w:val="0"/>
        <w:spacing w:line="276" w:lineRule="auto"/>
        <w:jc w:val="left"/>
        <w:rPr>
          <w:szCs w:val="22"/>
          <w:lang w:val="zh-CN"/>
        </w:rPr>
      </w:pPr>
      <w:r>
        <w:rPr>
          <w:rFonts w:hint="eastAsia"/>
          <w:szCs w:val="22"/>
        </w:rPr>
        <w:t>e)</w:t>
      </w:r>
      <w:r>
        <w:rPr>
          <w:rFonts w:hint="eastAsia"/>
          <w:szCs w:val="22"/>
          <w:lang w:val="zh-CN"/>
        </w:rPr>
        <w:t>消费者权益保护;</w:t>
      </w:r>
    </w:p>
    <w:p>
      <w:pPr>
        <w:autoSpaceDE w:val="0"/>
        <w:autoSpaceDN w:val="0"/>
        <w:spacing w:line="276" w:lineRule="auto"/>
        <w:jc w:val="left"/>
        <w:rPr>
          <w:szCs w:val="22"/>
          <w:lang w:val="zh-CN"/>
        </w:rPr>
      </w:pPr>
      <w:r>
        <w:rPr>
          <w:rFonts w:hint="eastAsia"/>
          <w:szCs w:val="22"/>
        </w:rPr>
        <w:t>f)</w:t>
      </w:r>
      <w:r>
        <w:rPr>
          <w:rFonts w:hint="eastAsia"/>
          <w:szCs w:val="22"/>
          <w:lang w:val="zh-CN"/>
        </w:rPr>
        <w:t>纳税;</w:t>
      </w:r>
    </w:p>
    <w:p>
      <w:pPr>
        <w:autoSpaceDE w:val="0"/>
        <w:autoSpaceDN w:val="0"/>
        <w:spacing w:line="276" w:lineRule="auto"/>
        <w:jc w:val="left"/>
        <w:rPr>
          <w:szCs w:val="22"/>
          <w:lang w:val="zh-CN"/>
        </w:rPr>
      </w:pPr>
      <w:r>
        <w:rPr>
          <w:rFonts w:hint="eastAsia"/>
          <w:szCs w:val="22"/>
        </w:rPr>
        <w:t>g)</w:t>
      </w:r>
      <w:r>
        <w:rPr>
          <w:rFonts w:hint="eastAsia"/>
          <w:szCs w:val="22"/>
          <w:lang w:val="zh-CN"/>
        </w:rPr>
        <w:t>环境保护;</w:t>
      </w:r>
    </w:p>
    <w:p>
      <w:pPr>
        <w:autoSpaceDE w:val="0"/>
        <w:autoSpaceDN w:val="0"/>
        <w:spacing w:line="276" w:lineRule="auto"/>
        <w:jc w:val="left"/>
        <w:rPr>
          <w:szCs w:val="22"/>
          <w:lang w:val="zh-CN"/>
        </w:rPr>
      </w:pPr>
      <w:r>
        <w:rPr>
          <w:rFonts w:hint="eastAsia"/>
          <w:szCs w:val="22"/>
        </w:rPr>
        <w:t>h</w:t>
      </w:r>
      <w:r>
        <w:rPr>
          <w:rFonts w:hint="eastAsia"/>
          <w:szCs w:val="22"/>
          <w:lang w:val="zh-CN"/>
        </w:rPr>
        <w:t>)社会贡献;</w:t>
      </w:r>
    </w:p>
    <w:p>
      <w:pPr>
        <w:autoSpaceDE w:val="0"/>
        <w:autoSpaceDN w:val="0"/>
        <w:spacing w:line="276" w:lineRule="auto"/>
        <w:jc w:val="left"/>
        <w:rPr>
          <w:szCs w:val="22"/>
          <w:lang w:val="zh-CN"/>
        </w:rPr>
      </w:pPr>
      <w:r>
        <w:rPr>
          <w:rFonts w:hint="eastAsia"/>
          <w:szCs w:val="22"/>
          <w:lang w:val="zh-CN"/>
        </w:rPr>
        <w:t>i) 社会要求或期望的其他责任和义务</w:t>
      </w:r>
    </w:p>
    <w:p>
      <w:pPr>
        <w:autoSpaceDE w:val="0"/>
        <w:autoSpaceDN w:val="0"/>
        <w:spacing w:line="276" w:lineRule="auto"/>
        <w:jc w:val="left"/>
        <w:rPr>
          <w:szCs w:val="22"/>
          <w:lang w:val="zh-CN"/>
        </w:rPr>
      </w:pPr>
    </w:p>
    <w:p>
      <w:pPr>
        <w:autoSpaceDE w:val="0"/>
        <w:autoSpaceDN w:val="0"/>
        <w:spacing w:line="276" w:lineRule="auto"/>
        <w:jc w:val="left"/>
        <w:rPr>
          <w:szCs w:val="22"/>
          <w:lang w:val="zh-CN"/>
        </w:rPr>
      </w:pPr>
      <w:r>
        <w:rPr>
          <w:rFonts w:hint="eastAsia"/>
          <w:szCs w:val="22"/>
          <w:lang w:val="zh-CN"/>
        </w:rPr>
        <w:t>9.7.2核心事项</w:t>
      </w:r>
    </w:p>
    <w:p>
      <w:pPr>
        <w:autoSpaceDE w:val="0"/>
        <w:autoSpaceDN w:val="0"/>
        <w:spacing w:line="276" w:lineRule="auto"/>
        <w:jc w:val="left"/>
        <w:rPr>
          <w:szCs w:val="22"/>
          <w:lang w:val="zh-CN"/>
        </w:rPr>
      </w:pPr>
      <w:r>
        <w:rPr>
          <w:rFonts w:hint="eastAsia"/>
          <w:szCs w:val="22"/>
          <w:lang w:val="zh-CN"/>
        </w:rPr>
        <w:t>企业履行社会责任的核心事项,包括但不限于:a) 顾客权益:企业应向顾客提供安全、可靠的产品和服务,积极、妥善地处理顾客投诉,不得泄露顾客信息和隐私;</w:t>
      </w:r>
    </w:p>
    <w:p>
      <w:pPr>
        <w:autoSpaceDE w:val="0"/>
        <w:autoSpaceDN w:val="0"/>
        <w:spacing w:line="276" w:lineRule="auto"/>
        <w:jc w:val="left"/>
        <w:rPr>
          <w:szCs w:val="22"/>
          <w:lang w:val="zh-CN"/>
        </w:rPr>
      </w:pPr>
      <w:r>
        <w:rPr>
          <w:rFonts w:hint="eastAsia"/>
          <w:szCs w:val="22"/>
          <w:lang w:val="zh-CN"/>
        </w:rPr>
        <w:t>b)员工权益:企业应保障员工合法权益;建立培训和激励机制,保持员工收人合理增长;尊重和关爱员工，确保职业健康和安全生产;定期开展工会活动，建立和谐劳动关系;</w:t>
      </w:r>
    </w:p>
    <w:p>
      <w:pPr>
        <w:autoSpaceDE w:val="0"/>
        <w:autoSpaceDN w:val="0"/>
        <w:spacing w:line="276" w:lineRule="auto"/>
        <w:jc w:val="left"/>
        <w:rPr>
          <w:szCs w:val="22"/>
          <w:lang w:val="zh-CN"/>
        </w:rPr>
      </w:pPr>
      <w:r>
        <w:rPr>
          <w:rFonts w:hint="eastAsia"/>
          <w:szCs w:val="22"/>
        </w:rPr>
        <w:t>c)</w:t>
      </w:r>
      <w:r>
        <w:rPr>
          <w:rFonts w:hint="eastAsia"/>
          <w:szCs w:val="22"/>
          <w:lang w:val="zh-CN"/>
        </w:rPr>
        <w:t>安全管理:企业应建立完善的安全生产管理制度和应急预案，加强安全生产培训,强化安全生产意识，提高安全管理能力;</w:t>
      </w:r>
    </w:p>
    <w:p>
      <w:pPr>
        <w:autoSpaceDE w:val="0"/>
        <w:autoSpaceDN w:val="0"/>
        <w:spacing w:line="276" w:lineRule="auto"/>
        <w:jc w:val="left"/>
        <w:rPr>
          <w:szCs w:val="22"/>
          <w:lang w:val="zh-CN"/>
        </w:rPr>
      </w:pPr>
      <w:r>
        <w:rPr>
          <w:rFonts w:hint="eastAsia"/>
          <w:szCs w:val="22"/>
        </w:rPr>
        <w:t>d)</w:t>
      </w:r>
      <w:r>
        <w:rPr>
          <w:rFonts w:hint="eastAsia"/>
          <w:szCs w:val="22"/>
          <w:lang w:val="zh-CN"/>
        </w:rPr>
        <w:t>节能环保:企业应节约土地和其他资源,节能减排、防止环境污染,保持和恢复生态平衡，为社会创造良好环境;</w:t>
      </w:r>
    </w:p>
    <w:p>
      <w:pPr>
        <w:autoSpaceDE w:val="0"/>
        <w:autoSpaceDN w:val="0"/>
        <w:spacing w:line="276" w:lineRule="auto"/>
        <w:jc w:val="left"/>
        <w:rPr>
          <w:szCs w:val="22"/>
          <w:lang w:val="zh-CN"/>
        </w:rPr>
      </w:pPr>
      <w:r>
        <w:rPr>
          <w:rFonts w:hint="eastAsia"/>
          <w:szCs w:val="22"/>
        </w:rPr>
        <w:t>e)</w:t>
      </w:r>
      <w:r>
        <w:rPr>
          <w:rFonts w:hint="eastAsia"/>
          <w:szCs w:val="22"/>
          <w:lang w:val="zh-CN"/>
        </w:rPr>
        <w:t>诚信经营:企业应诚信经营,按时支付供应商货款;规范披露信息,保护股东权益;尊重和保护知识产权，公平竞争;不违反商业道德,反对商业贿赂;</w:t>
      </w:r>
    </w:p>
    <w:p>
      <w:pPr>
        <w:autoSpaceDE w:val="0"/>
        <w:autoSpaceDN w:val="0"/>
        <w:spacing w:line="276" w:lineRule="auto"/>
        <w:jc w:val="left"/>
        <w:rPr>
          <w:szCs w:val="22"/>
          <w:lang w:val="zh-CN"/>
        </w:rPr>
      </w:pPr>
      <w:r>
        <w:rPr>
          <w:rFonts w:hint="eastAsia"/>
          <w:szCs w:val="22"/>
        </w:rPr>
        <w:t>f)</w:t>
      </w:r>
      <w:r>
        <w:rPr>
          <w:rFonts w:hint="eastAsia"/>
          <w:szCs w:val="22"/>
          <w:lang w:val="zh-CN"/>
        </w:rPr>
        <w:t>社会贡献:企业应依法纳税、创造社会财富;增加就业、发展地方经济;持续增加投入、推动技术和管理创新;弘扬优秀文化、建设文明和谐诚信企业;积极参与社会公益活动、热心慈善捐助;</w:t>
      </w:r>
    </w:p>
    <w:p>
      <w:pPr>
        <w:autoSpaceDE w:val="0"/>
        <w:autoSpaceDN w:val="0"/>
        <w:spacing w:line="276" w:lineRule="auto"/>
        <w:jc w:val="left"/>
        <w:rPr>
          <w:szCs w:val="22"/>
          <w:lang w:val="zh-CN"/>
        </w:rPr>
      </w:pPr>
      <w:r>
        <w:rPr>
          <w:rFonts w:hint="eastAsia"/>
          <w:szCs w:val="22"/>
        </w:rPr>
        <w:t>g)</w:t>
      </w:r>
      <w:r>
        <w:rPr>
          <w:rFonts w:hint="eastAsia"/>
          <w:szCs w:val="22"/>
          <w:lang w:val="zh-CN"/>
        </w:rPr>
        <w:t>企业文化:企业应重视企业文化建设,树立科学发展观，培养企业精神,塑造企业形象,优化企业内外环境，提升企业竞争力。</w:t>
      </w:r>
    </w:p>
    <w:p>
      <w:pPr>
        <w:autoSpaceDE w:val="0"/>
        <w:autoSpaceDN w:val="0"/>
        <w:spacing w:line="276" w:lineRule="auto"/>
        <w:jc w:val="left"/>
        <w:rPr>
          <w:szCs w:val="22"/>
        </w:rPr>
      </w:pPr>
      <w:r>
        <w:rPr>
          <w:rFonts w:hint="eastAsia"/>
          <w:szCs w:val="22"/>
        </w:rPr>
        <w:t>9.8诚信风险管理</w:t>
      </w:r>
    </w:p>
    <w:p>
      <w:pPr>
        <w:autoSpaceDE w:val="0"/>
        <w:autoSpaceDN w:val="0"/>
        <w:spacing w:line="276" w:lineRule="auto"/>
        <w:jc w:val="left"/>
        <w:rPr>
          <w:szCs w:val="22"/>
          <w:lang w:val="zh-CN"/>
        </w:rPr>
      </w:pPr>
      <w:r>
        <w:rPr>
          <w:rFonts w:hint="eastAsia"/>
          <w:szCs w:val="22"/>
          <w:lang w:val="zh-CN"/>
        </w:rPr>
        <w:t>9.8.1 内部风险</w:t>
      </w:r>
    </w:p>
    <w:p>
      <w:pPr>
        <w:autoSpaceDE w:val="0"/>
        <w:autoSpaceDN w:val="0"/>
        <w:spacing w:line="276" w:lineRule="auto"/>
        <w:jc w:val="left"/>
        <w:rPr>
          <w:szCs w:val="22"/>
          <w:lang w:val="zh-CN"/>
        </w:rPr>
      </w:pPr>
      <w:r>
        <w:rPr>
          <w:rFonts w:hint="eastAsia"/>
          <w:szCs w:val="22"/>
          <w:lang w:val="zh-CN"/>
        </w:rPr>
        <w:t>企业应适时识别内部风险,包括但不限于下列内容:</w:t>
      </w:r>
    </w:p>
    <w:p>
      <w:pPr>
        <w:autoSpaceDE w:val="0"/>
        <w:autoSpaceDN w:val="0"/>
        <w:spacing w:line="276" w:lineRule="auto"/>
        <w:jc w:val="left"/>
        <w:rPr>
          <w:szCs w:val="22"/>
          <w:lang w:val="zh-CN"/>
        </w:rPr>
      </w:pPr>
      <w:r>
        <w:rPr>
          <w:rFonts w:hint="eastAsia"/>
          <w:szCs w:val="22"/>
          <w:lang w:val="zh-CN"/>
        </w:rPr>
        <w:t>a)战略风险</w:t>
      </w:r>
    </w:p>
    <w:p>
      <w:pPr>
        <w:autoSpaceDE w:val="0"/>
        <w:autoSpaceDN w:val="0"/>
        <w:spacing w:line="276" w:lineRule="auto"/>
        <w:jc w:val="left"/>
        <w:rPr>
          <w:szCs w:val="22"/>
          <w:lang w:val="zh-CN"/>
        </w:rPr>
      </w:pPr>
      <w:r>
        <w:rPr>
          <w:rFonts w:hint="eastAsia"/>
          <w:szCs w:val="22"/>
        </w:rPr>
        <w:t>1)</w:t>
      </w:r>
      <w:r>
        <w:rPr>
          <w:rFonts w:hint="eastAsia"/>
          <w:szCs w:val="22"/>
          <w:lang w:val="zh-CN"/>
        </w:rPr>
        <w:t>企业经营管理策略和制度不符合相关的法律法规、国家主管部门文件、管理体制、建设规1)划或行业专项整治办法的要求;</w:t>
      </w:r>
    </w:p>
    <w:p>
      <w:pPr>
        <w:autoSpaceDE w:val="0"/>
        <w:autoSpaceDN w:val="0"/>
        <w:spacing w:line="276" w:lineRule="auto"/>
        <w:jc w:val="left"/>
        <w:rPr>
          <w:szCs w:val="22"/>
        </w:rPr>
      </w:pPr>
      <w:r>
        <w:rPr>
          <w:rFonts w:hint="eastAsia"/>
          <w:szCs w:val="22"/>
        </w:rPr>
        <w:t>2)企业的战略规划和定位与诚信经营的宗旨相悖</w:t>
      </w:r>
    </w:p>
    <w:p>
      <w:pPr>
        <w:autoSpaceDE w:val="0"/>
        <w:autoSpaceDN w:val="0"/>
        <w:spacing w:line="276" w:lineRule="auto"/>
        <w:jc w:val="left"/>
        <w:rPr>
          <w:szCs w:val="22"/>
        </w:rPr>
      </w:pPr>
      <w:r>
        <w:rPr>
          <w:rFonts w:hint="eastAsia"/>
          <w:szCs w:val="22"/>
        </w:rPr>
        <w:t>b)运营风险</w:t>
      </w:r>
    </w:p>
    <w:p>
      <w:pPr>
        <w:autoSpaceDE w:val="0"/>
        <w:autoSpaceDN w:val="0"/>
        <w:spacing w:line="276" w:lineRule="auto"/>
        <w:jc w:val="left"/>
        <w:rPr>
          <w:szCs w:val="22"/>
        </w:rPr>
      </w:pPr>
      <w:r>
        <w:rPr>
          <w:rFonts w:hint="eastAsia"/>
          <w:szCs w:val="22"/>
        </w:rPr>
        <w:t>1)企业法人治理结构、组织体系和激励机制不当,造成诚信管理体系运行困难或内耗增大;</w:t>
      </w:r>
    </w:p>
    <w:p>
      <w:pPr>
        <w:autoSpaceDE w:val="0"/>
        <w:autoSpaceDN w:val="0"/>
        <w:spacing w:line="276" w:lineRule="auto"/>
        <w:jc w:val="left"/>
        <w:rPr>
          <w:szCs w:val="22"/>
        </w:rPr>
      </w:pPr>
      <w:r>
        <w:rPr>
          <w:rFonts w:hint="eastAsia"/>
          <w:szCs w:val="22"/>
        </w:rPr>
        <w:t>2)企业最高管理者对诚信管理者和诚信经理未充分授权，或诚信管理者和诚信经理之间职权不清,相互掣肘;</w:t>
      </w:r>
    </w:p>
    <w:p>
      <w:pPr>
        <w:autoSpaceDE w:val="0"/>
        <w:autoSpaceDN w:val="0"/>
        <w:spacing w:line="276" w:lineRule="auto"/>
        <w:jc w:val="left"/>
        <w:rPr>
          <w:szCs w:val="22"/>
        </w:rPr>
      </w:pPr>
      <w:r>
        <w:rPr>
          <w:rFonts w:hint="eastAsia"/>
          <w:szCs w:val="22"/>
        </w:rPr>
        <w:t>3)员工缺乏对企业诚信管理方式的认同;</w:t>
      </w:r>
    </w:p>
    <w:p>
      <w:pPr>
        <w:autoSpaceDE w:val="0"/>
        <w:autoSpaceDN w:val="0"/>
        <w:spacing w:line="276" w:lineRule="auto"/>
        <w:jc w:val="left"/>
        <w:rPr>
          <w:szCs w:val="22"/>
        </w:rPr>
      </w:pPr>
      <w:r>
        <w:rPr>
          <w:rFonts w:hint="eastAsia"/>
          <w:szCs w:val="22"/>
        </w:rPr>
        <w:t>4)不能及时响应客户诉求同时产生客户歧视。</w:t>
      </w:r>
    </w:p>
    <w:p>
      <w:pPr>
        <w:autoSpaceDE w:val="0"/>
        <w:autoSpaceDN w:val="0"/>
        <w:spacing w:line="276" w:lineRule="auto"/>
        <w:jc w:val="left"/>
        <w:rPr>
          <w:szCs w:val="22"/>
        </w:rPr>
      </w:pPr>
      <w:r>
        <w:rPr>
          <w:rFonts w:hint="eastAsia"/>
          <w:szCs w:val="22"/>
        </w:rPr>
        <w:t>9.8.2外部风险</w:t>
      </w:r>
    </w:p>
    <w:p>
      <w:pPr>
        <w:autoSpaceDE w:val="0"/>
        <w:autoSpaceDN w:val="0"/>
        <w:spacing w:line="276" w:lineRule="auto"/>
        <w:jc w:val="left"/>
        <w:rPr>
          <w:szCs w:val="22"/>
        </w:rPr>
      </w:pPr>
      <w:r>
        <w:rPr>
          <w:rFonts w:hint="eastAsia"/>
          <w:szCs w:val="22"/>
        </w:rPr>
        <w:t>企业应适时识别外部风险，包括但不限于下列内容。</w:t>
      </w:r>
    </w:p>
    <w:p>
      <w:pPr>
        <w:autoSpaceDE w:val="0"/>
        <w:autoSpaceDN w:val="0"/>
        <w:spacing w:line="276" w:lineRule="auto"/>
        <w:jc w:val="left"/>
        <w:rPr>
          <w:szCs w:val="22"/>
        </w:rPr>
      </w:pPr>
      <w:r>
        <w:rPr>
          <w:rFonts w:hint="eastAsia"/>
          <w:szCs w:val="22"/>
        </w:rPr>
        <w:t>a)市场风险</w:t>
      </w:r>
    </w:p>
    <w:p>
      <w:pPr>
        <w:autoSpaceDE w:val="0"/>
        <w:autoSpaceDN w:val="0"/>
        <w:spacing w:line="276" w:lineRule="auto"/>
        <w:jc w:val="left"/>
        <w:rPr>
          <w:szCs w:val="22"/>
        </w:rPr>
      </w:pPr>
      <w:r>
        <w:rPr>
          <w:rFonts w:hint="eastAsia"/>
          <w:szCs w:val="22"/>
        </w:rPr>
        <w:t>1) 企业新产品、服务品种开发未顺应市场潮流，有质量和缺陷问题，如选材用料不符合环保要求、款式设计不符合人体工效学理念、色彩对视力有不良影响等;</w:t>
      </w:r>
    </w:p>
    <w:p>
      <w:pPr>
        <w:autoSpaceDE w:val="0"/>
        <w:autoSpaceDN w:val="0"/>
        <w:spacing w:line="276" w:lineRule="auto"/>
        <w:jc w:val="left"/>
        <w:rPr>
          <w:szCs w:val="22"/>
        </w:rPr>
      </w:pPr>
      <w:r>
        <w:rPr>
          <w:rFonts w:hint="eastAsia"/>
          <w:szCs w:val="22"/>
        </w:rPr>
        <w:t>2) 对产品和服务质量,包括服务承诺的内容和服务水平虚假宣传，并存在乱收费现象;</w:t>
      </w:r>
    </w:p>
    <w:p>
      <w:pPr>
        <w:autoSpaceDE w:val="0"/>
        <w:autoSpaceDN w:val="0"/>
        <w:spacing w:line="276" w:lineRule="auto"/>
        <w:jc w:val="left"/>
        <w:rPr>
          <w:szCs w:val="22"/>
        </w:rPr>
      </w:pPr>
      <w:r>
        <w:rPr>
          <w:rFonts w:hint="eastAsia"/>
          <w:szCs w:val="22"/>
        </w:rPr>
        <w:t>3)出口的产品和服务不能适应国外市场需求。</w:t>
      </w:r>
    </w:p>
    <w:p>
      <w:pPr>
        <w:autoSpaceDE w:val="0"/>
        <w:autoSpaceDN w:val="0"/>
        <w:spacing w:line="276" w:lineRule="auto"/>
        <w:jc w:val="left"/>
        <w:rPr>
          <w:szCs w:val="22"/>
        </w:rPr>
      </w:pPr>
      <w:r>
        <w:rPr>
          <w:rFonts w:hint="eastAsia"/>
          <w:szCs w:val="22"/>
        </w:rPr>
        <w:t>b)信息系统风险:企业信息系统及网络可能受到威胁或侵害。</w:t>
      </w:r>
    </w:p>
    <w:p>
      <w:pPr>
        <w:autoSpaceDE w:val="0"/>
        <w:autoSpaceDN w:val="0"/>
        <w:spacing w:line="276" w:lineRule="auto"/>
        <w:jc w:val="left"/>
        <w:rPr>
          <w:szCs w:val="22"/>
        </w:rPr>
      </w:pPr>
      <w:r>
        <w:rPr>
          <w:rFonts w:hint="eastAsia"/>
          <w:szCs w:val="22"/>
        </w:rPr>
        <w:t>c)舆情风险:企业因产品和服务质量不合格,劳资纠纷、法律纠纷和重大事故案被公众媒体曝光，使企业公信力和美誉度急剧下降。</w:t>
      </w:r>
    </w:p>
    <w:p>
      <w:pPr>
        <w:autoSpaceDE w:val="0"/>
        <w:autoSpaceDN w:val="0"/>
        <w:spacing w:line="276" w:lineRule="auto"/>
        <w:jc w:val="left"/>
        <w:rPr>
          <w:szCs w:val="22"/>
        </w:rPr>
      </w:pPr>
      <w:r>
        <w:rPr>
          <w:rFonts w:hint="eastAsia"/>
          <w:szCs w:val="22"/>
        </w:rPr>
        <w:t>d)政治风险:出口时,因为进口企业所在国在产品质量、特性和价格等方面有一些特殊的举措,或者政局动荡、武装冲突等的原因,会对出口企业的利益产生不利影响。</w:t>
      </w:r>
    </w:p>
    <w:p>
      <w:pPr>
        <w:autoSpaceDE w:val="0"/>
        <w:autoSpaceDN w:val="0"/>
        <w:spacing w:line="276" w:lineRule="auto"/>
        <w:jc w:val="left"/>
        <w:rPr>
          <w:szCs w:val="22"/>
        </w:rPr>
      </w:pPr>
      <w:r>
        <w:rPr>
          <w:rFonts w:hint="eastAsia"/>
          <w:szCs w:val="22"/>
        </w:rPr>
        <w:t>9.9应急准备和响应</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当企业已经发生失信行为或对企业诚信产生重大影响时，企业应采取以下措施:</w:t>
      </w:r>
    </w:p>
    <w:p>
      <w:pPr>
        <w:autoSpaceDE w:val="0"/>
        <w:autoSpaceDN w:val="0"/>
        <w:spacing w:line="276" w:lineRule="auto"/>
        <w:jc w:val="left"/>
        <w:rPr>
          <w:szCs w:val="22"/>
        </w:rPr>
      </w:pPr>
      <w:r>
        <w:rPr>
          <w:rFonts w:hint="eastAsia"/>
          <w:szCs w:val="22"/>
        </w:rPr>
        <w:t>a)确定一个人或一组人负责响应与处置;</w:t>
      </w:r>
    </w:p>
    <w:p>
      <w:pPr>
        <w:autoSpaceDE w:val="0"/>
        <w:autoSpaceDN w:val="0"/>
        <w:spacing w:line="276" w:lineRule="auto"/>
        <w:jc w:val="left"/>
        <w:rPr>
          <w:szCs w:val="22"/>
        </w:rPr>
      </w:pPr>
      <w:r>
        <w:rPr>
          <w:rFonts w:hint="eastAsia"/>
          <w:szCs w:val="22"/>
        </w:rPr>
        <w:t>b)保持与相关方的充分沟通与协商;</w:t>
      </w:r>
    </w:p>
    <w:p>
      <w:pPr>
        <w:autoSpaceDE w:val="0"/>
        <w:autoSpaceDN w:val="0"/>
        <w:spacing w:line="276" w:lineRule="auto"/>
        <w:jc w:val="left"/>
        <w:rPr>
          <w:szCs w:val="22"/>
        </w:rPr>
      </w:pPr>
      <w:r>
        <w:rPr>
          <w:rFonts w:hint="eastAsia"/>
          <w:szCs w:val="22"/>
        </w:rPr>
        <w:t>c)挽回或尽量减少对相关方造成的影响或损失:</w:t>
      </w:r>
    </w:p>
    <w:p>
      <w:pPr>
        <w:autoSpaceDE w:val="0"/>
        <w:autoSpaceDN w:val="0"/>
        <w:spacing w:line="276" w:lineRule="auto"/>
        <w:jc w:val="left"/>
        <w:rPr>
          <w:szCs w:val="22"/>
        </w:rPr>
      </w:pPr>
      <w:r>
        <w:rPr>
          <w:rFonts w:hint="eastAsia"/>
          <w:szCs w:val="22"/>
        </w:rPr>
        <w:t>d)及时在国家主管部门文件和行业规范要求的范围内予以信息披露，并明示实施的纠正措施以及与相关方达成的协商结果。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9.10诚信教育培训</w:t>
      </w:r>
    </w:p>
    <w:p>
      <w:pPr>
        <w:autoSpaceDE w:val="0"/>
        <w:autoSpaceDN w:val="0"/>
        <w:spacing w:line="276" w:lineRule="auto"/>
        <w:jc w:val="left"/>
        <w:rPr>
          <w:szCs w:val="22"/>
        </w:rPr>
      </w:pPr>
      <w:r>
        <w:rPr>
          <w:rFonts w:hint="eastAsia"/>
          <w:szCs w:val="22"/>
        </w:rPr>
        <w:t>企业应提供与诚信管理体系有关的教育培训,包括对质量安全和诚信管理部门相关人员的教育培训,并保持相关的记录,使被教育培训人员理解以下方面:</w:t>
      </w:r>
    </w:p>
    <w:p>
      <w:pPr>
        <w:autoSpaceDE w:val="0"/>
        <w:autoSpaceDN w:val="0"/>
        <w:spacing w:line="276" w:lineRule="auto"/>
        <w:jc w:val="left"/>
        <w:rPr>
          <w:szCs w:val="22"/>
        </w:rPr>
      </w:pPr>
      <w:r>
        <w:rPr>
          <w:rFonts w:hint="eastAsia"/>
          <w:szCs w:val="22"/>
        </w:rPr>
        <w:t>a)诚信方针和诚信管理体系要求的重要性:</w:t>
      </w:r>
    </w:p>
    <w:p>
      <w:pPr>
        <w:autoSpaceDE w:val="0"/>
        <w:autoSpaceDN w:val="0"/>
        <w:spacing w:line="276" w:lineRule="auto"/>
        <w:jc w:val="left"/>
        <w:rPr>
          <w:szCs w:val="22"/>
        </w:rPr>
      </w:pPr>
      <w:r>
        <w:rPr>
          <w:rFonts w:hint="eastAsia"/>
          <w:szCs w:val="22"/>
        </w:rPr>
        <w:t>b)个人在诚信管理方面的作用与职责:</w:t>
      </w:r>
    </w:p>
    <w:p>
      <w:pPr>
        <w:autoSpaceDE w:val="0"/>
        <w:autoSpaceDN w:val="0"/>
        <w:spacing w:line="276" w:lineRule="auto"/>
        <w:jc w:val="left"/>
        <w:rPr>
          <w:szCs w:val="22"/>
        </w:rPr>
      </w:pPr>
      <w:r>
        <w:rPr>
          <w:rFonts w:hint="eastAsia"/>
          <w:szCs w:val="22"/>
        </w:rPr>
        <w:t>c)个人对企业诚信的影响以及个人工作改进带来的效益:</w:t>
      </w:r>
    </w:p>
    <w:p>
      <w:pPr>
        <w:autoSpaceDE w:val="0"/>
        <w:autoSpaceDN w:val="0"/>
        <w:spacing w:line="276" w:lineRule="auto"/>
        <w:jc w:val="left"/>
        <w:rPr>
          <w:szCs w:val="22"/>
        </w:rPr>
      </w:pPr>
      <w:r>
        <w:rPr>
          <w:rFonts w:hint="eastAsia"/>
          <w:szCs w:val="22"/>
        </w:rPr>
        <w:t>d)违背诚信管理规定的后果;</w:t>
      </w:r>
    </w:p>
    <w:p>
      <w:pPr>
        <w:autoSpaceDE w:val="0"/>
        <w:autoSpaceDN w:val="0"/>
        <w:spacing w:line="276" w:lineRule="auto"/>
        <w:jc w:val="left"/>
        <w:rPr>
          <w:szCs w:val="22"/>
        </w:rPr>
      </w:pPr>
      <w:r>
        <w:rPr>
          <w:rFonts w:hint="eastAsia"/>
          <w:szCs w:val="22"/>
        </w:rPr>
        <w:t>e)失信行为对个人的影响。</w:t>
      </w:r>
    </w:p>
    <w:p>
      <w:pPr>
        <w:autoSpaceDE w:val="0"/>
        <w:autoSpaceDN w:val="0"/>
        <w:spacing w:line="276" w:lineRule="auto"/>
        <w:jc w:val="left"/>
        <w:rPr>
          <w:szCs w:val="22"/>
        </w:rPr>
      </w:pPr>
      <w:r>
        <w:rPr>
          <w:rFonts w:hint="eastAsia"/>
          <w:szCs w:val="22"/>
        </w:rPr>
        <w:t>10检查与分析</w:t>
      </w:r>
    </w:p>
    <w:p>
      <w:pPr>
        <w:autoSpaceDE w:val="0"/>
        <w:autoSpaceDN w:val="0"/>
        <w:spacing w:line="276" w:lineRule="auto"/>
        <w:jc w:val="left"/>
        <w:rPr>
          <w:szCs w:val="22"/>
        </w:rPr>
      </w:pPr>
      <w:r>
        <w:rPr>
          <w:rFonts w:hint="eastAsia"/>
          <w:szCs w:val="22"/>
        </w:rPr>
        <w:t>10.1人员评价</w:t>
      </w:r>
    </w:p>
    <w:p>
      <w:pPr>
        <w:autoSpaceDE w:val="0"/>
        <w:autoSpaceDN w:val="0"/>
        <w:spacing w:line="276" w:lineRule="auto"/>
        <w:jc w:val="left"/>
        <w:rPr>
          <w:szCs w:val="22"/>
        </w:rPr>
      </w:pPr>
      <w:r>
        <w:rPr>
          <w:rFonts w:hint="eastAsia"/>
          <w:szCs w:val="22"/>
        </w:rPr>
        <w:t>企业应对诚信管理体系实施运行关键过程的执行人确定必要的评价措施，建立行为束缚及失信惩戒机制，充分评估管理实现过程中与人力资源相关的影响因素，实施必要的措施以保持有效控制。</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10.2内外部影响因素检查与分析</w:t>
      </w:r>
    </w:p>
    <w:p>
      <w:pPr>
        <w:autoSpaceDE w:val="0"/>
        <w:autoSpaceDN w:val="0"/>
        <w:spacing w:line="276" w:lineRule="auto"/>
        <w:jc w:val="left"/>
        <w:rPr>
          <w:szCs w:val="22"/>
        </w:rPr>
      </w:pPr>
      <w:r>
        <w:rPr>
          <w:rFonts w:hint="eastAsia"/>
          <w:szCs w:val="22"/>
        </w:rPr>
        <w:t>企业应确定、提供并维护所需的环境,并获得可靠的检查与分析结果适当时,企业应充分分析、识别和确定以下内部因素:</w:t>
      </w:r>
    </w:p>
    <w:p>
      <w:pPr>
        <w:numPr>
          <w:ilvl w:val="0"/>
          <w:numId w:val="9"/>
        </w:numPr>
        <w:autoSpaceDE w:val="0"/>
        <w:autoSpaceDN w:val="0"/>
        <w:spacing w:line="276" w:lineRule="auto"/>
        <w:jc w:val="left"/>
        <w:rPr>
          <w:szCs w:val="22"/>
        </w:rPr>
      </w:pPr>
      <w:r>
        <w:rPr>
          <w:rFonts w:hint="eastAsia"/>
          <w:szCs w:val="22"/>
        </w:rPr>
        <w:t>社会因素(如非歧视、安定、非对抗)对企业的影响,并实施必要的措施以满足其要求;</w:t>
      </w:r>
    </w:p>
    <w:p>
      <w:pPr>
        <w:autoSpaceDE w:val="0"/>
        <w:autoSpaceDN w:val="0"/>
        <w:spacing w:line="276" w:lineRule="auto"/>
        <w:jc w:val="left"/>
        <w:rPr>
          <w:szCs w:val="22"/>
        </w:rPr>
      </w:pPr>
      <w:r>
        <w:rPr>
          <w:rFonts w:hint="eastAsia"/>
          <w:szCs w:val="22"/>
        </w:rPr>
        <w:t>b)员工的心理因素(如减压、预防过度疲劳、保证情绪稳定)对企业的影响,并实施必要的措施以满足其要求;</w:t>
      </w:r>
    </w:p>
    <w:p>
      <w:pPr>
        <w:autoSpaceDE w:val="0"/>
        <w:autoSpaceDN w:val="0"/>
        <w:spacing w:line="276" w:lineRule="auto"/>
        <w:jc w:val="left"/>
        <w:rPr>
          <w:szCs w:val="22"/>
        </w:rPr>
      </w:pPr>
      <w:r>
        <w:rPr>
          <w:rFonts w:hint="eastAsia"/>
          <w:szCs w:val="22"/>
        </w:rPr>
        <w:t>c)产品和服务开发环境的物理因素(如温度、热量、湿度、照明、空气流通、卫生、噪声)对企业的影响，并实施必要的措施以满足其要求。</w:t>
      </w:r>
    </w:p>
    <w:p>
      <w:pPr>
        <w:autoSpaceDE w:val="0"/>
        <w:autoSpaceDN w:val="0"/>
        <w:spacing w:line="276" w:lineRule="auto"/>
        <w:jc w:val="left"/>
        <w:rPr>
          <w:szCs w:val="22"/>
        </w:rPr>
      </w:pPr>
      <w:r>
        <w:rPr>
          <w:rFonts w:hint="eastAsia"/>
          <w:szCs w:val="22"/>
        </w:rPr>
        <w:t>适当时,企业应充分分析、识别和确定以下外部因素:</w:t>
      </w:r>
    </w:p>
    <w:p>
      <w:pPr>
        <w:autoSpaceDE w:val="0"/>
        <w:autoSpaceDN w:val="0"/>
        <w:spacing w:line="276" w:lineRule="auto"/>
        <w:jc w:val="left"/>
        <w:rPr>
          <w:szCs w:val="22"/>
        </w:rPr>
      </w:pPr>
      <w:r>
        <w:rPr>
          <w:rFonts w:hint="eastAsia"/>
          <w:szCs w:val="22"/>
        </w:rPr>
        <w:t>a) 国际、国内、地区或当地的各种主管部门文件和法律法规以及规则的变化对企业的影响,并实施必要的措施以满足其要求;</w:t>
      </w:r>
    </w:p>
    <w:p>
      <w:pPr>
        <w:autoSpaceDE w:val="0"/>
        <w:autoSpaceDN w:val="0"/>
        <w:spacing w:line="276" w:lineRule="auto"/>
        <w:jc w:val="left"/>
        <w:rPr>
          <w:szCs w:val="22"/>
        </w:rPr>
      </w:pPr>
      <w:r>
        <w:rPr>
          <w:rFonts w:hint="eastAsia"/>
          <w:szCs w:val="22"/>
        </w:rPr>
        <w:t>b)经济运行环境变化对企业的影响,并实施必要的措施以实现企业目标的一致性;</w:t>
      </w:r>
    </w:p>
    <w:p>
      <w:pPr>
        <w:autoSpaceDE w:val="0"/>
        <w:autoSpaceDN w:val="0"/>
        <w:spacing w:line="276" w:lineRule="auto"/>
        <w:jc w:val="left"/>
        <w:rPr>
          <w:szCs w:val="22"/>
        </w:rPr>
      </w:pPr>
      <w:r>
        <w:rPr>
          <w:rFonts w:hint="eastAsia"/>
          <w:szCs w:val="22"/>
        </w:rPr>
        <w:t>c)企业所处的市场环境和行业环境变化对企业的影响,并实施必要的措施以实现过程的有效控制。</w:t>
      </w:r>
    </w:p>
    <w:p>
      <w:pPr>
        <w:autoSpaceDE w:val="0"/>
        <w:autoSpaceDN w:val="0"/>
        <w:spacing w:line="276" w:lineRule="auto"/>
        <w:jc w:val="left"/>
        <w:rPr>
          <w:szCs w:val="22"/>
        </w:rPr>
      </w:pPr>
      <w:r>
        <w:rPr>
          <w:rFonts w:hint="eastAsia"/>
          <w:szCs w:val="22"/>
        </w:rPr>
        <w:t>10.3承诺兑现检查与分析</w:t>
      </w:r>
    </w:p>
    <w:p>
      <w:pPr>
        <w:autoSpaceDE w:val="0"/>
        <w:autoSpaceDN w:val="0"/>
        <w:spacing w:line="276" w:lineRule="auto"/>
        <w:jc w:val="left"/>
        <w:rPr>
          <w:szCs w:val="22"/>
        </w:rPr>
      </w:pPr>
      <w:r>
        <w:rPr>
          <w:rFonts w:hint="eastAsia"/>
          <w:szCs w:val="22"/>
        </w:rPr>
        <w:t>10.3.1 针对作出的承诺,企业应定期或不定期地组织内部或外部资源对承诺的兑现情况进行评价和分析,并将评价结果及时上报给最高管理者,所采取的措施包括但不限于:</w:t>
      </w:r>
    </w:p>
    <w:p>
      <w:pPr>
        <w:autoSpaceDE w:val="0"/>
        <w:autoSpaceDN w:val="0"/>
        <w:spacing w:line="276" w:lineRule="auto"/>
        <w:jc w:val="left"/>
        <w:rPr>
          <w:szCs w:val="22"/>
        </w:rPr>
      </w:pPr>
      <w:r>
        <w:rPr>
          <w:rFonts w:hint="eastAsia"/>
          <w:szCs w:val="22"/>
        </w:rPr>
        <w:t>a) 将相关方的要求与适用的法律法规、行业管理条例或自律公约、企业自身认定的必要要求以及自愿写入承诺的愿景和目标进行分析比对,在此基础上对承诺进行内部评审,确保企业能够满</w:t>
      </w:r>
    </w:p>
    <w:p>
      <w:pPr>
        <w:autoSpaceDE w:val="0"/>
        <w:autoSpaceDN w:val="0"/>
        <w:spacing w:line="276" w:lineRule="auto"/>
        <w:jc w:val="left"/>
        <w:rPr>
          <w:szCs w:val="22"/>
        </w:rPr>
      </w:pPr>
      <w:r>
        <w:rPr>
          <w:rFonts w:hint="eastAsia"/>
          <w:szCs w:val="22"/>
        </w:rPr>
        <w:t>足承诺的要求;</w:t>
      </w:r>
    </w:p>
    <w:p>
      <w:pPr>
        <w:autoSpaceDE w:val="0"/>
        <w:autoSpaceDN w:val="0"/>
        <w:spacing w:line="276" w:lineRule="auto"/>
        <w:jc w:val="left"/>
        <w:rPr>
          <w:szCs w:val="22"/>
        </w:rPr>
      </w:pPr>
      <w:r>
        <w:rPr>
          <w:rFonts w:hint="eastAsia"/>
          <w:szCs w:val="22"/>
        </w:rPr>
        <w:t>b)若相关方没有提供成文的要求，企业在接受相关方要求前应对要求进行确认:</w:t>
      </w:r>
    </w:p>
    <w:p>
      <w:pPr>
        <w:autoSpaceDE w:val="0"/>
        <w:autoSpaceDN w:val="0"/>
        <w:spacing w:line="276" w:lineRule="auto"/>
        <w:jc w:val="left"/>
        <w:rPr>
          <w:szCs w:val="22"/>
        </w:rPr>
      </w:pPr>
      <w:r>
        <w:rPr>
          <w:rFonts w:hint="eastAsia"/>
          <w:szCs w:val="22"/>
        </w:rPr>
        <w:t>c)保留承诺评审结果、产品和服务的新要求、相关方的需求和期望等有关的成文信息;</w:t>
      </w:r>
    </w:p>
    <w:p>
      <w:pPr>
        <w:autoSpaceDE w:val="0"/>
        <w:autoSpaceDN w:val="0"/>
        <w:spacing w:line="276" w:lineRule="auto"/>
        <w:jc w:val="left"/>
        <w:rPr>
          <w:szCs w:val="22"/>
        </w:rPr>
      </w:pPr>
      <w:r>
        <w:rPr>
          <w:rFonts w:hint="eastAsia"/>
          <w:szCs w:val="22"/>
        </w:rPr>
        <w:t>d))确保相关人员知道成文信息按需要作出修改的内容。</w:t>
      </w:r>
    </w:p>
    <w:p>
      <w:pPr>
        <w:autoSpaceDE w:val="0"/>
        <w:autoSpaceDN w:val="0"/>
        <w:spacing w:line="276" w:lineRule="auto"/>
        <w:jc w:val="left"/>
        <w:rPr>
          <w:szCs w:val="22"/>
        </w:rPr>
      </w:pPr>
      <w:r>
        <w:rPr>
          <w:rFonts w:hint="eastAsia"/>
          <w:szCs w:val="22"/>
        </w:rPr>
        <w:t>10.3.2 承诺不能兑现时,企业应及时找出原由,及时解决并获得相关方的谅解，还应对当初作出的承诺内容和承诺履行过程中各个环节可能出现的问题进行核查和分析,所采取的措施包括但不限于:</w:t>
      </w:r>
    </w:p>
    <w:p>
      <w:pPr>
        <w:autoSpaceDE w:val="0"/>
        <w:autoSpaceDN w:val="0"/>
        <w:spacing w:line="276" w:lineRule="auto"/>
        <w:jc w:val="left"/>
        <w:rPr>
          <w:szCs w:val="22"/>
        </w:rPr>
      </w:pPr>
      <w:r>
        <w:rPr>
          <w:rFonts w:hint="eastAsia"/>
          <w:szCs w:val="22"/>
        </w:rPr>
        <w:t>a)通过与相关方沟通,获取其对产品和服务质量、合同或订单、投诉和反馈以及应急响应等方面的要求;</w:t>
      </w:r>
    </w:p>
    <w:p>
      <w:pPr>
        <w:autoSpaceDE w:val="0"/>
        <w:autoSpaceDN w:val="0"/>
        <w:spacing w:line="276" w:lineRule="auto"/>
        <w:jc w:val="left"/>
        <w:rPr>
          <w:szCs w:val="22"/>
        </w:rPr>
      </w:pPr>
      <w:r>
        <w:rPr>
          <w:rFonts w:hint="eastAsia"/>
          <w:szCs w:val="22"/>
        </w:rPr>
        <w:t>b)适时分析、识别和确定相关方的需求或期望及其潜在的变化因素,并实施必要的措施以实现持续共赢关系,持续提升企业的诚信水平。</w:t>
      </w:r>
    </w:p>
    <w:p>
      <w:pPr>
        <w:autoSpaceDE w:val="0"/>
        <w:autoSpaceDN w:val="0"/>
        <w:spacing w:line="276" w:lineRule="auto"/>
        <w:jc w:val="left"/>
        <w:rPr>
          <w:szCs w:val="22"/>
        </w:rPr>
      </w:pPr>
      <w:r>
        <w:rPr>
          <w:rFonts w:hint="eastAsia"/>
          <w:szCs w:val="22"/>
        </w:rPr>
        <w:t>10.3.3承诺的内容与企业自身能力不匹配时，企业应及时对承诺的内容进行修改。</w:t>
      </w:r>
    </w:p>
    <w:p>
      <w:pPr>
        <w:autoSpaceDE w:val="0"/>
        <w:autoSpaceDN w:val="0"/>
        <w:spacing w:line="276" w:lineRule="auto"/>
        <w:jc w:val="left"/>
        <w:rPr>
          <w:szCs w:val="22"/>
        </w:rPr>
      </w:pPr>
      <w:r>
        <w:rPr>
          <w:rFonts w:hint="eastAsia"/>
          <w:szCs w:val="22"/>
        </w:rPr>
        <w:t>10.4诚信目标实现核查和分析</w:t>
      </w:r>
    </w:p>
    <w:p>
      <w:pPr>
        <w:autoSpaceDE w:val="0"/>
        <w:autoSpaceDN w:val="0"/>
        <w:spacing w:line="276" w:lineRule="auto"/>
        <w:jc w:val="left"/>
        <w:rPr>
          <w:szCs w:val="22"/>
        </w:rPr>
      </w:pPr>
      <w:r>
        <w:rPr>
          <w:rFonts w:hint="eastAsia"/>
          <w:szCs w:val="22"/>
        </w:rPr>
        <w:t>10.4.1基本要求</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企业应依据对承诺兑现情况的核查和分析去确定诚信目标的实现程度。企业的承诺包括但不限于企业在产品选材用料、款式设计、风格协调统一、广告宣传、售后服务、文化建设以及信贷、纳税、合同、质量和其他(对员工、环境、社会等)响应国家主管部门信用监管要求等方面的承诺。企业应对承诺的兑现情况进行核查和分析评价，并确定获取和利用这此信息的方法。</w:t>
      </w:r>
    </w:p>
    <w:p>
      <w:pPr>
        <w:autoSpaceDE w:val="0"/>
        <w:autoSpaceDN w:val="0"/>
        <w:spacing w:line="276" w:lineRule="auto"/>
        <w:jc w:val="left"/>
        <w:rPr>
          <w:szCs w:val="22"/>
        </w:rPr>
      </w:pPr>
      <w:r>
        <w:rPr>
          <w:rFonts w:hint="eastAsia"/>
          <w:szCs w:val="22"/>
        </w:rPr>
        <w:t>企业应把核查和分析达到诚信目标的程度作为一项日常管理内容,核查和分析的数据和结果应作为内部的采集信息，用于持续改进的实施。</w:t>
      </w:r>
    </w:p>
    <w:p>
      <w:pPr>
        <w:autoSpaceDE w:val="0"/>
        <w:autoSpaceDN w:val="0"/>
        <w:spacing w:line="276" w:lineRule="auto"/>
        <w:jc w:val="left"/>
        <w:rPr>
          <w:szCs w:val="22"/>
        </w:rPr>
      </w:pPr>
      <w:r>
        <w:rPr>
          <w:rFonts w:hint="eastAsia"/>
          <w:szCs w:val="22"/>
        </w:rPr>
        <w:t>企业应围绕诚信目标实现的核查和分析来设计本企业实施和运行诚信管理体系的审核方案。审核方案可包括审核的准则、范围、内容、频次和方法等,有关审核的详细方案及过程见附录A。</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10.4.2内部核查和分析</w:t>
      </w:r>
    </w:p>
    <w:p>
      <w:pPr>
        <w:autoSpaceDE w:val="0"/>
        <w:autoSpaceDN w:val="0"/>
        <w:spacing w:line="276" w:lineRule="auto"/>
        <w:jc w:val="left"/>
        <w:rPr>
          <w:szCs w:val="22"/>
        </w:rPr>
      </w:pPr>
      <w:r>
        <w:rPr>
          <w:rFonts w:hint="eastAsia"/>
          <w:szCs w:val="22"/>
        </w:rPr>
        <w:t>内部核查和分析的内容包括但不限于:</w:t>
      </w:r>
    </w:p>
    <w:p>
      <w:pPr>
        <w:autoSpaceDE w:val="0"/>
        <w:autoSpaceDN w:val="0"/>
        <w:spacing w:line="276" w:lineRule="auto"/>
        <w:jc w:val="left"/>
        <w:rPr>
          <w:szCs w:val="22"/>
        </w:rPr>
      </w:pPr>
      <w:r>
        <w:rPr>
          <w:rFonts w:hint="eastAsia"/>
          <w:szCs w:val="22"/>
        </w:rPr>
        <w:t>a)诚信管理职责分工或人员素质满足工作需要情况:</w:t>
      </w:r>
    </w:p>
    <w:p>
      <w:pPr>
        <w:autoSpaceDE w:val="0"/>
        <w:autoSpaceDN w:val="0"/>
        <w:spacing w:line="276" w:lineRule="auto"/>
        <w:jc w:val="left"/>
        <w:rPr>
          <w:szCs w:val="22"/>
        </w:rPr>
      </w:pPr>
      <w:r>
        <w:rPr>
          <w:rFonts w:hint="eastAsia"/>
          <w:szCs w:val="22"/>
        </w:rPr>
        <w:t>b)企业诚信管理制度建立和执行情况;</w:t>
      </w:r>
    </w:p>
    <w:p>
      <w:pPr>
        <w:autoSpaceDE w:val="0"/>
        <w:autoSpaceDN w:val="0"/>
        <w:spacing w:line="276" w:lineRule="auto"/>
        <w:jc w:val="left"/>
        <w:rPr>
          <w:szCs w:val="22"/>
        </w:rPr>
      </w:pPr>
      <w:r>
        <w:rPr>
          <w:rFonts w:hint="eastAsia"/>
          <w:szCs w:val="22"/>
        </w:rPr>
        <w:t>c企业诚信目标完成情况;</w:t>
      </w:r>
    </w:p>
    <w:p>
      <w:pPr>
        <w:autoSpaceDE w:val="0"/>
        <w:autoSpaceDN w:val="0"/>
        <w:spacing w:line="276" w:lineRule="auto"/>
        <w:jc w:val="left"/>
        <w:rPr>
          <w:szCs w:val="22"/>
        </w:rPr>
      </w:pPr>
      <w:r>
        <w:rPr>
          <w:rFonts w:hint="eastAsia"/>
          <w:szCs w:val="22"/>
        </w:rPr>
        <w:t>d)企业自身诚信建设情况(包括企业失信情况》。</w:t>
      </w:r>
    </w:p>
    <w:p>
      <w:pPr>
        <w:autoSpaceDE w:val="0"/>
        <w:autoSpaceDN w:val="0"/>
        <w:spacing w:line="276" w:lineRule="auto"/>
        <w:jc w:val="left"/>
        <w:rPr>
          <w:szCs w:val="22"/>
        </w:rPr>
      </w:pPr>
      <w:r>
        <w:rPr>
          <w:rFonts w:hint="eastAsia"/>
          <w:szCs w:val="22"/>
        </w:rPr>
        <w:t>10.4.3外部评价</w:t>
      </w:r>
    </w:p>
    <w:p>
      <w:pPr>
        <w:autoSpaceDE w:val="0"/>
        <w:autoSpaceDN w:val="0"/>
        <w:spacing w:line="276" w:lineRule="auto"/>
        <w:jc w:val="left"/>
        <w:rPr>
          <w:szCs w:val="22"/>
        </w:rPr>
      </w:pPr>
      <w:r>
        <w:rPr>
          <w:rFonts w:hint="eastAsia"/>
          <w:szCs w:val="22"/>
        </w:rPr>
        <w:t>外部评价的内容包括但不限于:</w:t>
      </w:r>
    </w:p>
    <w:p>
      <w:pPr>
        <w:autoSpaceDE w:val="0"/>
        <w:autoSpaceDN w:val="0"/>
        <w:spacing w:line="276" w:lineRule="auto"/>
        <w:jc w:val="left"/>
        <w:rPr>
          <w:szCs w:val="22"/>
        </w:rPr>
      </w:pPr>
      <w:r>
        <w:rPr>
          <w:rFonts w:hint="eastAsia"/>
          <w:szCs w:val="22"/>
        </w:rPr>
        <w:t>a) 信用服务机构的评价:</w:t>
      </w:r>
    </w:p>
    <w:p>
      <w:pPr>
        <w:autoSpaceDE w:val="0"/>
        <w:autoSpaceDN w:val="0"/>
        <w:spacing w:line="276" w:lineRule="auto"/>
        <w:jc w:val="left"/>
        <w:rPr>
          <w:szCs w:val="22"/>
        </w:rPr>
      </w:pPr>
      <w:r>
        <w:rPr>
          <w:rFonts w:hint="eastAsia"/>
          <w:szCs w:val="22"/>
        </w:rPr>
        <w:t>b)行业组织的评价:</w:t>
      </w:r>
    </w:p>
    <w:p>
      <w:pPr>
        <w:autoSpaceDE w:val="0"/>
        <w:autoSpaceDN w:val="0"/>
        <w:spacing w:line="276" w:lineRule="auto"/>
        <w:jc w:val="left"/>
        <w:rPr>
          <w:szCs w:val="22"/>
        </w:rPr>
      </w:pPr>
      <w:r>
        <w:rPr>
          <w:rFonts w:hint="eastAsia"/>
          <w:szCs w:val="22"/>
        </w:rPr>
        <w:t>b)国家主管部门的评价</w:t>
      </w:r>
    </w:p>
    <w:p>
      <w:pPr>
        <w:autoSpaceDE w:val="0"/>
        <w:autoSpaceDN w:val="0"/>
        <w:spacing w:line="276" w:lineRule="auto"/>
        <w:jc w:val="left"/>
        <w:rPr>
          <w:szCs w:val="22"/>
        </w:rPr>
      </w:pPr>
      <w:r>
        <w:rPr>
          <w:rFonts w:hint="eastAsia"/>
          <w:szCs w:val="22"/>
        </w:rPr>
        <w:t>10.5失信评估和处置</w:t>
      </w:r>
    </w:p>
    <w:p>
      <w:pPr>
        <w:autoSpaceDE w:val="0"/>
        <w:autoSpaceDN w:val="0"/>
        <w:spacing w:line="276" w:lineRule="auto"/>
        <w:jc w:val="left"/>
        <w:rPr>
          <w:szCs w:val="22"/>
        </w:rPr>
      </w:pPr>
      <w:r>
        <w:rPr>
          <w:rFonts w:hint="eastAsia"/>
          <w:szCs w:val="22"/>
        </w:rPr>
        <w:t>10.51基本要求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企业应围绕诚信管理体系所明确的过程以及诚信方针、诚信目标的执行情况和改进的方法及效果进行评估，并制定相应的惩戒机制。</w:t>
      </w:r>
    </w:p>
    <w:p>
      <w:pPr>
        <w:autoSpaceDE w:val="0"/>
        <w:autoSpaceDN w:val="0"/>
        <w:spacing w:line="276" w:lineRule="auto"/>
        <w:jc w:val="left"/>
        <w:rPr>
          <w:szCs w:val="22"/>
        </w:rPr>
      </w:pPr>
      <w:r>
        <w:rPr>
          <w:rFonts w:hint="eastAsia"/>
          <w:szCs w:val="22"/>
        </w:rPr>
        <w:t>10.5.2评估对象</w:t>
      </w:r>
    </w:p>
    <w:p>
      <w:pPr>
        <w:autoSpaceDE w:val="0"/>
        <w:autoSpaceDN w:val="0"/>
        <w:spacing w:line="276" w:lineRule="auto"/>
        <w:jc w:val="left"/>
        <w:rPr>
          <w:szCs w:val="22"/>
        </w:rPr>
      </w:pPr>
      <w:r>
        <w:rPr>
          <w:rFonts w:hint="eastAsia"/>
          <w:szCs w:val="22"/>
        </w:rPr>
        <w:t>在评估时.企业应满足以下条件:</w:t>
      </w:r>
    </w:p>
    <w:p>
      <w:pPr>
        <w:numPr>
          <w:ilvl w:val="0"/>
          <w:numId w:val="10"/>
        </w:numPr>
        <w:autoSpaceDE w:val="0"/>
        <w:autoSpaceDN w:val="0"/>
        <w:spacing w:line="276" w:lineRule="auto"/>
        <w:jc w:val="left"/>
        <w:rPr>
          <w:szCs w:val="22"/>
        </w:rPr>
      </w:pPr>
      <w:r>
        <w:rPr>
          <w:rFonts w:hint="eastAsia"/>
          <w:szCs w:val="22"/>
        </w:rPr>
        <w:t>明确与过程相关的责任部门及其部门负责人:</w:t>
      </w:r>
    </w:p>
    <w:p>
      <w:pPr>
        <w:numPr>
          <w:ilvl w:val="0"/>
          <w:numId w:val="10"/>
        </w:numPr>
        <w:autoSpaceDE w:val="0"/>
        <w:autoSpaceDN w:val="0"/>
        <w:spacing w:line="276" w:lineRule="auto"/>
        <w:jc w:val="left"/>
        <w:rPr>
          <w:szCs w:val="22"/>
        </w:rPr>
      </w:pPr>
      <w:r>
        <w:rPr>
          <w:rFonts w:hint="eastAsia"/>
          <w:szCs w:val="22"/>
        </w:rPr>
        <w:t>明确与过程相关的其他责任人</w:t>
      </w:r>
    </w:p>
    <w:p>
      <w:pPr>
        <w:autoSpaceDE w:val="0"/>
        <w:autoSpaceDN w:val="0"/>
        <w:spacing w:line="276" w:lineRule="auto"/>
        <w:jc w:val="left"/>
        <w:rPr>
          <w:szCs w:val="22"/>
        </w:rPr>
      </w:pPr>
      <w:r>
        <w:rPr>
          <w:rFonts w:hint="eastAsia"/>
          <w:szCs w:val="22"/>
        </w:rPr>
        <w:t>10.5.3评估内容</w:t>
      </w:r>
    </w:p>
    <w:p>
      <w:pPr>
        <w:autoSpaceDE w:val="0"/>
        <w:autoSpaceDN w:val="0"/>
        <w:spacing w:line="276" w:lineRule="auto"/>
        <w:jc w:val="left"/>
        <w:rPr>
          <w:szCs w:val="22"/>
        </w:rPr>
      </w:pPr>
      <w:r>
        <w:rPr>
          <w:rFonts w:hint="eastAsia"/>
          <w:szCs w:val="22"/>
        </w:rPr>
        <w:t>企业应明确评估的项目，其内容包括但不限于:</w:t>
      </w:r>
    </w:p>
    <w:p>
      <w:pPr>
        <w:autoSpaceDE w:val="0"/>
        <w:autoSpaceDN w:val="0"/>
        <w:spacing w:line="276" w:lineRule="auto"/>
        <w:jc w:val="left"/>
        <w:rPr>
          <w:szCs w:val="22"/>
        </w:rPr>
      </w:pPr>
      <w:r>
        <w:rPr>
          <w:rFonts w:hint="eastAsia"/>
          <w:szCs w:val="22"/>
        </w:rPr>
        <w:t>a)评估项目的数据和结果:</w:t>
      </w:r>
    </w:p>
    <w:p>
      <w:pPr>
        <w:autoSpaceDE w:val="0"/>
        <w:autoSpaceDN w:val="0"/>
        <w:spacing w:line="276" w:lineRule="auto"/>
        <w:jc w:val="left"/>
        <w:rPr>
          <w:szCs w:val="22"/>
        </w:rPr>
      </w:pPr>
      <w:r>
        <w:rPr>
          <w:rFonts w:hint="eastAsia"/>
          <w:szCs w:val="22"/>
        </w:rPr>
        <w:t>b)相关方的反馈意见(包括国家主管部门信用监管的反馈意见);</w:t>
      </w:r>
    </w:p>
    <w:p>
      <w:pPr>
        <w:autoSpaceDE w:val="0"/>
        <w:autoSpaceDN w:val="0"/>
        <w:spacing w:line="276" w:lineRule="auto"/>
        <w:jc w:val="left"/>
        <w:rPr>
          <w:szCs w:val="22"/>
        </w:rPr>
      </w:pPr>
      <w:r>
        <w:rPr>
          <w:rFonts w:hint="eastAsia"/>
          <w:szCs w:val="22"/>
        </w:rPr>
        <w:t>c)诚信管理过程所取得的业绩与成效;</w:t>
      </w:r>
    </w:p>
    <w:p>
      <w:pPr>
        <w:autoSpaceDE w:val="0"/>
        <w:autoSpaceDN w:val="0"/>
        <w:spacing w:line="276" w:lineRule="auto"/>
        <w:jc w:val="left"/>
        <w:rPr>
          <w:szCs w:val="22"/>
        </w:rPr>
      </w:pPr>
      <w:r>
        <w:rPr>
          <w:rFonts w:hint="eastAsia"/>
          <w:szCs w:val="22"/>
        </w:rPr>
        <w:t>d)采取预防与纠正措施的状况。</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10.54失信处置</w:t>
      </w:r>
    </w:p>
    <w:p>
      <w:pPr>
        <w:autoSpaceDE w:val="0"/>
        <w:autoSpaceDN w:val="0"/>
        <w:spacing w:line="276" w:lineRule="auto"/>
        <w:jc w:val="left"/>
        <w:rPr>
          <w:szCs w:val="22"/>
        </w:rPr>
      </w:pPr>
      <w:r>
        <w:rPr>
          <w:rFonts w:hint="eastAsia"/>
          <w:szCs w:val="22"/>
        </w:rPr>
        <w:t>企业应依据评估内容和结果，确保对其所发现的失信行为的不良影响和损害后果进行准确的评估和及时有效的处置，对有关的职责和权限应作出明确的规定,并满足以下条件:</w:t>
      </w:r>
    </w:p>
    <w:p>
      <w:pPr>
        <w:autoSpaceDE w:val="0"/>
        <w:autoSpaceDN w:val="0"/>
        <w:spacing w:line="276" w:lineRule="auto"/>
        <w:jc w:val="left"/>
        <w:rPr>
          <w:szCs w:val="22"/>
        </w:rPr>
      </w:pPr>
      <w:r>
        <w:rPr>
          <w:rFonts w:hint="eastAsia"/>
          <w:szCs w:val="22"/>
        </w:rPr>
        <w:t>a）及时地处理和调查失信行为，做好与相关方的关系管理;a)</w:t>
      </w:r>
    </w:p>
    <w:p>
      <w:pPr>
        <w:autoSpaceDE w:val="0"/>
        <w:autoSpaceDN w:val="0"/>
        <w:spacing w:line="276" w:lineRule="auto"/>
        <w:jc w:val="left"/>
        <w:rPr>
          <w:szCs w:val="22"/>
        </w:rPr>
      </w:pPr>
      <w:r>
        <w:rPr>
          <w:rFonts w:hint="eastAsia"/>
          <w:szCs w:val="22"/>
        </w:rPr>
        <w:t>b)根据评估结果.确定和实施所需的纠正措施:b)</w:t>
      </w:r>
    </w:p>
    <w:p>
      <w:pPr>
        <w:autoSpaceDE w:val="0"/>
        <w:autoSpaceDN w:val="0"/>
        <w:spacing w:line="276" w:lineRule="auto"/>
        <w:jc w:val="left"/>
        <w:rPr>
          <w:szCs w:val="22"/>
        </w:rPr>
      </w:pPr>
      <w:r>
        <w:rPr>
          <w:rFonts w:hint="eastAsia"/>
          <w:szCs w:val="22"/>
        </w:rPr>
        <w:t>c)记录并评估所采取纠正措施的有效性:</w:t>
      </w:r>
    </w:p>
    <w:p>
      <w:pPr>
        <w:autoSpaceDE w:val="0"/>
        <w:autoSpaceDN w:val="0"/>
        <w:spacing w:line="276" w:lineRule="auto"/>
        <w:jc w:val="left"/>
        <w:rPr>
          <w:szCs w:val="22"/>
        </w:rPr>
      </w:pPr>
      <w:r>
        <w:rPr>
          <w:rFonts w:hint="eastAsia"/>
          <w:szCs w:val="22"/>
        </w:rPr>
        <w:t>d)关注自身的信用状况,按要求纠正失信行为,及时申请信用修复</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10.6信用修复</w:t>
      </w:r>
    </w:p>
    <w:p>
      <w:pPr>
        <w:autoSpaceDE w:val="0"/>
        <w:autoSpaceDN w:val="0"/>
        <w:spacing w:line="276" w:lineRule="auto"/>
        <w:jc w:val="left"/>
        <w:rPr>
          <w:szCs w:val="22"/>
        </w:rPr>
      </w:pPr>
      <w:r>
        <w:rPr>
          <w:rFonts w:hint="eastAsia"/>
          <w:szCs w:val="22"/>
        </w:rPr>
        <w:t>10.6.1 基本要求</w:t>
      </w:r>
    </w:p>
    <w:p>
      <w:pPr>
        <w:autoSpaceDE w:val="0"/>
        <w:autoSpaceDN w:val="0"/>
        <w:spacing w:line="276" w:lineRule="auto"/>
        <w:jc w:val="left"/>
        <w:rPr>
          <w:szCs w:val="22"/>
        </w:rPr>
      </w:pPr>
      <w:r>
        <w:rPr>
          <w:rFonts w:hint="eastAsia"/>
          <w:szCs w:val="22"/>
        </w:rPr>
        <w:t>企业应根据失信评估结果,主动向相关部门提出信用修复申请。在信用修复过程中,企业应:</w:t>
      </w:r>
    </w:p>
    <w:p>
      <w:pPr>
        <w:autoSpaceDE w:val="0"/>
        <w:autoSpaceDN w:val="0"/>
        <w:spacing w:line="276" w:lineRule="auto"/>
        <w:jc w:val="left"/>
        <w:rPr>
          <w:szCs w:val="22"/>
        </w:rPr>
      </w:pPr>
      <w:r>
        <w:rPr>
          <w:rFonts w:hint="eastAsia"/>
          <w:szCs w:val="22"/>
        </w:rPr>
        <w:t>a)遵照相关行业管理条例或办法、部门规章和标准规范去执行,并接受各级信用主管部门的监督a)管理;</w:t>
      </w:r>
    </w:p>
    <w:p>
      <w:pPr>
        <w:autoSpaceDE w:val="0"/>
        <w:autoSpaceDN w:val="0"/>
        <w:spacing w:line="276" w:lineRule="auto"/>
        <w:jc w:val="left"/>
        <w:rPr>
          <w:szCs w:val="22"/>
        </w:rPr>
      </w:pPr>
      <w:r>
        <w:rPr>
          <w:rFonts w:hint="eastAsia"/>
          <w:szCs w:val="22"/>
        </w:rPr>
        <w:t>b)明确失信责任主体，落实信用修复中各相关部门和人员的责任，及时修正失信行为,不再造成新的失信损失;</w:t>
      </w:r>
    </w:p>
    <w:p>
      <w:pPr>
        <w:autoSpaceDE w:val="0"/>
        <w:autoSpaceDN w:val="0"/>
        <w:spacing w:line="276" w:lineRule="auto"/>
        <w:jc w:val="left"/>
        <w:rPr>
          <w:szCs w:val="22"/>
        </w:rPr>
      </w:pPr>
      <w:r>
        <w:rPr>
          <w:rFonts w:hint="eastAsia"/>
          <w:szCs w:val="22"/>
        </w:rPr>
        <w:t>c)对信用修复的内容和成效进行跟踪评估。</w:t>
      </w:r>
    </w:p>
    <w:p>
      <w:pPr>
        <w:autoSpaceDE w:val="0"/>
        <w:autoSpaceDN w:val="0"/>
        <w:spacing w:line="276" w:lineRule="auto"/>
        <w:jc w:val="left"/>
        <w:rPr>
          <w:szCs w:val="22"/>
        </w:rPr>
      </w:pPr>
      <w:r>
        <w:rPr>
          <w:rFonts w:hint="eastAsia"/>
          <w:szCs w:val="22"/>
        </w:rPr>
        <w:t>注:企业可自主决定选择哪个渠道、是否对外公示信用修复结果</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10.6.2修复内容</w:t>
      </w:r>
    </w:p>
    <w:p>
      <w:pPr>
        <w:autoSpaceDE w:val="0"/>
        <w:autoSpaceDN w:val="0"/>
        <w:spacing w:line="276" w:lineRule="auto"/>
        <w:jc w:val="left"/>
        <w:rPr>
          <w:szCs w:val="22"/>
        </w:rPr>
      </w:pPr>
      <w:r>
        <w:rPr>
          <w:rFonts w:hint="eastAsia"/>
          <w:szCs w:val="22"/>
        </w:rPr>
        <w:t>企业可通过失信行为修正、失信损失补偿和失信影响补救等多种方式获得信用修复认可。具体的信用修复内容包括但不限于:</w:t>
      </w:r>
    </w:p>
    <w:p>
      <w:pPr>
        <w:autoSpaceDE w:val="0"/>
        <w:autoSpaceDN w:val="0"/>
        <w:spacing w:line="276" w:lineRule="auto"/>
        <w:jc w:val="left"/>
        <w:rPr>
          <w:szCs w:val="22"/>
        </w:rPr>
      </w:pPr>
      <w:r>
        <w:rPr>
          <w:rFonts w:hint="eastAsia"/>
          <w:szCs w:val="22"/>
        </w:rPr>
        <w:t>a)企业在规定期限内纠正实际行为;</w:t>
      </w:r>
    </w:p>
    <w:p>
      <w:pPr>
        <w:autoSpaceDE w:val="0"/>
        <w:autoSpaceDN w:val="0"/>
        <w:spacing w:line="276" w:lineRule="auto"/>
        <w:jc w:val="left"/>
        <w:rPr>
          <w:szCs w:val="22"/>
        </w:rPr>
      </w:pPr>
      <w:r>
        <w:rPr>
          <w:rFonts w:hint="eastAsia"/>
          <w:szCs w:val="22"/>
        </w:rPr>
        <w:t>b)企业公开作出信用承诺;</w:t>
      </w:r>
    </w:p>
    <w:p>
      <w:pPr>
        <w:autoSpaceDE w:val="0"/>
        <w:autoSpaceDN w:val="0"/>
        <w:spacing w:line="276" w:lineRule="auto"/>
        <w:jc w:val="left"/>
        <w:rPr>
          <w:szCs w:val="22"/>
        </w:rPr>
      </w:pPr>
      <w:r>
        <w:rPr>
          <w:rFonts w:hint="eastAsia"/>
          <w:szCs w:val="22"/>
        </w:rPr>
        <w:t>C)企业积极主动地参与各类信用修复的专题培训;</w:t>
      </w:r>
    </w:p>
    <w:p>
      <w:pPr>
        <w:autoSpaceDE w:val="0"/>
        <w:autoSpaceDN w:val="0"/>
        <w:spacing w:line="276" w:lineRule="auto"/>
        <w:jc w:val="left"/>
        <w:rPr>
          <w:szCs w:val="22"/>
        </w:rPr>
      </w:pPr>
      <w:r>
        <w:rPr>
          <w:rFonts w:hint="eastAsia"/>
          <w:szCs w:val="22"/>
        </w:rPr>
        <w:t>d)企业接受各级部门的协同监管,持续提交信用报告;</w:t>
      </w:r>
    </w:p>
    <w:p>
      <w:pPr>
        <w:autoSpaceDE w:val="0"/>
        <w:autoSpaceDN w:val="0"/>
        <w:spacing w:line="276" w:lineRule="auto"/>
        <w:jc w:val="left"/>
        <w:rPr>
          <w:szCs w:val="22"/>
        </w:rPr>
      </w:pPr>
      <w:r>
        <w:rPr>
          <w:rFonts w:hint="eastAsia"/>
          <w:szCs w:val="22"/>
        </w:rPr>
        <w:t>e)企业主动参与志愿服务和社会公益事业。</w:t>
      </w:r>
    </w:p>
    <w:p>
      <w:pPr>
        <w:autoSpaceDE w:val="0"/>
        <w:autoSpaceDN w:val="0"/>
        <w:spacing w:line="276" w:lineRule="auto"/>
        <w:jc w:val="left"/>
        <w:rPr>
          <w:szCs w:val="22"/>
        </w:rPr>
      </w:pPr>
      <w:r>
        <w:rPr>
          <w:rFonts w:hint="eastAsia"/>
          <w:szCs w:val="22"/>
        </w:rPr>
        <w:t>10.6.3修复后的监督检查</w:t>
      </w:r>
    </w:p>
    <w:p>
      <w:pPr>
        <w:autoSpaceDE w:val="0"/>
        <w:autoSpaceDN w:val="0"/>
        <w:spacing w:line="276" w:lineRule="auto"/>
        <w:jc w:val="left"/>
        <w:rPr>
          <w:szCs w:val="22"/>
        </w:rPr>
      </w:pPr>
      <w:r>
        <w:rPr>
          <w:rFonts w:hint="eastAsia"/>
          <w:szCs w:val="22"/>
        </w:rPr>
        <w:t>企业应重视信用修复后的跟踪评估,在企业内部形成部门间的相互监督和约束机制，必要时可委托第三方专业机构完成信用修复的成效评估,并对信用修复及其后评估情况进行公示。</w:t>
      </w:r>
    </w:p>
    <w:p>
      <w:pPr>
        <w:autoSpaceDE w:val="0"/>
        <w:autoSpaceDN w:val="0"/>
        <w:spacing w:line="276" w:lineRule="auto"/>
        <w:jc w:val="left"/>
        <w:rPr>
          <w:szCs w:val="22"/>
        </w:rPr>
      </w:pPr>
      <w:r>
        <w:rPr>
          <w:rFonts w:hint="eastAsia"/>
          <w:szCs w:val="22"/>
        </w:rPr>
        <w:t>10.7守信激励确认和实施</w:t>
      </w:r>
    </w:p>
    <w:p>
      <w:pPr>
        <w:autoSpaceDE w:val="0"/>
        <w:autoSpaceDN w:val="0"/>
        <w:spacing w:line="276" w:lineRule="auto"/>
        <w:jc w:val="left"/>
        <w:rPr>
          <w:szCs w:val="22"/>
        </w:rPr>
      </w:pPr>
      <w:r>
        <w:rPr>
          <w:rFonts w:hint="eastAsia"/>
          <w:szCs w:val="22"/>
        </w:rPr>
        <w:t>10.7.1基本要求</w:t>
      </w:r>
    </w:p>
    <w:p>
      <w:pPr>
        <w:autoSpaceDE w:val="0"/>
        <w:autoSpaceDN w:val="0"/>
        <w:spacing w:line="276" w:lineRule="auto"/>
        <w:jc w:val="left"/>
        <w:rPr>
          <w:szCs w:val="22"/>
        </w:rPr>
      </w:pPr>
      <w:r>
        <w:rPr>
          <w:rFonts w:hint="eastAsia"/>
          <w:szCs w:val="22"/>
        </w:rPr>
        <w:t>企业应围绕诚信管理体系所明确的过程以及诚信方针、诚信目标的执行情况对内部部门或员工的守信行为予以确定,并制定相应的激励机制。企业还应通过正规渠道或途径，争取获得来自国家信用主管部门和行业主管部门的外部奖励,包括针对企业诚实守信行为的公开表彰和物质奖励等。</w:t>
      </w:r>
    </w:p>
    <w:p>
      <w:pPr>
        <w:autoSpaceDE w:val="0"/>
        <w:autoSpaceDN w:val="0"/>
        <w:spacing w:line="276" w:lineRule="auto"/>
        <w:jc w:val="left"/>
        <w:rPr>
          <w:szCs w:val="22"/>
        </w:rPr>
      </w:pPr>
      <w:r>
        <w:rPr>
          <w:rFonts w:hint="eastAsia"/>
          <w:szCs w:val="22"/>
        </w:rPr>
        <w:t>10.7.2激励对象</w:t>
      </w:r>
    </w:p>
    <w:p>
      <w:pPr>
        <w:autoSpaceDE w:val="0"/>
        <w:autoSpaceDN w:val="0"/>
        <w:spacing w:line="276" w:lineRule="auto"/>
        <w:jc w:val="left"/>
        <w:rPr>
          <w:szCs w:val="22"/>
        </w:rPr>
      </w:pPr>
      <w:r>
        <w:rPr>
          <w:rFonts w:hint="eastAsia"/>
          <w:szCs w:val="22"/>
        </w:rPr>
        <w:t>在确认时.应明确予以激励的主体,包括但不限于:</w:t>
      </w:r>
    </w:p>
    <w:p>
      <w:pPr>
        <w:autoSpaceDE w:val="0"/>
        <w:autoSpaceDN w:val="0"/>
        <w:spacing w:line="276" w:lineRule="auto"/>
        <w:jc w:val="left"/>
        <w:rPr>
          <w:szCs w:val="22"/>
        </w:rPr>
      </w:pPr>
      <w:r>
        <w:rPr>
          <w:rFonts w:hint="eastAsia"/>
          <w:szCs w:val="22"/>
        </w:rPr>
        <w:t>a)实施诚信管理体系的内部部门或分支机构或子公司;</w:t>
      </w:r>
    </w:p>
    <w:p>
      <w:pPr>
        <w:autoSpaceDE w:val="0"/>
        <w:autoSpaceDN w:val="0"/>
        <w:spacing w:line="276" w:lineRule="auto"/>
        <w:jc w:val="left"/>
        <w:rPr>
          <w:szCs w:val="22"/>
        </w:rPr>
      </w:pPr>
      <w:r>
        <w:rPr>
          <w:rFonts w:hint="eastAsia"/>
          <w:szCs w:val="22"/>
        </w:rPr>
        <w:t>b)实施诚信管理体系的企业负责人、主要责任人和履行诚信管理职责的部门及其负责人:</w:t>
      </w:r>
    </w:p>
    <w:p>
      <w:pPr>
        <w:autoSpaceDE w:val="0"/>
        <w:autoSpaceDN w:val="0"/>
        <w:spacing w:line="276" w:lineRule="auto"/>
        <w:jc w:val="left"/>
        <w:rPr>
          <w:szCs w:val="22"/>
        </w:rPr>
      </w:pPr>
      <w:r>
        <w:rPr>
          <w:rFonts w:hint="eastAsia"/>
          <w:szCs w:val="22"/>
        </w:rPr>
        <w:t>c)实施诚信管理体系的员工:</w:t>
      </w:r>
    </w:p>
    <w:p>
      <w:pPr>
        <w:autoSpaceDE w:val="0"/>
        <w:autoSpaceDN w:val="0"/>
        <w:spacing w:line="276" w:lineRule="auto"/>
        <w:jc w:val="left"/>
        <w:rPr>
          <w:szCs w:val="22"/>
        </w:rPr>
      </w:pPr>
      <w:r>
        <w:rPr>
          <w:rFonts w:hint="eastAsia"/>
          <w:szCs w:val="22"/>
        </w:rPr>
        <w:t>d)配合开展诚信管理体系的供应链企业的负责人,主要责任人和履行诚信管理职责的部门及其负责人。</w:t>
      </w:r>
    </w:p>
    <w:p>
      <w:pPr>
        <w:autoSpaceDE w:val="0"/>
        <w:autoSpaceDN w:val="0"/>
        <w:spacing w:line="276" w:lineRule="auto"/>
        <w:jc w:val="left"/>
        <w:rPr>
          <w:rFonts w:hint="eastAsia"/>
          <w:szCs w:val="22"/>
        </w:rPr>
      </w:pPr>
    </w:p>
    <w:p>
      <w:pPr>
        <w:autoSpaceDE w:val="0"/>
        <w:autoSpaceDN w:val="0"/>
        <w:spacing w:line="276" w:lineRule="auto"/>
        <w:jc w:val="left"/>
        <w:rPr>
          <w:szCs w:val="22"/>
        </w:rPr>
      </w:pPr>
      <w:r>
        <w:rPr>
          <w:rFonts w:hint="eastAsia"/>
          <w:szCs w:val="22"/>
        </w:rPr>
        <w:t>10.7.3激励内容</w:t>
      </w:r>
    </w:p>
    <w:p>
      <w:pPr>
        <w:autoSpaceDE w:val="0"/>
        <w:autoSpaceDN w:val="0"/>
        <w:spacing w:line="276" w:lineRule="auto"/>
        <w:jc w:val="left"/>
        <w:rPr>
          <w:szCs w:val="22"/>
        </w:rPr>
      </w:pPr>
      <w:r>
        <w:rPr>
          <w:rFonts w:hint="eastAsia"/>
          <w:szCs w:val="22"/>
        </w:rPr>
        <w:t>企业应明确激励的内容,包括但不限于:</w:t>
      </w:r>
    </w:p>
    <w:p>
      <w:pPr>
        <w:autoSpaceDE w:val="0"/>
        <w:autoSpaceDN w:val="0"/>
        <w:spacing w:line="276" w:lineRule="auto"/>
        <w:jc w:val="left"/>
        <w:rPr>
          <w:szCs w:val="22"/>
        </w:rPr>
      </w:pPr>
      <w:r>
        <w:rPr>
          <w:rFonts w:hint="eastAsia"/>
          <w:szCs w:val="22"/>
        </w:rPr>
        <w:t>a)建立和执行完整的诚信管理体系;</w:t>
      </w:r>
    </w:p>
    <w:p>
      <w:pPr>
        <w:autoSpaceDE w:val="0"/>
        <w:autoSpaceDN w:val="0"/>
        <w:spacing w:line="276" w:lineRule="auto"/>
        <w:jc w:val="left"/>
        <w:rPr>
          <w:szCs w:val="22"/>
        </w:rPr>
      </w:pPr>
      <w:r>
        <w:rPr>
          <w:rFonts w:hint="eastAsia"/>
          <w:szCs w:val="22"/>
        </w:rPr>
        <w:t>b)诚信管理过程所取得的业绩与成效;</w:t>
      </w:r>
    </w:p>
    <w:p>
      <w:pPr>
        <w:autoSpaceDE w:val="0"/>
        <w:autoSpaceDN w:val="0"/>
        <w:spacing w:line="276" w:lineRule="auto"/>
        <w:jc w:val="left"/>
        <w:rPr>
          <w:szCs w:val="22"/>
        </w:rPr>
      </w:pPr>
      <w:r>
        <w:rPr>
          <w:rFonts w:hint="eastAsia"/>
          <w:szCs w:val="22"/>
        </w:rPr>
        <w:t>c)相关方的表扬和致谢;</w:t>
      </w:r>
    </w:p>
    <w:p>
      <w:pPr>
        <w:autoSpaceDE w:val="0"/>
        <w:autoSpaceDN w:val="0"/>
        <w:spacing w:line="276" w:lineRule="auto"/>
        <w:jc w:val="left"/>
        <w:rPr>
          <w:szCs w:val="22"/>
        </w:rPr>
      </w:pPr>
      <w:r>
        <w:rPr>
          <w:rFonts w:hint="eastAsia"/>
          <w:szCs w:val="22"/>
        </w:rPr>
        <w:t>d)国家主管部门正面评价和表彰;</w:t>
      </w:r>
    </w:p>
    <w:p>
      <w:pPr>
        <w:autoSpaceDE w:val="0"/>
        <w:autoSpaceDN w:val="0"/>
        <w:spacing w:line="276" w:lineRule="auto"/>
        <w:jc w:val="left"/>
        <w:rPr>
          <w:szCs w:val="22"/>
        </w:rPr>
      </w:pPr>
      <w:r>
        <w:rPr>
          <w:rFonts w:hint="eastAsia"/>
          <w:szCs w:val="22"/>
        </w:rPr>
        <w:t>e)优化诚信体系的建议被采纳:</w:t>
      </w:r>
    </w:p>
    <w:p>
      <w:pPr>
        <w:autoSpaceDE w:val="0"/>
        <w:autoSpaceDN w:val="0"/>
        <w:spacing w:line="276" w:lineRule="auto"/>
        <w:jc w:val="left"/>
        <w:rPr>
          <w:szCs w:val="22"/>
        </w:rPr>
      </w:pPr>
      <w:r>
        <w:rPr>
          <w:rFonts w:hint="eastAsia"/>
          <w:szCs w:val="22"/>
        </w:rPr>
        <w:t>f) 对企业失信行为的检举揭发，消除了不良影响或降低了企业的损失。</w:t>
      </w:r>
    </w:p>
    <w:p>
      <w:pPr>
        <w:autoSpaceDE w:val="0"/>
        <w:autoSpaceDN w:val="0"/>
        <w:spacing w:line="276" w:lineRule="auto"/>
        <w:jc w:val="left"/>
        <w:rPr>
          <w:szCs w:val="22"/>
        </w:rPr>
      </w:pPr>
    </w:p>
    <w:p>
      <w:pPr>
        <w:autoSpaceDE w:val="0"/>
        <w:autoSpaceDN w:val="0"/>
        <w:spacing w:line="276" w:lineRule="auto"/>
        <w:jc w:val="left"/>
        <w:rPr>
          <w:szCs w:val="22"/>
        </w:rPr>
      </w:pPr>
      <w:r>
        <w:rPr>
          <w:rFonts w:hint="eastAsia"/>
          <w:szCs w:val="22"/>
        </w:rPr>
        <w:t>10.7.4激励措施</w:t>
      </w:r>
    </w:p>
    <w:p>
      <w:pPr>
        <w:autoSpaceDE w:val="0"/>
        <w:autoSpaceDN w:val="0"/>
        <w:spacing w:line="276" w:lineRule="auto"/>
        <w:jc w:val="left"/>
        <w:rPr>
          <w:szCs w:val="22"/>
        </w:rPr>
      </w:pPr>
      <w:r>
        <w:rPr>
          <w:rFonts w:hint="eastAsia"/>
          <w:szCs w:val="22"/>
        </w:rPr>
        <w:t>企业应依据确认的守信激励对象和内容,为促进诚信管理体系改进提升,实施但不限于以下激励</w:t>
      </w:r>
    </w:p>
    <w:p>
      <w:pPr>
        <w:autoSpaceDE w:val="0"/>
        <w:autoSpaceDN w:val="0"/>
        <w:spacing w:line="276" w:lineRule="auto"/>
        <w:jc w:val="left"/>
        <w:rPr>
          <w:szCs w:val="22"/>
        </w:rPr>
      </w:pPr>
      <w:r>
        <w:rPr>
          <w:rFonts w:hint="eastAsia"/>
          <w:szCs w:val="22"/>
        </w:rPr>
        <w:t>措施:</w:t>
      </w:r>
    </w:p>
    <w:p>
      <w:pPr>
        <w:autoSpaceDE w:val="0"/>
        <w:autoSpaceDN w:val="0"/>
        <w:spacing w:line="276" w:lineRule="auto"/>
        <w:jc w:val="left"/>
        <w:rPr>
          <w:szCs w:val="22"/>
        </w:rPr>
      </w:pPr>
      <w:r>
        <w:rPr>
          <w:rFonts w:hint="eastAsia"/>
          <w:szCs w:val="22"/>
        </w:rPr>
        <w:t>a)内部通报表扬:</w:t>
      </w:r>
    </w:p>
    <w:p>
      <w:pPr>
        <w:autoSpaceDE w:val="0"/>
        <w:autoSpaceDN w:val="0"/>
        <w:spacing w:line="276" w:lineRule="auto"/>
        <w:jc w:val="left"/>
        <w:rPr>
          <w:szCs w:val="22"/>
        </w:rPr>
      </w:pPr>
      <w:r>
        <w:rPr>
          <w:rFonts w:hint="eastAsia"/>
          <w:szCs w:val="22"/>
        </w:rPr>
        <w:t>b)物质和精神鼓励:</w:t>
      </w:r>
    </w:p>
    <w:p>
      <w:pPr>
        <w:autoSpaceDE w:val="0"/>
        <w:autoSpaceDN w:val="0"/>
        <w:spacing w:line="276" w:lineRule="auto"/>
        <w:jc w:val="left"/>
        <w:rPr>
          <w:szCs w:val="22"/>
        </w:rPr>
      </w:pPr>
      <w:r>
        <w:rPr>
          <w:rFonts w:hint="eastAsia"/>
          <w:szCs w:val="22"/>
        </w:rPr>
        <w:t>c)给予诚信体系专项激励:</w:t>
      </w:r>
    </w:p>
    <w:p>
      <w:pPr>
        <w:autoSpaceDE w:val="0"/>
        <w:autoSpaceDN w:val="0"/>
        <w:spacing w:line="276" w:lineRule="auto"/>
        <w:jc w:val="left"/>
        <w:rPr>
          <w:szCs w:val="22"/>
        </w:rPr>
      </w:pPr>
      <w:r>
        <w:rPr>
          <w:rFonts w:hint="eastAsia"/>
          <w:szCs w:val="22"/>
        </w:rPr>
        <w:t>d)推荐为诚信典型代表。</w:t>
      </w:r>
    </w:p>
    <w:p>
      <w:pPr>
        <w:autoSpaceDE w:val="0"/>
        <w:autoSpaceDN w:val="0"/>
        <w:spacing w:line="276" w:lineRule="auto"/>
        <w:jc w:val="left"/>
        <w:rPr>
          <w:szCs w:val="22"/>
        </w:rPr>
      </w:pPr>
      <w:r>
        <w:rPr>
          <w:rFonts w:hint="eastAsia"/>
          <w:szCs w:val="22"/>
        </w:rPr>
        <w:t>11持续改进</w:t>
      </w:r>
    </w:p>
    <w:p>
      <w:pPr>
        <w:autoSpaceDE w:val="0"/>
        <w:autoSpaceDN w:val="0"/>
        <w:spacing w:line="276" w:lineRule="auto"/>
        <w:jc w:val="left"/>
        <w:rPr>
          <w:szCs w:val="22"/>
        </w:rPr>
      </w:pPr>
      <w:r>
        <w:rPr>
          <w:rFonts w:hint="eastAsia"/>
          <w:szCs w:val="22"/>
        </w:rPr>
        <w:t>11.1 总体要求</w:t>
      </w:r>
    </w:p>
    <w:p>
      <w:pPr>
        <w:autoSpaceDE w:val="0"/>
        <w:autoSpaceDN w:val="0"/>
        <w:spacing w:line="276" w:lineRule="auto"/>
        <w:jc w:val="left"/>
        <w:rPr>
          <w:szCs w:val="22"/>
        </w:rPr>
      </w:pPr>
      <w:r>
        <w:rPr>
          <w:rFonts w:hint="eastAsia"/>
          <w:szCs w:val="22"/>
        </w:rPr>
        <w:t>企业应确定和选择改进机会,并采取必要措施,以满足相关方的需求和期望。应包括:</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改进产品和服务，以满足要求并应对未来的需求和期望;</w:t>
      </w:r>
    </w:p>
    <w:p>
      <w:pPr>
        <w:numPr>
          <w:ilvl w:val="0"/>
          <w:numId w:val="11"/>
        </w:numPr>
        <w:autoSpaceDE w:val="0"/>
        <w:autoSpaceDN w:val="0"/>
        <w:spacing w:line="276" w:lineRule="auto"/>
        <w:jc w:val="left"/>
        <w:rPr>
          <w:szCs w:val="22"/>
        </w:rPr>
      </w:pPr>
      <w:r>
        <w:rPr>
          <w:rFonts w:hint="eastAsia"/>
          <w:szCs w:val="22"/>
        </w:rPr>
        <w:t>关注企业失信问题,定期通过各种途径获知失信信息，纠正、预防或减少失信造成的不利影响;</w:t>
      </w:r>
    </w:p>
    <w:p>
      <w:pPr>
        <w:numPr>
          <w:ilvl w:val="0"/>
          <w:numId w:val="11"/>
        </w:numPr>
        <w:autoSpaceDE w:val="0"/>
        <w:autoSpaceDN w:val="0"/>
        <w:spacing w:line="276" w:lineRule="auto"/>
        <w:jc w:val="left"/>
        <w:rPr>
          <w:szCs w:val="22"/>
        </w:rPr>
      </w:pPr>
      <w:r>
        <w:rPr>
          <w:rFonts w:hint="eastAsia"/>
          <w:szCs w:val="22"/>
        </w:rPr>
        <w:t>定期(可联合外部有资质的信用机构)评估诚信管理制度和部门职责的适用情况,及时进行修改完善和职责调整;</w:t>
      </w:r>
    </w:p>
    <w:p>
      <w:pPr>
        <w:numPr>
          <w:ilvl w:val="0"/>
          <w:numId w:val="11"/>
        </w:numPr>
        <w:autoSpaceDE w:val="0"/>
        <w:autoSpaceDN w:val="0"/>
        <w:spacing w:line="276" w:lineRule="auto"/>
        <w:jc w:val="left"/>
        <w:rPr>
          <w:szCs w:val="22"/>
        </w:rPr>
      </w:pPr>
      <w:r>
        <w:rPr>
          <w:rFonts w:hint="eastAsia"/>
          <w:szCs w:val="22"/>
        </w:rPr>
        <w:t>对诚信管理部门和人员进行考核,并根据考核结果及时进行调整,同时将考核结果与人力资源管理挂钩。</w:t>
      </w:r>
    </w:p>
    <w:p>
      <w:pPr>
        <w:autoSpaceDE w:val="0"/>
        <w:autoSpaceDN w:val="0"/>
        <w:spacing w:line="276" w:lineRule="auto"/>
        <w:jc w:val="left"/>
        <w:rPr>
          <w:szCs w:val="22"/>
        </w:rPr>
      </w:pPr>
      <w:r>
        <w:rPr>
          <w:rFonts w:hint="eastAsia"/>
          <w:szCs w:val="22"/>
        </w:rPr>
        <w:t>11.2改进机制</w:t>
      </w:r>
    </w:p>
    <w:p>
      <w:pPr>
        <w:autoSpaceDE w:val="0"/>
        <w:autoSpaceDN w:val="0"/>
        <w:spacing w:line="276" w:lineRule="auto"/>
        <w:jc w:val="left"/>
        <w:rPr>
          <w:szCs w:val="22"/>
        </w:rPr>
      </w:pPr>
      <w:r>
        <w:rPr>
          <w:rFonts w:hint="eastAsia"/>
          <w:szCs w:val="22"/>
        </w:rPr>
        <w:t>企业应根据自身特点建立一套适合于本企业的诚信管理持续改进机制,鼓励企业对轻微失信行为主动纠错，畅通企业内外部对信用修复的异议、投诉、举报的渠道,在规定时限内依照标准和流程办理信用修复,不断提升和改进诚信管理体系的绩效和有效性。该机制应满足以下条件:</w:t>
      </w:r>
    </w:p>
    <w:p>
      <w:pPr>
        <w:autoSpaceDE w:val="0"/>
        <w:autoSpaceDN w:val="0"/>
        <w:spacing w:line="276" w:lineRule="auto"/>
        <w:jc w:val="left"/>
        <w:rPr>
          <w:szCs w:val="22"/>
        </w:rPr>
      </w:pPr>
      <w:r>
        <w:rPr>
          <w:rFonts w:hint="eastAsia"/>
          <w:szCs w:val="22"/>
        </w:rPr>
        <w:t>a)确保有关部门或人员的职责或权限对企业诚信管理的持续改进负责:</w:t>
      </w:r>
    </w:p>
    <w:p>
      <w:pPr>
        <w:autoSpaceDE w:val="0"/>
        <w:autoSpaceDN w:val="0"/>
        <w:spacing w:line="276" w:lineRule="auto"/>
        <w:jc w:val="left"/>
        <w:rPr>
          <w:szCs w:val="22"/>
        </w:rPr>
      </w:pPr>
      <w:r>
        <w:rPr>
          <w:rFonts w:hint="eastAsia"/>
          <w:szCs w:val="22"/>
        </w:rPr>
        <w:t>b)寻找诚信管理的薄弱环节,发现可能改进的机会，并提出改进建议:</w:t>
      </w:r>
    </w:p>
    <w:p>
      <w:pPr>
        <w:autoSpaceDE w:val="0"/>
        <w:autoSpaceDN w:val="0"/>
        <w:spacing w:line="276" w:lineRule="auto"/>
        <w:jc w:val="left"/>
        <w:rPr>
          <w:szCs w:val="22"/>
        </w:rPr>
      </w:pPr>
      <w:r>
        <w:rPr>
          <w:rFonts w:hint="eastAsia"/>
          <w:szCs w:val="22"/>
        </w:rPr>
        <w:t>c)评估改进建议实施的可行性;</w:t>
      </w:r>
    </w:p>
    <w:p>
      <w:pPr>
        <w:autoSpaceDE w:val="0"/>
        <w:autoSpaceDN w:val="0"/>
        <w:spacing w:line="276" w:lineRule="auto"/>
        <w:jc w:val="left"/>
        <w:rPr>
          <w:szCs w:val="22"/>
        </w:rPr>
      </w:pPr>
      <w:r>
        <w:rPr>
          <w:rFonts w:hint="eastAsia"/>
          <w:szCs w:val="22"/>
        </w:rPr>
        <w:t>d)确定和实施改进措施:</w:t>
      </w:r>
    </w:p>
    <w:p>
      <w:pPr>
        <w:autoSpaceDE w:val="0"/>
        <w:autoSpaceDN w:val="0"/>
        <w:spacing w:line="276" w:lineRule="auto"/>
        <w:jc w:val="left"/>
        <w:rPr>
          <w:szCs w:val="22"/>
        </w:rPr>
      </w:pPr>
      <w:r>
        <w:rPr>
          <w:rFonts w:hint="eastAsia"/>
          <w:szCs w:val="22"/>
        </w:rPr>
        <w:t>e)记录所采取措施的结果，并对该结果的有效性进行整体效果评估</w:t>
      </w: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276" w:lineRule="auto"/>
        <w:jc w:val="left"/>
        <w:rPr>
          <w:szCs w:val="22"/>
        </w:rPr>
      </w:pPr>
    </w:p>
    <w:p>
      <w:pPr>
        <w:autoSpaceDE w:val="0"/>
        <w:autoSpaceDN w:val="0"/>
        <w:spacing w:line="480" w:lineRule="auto"/>
        <w:jc w:val="left"/>
        <w:rPr>
          <w:rFonts w:ascii="宋体" w:hAnsi="宋体" w:cs="宋体"/>
          <w:b/>
          <w:bCs/>
          <w:kern w:val="0"/>
          <w:szCs w:val="21"/>
          <w:u w:val="single"/>
          <w:lang w:val="zh-CN" w:bidi="zh-CN"/>
        </w:rPr>
      </w:pPr>
      <w:r>
        <w:rPr>
          <w:rFonts w:hint="eastAsia" w:ascii="宋体" w:hAnsi="宋体" w:cs="宋体"/>
          <w:b/>
          <w:bCs/>
          <w:kern w:val="0"/>
          <w:szCs w:val="21"/>
          <w:u w:val="single"/>
          <w:lang w:val="zh-CN" w:bidi="zh-CN"/>
        </w:rPr>
        <w:t>附件1 范围</w:t>
      </w:r>
    </w:p>
    <w:p>
      <w:pPr>
        <w:autoSpaceDE w:val="0"/>
        <w:autoSpaceDN w:val="0"/>
        <w:spacing w:line="480" w:lineRule="auto"/>
        <w:ind w:firstLine="480"/>
        <w:jc w:val="left"/>
        <w:rPr>
          <w:rFonts w:ascii="宋体" w:hAnsi="宋体" w:cs="宋体"/>
          <w:kern w:val="0"/>
          <w:szCs w:val="21"/>
          <w:lang w:val="zh-CN" w:bidi="zh-CN"/>
        </w:rPr>
      </w:pPr>
      <w:r>
        <w:rPr>
          <w:rFonts w:hint="eastAsia" w:ascii="宋体" w:hAnsi="宋体" w:cs="宋体"/>
          <w:kern w:val="0"/>
          <w:szCs w:val="21"/>
          <w:lang w:val="zh-CN" w:bidi="zh-CN"/>
        </w:rPr>
        <w:t>诚信体系主要覆盖</w:t>
      </w:r>
      <w:r>
        <w:rPr>
          <w:rFonts w:hint="eastAsia" w:ascii="宋体" w:hAnsi="宋体" w:eastAsia="宋体"/>
          <w:sz w:val="21"/>
          <w:szCs w:val="21"/>
          <w:lang w:val="en-US" w:eastAsia="zh-CN"/>
        </w:rPr>
        <w:t>陕西省蓝田县华胥镇西北家具工业园红河一路10号</w:t>
      </w:r>
      <w:r>
        <w:rPr>
          <w:rFonts w:hint="eastAsia" w:ascii="宋体" w:hAnsi="宋体" w:cs="宋体"/>
          <w:kern w:val="0"/>
          <w:szCs w:val="21"/>
          <w:lang w:val="zh-CN" w:bidi="zh-CN"/>
        </w:rPr>
        <w:t>，并应用于</w:t>
      </w:r>
      <w:r>
        <w:rPr>
          <w:rFonts w:ascii="Helvetica" w:hAnsi="Helvetica" w:eastAsia="Helvetica" w:cs="Helvetica"/>
          <w:i w:val="0"/>
          <w:iCs w:val="0"/>
          <w:caps w:val="0"/>
          <w:color w:val="000000"/>
          <w:spacing w:val="0"/>
          <w:sz w:val="21"/>
          <w:szCs w:val="21"/>
          <w:shd w:val="clear" w:color="auto" w:fill="FFFFFF"/>
        </w:rPr>
        <w:t>办公家具、酒店家具、教学家具</w:t>
      </w:r>
      <w:r>
        <w:rPr>
          <w:rFonts w:hint="eastAsia" w:ascii="宋体" w:hAnsi="宋体"/>
          <w:szCs w:val="21"/>
          <w:lang w:val="en-US" w:eastAsia="zh-CN"/>
        </w:rPr>
        <w:t>的诚信管理活动</w:t>
      </w:r>
      <w:r>
        <w:rPr>
          <w:rFonts w:hint="eastAsia" w:ascii="宋体" w:hAnsi="宋体" w:cs="宋体"/>
          <w:kern w:val="0"/>
          <w:szCs w:val="21"/>
          <w:lang w:val="zh-CN" w:bidi="zh-CN"/>
        </w:rPr>
        <w:t>。</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bookmarkStart w:id="5" w:name="_GoBack"/>
      <w:bookmarkEnd w:id="5"/>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 xml:space="preserve">附件2 </w:t>
      </w:r>
      <w:r>
        <w:rPr>
          <w:rFonts w:hint="eastAsia" w:ascii="宋体" w:hAnsi="宋体" w:cs="宋体"/>
          <w:b/>
          <w:bCs/>
          <w:kern w:val="0"/>
          <w:szCs w:val="21"/>
          <w:lang w:bidi="zh-CN"/>
        </w:rPr>
        <w:t xml:space="preserve">                  </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企业简介</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ascii="宋体" w:hAnsi="宋体" w:cs="宋体"/>
          <w:kern w:val="0"/>
          <w:szCs w:val="21"/>
          <w:lang w:val="en-US" w:bidi="zh-CN"/>
        </w:rPr>
        <w:t>西安华扬家具</w:t>
      </w:r>
      <w:r>
        <w:rPr>
          <w:rFonts w:hint="eastAsia" w:cs="宋体" w:asciiTheme="minorEastAsia" w:hAnsiTheme="minorEastAsia" w:eastAsiaTheme="minorEastAsia"/>
          <w:color w:val="333333"/>
          <w:kern w:val="0"/>
          <w:szCs w:val="21"/>
        </w:rPr>
        <w:t>有限公司成立于20</w:t>
      </w:r>
      <w:r>
        <w:rPr>
          <w:rFonts w:hint="eastAsia" w:cs="宋体" w:asciiTheme="minorEastAsia" w:hAnsiTheme="minorEastAsia" w:eastAsiaTheme="minorEastAsia"/>
          <w:color w:val="333333"/>
          <w:kern w:val="0"/>
          <w:szCs w:val="21"/>
          <w:lang w:val="en-US" w:eastAsia="zh-CN"/>
        </w:rPr>
        <w:t>10</w:t>
      </w:r>
      <w:r>
        <w:rPr>
          <w:rFonts w:hint="eastAsia" w:cs="宋体" w:asciiTheme="minorEastAsia" w:hAnsiTheme="minorEastAsia" w:eastAsiaTheme="minorEastAsia"/>
          <w:color w:val="333333"/>
          <w:kern w:val="0"/>
          <w:szCs w:val="21"/>
        </w:rPr>
        <w:t>年</w:t>
      </w:r>
      <w:r>
        <w:rPr>
          <w:rFonts w:hint="eastAsia" w:cs="宋体" w:asciiTheme="minorEastAsia" w:hAnsiTheme="minorEastAsia" w:eastAsiaTheme="minorEastAsia"/>
          <w:color w:val="333333"/>
          <w:kern w:val="0"/>
          <w:szCs w:val="21"/>
          <w:lang w:val="en-US" w:eastAsia="zh-CN"/>
        </w:rPr>
        <w:t>8</w:t>
      </w:r>
      <w:r>
        <w:rPr>
          <w:rFonts w:hint="eastAsia" w:cs="宋体" w:asciiTheme="minorEastAsia" w:hAnsiTheme="minorEastAsia" w:eastAsiaTheme="minorEastAsia"/>
          <w:color w:val="333333"/>
          <w:kern w:val="0"/>
          <w:szCs w:val="21"/>
        </w:rPr>
        <w:t>月，现注册资本为</w:t>
      </w:r>
      <w:r>
        <w:rPr>
          <w:rFonts w:hint="eastAsia" w:cs="宋体" w:asciiTheme="minorEastAsia" w:hAnsiTheme="minorEastAsia" w:eastAsiaTheme="minorEastAsia"/>
          <w:color w:val="333333"/>
          <w:kern w:val="0"/>
          <w:szCs w:val="21"/>
          <w:lang w:val="en-US" w:eastAsia="zh-CN"/>
        </w:rPr>
        <w:t>伍仟</w:t>
      </w:r>
      <w:r>
        <w:rPr>
          <w:rFonts w:hint="eastAsia" w:cs="宋体" w:asciiTheme="minorEastAsia" w:hAnsiTheme="minorEastAsia" w:eastAsiaTheme="minorEastAsia"/>
          <w:color w:val="333333"/>
          <w:kern w:val="0"/>
          <w:szCs w:val="21"/>
        </w:rPr>
        <w:t>万元</w:t>
      </w:r>
      <w:r>
        <w:rPr>
          <w:rFonts w:hint="eastAsia" w:cs="宋体" w:asciiTheme="minorEastAsia" w:hAnsiTheme="minorEastAsia" w:eastAsiaTheme="minorEastAsia"/>
          <w:color w:val="333333"/>
          <w:kern w:val="0"/>
          <w:szCs w:val="21"/>
          <w:lang w:val="en-US" w:eastAsia="zh-CN"/>
        </w:rPr>
        <w:t>人民币</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公司现设有总经理室、副总经理室、综合管理部、财务部、品质部、市场部等部门。公司发扬“</w:t>
      </w:r>
      <w:r>
        <w:rPr>
          <w:rFonts w:hint="eastAsia" w:cs="宋体" w:asciiTheme="minorEastAsia" w:hAnsiTheme="minorEastAsia" w:eastAsiaTheme="minorEastAsia"/>
          <w:bCs/>
          <w:color w:val="000000"/>
          <w:kern w:val="0"/>
          <w:szCs w:val="21"/>
        </w:rPr>
        <w:t>诚信、协作、进取、感恩、和谐</w:t>
      </w:r>
      <w:r>
        <w:rPr>
          <w:rFonts w:hint="eastAsia" w:cs="宋体" w:asciiTheme="minorEastAsia" w:hAnsiTheme="minorEastAsia" w:eastAsiaTheme="minorEastAsia"/>
          <w:color w:val="000000"/>
          <w:kern w:val="0"/>
          <w:szCs w:val="21"/>
        </w:rPr>
        <w:t>”的企业精神，把“您的满意，我们永远的追求”作为公司永恒的目标。</w:t>
      </w:r>
      <w:r>
        <w:rPr>
          <w:rFonts w:hint="eastAsia" w:cs="宋体" w:asciiTheme="minorEastAsia" w:hAnsiTheme="minorEastAsia" w:eastAsiaTheme="minorEastAsia"/>
          <w:color w:val="333333"/>
          <w:kern w:val="0"/>
          <w:szCs w:val="21"/>
        </w:rPr>
        <w:t xml:space="preserve"> </w:t>
      </w:r>
    </w:p>
    <w:p>
      <w:pPr>
        <w:widowControl/>
        <w:spacing w:line="276" w:lineRule="auto"/>
        <w:ind w:firstLine="56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公司拥有一支经验丰富、团结协作的管理团队，具有规范健全的管理制度，完善有效的经营管理体系。我们敬业乐业、积极进取、勇于拼搏、经验丰富、服务优质，是一支专业、优质、高效的</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管理团队。</w:t>
      </w:r>
      <w:r>
        <w:rPr>
          <w:rFonts w:hint="eastAsia" w:cs="宋体" w:asciiTheme="minorEastAsia" w:hAnsiTheme="minorEastAsia" w:eastAsiaTheme="minorEastAsia"/>
          <w:color w:val="333333"/>
          <w:kern w:val="0"/>
          <w:szCs w:val="21"/>
        </w:rPr>
        <w:t xml:space="preserve"> </w:t>
      </w:r>
    </w:p>
    <w:p>
      <w:pPr>
        <w:widowControl/>
        <w:spacing w:line="276" w:lineRule="auto"/>
        <w:ind w:firstLine="420" w:firstLineChars="200"/>
        <w:jc w:val="left"/>
        <w:textAlignment w:val="baseline"/>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rPr>
        <w:t>公司认真贯彻党和国家的方针、政策，扎实做好</w:t>
      </w:r>
      <w:r>
        <w:rPr>
          <w:rFonts w:hint="eastAsia" w:cs="宋体" w:asciiTheme="minorEastAsia" w:hAnsiTheme="minorEastAsia" w:eastAsiaTheme="minorEastAsia"/>
          <w:color w:val="000000"/>
          <w:kern w:val="0"/>
          <w:szCs w:val="21"/>
          <w:lang w:val="en-US" w:eastAsia="zh-CN"/>
        </w:rPr>
        <w:t>家具生产</w:t>
      </w:r>
      <w:r>
        <w:rPr>
          <w:rFonts w:hint="eastAsia" w:cs="宋体" w:asciiTheme="minorEastAsia" w:hAnsiTheme="minorEastAsia" w:eastAsiaTheme="minorEastAsia"/>
          <w:color w:val="000000"/>
          <w:kern w:val="0"/>
          <w:szCs w:val="21"/>
        </w:rPr>
        <w:t>工作，赢得了广大</w:t>
      </w:r>
      <w:r>
        <w:rPr>
          <w:rFonts w:hint="eastAsia" w:cs="宋体" w:asciiTheme="minorEastAsia" w:hAnsiTheme="minorEastAsia" w:eastAsiaTheme="minorEastAsia"/>
          <w:color w:val="000000"/>
          <w:kern w:val="0"/>
          <w:szCs w:val="21"/>
          <w:lang w:val="en-US" w:eastAsia="zh-CN"/>
        </w:rPr>
        <w:t>客户</w:t>
      </w:r>
      <w:r>
        <w:rPr>
          <w:rFonts w:hint="eastAsia" w:cs="宋体" w:asciiTheme="minorEastAsia" w:hAnsiTheme="minorEastAsia" w:eastAsiaTheme="minorEastAsia"/>
          <w:color w:val="000000"/>
          <w:kern w:val="0"/>
          <w:szCs w:val="21"/>
        </w:rPr>
        <w:t>的信任和肯定，社会效益良好。</w:t>
      </w:r>
      <w:r>
        <w:rPr>
          <w:rFonts w:hint="eastAsia" w:ascii="宋体" w:hAnsi="宋体" w:cs="宋体"/>
          <w:kern w:val="0"/>
          <w:szCs w:val="21"/>
          <w:lang w:val="en-US" w:bidi="zh-CN"/>
        </w:rPr>
        <w:t>西安华扬家具</w:t>
      </w:r>
      <w:r>
        <w:rPr>
          <w:rFonts w:hint="eastAsia" w:cs="宋体" w:asciiTheme="minorEastAsia" w:hAnsiTheme="minorEastAsia" w:eastAsiaTheme="minorEastAsia"/>
          <w:color w:val="000000"/>
          <w:kern w:val="0"/>
          <w:szCs w:val="21"/>
          <w:lang w:val="en-US" w:eastAsia="zh-CN"/>
        </w:rPr>
        <w:t>有限公司</w:t>
      </w:r>
      <w:r>
        <w:rPr>
          <w:rFonts w:hint="eastAsia" w:cs="宋体" w:asciiTheme="minorEastAsia" w:hAnsiTheme="minorEastAsia" w:eastAsiaTheme="minorEastAsia"/>
          <w:color w:val="000000"/>
          <w:kern w:val="0"/>
          <w:szCs w:val="21"/>
        </w:rPr>
        <w:t>承诺将依据现代企业管理制度，提供细致入微服务，</w:t>
      </w:r>
      <w:r>
        <w:rPr>
          <w:rFonts w:hint="eastAsia" w:cs="宋体" w:asciiTheme="minorEastAsia" w:hAnsiTheme="minorEastAsia" w:eastAsiaTheme="minorEastAsia"/>
          <w:color w:val="000000"/>
          <w:kern w:val="0"/>
          <w:szCs w:val="21"/>
          <w:lang w:val="en-US" w:eastAsia="zh-CN"/>
        </w:rPr>
        <w:t>让每一个客户使用到最高品质的产品</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color w:val="333333"/>
          <w:kern w:val="0"/>
          <w:szCs w:val="21"/>
        </w:rPr>
        <w:t xml:space="preserve"> </w:t>
      </w:r>
    </w:p>
    <w:p>
      <w:pPr>
        <w:autoSpaceDE w:val="0"/>
        <w:autoSpaceDN w:val="0"/>
        <w:spacing w:line="276" w:lineRule="auto"/>
        <w:jc w:val="left"/>
        <w:rPr>
          <w:rFonts w:ascii="宋体" w:hAnsi="宋体" w:cs="宋体"/>
          <w:b/>
          <w:bCs/>
          <w:kern w:val="0"/>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before="240" w:after="60"/>
        <w:jc w:val="center"/>
        <w:outlineLvl w:val="0"/>
        <w:rPr>
          <w:rFonts w:ascii="宋体" w:hAnsi="宋体" w:cs="宋体"/>
          <w:kern w:val="0"/>
          <w:sz w:val="24"/>
          <w:szCs w:val="24"/>
          <w:lang w:val="zh-CN" w:bidi="zh-CN"/>
        </w:rPr>
      </w:pPr>
    </w:p>
    <w:p>
      <w:pPr>
        <w:autoSpaceDE w:val="0"/>
        <w:autoSpaceDN w:val="0"/>
        <w:spacing w:before="240" w:after="60"/>
        <w:outlineLvl w:val="0"/>
        <w:rPr>
          <w:rFonts w:ascii="Calibri Light" w:hAnsi="Calibri Light" w:cs="宋体"/>
          <w:b/>
          <w:bCs/>
          <w:kern w:val="0"/>
          <w:sz w:val="32"/>
          <w:szCs w:val="32"/>
          <w:lang w:val="zh-CN" w:bidi="zh-CN"/>
        </w:rPr>
      </w:pPr>
    </w:p>
    <w:p>
      <w:pPr>
        <w:autoSpaceDE w:val="0"/>
        <w:autoSpaceDN w:val="0"/>
        <w:jc w:val="left"/>
        <w:rPr>
          <w:rFonts w:ascii="宋体" w:hAnsi="宋体" w:cs="宋体"/>
          <w:kern w:val="0"/>
          <w:sz w:val="22"/>
          <w:szCs w:val="22"/>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附件3 任命书</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总经理任命书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b/>
          <w:bCs/>
          <w:kern w:val="0"/>
          <w:szCs w:val="21"/>
          <w:u w:val="single"/>
          <w:lang w:bidi="zh-CN"/>
        </w:rPr>
        <w:t>罗建群</w:t>
      </w:r>
      <w:r>
        <w:rPr>
          <w:rFonts w:hint="eastAsia" w:ascii="宋体" w:hAnsi="宋体" w:cs="宋体"/>
          <w:kern w:val="0"/>
          <w:szCs w:val="21"/>
          <w:lang w:bidi="zh-CN"/>
        </w:rPr>
        <w:t>同志</w:t>
      </w:r>
      <w:r>
        <w:rPr>
          <w:rFonts w:hint="eastAsia" w:ascii="宋体" w:hAnsi="宋体" w:cs="宋体"/>
          <w:kern w:val="0"/>
          <w:szCs w:val="21"/>
          <w:lang w:val="zh-CN" w:bidi="zh-CN"/>
        </w:rPr>
        <w:t>担任我公司总经理。全面负责经营与销售体系工作。其职责和权限如下: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ascii="宋体" w:hAnsi="宋体" w:cs="宋体"/>
          <w:color w:val="000000"/>
          <w:kern w:val="0"/>
          <w:szCs w:val="21"/>
          <w:lang w:val="zh-CN" w:bidi="zh-CN"/>
        </w:rPr>
        <w:br w:type="textWrapping"/>
      </w:r>
      <w:r>
        <w:rPr>
          <w:rFonts w:hint="eastAsia" w:ascii="宋体" w:hAnsi="宋体" w:cs="宋体"/>
          <w:kern w:val="0"/>
          <w:szCs w:val="21"/>
          <w:lang w:val="zh-CN" w:bidi="zh-CN"/>
        </w:rPr>
        <w:t xml:space="preserve">     3、协助组织筹备诚信管理评审工作。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jc w:val="left"/>
        <w:rPr>
          <w:rFonts w:ascii="宋体" w:hAnsi="宋体" w:cs="宋体"/>
          <w:kern w:val="0"/>
          <w:sz w:val="28"/>
          <w:szCs w:val="22"/>
          <w:lang w:val="zh-CN" w:bidi="zh-CN"/>
        </w:rPr>
      </w:pPr>
    </w:p>
    <w:p>
      <w:pPr>
        <w:autoSpaceDE w:val="0"/>
        <w:autoSpaceDN w:val="0"/>
        <w:jc w:val="left"/>
        <w:rPr>
          <w:rFonts w:ascii="宋体" w:hAnsi="宋体" w:cs="宋体"/>
          <w:kern w:val="0"/>
          <w:sz w:val="28"/>
          <w:szCs w:val="22"/>
          <w:lang w:val="zh-CN" w:bidi="zh-CN"/>
        </w:rPr>
      </w:pPr>
      <w:r>
        <w:rPr>
          <w:rFonts w:hint="eastAsia" w:ascii="宋体" w:hAnsi="宋体" w:cs="宋体"/>
          <w:kern w:val="0"/>
          <w:sz w:val="28"/>
          <w:szCs w:val="22"/>
          <w:lang w:val="zh-CN" w:bidi="zh-CN"/>
        </w:rPr>
        <w:t xml:space="preserve">                                          </w:t>
      </w:r>
    </w:p>
    <w:p>
      <w:pPr>
        <w:autoSpaceDE w:val="0"/>
        <w:autoSpaceDN w:val="0"/>
        <w:jc w:val="left"/>
        <w:rPr>
          <w:rFonts w:ascii="宋体" w:hAnsi="宋体" w:cs="宋体"/>
          <w:kern w:val="0"/>
          <w:sz w:val="28"/>
          <w:szCs w:val="22"/>
          <w:lang w:val="zh-CN" w:bidi="zh-CN"/>
        </w:rPr>
      </w:pPr>
      <w:r>
        <w:rPr>
          <w:rFonts w:hint="eastAsia" w:ascii="宋体" w:hAnsi="宋体" w:cs="宋体"/>
          <w:spacing w:val="34"/>
          <w:kern w:val="0"/>
          <w:sz w:val="28"/>
          <w:szCs w:val="22"/>
          <w:lang w:val="zh-CN" w:bidi="zh-CN"/>
        </w:rPr>
        <w:t xml:space="preserve">                                 </w:t>
      </w:r>
    </w:p>
    <w:p>
      <w:pPr>
        <w:autoSpaceDE w:val="0"/>
        <w:autoSpaceDN w:val="0"/>
        <w:spacing w:line="480" w:lineRule="auto"/>
        <w:jc w:val="left"/>
        <w:rPr>
          <w:rFonts w:ascii="宋体" w:hAnsi="宋体" w:cs="宋体"/>
          <w:kern w:val="0"/>
          <w:szCs w:val="21"/>
          <w:lang w:bidi="zh-CN"/>
        </w:rPr>
      </w:pPr>
      <w:r>
        <w:rPr>
          <w:rFonts w:hint="eastAsia" w:ascii="宋体" w:hAnsi="宋体" w:cs="宋体"/>
          <w:kern w:val="0"/>
          <w:sz w:val="28"/>
          <w:szCs w:val="22"/>
          <w:lang w:val="zh-CN" w:bidi="zh-CN"/>
        </w:rPr>
        <w:t xml:space="preserve">                       </w:t>
      </w:r>
      <w:r>
        <w:rPr>
          <w:rFonts w:ascii="宋体" w:hAnsi="宋体" w:cs="宋体"/>
          <w:kern w:val="0"/>
          <w:sz w:val="28"/>
          <w:szCs w:val="22"/>
          <w:lang w:val="zh-CN" w:bidi="zh-CN"/>
        </w:rPr>
        <w:t xml:space="preserve">                    </w:t>
      </w:r>
      <w:r>
        <w:rPr>
          <w:rFonts w:hint="eastAsia" w:ascii="宋体" w:hAnsi="宋体" w:cs="宋体"/>
          <w:kern w:val="0"/>
          <w:sz w:val="24"/>
          <w:szCs w:val="24"/>
          <w:lang w:val="zh-CN" w:bidi="zh-CN"/>
        </w:rPr>
        <w:t xml:space="preserve"> </w:t>
      </w:r>
      <w:r>
        <w:rPr>
          <w:rFonts w:hint="eastAsia" w:ascii="宋体" w:hAnsi="宋体" w:cs="宋体"/>
          <w:kern w:val="0"/>
          <w:szCs w:val="21"/>
          <w:lang w:val="zh-CN" w:bidi="zh-CN"/>
        </w:rPr>
        <w:t>实施日期：202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管理者代表任命书</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因公司经营发展需要，根据我公司章程，经董事会讨论和决议，兹任命</w:t>
      </w:r>
      <w:r>
        <w:rPr>
          <w:rFonts w:hint="eastAsia" w:ascii="宋体" w:hAnsi="宋体" w:cs="宋体"/>
          <w:kern w:val="0"/>
          <w:szCs w:val="21"/>
          <w:u w:val="single"/>
          <w:lang w:val="zh-CN" w:bidi="zh-CN"/>
        </w:rPr>
        <w:t>崔敏</w:t>
      </w:r>
      <w:r>
        <w:rPr>
          <w:rFonts w:hint="eastAsia" w:ascii="宋体" w:hAnsi="宋体" w:cs="宋体"/>
          <w:color w:val="000000"/>
          <w:kern w:val="0"/>
          <w:szCs w:val="21"/>
          <w:u w:val="single"/>
          <w:lang w:bidi="zh-CN"/>
        </w:rPr>
        <w:t>同志</w:t>
      </w:r>
      <w:r>
        <w:rPr>
          <w:rFonts w:hint="eastAsia" w:ascii="宋体" w:hAnsi="宋体" w:cs="宋体"/>
          <w:kern w:val="0"/>
          <w:szCs w:val="21"/>
          <w:lang w:val="zh-CN" w:bidi="zh-CN"/>
        </w:rPr>
        <w:t>担任我公司管理者代表。全面负责经营与销售体系工作。其职责和权限如下:</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1、配合公司总经理各部门主管配置、协调、调度经营、诚信体系运行过程中所需的资源，进行产品销售。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2、负责与经营、诚信体系运行相关的各方（包括公司内部和外部）协调与联络工作，提高诚信度。</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3、向公司总经理汇报经营、诚信体系运行情况，为持续改进经营、诚信体系提供决策依据。</w:t>
      </w:r>
      <w:r>
        <w:rPr>
          <w:rFonts w:hint="eastAsia" w:ascii="宋体" w:hAnsi="宋体" w:cs="宋体"/>
          <w:kern w:val="0"/>
          <w:szCs w:val="21"/>
          <w:lang w:val="zh-CN" w:bidi="zh-CN"/>
        </w:rPr>
        <w:br w:type="textWrapping"/>
      </w:r>
      <w:r>
        <w:rPr>
          <w:rFonts w:hint="eastAsia" w:ascii="宋体" w:hAnsi="宋体" w:cs="宋体"/>
          <w:kern w:val="0"/>
          <w:szCs w:val="21"/>
          <w:lang w:val="zh-CN" w:bidi="zh-CN"/>
        </w:rPr>
        <w:t xml:space="preserve">    4、协助公司总经理组织筹备诚信管理评审工作。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此任命即日起开始执行！</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                                  </w:t>
      </w:r>
      <w:r>
        <w:rPr>
          <w:rFonts w:ascii="宋体" w:hAnsi="宋体" w:cs="宋体"/>
          <w:kern w:val="0"/>
          <w:szCs w:val="21"/>
          <w:lang w:val="zh-CN" w:bidi="zh-CN"/>
        </w:rPr>
        <w:t xml:space="preserve">                                 </w:t>
      </w:r>
      <w:r>
        <w:rPr>
          <w:rFonts w:hint="eastAsia" w:ascii="宋体" w:hAnsi="宋体" w:cs="宋体"/>
          <w:kern w:val="0"/>
          <w:szCs w:val="21"/>
          <w:lang w:val="zh-CN" w:bidi="zh-CN"/>
        </w:rPr>
        <w:t xml:space="preserve"> 总经理：</w:t>
      </w:r>
      <w:r>
        <w:rPr>
          <w:rFonts w:hint="eastAsia" w:ascii="宋体" w:hAnsi="宋体" w:cs="宋体"/>
          <w:kern w:val="0"/>
          <w:szCs w:val="21"/>
          <w:lang w:bidi="zh-CN"/>
        </w:rPr>
        <w:t>罗建群</w:t>
      </w:r>
    </w:p>
    <w:p>
      <w:pPr>
        <w:autoSpaceDE w:val="0"/>
        <w:autoSpaceDN w:val="0"/>
        <w:spacing w:line="276" w:lineRule="auto"/>
        <w:ind w:firstLine="693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jc w:val="center"/>
        <w:rPr>
          <w:rFonts w:ascii="宋体" w:hAnsi="宋体" w:cs="宋体"/>
          <w:kern w:val="0"/>
          <w:sz w:val="28"/>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诚信经理任命书</w:t>
      </w:r>
    </w:p>
    <w:p>
      <w:pPr>
        <w:autoSpaceDE w:val="0"/>
        <w:autoSpaceDN w:val="0"/>
        <w:spacing w:line="276" w:lineRule="auto"/>
        <w:ind w:firstLine="480"/>
        <w:jc w:val="left"/>
        <w:rPr>
          <w:rFonts w:ascii="宋体" w:hAnsi="宋体" w:cs="宋体"/>
          <w:kern w:val="0"/>
          <w:szCs w:val="21"/>
          <w:lang w:val="zh-CN" w:bidi="zh-CN"/>
        </w:rPr>
      </w:pPr>
      <w:r>
        <w:rPr>
          <w:rFonts w:hint="eastAsia" w:ascii="宋体" w:hAnsi="宋体" w:cs="宋体"/>
          <w:kern w:val="0"/>
          <w:szCs w:val="21"/>
          <w:lang w:val="zh-CN" w:bidi="zh-CN"/>
        </w:rPr>
        <w:t>为更好贯彻 GB/T 31950-2023 诚信管理体系，实施诚信管理体系全面贯彻我司经营管理活动中，现任命</w:t>
      </w:r>
      <w:r>
        <w:rPr>
          <w:rFonts w:hint="eastAsia" w:ascii="宋体" w:hAnsi="宋体" w:cs="宋体"/>
          <w:kern w:val="0"/>
          <w:szCs w:val="21"/>
          <w:u w:val="single"/>
          <w:lang w:val="zh-CN" w:bidi="zh-CN"/>
        </w:rPr>
        <w:t>崔敏</w:t>
      </w:r>
      <w:r>
        <w:rPr>
          <w:rFonts w:hint="eastAsia" w:ascii="宋体" w:hAnsi="宋体" w:cs="宋体"/>
          <w:kern w:val="0"/>
          <w:szCs w:val="21"/>
          <w:lang w:bidi="zh-CN"/>
        </w:rPr>
        <w:t>同志</w:t>
      </w:r>
      <w:r>
        <w:rPr>
          <w:rFonts w:hint="eastAsia" w:ascii="宋体" w:hAnsi="宋体" w:cs="宋体"/>
          <w:kern w:val="0"/>
          <w:szCs w:val="21"/>
          <w:lang w:val="zh-CN" w:bidi="zh-CN"/>
        </w:rPr>
        <w:t>为诚信经理，其职责如下：</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a)协助总经理确保公司诚信管理体系按 GB/T 31950-2023 标准的要求得到建立、实施和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保持；</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b)向公司总经理报告诚信管理体系的业绩和任何改进的需求；</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c)确保在公司内树立提高以诚信为本，满足相关方满意度的意识；</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d)就本公司诚信管理体系有关事宜与外部（如认证机构）保持联络；</w:t>
      </w:r>
    </w:p>
    <w:p>
      <w:pPr>
        <w:autoSpaceDE w:val="0"/>
        <w:autoSpaceDN w:val="0"/>
        <w:spacing w:line="276" w:lineRule="auto"/>
        <w:ind w:firstLine="420"/>
        <w:jc w:val="left"/>
        <w:rPr>
          <w:rFonts w:ascii="宋体" w:hAnsi="宋体" w:cs="宋体"/>
          <w:kern w:val="0"/>
          <w:szCs w:val="21"/>
          <w:lang w:val="zh-CN" w:bidi="zh-CN"/>
        </w:rPr>
      </w:pPr>
      <w:r>
        <w:rPr>
          <w:rFonts w:hint="eastAsia" w:ascii="宋体" w:hAnsi="宋体" w:cs="宋体"/>
          <w:kern w:val="0"/>
          <w:szCs w:val="21"/>
          <w:lang w:val="zh-CN" w:bidi="zh-CN"/>
        </w:rPr>
        <w:t>e)诚信管理体系的持续完善以及提高全员的意识。</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ind w:firstLine="6720"/>
        <w:jc w:val="left"/>
        <w:rPr>
          <w:rFonts w:ascii="宋体" w:hAnsi="宋体" w:cs="宋体"/>
          <w:kern w:val="0"/>
          <w:szCs w:val="21"/>
          <w:lang w:bidi="zh-CN"/>
        </w:rPr>
      </w:pPr>
      <w:r>
        <w:rPr>
          <w:rFonts w:hint="eastAsia" w:ascii="宋体" w:hAnsi="宋体" w:cs="宋体"/>
          <w:kern w:val="0"/>
          <w:szCs w:val="21"/>
          <w:lang w:val="zh-CN" w:bidi="zh-CN"/>
        </w:rPr>
        <w:t>总经理：</w:t>
      </w:r>
      <w:r>
        <w:rPr>
          <w:rFonts w:hint="eastAsia" w:ascii="宋体" w:hAnsi="宋体" w:cs="宋体"/>
          <w:kern w:val="0"/>
          <w:szCs w:val="21"/>
          <w:lang w:bidi="zh-CN"/>
        </w:rPr>
        <w:t>罗建群</w:t>
      </w:r>
    </w:p>
    <w:p>
      <w:pPr>
        <w:autoSpaceDE w:val="0"/>
        <w:autoSpaceDN w:val="0"/>
        <w:spacing w:line="276" w:lineRule="auto"/>
        <w:ind w:firstLine="6510"/>
        <w:jc w:val="left"/>
        <w:rPr>
          <w:rFonts w:ascii="宋体" w:hAnsi="宋体" w:cs="宋体"/>
          <w:kern w:val="0"/>
          <w:szCs w:val="21"/>
          <w:lang w:bidi="zh-CN"/>
        </w:rPr>
      </w:pPr>
      <w:r>
        <w:rPr>
          <w:rFonts w:hint="eastAsia" w:ascii="宋体" w:hAnsi="宋体" w:cs="宋体"/>
          <w:kern w:val="0"/>
          <w:szCs w:val="21"/>
          <w:lang w:val="zh-CN" w:bidi="zh-CN"/>
        </w:rPr>
        <w:t>日期：202</w:t>
      </w:r>
      <w:r>
        <w:rPr>
          <w:rFonts w:hint="eastAsia" w:ascii="宋体" w:hAnsi="宋体" w:cs="宋体"/>
          <w:kern w:val="0"/>
          <w:szCs w:val="21"/>
          <w:lang w:bidi="zh-CN"/>
        </w:rPr>
        <w:t>3</w:t>
      </w:r>
      <w:r>
        <w:rPr>
          <w:rFonts w:hint="eastAsia" w:ascii="宋体" w:hAnsi="宋体" w:cs="宋体"/>
          <w:kern w:val="0"/>
          <w:szCs w:val="21"/>
          <w:lang w:val="zh-CN" w:bidi="zh-CN"/>
        </w:rPr>
        <w:t>-</w:t>
      </w:r>
      <w:r>
        <w:rPr>
          <w:rFonts w:hint="eastAsia" w:ascii="宋体" w:hAnsi="宋体" w:cs="宋体"/>
          <w:kern w:val="0"/>
          <w:szCs w:val="21"/>
          <w:lang w:bidi="zh-CN"/>
        </w:rPr>
        <w:t>03</w:t>
      </w:r>
      <w:r>
        <w:rPr>
          <w:rFonts w:hint="eastAsia" w:ascii="宋体" w:hAnsi="宋体" w:cs="宋体"/>
          <w:kern w:val="0"/>
          <w:szCs w:val="21"/>
          <w:lang w:val="zh-CN" w:bidi="zh-CN"/>
        </w:rPr>
        <w:t>-</w:t>
      </w:r>
      <w:r>
        <w:rPr>
          <w:rFonts w:hint="eastAsia" w:ascii="宋体" w:hAnsi="宋体" w:cs="宋体"/>
          <w:kern w:val="0"/>
          <w:szCs w:val="21"/>
          <w:lang w:bidi="zh-CN"/>
        </w:rPr>
        <w:t>1</w:t>
      </w:r>
      <w:r>
        <w:rPr>
          <w:rFonts w:ascii="宋体" w:hAnsi="宋体" w:cs="宋体"/>
          <w:kern w:val="0"/>
          <w:szCs w:val="21"/>
          <w:lang w:bidi="zh-CN"/>
        </w:rPr>
        <w:t>7</w:t>
      </w:r>
    </w:p>
    <w:p>
      <w:pPr>
        <w:autoSpaceDE w:val="0"/>
        <w:autoSpaceDN w:val="0"/>
        <w:spacing w:line="276" w:lineRule="auto"/>
        <w:jc w:val="left"/>
        <w:rPr>
          <w:rFonts w:ascii="宋体" w:hAnsi="宋体" w:cs="宋体"/>
          <w:kern w:val="0"/>
          <w:szCs w:val="21"/>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附件4 组织架构图</w:t>
      </w:r>
    </w:p>
    <w:p>
      <w:pPr>
        <w:autoSpaceDE w:val="0"/>
        <w:autoSpaceDN w:val="0"/>
        <w:spacing w:before="240" w:after="60"/>
        <w:jc w:val="center"/>
        <w:outlineLvl w:val="0"/>
        <w:rPr>
          <w:rFonts w:ascii="宋体" w:hAnsi="宋体" w:cs="宋体"/>
          <w:kern w:val="0"/>
          <w:sz w:val="24"/>
          <w:szCs w:val="24"/>
          <w:lang w:val="zh-CN" w:bidi="zh-CN"/>
        </w:rPr>
      </w:pPr>
      <w:r>
        <w:rPr>
          <w:rFonts w:ascii="宋体" w:hAnsi="宋体" w:cs="宋体"/>
          <w:b/>
          <w:bCs/>
          <w:kern w:val="0"/>
          <w:sz w:val="24"/>
          <w:szCs w:val="24"/>
          <w:lang w:val="zh-CN" w:bidi="zh-CN"/>
        </w:rPr>
        <w:drawing>
          <wp:inline distT="0" distB="0" distL="0" distR="0">
            <wp:extent cx="3867150" cy="375920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67150" cy="3759200"/>
                    </a:xfrm>
                    <a:prstGeom prst="rect">
                      <a:avLst/>
                    </a:prstGeom>
                    <a:noFill/>
                    <a:ln>
                      <a:noFill/>
                    </a:ln>
                  </pic:spPr>
                </pic:pic>
              </a:graphicData>
            </a:graphic>
          </wp:inline>
        </w:drawing>
      </w:r>
    </w:p>
    <w:p>
      <w:pPr>
        <w:autoSpaceDE w:val="0"/>
        <w:autoSpaceDN w:val="0"/>
        <w:jc w:val="left"/>
        <w:rPr>
          <w:rFonts w:ascii="宋体" w:hAnsi="宋体" w:cs="宋体"/>
          <w:kern w:val="0"/>
          <w:sz w:val="22"/>
          <w:szCs w:val="22"/>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hint="eastAsia"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r>
        <w:rPr>
          <w:rFonts w:hint="eastAsia" w:ascii="宋体" w:hAnsi="宋体" w:cs="宋体"/>
          <w:b/>
          <w:bCs/>
          <w:kern w:val="0"/>
          <w:sz w:val="24"/>
          <w:szCs w:val="24"/>
          <w:lang w:val="zh-CN" w:bidi="zh-CN"/>
        </w:rPr>
        <w:t>附件5 职能分配</w:t>
      </w:r>
    </w:p>
    <w:tbl>
      <w:tblPr>
        <w:tblStyle w:val="17"/>
        <w:tblpPr w:leftFromText="180" w:rightFromText="180" w:vertAnchor="text" w:horzAnchor="page" w:tblpX="984" w:tblpY="58"/>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1168"/>
        <w:gridCol w:w="1169"/>
        <w:gridCol w:w="1169"/>
        <w:gridCol w:w="1169"/>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trPr>
        <w:tc>
          <w:tcPr>
            <w:tcW w:w="4045" w:type="dxa"/>
            <w:tcBorders>
              <w:tl2br w:val="single" w:color="auto" w:sz="4" w:space="0"/>
            </w:tcBorders>
          </w:tcPr>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val="zh-CN" w:bidi="zh-CN"/>
              </w:rPr>
              <w:t xml:space="preserve">                </w:t>
            </w:r>
            <w:r>
              <w:rPr>
                <w:rFonts w:hint="eastAsia" w:ascii="宋体" w:hAnsi="宋体" w:cs="宋体"/>
                <w:kern w:val="0"/>
                <w:szCs w:val="21"/>
                <w:lang w:val="zh-CN" w:bidi="zh-CN"/>
              </w:rPr>
              <w:t>部门</w:t>
            </w:r>
            <w:r>
              <w:rPr>
                <w:rFonts w:ascii="宋体" w:hAnsi="宋体" w:cs="宋体"/>
                <w:kern w:val="0"/>
                <w:szCs w:val="21"/>
                <w:lang w:val="zh-CN" w:bidi="zh-CN"/>
              </w:rPr>
              <w:t xml:space="preserve">                                                                                              </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条款号和要求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管理层</w:t>
            </w:r>
          </w:p>
          <w:p>
            <w:pPr>
              <w:autoSpaceDE w:val="0"/>
              <w:autoSpaceDN w:val="0"/>
              <w:spacing w:line="276" w:lineRule="auto"/>
              <w:jc w:val="center"/>
              <w:rPr>
                <w:rFonts w:ascii="宋体" w:hAnsi="宋体" w:cs="宋体"/>
                <w:kern w:val="0"/>
                <w:szCs w:val="21"/>
                <w:lang w:bidi="zh-CN"/>
              </w:rPr>
            </w:pPr>
            <w:r>
              <w:rPr>
                <w:rFonts w:hint="eastAsia" w:ascii="宋体" w:hAnsi="宋体" w:cs="宋体"/>
                <w:kern w:val="0"/>
                <w:szCs w:val="21"/>
                <w:lang w:val="zh-CN" w:bidi="zh-CN"/>
              </w:rPr>
              <w:t>/诚信经理</w:t>
            </w:r>
          </w:p>
        </w:tc>
        <w:tc>
          <w:tcPr>
            <w:tcW w:w="1169" w:type="dxa"/>
            <w:vAlign w:val="center"/>
          </w:tcPr>
          <w:p>
            <w:pPr>
              <w:autoSpaceDE w:val="0"/>
              <w:autoSpaceDN w:val="0"/>
              <w:spacing w:line="276" w:lineRule="auto"/>
              <w:jc w:val="center"/>
              <w:rPr>
                <w:rFonts w:ascii="宋体" w:hAnsi="宋体" w:cs="宋体"/>
                <w:kern w:val="0"/>
                <w:szCs w:val="21"/>
                <w:lang w:val="zh-CN" w:bidi="zh-CN"/>
              </w:rPr>
            </w:pPr>
          </w:p>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综合管理部</w:t>
            </w:r>
          </w:p>
          <w:p>
            <w:pPr>
              <w:autoSpaceDE w:val="0"/>
              <w:autoSpaceDN w:val="0"/>
              <w:spacing w:line="276" w:lineRule="auto"/>
              <w:jc w:val="center"/>
              <w:rPr>
                <w:rFonts w:ascii="宋体" w:hAnsi="宋体" w:cs="宋体"/>
                <w:kern w:val="0"/>
                <w:szCs w:val="21"/>
                <w:lang w:val="zh-CN" w:bidi="zh-CN"/>
              </w:rPr>
            </w:pP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市场部</w:t>
            </w:r>
          </w:p>
        </w:tc>
        <w:tc>
          <w:tcPr>
            <w:tcW w:w="1169" w:type="dxa"/>
            <w:vAlign w:val="center"/>
          </w:tcPr>
          <w:p>
            <w:pPr>
              <w:tabs>
                <w:tab w:val="left" w:pos="1260"/>
              </w:tabs>
              <w:autoSpaceDE w:val="0"/>
              <w:autoSpaceDN w:val="0"/>
              <w:spacing w:line="276" w:lineRule="auto"/>
              <w:rPr>
                <w:rFonts w:hint="eastAsia" w:ascii="宋体" w:hAnsi="宋体" w:cs="宋体"/>
                <w:kern w:val="0"/>
                <w:szCs w:val="21"/>
                <w:lang w:bidi="zh-CN"/>
              </w:rPr>
            </w:pPr>
            <w:r>
              <w:rPr>
                <w:rFonts w:hint="eastAsia" w:ascii="宋体" w:hAnsi="宋体" w:cs="宋体"/>
                <w:kern w:val="0"/>
                <w:szCs w:val="21"/>
                <w:lang w:bidi="zh-CN"/>
              </w:rPr>
              <w:t>品质部</w:t>
            </w:r>
          </w:p>
        </w:tc>
        <w:tc>
          <w:tcPr>
            <w:tcW w:w="1169" w:type="dxa"/>
            <w:vAlign w:val="center"/>
          </w:tcPr>
          <w:p>
            <w:pPr>
              <w:tabs>
                <w:tab w:val="left" w:pos="1260"/>
              </w:tabs>
              <w:autoSpaceDE w:val="0"/>
              <w:autoSpaceDN w:val="0"/>
              <w:spacing w:line="276" w:lineRule="auto"/>
              <w:rPr>
                <w:rFonts w:ascii="宋体" w:hAnsi="宋体" w:cs="宋体"/>
                <w:kern w:val="0"/>
                <w:szCs w:val="21"/>
                <w:lang w:bidi="zh-CN"/>
              </w:rPr>
            </w:pPr>
            <w:r>
              <w:rPr>
                <w:rFonts w:hint="eastAsia" w:ascii="宋体" w:hAnsi="宋体" w:cs="宋体"/>
                <w:kern w:val="0"/>
                <w:szCs w:val="21"/>
                <w:lang w:bidi="zh-CN"/>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 xml:space="preserve">4.1 诚信管理原则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承诺及履行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 确立诚信方针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 确立诚信目标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5.2.1 总则 ■ □ □ □ □</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5.2.2 过程控制 ■ □ □ □ □</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4.2 体系运行方法</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 xml:space="preserve">5 </w:t>
            </w:r>
            <w:r>
              <w:rPr>
                <w:rFonts w:hint="eastAsia" w:ascii="宋体" w:hAnsi="宋体" w:cs="宋体"/>
                <w:kern w:val="0"/>
                <w:szCs w:val="21"/>
                <w:lang w:bidi="zh-CN"/>
              </w:rPr>
              <w:t>企业环境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5.1企业诚信环境</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5.2相关方需求和期望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3愿景和目标</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4诚信管理体系范围</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val="zh-CN" w:bidi="zh-CN"/>
              </w:rPr>
              <w:t>5.</w:t>
            </w:r>
            <w:r>
              <w:rPr>
                <w:rFonts w:hint="eastAsia" w:ascii="宋体" w:hAnsi="宋体" w:cs="宋体"/>
                <w:kern w:val="0"/>
                <w:szCs w:val="21"/>
                <w:lang w:bidi="zh-CN"/>
              </w:rPr>
              <w:t>5诚信管理体系所需过程</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6</w:t>
            </w:r>
            <w:r>
              <w:rPr>
                <w:rFonts w:ascii="宋体" w:hAnsi="宋体" w:cs="宋体"/>
                <w:spacing w:val="-3"/>
                <w:kern w:val="0"/>
                <w:szCs w:val="21"/>
                <w:lang w:val="zh-CN" w:bidi="zh-CN"/>
              </w:rPr>
              <w:t>领</w:t>
            </w:r>
            <w:r>
              <w:rPr>
                <w:rFonts w:ascii="宋体" w:hAnsi="宋体" w:cs="宋体"/>
                <w:kern w:val="0"/>
                <w:szCs w:val="21"/>
                <w:lang w:val="zh-CN" w:bidi="zh-CN"/>
              </w:rPr>
              <w:t>导</w:t>
            </w:r>
            <w:r>
              <w:rPr>
                <w:rFonts w:ascii="宋体" w:hAnsi="宋体" w:cs="宋体"/>
                <w:spacing w:val="-3"/>
                <w:kern w:val="0"/>
                <w:szCs w:val="21"/>
                <w:lang w:val="zh-CN" w:bidi="zh-CN"/>
              </w:rPr>
              <w:t>作</w:t>
            </w:r>
            <w:r>
              <w:rPr>
                <w:rFonts w:ascii="宋体" w:hAnsi="宋体" w:cs="宋体"/>
                <w:kern w:val="0"/>
                <w:szCs w:val="21"/>
                <w:lang w:val="zh-CN" w:bidi="zh-CN"/>
              </w:rPr>
              <w:t>用</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6.1</w:t>
            </w:r>
            <w:r>
              <w:rPr>
                <w:rFonts w:ascii="宋体" w:hAnsi="宋体" w:cs="宋体"/>
                <w:kern w:val="0"/>
                <w:szCs w:val="21"/>
                <w:lang w:val="zh-CN" w:bidi="zh-CN"/>
              </w:rPr>
              <w:t>总则</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6.2</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方针</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6.3</w:t>
            </w:r>
            <w:r>
              <w:rPr>
                <w:rFonts w:ascii="宋体" w:hAnsi="宋体" w:cs="宋体"/>
                <w:kern w:val="0"/>
                <w:szCs w:val="21"/>
                <w:lang w:val="zh-CN" w:bidi="zh-CN"/>
              </w:rPr>
              <w:t>确</w:t>
            </w:r>
            <w:r>
              <w:rPr>
                <w:rFonts w:ascii="宋体" w:hAnsi="宋体" w:cs="宋体"/>
                <w:spacing w:val="-3"/>
                <w:kern w:val="0"/>
                <w:szCs w:val="21"/>
                <w:lang w:val="zh-CN" w:bidi="zh-CN"/>
              </w:rPr>
              <w:t>认</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hint="eastAsia" w:ascii="宋体" w:hAnsi="宋体" w:cs="宋体"/>
                <w:spacing w:val="-3"/>
                <w:kern w:val="0"/>
                <w:szCs w:val="21"/>
                <w:lang w:bidi="zh-CN"/>
              </w:rPr>
              <w:t>相关</w:t>
            </w:r>
            <w:r>
              <w:rPr>
                <w:rFonts w:ascii="宋体" w:hAnsi="宋体" w:cs="宋体"/>
                <w:kern w:val="0"/>
                <w:szCs w:val="21"/>
                <w:lang w:val="zh-CN" w:bidi="zh-CN"/>
              </w:rPr>
              <w:t>制度</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6.4确认</w:t>
            </w:r>
            <w:r>
              <w:rPr>
                <w:rFonts w:ascii="宋体" w:hAnsi="宋体" w:cs="宋体"/>
                <w:kern w:val="0"/>
                <w:szCs w:val="21"/>
                <w:lang w:val="zh-CN" w:bidi="zh-CN"/>
              </w:rPr>
              <w:t>诚</w:t>
            </w:r>
            <w:r>
              <w:rPr>
                <w:rFonts w:ascii="宋体" w:hAnsi="宋体" w:cs="宋体"/>
                <w:spacing w:val="-3"/>
                <w:kern w:val="0"/>
                <w:szCs w:val="21"/>
                <w:lang w:val="zh-CN" w:bidi="zh-CN"/>
              </w:rPr>
              <w:t>信</w:t>
            </w:r>
            <w:r>
              <w:rPr>
                <w:rFonts w:hint="eastAsia" w:ascii="宋体" w:hAnsi="宋体" w:cs="宋体"/>
                <w:spacing w:val="-3"/>
                <w:kern w:val="0"/>
                <w:szCs w:val="21"/>
                <w:lang w:bidi="zh-CN"/>
              </w:rPr>
              <w:t>管理部门/岗位职责和权限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7策划</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7.1</w:t>
            </w:r>
            <w:r>
              <w:rPr>
                <w:rFonts w:ascii="宋体" w:hAnsi="宋体" w:cs="宋体"/>
                <w:kern w:val="0"/>
                <w:szCs w:val="21"/>
                <w:lang w:val="zh-CN" w:bidi="zh-CN"/>
              </w:rPr>
              <w:t>确</w:t>
            </w:r>
            <w:r>
              <w:rPr>
                <w:rFonts w:ascii="宋体" w:hAnsi="宋体" w:cs="宋体"/>
                <w:spacing w:val="-3"/>
                <w:kern w:val="0"/>
                <w:szCs w:val="21"/>
                <w:lang w:val="zh-CN" w:bidi="zh-CN"/>
              </w:rPr>
              <w:t>立</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及</w:t>
            </w:r>
            <w:r>
              <w:rPr>
                <w:rFonts w:ascii="宋体" w:hAnsi="宋体" w:cs="宋体"/>
                <w:spacing w:val="-3"/>
                <w:kern w:val="0"/>
                <w:szCs w:val="21"/>
                <w:lang w:val="zh-CN" w:bidi="zh-CN"/>
              </w:rPr>
              <w:t>其</w:t>
            </w:r>
            <w:r>
              <w:rPr>
                <w:rFonts w:hint="eastAsia" w:ascii="宋体" w:hAnsi="宋体" w:cs="宋体"/>
                <w:spacing w:val="-3"/>
                <w:kern w:val="0"/>
                <w:szCs w:val="21"/>
                <w:lang w:bidi="zh-CN"/>
              </w:rPr>
              <w:t>相关</w:t>
            </w:r>
            <w:r>
              <w:rPr>
                <w:rFonts w:ascii="宋体" w:hAnsi="宋体" w:cs="宋体"/>
                <w:kern w:val="0"/>
                <w:szCs w:val="21"/>
                <w:lang w:val="zh-CN" w:bidi="zh-CN"/>
              </w:rPr>
              <w:t>制</w:t>
            </w:r>
            <w:r>
              <w:rPr>
                <w:rFonts w:ascii="宋体" w:hAnsi="宋体" w:cs="宋体"/>
                <w:spacing w:val="-3"/>
                <w:kern w:val="0"/>
                <w:szCs w:val="21"/>
                <w:lang w:val="zh-CN" w:bidi="zh-CN"/>
              </w:rPr>
              <w:t>度</w:t>
            </w:r>
            <w:r>
              <w:rPr>
                <w:rFonts w:ascii="宋体" w:hAnsi="宋体" w:cs="宋体"/>
                <w:kern w:val="0"/>
                <w:szCs w:val="21"/>
                <w:lang w:val="zh-CN" w:bidi="zh-CN"/>
              </w:rPr>
              <w:t>的</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7.2</w:t>
            </w:r>
            <w:r>
              <w:rPr>
                <w:rFonts w:ascii="宋体" w:hAnsi="宋体" w:cs="宋体"/>
                <w:kern w:val="0"/>
                <w:szCs w:val="21"/>
                <w:lang w:val="zh-CN" w:bidi="zh-CN"/>
              </w:rPr>
              <w:t>企</w:t>
            </w:r>
            <w:r>
              <w:rPr>
                <w:rFonts w:ascii="宋体" w:hAnsi="宋体" w:cs="宋体"/>
                <w:spacing w:val="-3"/>
                <w:kern w:val="0"/>
                <w:szCs w:val="21"/>
                <w:lang w:val="zh-CN" w:bidi="zh-CN"/>
              </w:rPr>
              <w:t>业承</w:t>
            </w:r>
            <w:r>
              <w:rPr>
                <w:rFonts w:ascii="宋体" w:hAnsi="宋体" w:cs="宋体"/>
                <w:kern w:val="0"/>
                <w:szCs w:val="21"/>
                <w:lang w:val="zh-CN" w:bidi="zh-CN"/>
              </w:rPr>
              <w:t>诺</w:t>
            </w:r>
            <w:r>
              <w:rPr>
                <w:rFonts w:ascii="宋体" w:hAnsi="宋体" w:cs="宋体"/>
                <w:spacing w:val="-3"/>
                <w:kern w:val="0"/>
                <w:szCs w:val="21"/>
                <w:lang w:val="zh-CN" w:bidi="zh-CN"/>
              </w:rPr>
              <w:t>及</w:t>
            </w:r>
            <w:r>
              <w:rPr>
                <w:rFonts w:ascii="宋体" w:hAnsi="宋体" w:cs="宋体"/>
                <w:kern w:val="0"/>
                <w:szCs w:val="21"/>
                <w:lang w:val="zh-CN" w:bidi="zh-CN"/>
              </w:rPr>
              <w:t>其</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7.3应对风险和机遇要求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7.4应对变更要求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w:t>
            </w:r>
            <w:r>
              <w:rPr>
                <w:rFonts w:ascii="宋体" w:hAnsi="宋体" w:cs="宋体"/>
                <w:kern w:val="0"/>
                <w:szCs w:val="21"/>
                <w:lang w:val="zh-CN" w:bidi="zh-CN"/>
              </w:rPr>
              <w:t>支持</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spacing w:val="-3"/>
                <w:kern w:val="0"/>
                <w:szCs w:val="21"/>
                <w:lang w:bidi="zh-CN"/>
              </w:rPr>
              <w:t>8.1</w:t>
            </w:r>
            <w:r>
              <w:rPr>
                <w:rFonts w:ascii="宋体" w:hAnsi="宋体" w:cs="宋体"/>
                <w:spacing w:val="-3"/>
                <w:kern w:val="0"/>
                <w:szCs w:val="21"/>
                <w:lang w:val="zh-CN" w:bidi="zh-CN"/>
              </w:rPr>
              <w:t>资源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8.2信息交流与控制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8.3成文信息</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w:t>
            </w:r>
            <w:r>
              <w:rPr>
                <w:rFonts w:ascii="宋体" w:hAnsi="宋体" w:cs="宋体"/>
                <w:kern w:val="0"/>
                <w:szCs w:val="21"/>
                <w:lang w:val="zh-CN" w:bidi="zh-CN"/>
              </w:rPr>
              <w:t>管</w:t>
            </w:r>
            <w:r>
              <w:rPr>
                <w:rFonts w:ascii="宋体" w:hAnsi="宋体" w:cs="宋体"/>
                <w:spacing w:val="-3"/>
                <w:kern w:val="0"/>
                <w:szCs w:val="21"/>
                <w:lang w:val="zh-CN" w:bidi="zh-CN"/>
              </w:rPr>
              <w:t>理</w:t>
            </w:r>
            <w:r>
              <w:rPr>
                <w:rFonts w:ascii="宋体" w:hAnsi="宋体" w:cs="宋体"/>
                <w:kern w:val="0"/>
                <w:szCs w:val="21"/>
                <w:lang w:val="zh-CN" w:bidi="zh-CN"/>
              </w:rPr>
              <w:t>实现</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w:t>
            </w:r>
            <w:r>
              <w:rPr>
                <w:rFonts w:ascii="宋体" w:hAnsi="宋体" w:cs="宋体"/>
                <w:spacing w:val="-3"/>
                <w:kern w:val="0"/>
                <w:szCs w:val="21"/>
                <w:lang w:val="zh-CN" w:bidi="zh-CN"/>
              </w:rPr>
              <w:t>总</w:t>
            </w:r>
            <w:r>
              <w:rPr>
                <w:rFonts w:ascii="宋体" w:hAnsi="宋体" w:cs="宋体"/>
                <w:kern w:val="0"/>
                <w:szCs w:val="21"/>
                <w:lang w:val="zh-CN" w:bidi="zh-CN"/>
              </w:rPr>
              <w:t>体</w:t>
            </w:r>
            <w:r>
              <w:rPr>
                <w:rFonts w:ascii="宋体" w:hAnsi="宋体" w:cs="宋体"/>
                <w:spacing w:val="-3"/>
                <w:kern w:val="0"/>
                <w:szCs w:val="21"/>
                <w:lang w:val="zh-CN" w:bidi="zh-CN"/>
              </w:rPr>
              <w:t>要</w:t>
            </w:r>
            <w:r>
              <w:rPr>
                <w:rFonts w:ascii="宋体" w:hAnsi="宋体" w:cs="宋体"/>
                <w:kern w:val="0"/>
                <w:szCs w:val="21"/>
                <w:lang w:val="zh-CN" w:bidi="zh-CN"/>
              </w:rPr>
              <w:t>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9.2</w:t>
            </w:r>
            <w:r>
              <w:rPr>
                <w:rFonts w:ascii="宋体" w:hAnsi="宋体" w:cs="宋体"/>
                <w:spacing w:val="-3"/>
                <w:kern w:val="0"/>
                <w:szCs w:val="21"/>
                <w:lang w:val="zh-CN" w:bidi="zh-CN"/>
              </w:rPr>
              <w:t>信</w:t>
            </w:r>
            <w:r>
              <w:rPr>
                <w:rFonts w:ascii="宋体" w:hAnsi="宋体" w:cs="宋体"/>
                <w:kern w:val="0"/>
                <w:szCs w:val="21"/>
                <w:lang w:val="zh-CN" w:bidi="zh-CN"/>
              </w:rPr>
              <w:t>用</w:t>
            </w:r>
            <w:r>
              <w:rPr>
                <w:rFonts w:ascii="宋体" w:hAnsi="宋体" w:cs="宋体"/>
                <w:spacing w:val="-3"/>
                <w:kern w:val="0"/>
                <w:szCs w:val="21"/>
                <w:lang w:val="zh-CN" w:bidi="zh-CN"/>
              </w:rPr>
              <w:t>调</w:t>
            </w:r>
            <w:r>
              <w:rPr>
                <w:rFonts w:ascii="宋体" w:hAnsi="宋体" w:cs="宋体"/>
                <w:kern w:val="0"/>
                <w:szCs w:val="21"/>
                <w:lang w:val="zh-CN" w:bidi="zh-CN"/>
              </w:rPr>
              <w:t>查</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9.3信用档案管理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9.4授信管理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9.5合同管理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9.6商账管理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9.7社会责任履行</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9.8诚信风险管理</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9.9应急准备和响应</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9.10诚信教育培训</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w:t>
            </w:r>
            <w:r>
              <w:rPr>
                <w:rFonts w:ascii="宋体" w:hAnsi="宋体" w:cs="宋体"/>
                <w:kern w:val="0"/>
                <w:szCs w:val="21"/>
                <w:lang w:val="zh-CN" w:bidi="zh-CN"/>
              </w:rPr>
              <w:t>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10.1</w:t>
            </w:r>
            <w:r>
              <w:rPr>
                <w:rFonts w:ascii="宋体" w:hAnsi="宋体" w:cs="宋体"/>
                <w:kern w:val="0"/>
                <w:szCs w:val="21"/>
                <w:lang w:val="zh-CN" w:bidi="zh-CN"/>
              </w:rPr>
              <w:t>人</w:t>
            </w:r>
            <w:r>
              <w:rPr>
                <w:rFonts w:ascii="宋体" w:hAnsi="宋体" w:cs="宋体"/>
                <w:spacing w:val="-3"/>
                <w:kern w:val="0"/>
                <w:szCs w:val="21"/>
                <w:lang w:val="zh-CN" w:bidi="zh-CN"/>
              </w:rPr>
              <w:t>员</w:t>
            </w:r>
            <w:r>
              <w:rPr>
                <w:rFonts w:ascii="宋体" w:hAnsi="宋体" w:cs="宋体"/>
                <w:kern w:val="0"/>
                <w:szCs w:val="21"/>
                <w:lang w:val="zh-CN" w:bidi="zh-CN"/>
              </w:rPr>
              <w:t>评价</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10.2</w:t>
            </w:r>
            <w:r>
              <w:rPr>
                <w:rFonts w:ascii="宋体" w:hAnsi="宋体" w:cs="宋体"/>
                <w:kern w:val="0"/>
                <w:szCs w:val="21"/>
                <w:lang w:val="zh-CN" w:bidi="zh-CN"/>
              </w:rPr>
              <w:t>内</w:t>
            </w:r>
            <w:r>
              <w:rPr>
                <w:rFonts w:ascii="宋体" w:hAnsi="宋体" w:cs="宋体"/>
                <w:spacing w:val="-3"/>
                <w:kern w:val="0"/>
                <w:szCs w:val="21"/>
                <w:lang w:val="zh-CN" w:bidi="zh-CN"/>
              </w:rPr>
              <w:t>外</w:t>
            </w:r>
            <w:r>
              <w:rPr>
                <w:rFonts w:ascii="宋体" w:hAnsi="宋体" w:cs="宋体"/>
                <w:kern w:val="0"/>
                <w:szCs w:val="21"/>
                <w:lang w:val="zh-CN" w:bidi="zh-CN"/>
              </w:rPr>
              <w:t>部</w:t>
            </w:r>
            <w:r>
              <w:rPr>
                <w:rFonts w:ascii="宋体" w:hAnsi="宋体" w:cs="宋体"/>
                <w:spacing w:val="-3"/>
                <w:kern w:val="0"/>
                <w:szCs w:val="21"/>
                <w:lang w:val="zh-CN" w:bidi="zh-CN"/>
              </w:rPr>
              <w:t>影</w:t>
            </w:r>
            <w:r>
              <w:rPr>
                <w:rFonts w:ascii="宋体" w:hAnsi="宋体" w:cs="宋体"/>
                <w:kern w:val="0"/>
                <w:szCs w:val="21"/>
                <w:lang w:val="zh-CN" w:bidi="zh-CN"/>
              </w:rPr>
              <w:t>响</w:t>
            </w:r>
            <w:r>
              <w:rPr>
                <w:rFonts w:ascii="宋体" w:hAnsi="宋体" w:cs="宋体"/>
                <w:spacing w:val="-3"/>
                <w:kern w:val="0"/>
                <w:szCs w:val="21"/>
                <w:lang w:val="zh-CN" w:bidi="zh-CN"/>
              </w:rPr>
              <w:t>因</w:t>
            </w:r>
            <w:r>
              <w:rPr>
                <w:rFonts w:ascii="宋体" w:hAnsi="宋体" w:cs="宋体"/>
                <w:kern w:val="0"/>
                <w:szCs w:val="21"/>
                <w:lang w:val="zh-CN" w:bidi="zh-CN"/>
              </w:rPr>
              <w:t>素</w:t>
            </w:r>
            <w:r>
              <w:rPr>
                <w:rFonts w:ascii="宋体" w:hAnsi="宋体" w:cs="宋体"/>
                <w:spacing w:val="-3"/>
                <w:kern w:val="0"/>
                <w:szCs w:val="21"/>
                <w:lang w:val="zh-CN" w:bidi="zh-CN"/>
              </w:rPr>
              <w:t>的检</w:t>
            </w:r>
            <w:r>
              <w:rPr>
                <w:rFonts w:ascii="宋体" w:hAnsi="宋体" w:cs="宋体"/>
                <w:kern w:val="0"/>
                <w:szCs w:val="21"/>
                <w:lang w:val="zh-CN" w:bidi="zh-CN"/>
              </w:rPr>
              <w:t>查与</w:t>
            </w:r>
            <w:r>
              <w:rPr>
                <w:rFonts w:ascii="宋体" w:hAnsi="宋体" w:cs="宋体"/>
                <w:spacing w:val="-3"/>
                <w:kern w:val="0"/>
                <w:szCs w:val="21"/>
                <w:lang w:val="zh-CN" w:bidi="zh-CN"/>
              </w:rPr>
              <w:t>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10.3</w:t>
            </w:r>
            <w:r>
              <w:rPr>
                <w:rFonts w:ascii="宋体" w:hAnsi="宋体" w:cs="宋体"/>
                <w:kern w:val="0"/>
                <w:szCs w:val="21"/>
                <w:lang w:val="zh-CN" w:bidi="zh-CN"/>
              </w:rPr>
              <w:t>承</w:t>
            </w:r>
            <w:r>
              <w:rPr>
                <w:rFonts w:ascii="宋体" w:hAnsi="宋体" w:cs="宋体"/>
                <w:spacing w:val="-3"/>
                <w:kern w:val="0"/>
                <w:szCs w:val="21"/>
                <w:lang w:val="zh-CN" w:bidi="zh-CN"/>
              </w:rPr>
              <w:t>诺</w:t>
            </w:r>
            <w:r>
              <w:rPr>
                <w:rFonts w:ascii="宋体" w:hAnsi="宋体" w:cs="宋体"/>
                <w:kern w:val="0"/>
                <w:szCs w:val="21"/>
                <w:lang w:val="zh-CN" w:bidi="zh-CN"/>
              </w:rPr>
              <w:t>兑</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检</w:t>
            </w:r>
            <w:r>
              <w:rPr>
                <w:rFonts w:ascii="宋体" w:hAnsi="宋体" w:cs="宋体"/>
                <w:kern w:val="0"/>
                <w:szCs w:val="21"/>
                <w:lang w:val="zh-CN" w:bidi="zh-CN"/>
              </w:rPr>
              <w:t>查</w:t>
            </w:r>
            <w:r>
              <w:rPr>
                <w:rFonts w:ascii="宋体" w:hAnsi="宋体" w:cs="宋体"/>
                <w:spacing w:val="-3"/>
                <w:kern w:val="0"/>
                <w:szCs w:val="21"/>
                <w:lang w:val="zh-CN" w:bidi="zh-CN"/>
              </w:rPr>
              <w:t>与分</w:t>
            </w:r>
            <w:r>
              <w:rPr>
                <w:rFonts w:ascii="宋体" w:hAnsi="宋体" w:cs="宋体"/>
                <w:kern w:val="0"/>
                <w:szCs w:val="21"/>
                <w:lang w:val="zh-CN" w:bidi="zh-CN"/>
              </w:rPr>
              <w:t>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10.4</w:t>
            </w:r>
            <w:r>
              <w:rPr>
                <w:rFonts w:ascii="宋体" w:hAnsi="宋体" w:cs="宋体"/>
                <w:kern w:val="0"/>
                <w:szCs w:val="21"/>
                <w:lang w:val="zh-CN" w:bidi="zh-CN"/>
              </w:rPr>
              <w:t>诚</w:t>
            </w:r>
            <w:r>
              <w:rPr>
                <w:rFonts w:ascii="宋体" w:hAnsi="宋体" w:cs="宋体"/>
                <w:spacing w:val="-3"/>
                <w:kern w:val="0"/>
                <w:szCs w:val="21"/>
                <w:lang w:val="zh-CN" w:bidi="zh-CN"/>
              </w:rPr>
              <w:t>信</w:t>
            </w:r>
            <w:r>
              <w:rPr>
                <w:rFonts w:ascii="宋体" w:hAnsi="宋体" w:cs="宋体"/>
                <w:kern w:val="0"/>
                <w:szCs w:val="21"/>
                <w:lang w:val="zh-CN" w:bidi="zh-CN"/>
              </w:rPr>
              <w:t>目</w:t>
            </w:r>
            <w:r>
              <w:rPr>
                <w:rFonts w:ascii="宋体" w:hAnsi="宋体" w:cs="宋体"/>
                <w:spacing w:val="-3"/>
                <w:kern w:val="0"/>
                <w:szCs w:val="21"/>
                <w:lang w:val="zh-CN" w:bidi="zh-CN"/>
              </w:rPr>
              <w:t>标</w:t>
            </w:r>
            <w:r>
              <w:rPr>
                <w:rFonts w:ascii="宋体" w:hAnsi="宋体" w:cs="宋体"/>
                <w:kern w:val="0"/>
                <w:szCs w:val="21"/>
                <w:lang w:val="zh-CN" w:bidi="zh-CN"/>
              </w:rPr>
              <w:t>实</w:t>
            </w:r>
            <w:r>
              <w:rPr>
                <w:rFonts w:ascii="宋体" w:hAnsi="宋体" w:cs="宋体"/>
                <w:spacing w:val="-3"/>
                <w:kern w:val="0"/>
                <w:szCs w:val="21"/>
                <w:lang w:val="zh-CN" w:bidi="zh-CN"/>
              </w:rPr>
              <w:t>现</w:t>
            </w:r>
            <w:r>
              <w:rPr>
                <w:rFonts w:ascii="宋体" w:hAnsi="宋体" w:cs="宋体"/>
                <w:kern w:val="0"/>
                <w:szCs w:val="21"/>
                <w:lang w:val="zh-CN" w:bidi="zh-CN"/>
              </w:rPr>
              <w:t>的</w:t>
            </w:r>
            <w:r>
              <w:rPr>
                <w:rFonts w:ascii="宋体" w:hAnsi="宋体" w:cs="宋体"/>
                <w:spacing w:val="-3"/>
                <w:kern w:val="0"/>
                <w:szCs w:val="21"/>
                <w:lang w:val="zh-CN" w:bidi="zh-CN"/>
              </w:rPr>
              <w:t>核查</w:t>
            </w:r>
            <w:r>
              <w:rPr>
                <w:rFonts w:ascii="宋体" w:hAnsi="宋体" w:cs="宋体"/>
                <w:kern w:val="0"/>
                <w:szCs w:val="21"/>
                <w:lang w:val="zh-CN" w:bidi="zh-CN"/>
              </w:rPr>
              <w:t>和分析</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10.5</w:t>
            </w:r>
            <w:r>
              <w:rPr>
                <w:rFonts w:ascii="宋体" w:hAnsi="宋体" w:cs="宋体"/>
                <w:kern w:val="0"/>
                <w:szCs w:val="21"/>
                <w:lang w:val="zh-CN" w:bidi="zh-CN"/>
              </w:rPr>
              <w:t>失</w:t>
            </w:r>
            <w:r>
              <w:rPr>
                <w:rFonts w:ascii="宋体" w:hAnsi="宋体" w:cs="宋体"/>
                <w:spacing w:val="-3"/>
                <w:kern w:val="0"/>
                <w:szCs w:val="21"/>
                <w:lang w:val="zh-CN" w:bidi="zh-CN"/>
              </w:rPr>
              <w:t>信</w:t>
            </w:r>
            <w:r>
              <w:rPr>
                <w:rFonts w:ascii="宋体" w:hAnsi="宋体" w:cs="宋体"/>
                <w:kern w:val="0"/>
                <w:szCs w:val="21"/>
                <w:lang w:val="zh-CN" w:bidi="zh-CN"/>
              </w:rPr>
              <w:t>评</w:t>
            </w:r>
            <w:r>
              <w:rPr>
                <w:rFonts w:ascii="宋体" w:hAnsi="宋体" w:cs="宋体"/>
                <w:spacing w:val="-3"/>
                <w:kern w:val="0"/>
                <w:szCs w:val="21"/>
                <w:lang w:val="zh-CN" w:bidi="zh-CN"/>
              </w:rPr>
              <w:t>估</w:t>
            </w:r>
            <w:r>
              <w:rPr>
                <w:rFonts w:ascii="宋体" w:hAnsi="宋体" w:cs="宋体"/>
                <w:kern w:val="0"/>
                <w:szCs w:val="21"/>
                <w:lang w:val="zh-CN" w:bidi="zh-CN"/>
              </w:rPr>
              <w:t>和</w:t>
            </w:r>
            <w:r>
              <w:rPr>
                <w:rFonts w:ascii="宋体" w:hAnsi="宋体" w:cs="宋体"/>
                <w:spacing w:val="-3"/>
                <w:kern w:val="0"/>
                <w:szCs w:val="21"/>
                <w:lang w:val="zh-CN" w:bidi="zh-CN"/>
              </w:rPr>
              <w:t>处</w:t>
            </w:r>
            <w:r>
              <w:rPr>
                <w:rFonts w:ascii="宋体" w:hAnsi="宋体" w:cs="宋体"/>
                <w:kern w:val="0"/>
                <w:szCs w:val="21"/>
                <w:lang w:val="zh-CN" w:bidi="zh-CN"/>
              </w:rPr>
              <w:t>置</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10.6信用修复</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10.7守信激励确认和实施</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11持续改进</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11.1总体要求</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4045" w:type="dxa"/>
            <w:vAlign w:val="center"/>
          </w:tcPr>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11.2改进机制</w:t>
            </w:r>
          </w:p>
        </w:tc>
        <w:tc>
          <w:tcPr>
            <w:tcW w:w="1168"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hint="eastAsia" w:ascii="宋体" w:hAnsi="宋体" w:cs="宋体"/>
                <w:kern w:val="0"/>
                <w:szCs w:val="21"/>
                <w:lang w:val="zh-CN" w:bidi="zh-CN"/>
              </w:rPr>
            </w:pPr>
            <w:r>
              <w:rPr>
                <w:rFonts w:hint="eastAsia" w:ascii="宋体" w:hAnsi="宋体" w:cs="宋体"/>
                <w:kern w:val="0"/>
                <w:szCs w:val="21"/>
                <w:lang w:val="zh-CN" w:bidi="zh-CN"/>
              </w:rPr>
              <w:t>△</w:t>
            </w:r>
          </w:p>
        </w:tc>
        <w:tc>
          <w:tcPr>
            <w:tcW w:w="1169" w:type="dxa"/>
            <w:vAlign w:val="center"/>
          </w:tcPr>
          <w:p>
            <w:pPr>
              <w:autoSpaceDE w:val="0"/>
              <w:autoSpaceDN w:val="0"/>
              <w:spacing w:line="276" w:lineRule="auto"/>
              <w:jc w:val="center"/>
              <w:rPr>
                <w:rFonts w:ascii="宋体" w:hAnsi="宋体" w:cs="宋体"/>
                <w:kern w:val="0"/>
                <w:szCs w:val="21"/>
                <w:lang w:val="zh-CN" w:bidi="zh-CN"/>
              </w:rPr>
            </w:pPr>
            <w:r>
              <w:rPr>
                <w:rFonts w:hint="eastAsia" w:ascii="宋体" w:hAnsi="宋体" w:cs="宋体"/>
                <w:kern w:val="0"/>
                <w:szCs w:val="21"/>
                <w:lang w:val="zh-CN" w:bidi="zh-CN"/>
              </w:rPr>
              <w:t>△</w:t>
            </w:r>
          </w:p>
        </w:tc>
      </w:tr>
    </w:tbl>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部门职责</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管理层</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val="zh-CN" w:bidi="zh-CN"/>
        </w:rPr>
      </w:pPr>
      <w:r>
        <w:rPr>
          <w:rFonts w:hint="eastAsia" w:ascii="宋体" w:hAnsi="宋体" w:cs="宋体"/>
          <w:b/>
          <w:bCs/>
          <w:kern w:val="0"/>
          <w:szCs w:val="21"/>
          <w:lang w:val="zh-CN" w:bidi="zh-CN"/>
        </w:rPr>
        <w:t>诚信经理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a）认真贯彻企业诚信相关法律、法规和方针，主持公司的经营管理工作，向公司传达满足顾客和要求，确保诚信体系的正常运行。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b）制定公司诚信方针目标，采取有效措施保证方针目标及承诺的实现。</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c）为诚信体系提供必要的资源和支持，努力建设企业诚信文化。</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d）主持管理评审，审批管理评审报告。</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e）提出公司组织机构设置方案，任命各层责任人，并制定相关职责和权限。</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 xml:space="preserve"> f）以顾客满意和社会责任为关注焦点，对诚信管理体系进行策划，领导全体员</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综合管理部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a）负责编制企业诚信体系手册及文件管理，组织进行诚信体系文件的修订，提高其有效性、适宜性并持续改进。</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b）负责诚信管理体系运作监督检查。</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c）负责组织制订公司内部各项行政规章制度及有关协调工作以及公司的保密管理。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d）负责公司的企业行政工作以及企业诚信体系的有关配合工作。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e）负责公司的日常接待和公关宣传工作，企业形象和广告策划以及企业文化的建设审核工作。落实公司社会公共活动、宣传广告、文体活动等项工作。</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f）负责诚信的培训总体计划。</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g）负责制定诚信绩效考核方案，实施考核。</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h</w:t>
      </w:r>
      <w:r>
        <w:rPr>
          <w:rFonts w:hint="eastAsia" w:ascii="宋体" w:hAnsi="宋体" w:cs="宋体"/>
          <w:kern w:val="0"/>
          <w:szCs w:val="21"/>
          <w:lang w:val="zh-CN" w:bidi="zh-CN"/>
        </w:rPr>
        <w:t>）负责做好公司信息开发应用工作，负责公司计算机管理，包括计算机软件和硬件管理、</w:t>
      </w:r>
      <w:r>
        <w:rPr>
          <w:rFonts w:hint="eastAsia" w:ascii="宋体" w:hAnsi="宋体" w:cs="宋体"/>
          <w:kern w:val="0"/>
          <w:szCs w:val="21"/>
          <w:lang w:bidi="zh-CN"/>
        </w:rPr>
        <w:t>i)</w:t>
      </w:r>
      <w:r>
        <w:rPr>
          <w:rFonts w:hint="eastAsia" w:ascii="宋体" w:hAnsi="宋体" w:cs="宋体"/>
          <w:kern w:val="0"/>
          <w:szCs w:val="21"/>
          <w:lang w:val="zh-CN" w:bidi="zh-CN"/>
        </w:rPr>
        <w:t>公司局域网的建立和维护等工作，负责公司电子商务网络的建立和网站网页的维护</w:t>
      </w:r>
      <w:r>
        <w:rPr>
          <w:rFonts w:hint="eastAsia" w:ascii="宋体" w:hAnsi="宋体" w:cs="宋体"/>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j</w:t>
      </w:r>
      <w:r>
        <w:rPr>
          <w:rFonts w:hint="eastAsia" w:ascii="宋体" w:hAnsi="宋体" w:cs="宋体"/>
          <w:kern w:val="0"/>
          <w:szCs w:val="21"/>
          <w:lang w:val="zh-CN" w:bidi="zh-CN"/>
        </w:rPr>
        <w:t>）贯彻本公司诚信方针和目标，负责选择和建立可靠稳定的诚信供应商。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k</w:t>
      </w:r>
      <w:r>
        <w:rPr>
          <w:rFonts w:hint="eastAsia" w:ascii="宋体" w:hAnsi="宋体" w:cs="宋体"/>
          <w:kern w:val="0"/>
          <w:szCs w:val="21"/>
          <w:lang w:val="zh-CN" w:bidi="zh-CN"/>
        </w:rPr>
        <w:t>）负责对供应商诚信考核与评定，做好原材料采购诚信管理。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l</w:t>
      </w:r>
      <w:r>
        <w:rPr>
          <w:rFonts w:hint="eastAsia" w:ascii="宋体" w:hAnsi="宋体" w:cs="宋体"/>
          <w:kern w:val="0"/>
          <w:szCs w:val="21"/>
          <w:lang w:val="zh-CN" w:bidi="zh-CN"/>
        </w:rPr>
        <w:t>）确保原材料、零部件到货的及时与质量的一次合格，达到诚信供应。</w:t>
      </w:r>
    </w:p>
    <w:p>
      <w:pPr>
        <w:autoSpaceDE w:val="0"/>
        <w:autoSpaceDN w:val="0"/>
        <w:spacing w:line="276" w:lineRule="auto"/>
        <w:jc w:val="left"/>
        <w:rPr>
          <w:rFonts w:ascii="宋体" w:hAnsi="宋体" w:cs="宋体"/>
          <w:kern w:val="0"/>
          <w:szCs w:val="21"/>
          <w:lang w:bidi="zh-CN"/>
        </w:rPr>
      </w:pPr>
      <w:r>
        <w:rPr>
          <w:rFonts w:hint="eastAsia" w:ascii="宋体" w:hAnsi="宋体" w:cs="宋体"/>
          <w:kern w:val="0"/>
          <w:szCs w:val="21"/>
          <w:lang w:bidi="zh-CN"/>
        </w:rPr>
        <w:t>n</w:t>
      </w:r>
      <w:r>
        <w:rPr>
          <w:rFonts w:hint="eastAsia" w:ascii="宋体" w:hAnsi="宋体" w:cs="宋体"/>
          <w:kern w:val="0"/>
          <w:szCs w:val="21"/>
          <w:lang w:val="zh-CN" w:bidi="zh-CN"/>
        </w:rPr>
        <w:t>）负责对供方产品不合格品的控制与处置。</w:t>
      </w:r>
    </w:p>
    <w:p>
      <w:pPr>
        <w:autoSpaceDE w:val="0"/>
        <w:autoSpaceDN w:val="0"/>
        <w:spacing w:line="276" w:lineRule="auto"/>
        <w:rPr>
          <w:rFonts w:ascii="宋体" w:hAnsi="宋体" w:cs="宋体"/>
          <w:b/>
          <w:bCs/>
          <w:kern w:val="0"/>
          <w:szCs w:val="21"/>
          <w:lang w:bidi="zh-CN"/>
        </w:rPr>
      </w:pPr>
      <w:r>
        <w:rPr>
          <w:rFonts w:hint="eastAsia" w:ascii="宋体" w:hAnsi="宋体" w:cs="宋体"/>
          <w:b/>
          <w:bCs/>
          <w:kern w:val="0"/>
          <w:szCs w:val="21"/>
          <w:lang w:bidi="zh-CN"/>
        </w:rPr>
        <w:t>财务部:</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a</w:t>
      </w:r>
      <w:r>
        <w:rPr>
          <w:rFonts w:hint="eastAsia" w:ascii="宋体" w:hAnsi="宋体" w:cs="宋体"/>
          <w:kern w:val="0"/>
          <w:szCs w:val="21"/>
          <w:lang w:val="zh-CN" w:bidi="zh-CN"/>
        </w:rPr>
        <w:t>）负责制定公司财务管理。</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b</w:t>
      </w:r>
      <w:r>
        <w:rPr>
          <w:rFonts w:hint="eastAsia" w:ascii="宋体" w:hAnsi="宋体" w:cs="宋体"/>
          <w:kern w:val="0"/>
          <w:szCs w:val="21"/>
          <w:lang w:val="zh-CN" w:bidi="zh-CN"/>
        </w:rPr>
        <w:t>）负责建立和完善公司财务核算和财务监控体系，进行有效的内部控制。</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c</w:t>
      </w:r>
      <w:r>
        <w:rPr>
          <w:rFonts w:hint="eastAsia" w:ascii="宋体" w:hAnsi="宋体" w:cs="宋体"/>
          <w:kern w:val="0"/>
          <w:szCs w:val="21"/>
          <w:lang w:val="zh-CN" w:bidi="zh-CN"/>
        </w:rPr>
        <w:t>）负责制定公司资金运营，监督公司资金管理，确保资金安全有效运行。</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d</w:t>
      </w:r>
      <w:r>
        <w:rPr>
          <w:rFonts w:hint="eastAsia" w:ascii="宋体" w:hAnsi="宋体" w:cs="宋体"/>
          <w:kern w:val="0"/>
          <w:szCs w:val="21"/>
          <w:lang w:val="zh-CN" w:bidi="zh-CN"/>
        </w:rPr>
        <w:t>）负责参与合同评审，进行风险评估、减少财务风险。</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bidi="zh-CN"/>
        </w:rPr>
        <w:t>e</w:t>
      </w:r>
      <w:r>
        <w:rPr>
          <w:rFonts w:hint="eastAsia" w:ascii="宋体" w:hAnsi="宋体" w:cs="宋体"/>
          <w:kern w:val="0"/>
          <w:szCs w:val="21"/>
          <w:lang w:val="zh-CN" w:bidi="zh-CN"/>
        </w:rPr>
        <w:t>）负责提供体系正常进行的财务资源。</w:t>
      </w:r>
    </w:p>
    <w:p>
      <w:pPr>
        <w:autoSpaceDE w:val="0"/>
        <w:autoSpaceDN w:val="0"/>
        <w:spacing w:line="276" w:lineRule="auto"/>
        <w:jc w:val="left"/>
        <w:rPr>
          <w:rFonts w:ascii="宋体" w:hAnsi="宋体" w:cs="宋体"/>
          <w:kern w:val="0"/>
          <w:szCs w:val="21"/>
          <w:lang w:val="zh-CN" w:bidi="zh-CN"/>
        </w:rPr>
      </w:pP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市场部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a）负责市场营销。</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b）负责市场调研与分析，拓展市场，收集分析顾客和市场信息（包括顾客满意、相关法律法规）。</w:t>
      </w:r>
    </w:p>
    <w:p>
      <w:pPr>
        <w:autoSpaceDE w:val="0"/>
        <w:autoSpaceDN w:val="0"/>
        <w:spacing w:line="276" w:lineRule="auto"/>
        <w:jc w:val="left"/>
        <w:rPr>
          <w:rFonts w:ascii="宋体" w:hAnsi="宋体" w:cs="宋体"/>
          <w:kern w:val="0"/>
          <w:szCs w:val="21"/>
          <w:lang w:val="zh-CN" w:bidi="zh-CN"/>
        </w:rPr>
      </w:pPr>
      <w:r>
        <w:rPr>
          <w:rFonts w:hint="eastAsia" w:ascii="宋体" w:hAnsi="宋体" w:cs="宋体"/>
          <w:kern w:val="0"/>
          <w:szCs w:val="21"/>
          <w:lang w:val="zh-CN" w:bidi="zh-CN"/>
        </w:rPr>
        <w:t>d）组织顾客满意度调查，及时了解顾客对服务质量的需求和期望、反馈、沟通顾客信息，反映公司诚信经营情况。</w:t>
      </w:r>
    </w:p>
    <w:p>
      <w:pPr>
        <w:autoSpaceDE w:val="0"/>
        <w:autoSpaceDN w:val="0"/>
        <w:spacing w:line="276" w:lineRule="auto"/>
        <w:jc w:val="left"/>
        <w:rPr>
          <w:rFonts w:ascii="宋体" w:hAnsi="宋体" w:cs="宋体"/>
          <w:b/>
          <w:bCs/>
          <w:kern w:val="0"/>
          <w:szCs w:val="21"/>
          <w:lang w:bidi="zh-CN"/>
        </w:rPr>
      </w:pPr>
      <w:r>
        <w:rPr>
          <w:rFonts w:hint="eastAsia" w:ascii="宋体" w:hAnsi="宋体" w:cs="宋体"/>
          <w:b/>
          <w:bCs/>
          <w:kern w:val="0"/>
          <w:szCs w:val="21"/>
          <w:lang w:val="zh-CN" w:bidi="zh-CN"/>
        </w:rPr>
        <w:t>品质部</w:t>
      </w:r>
      <w:r>
        <w:rPr>
          <w:rFonts w:hint="eastAsia" w:ascii="宋体" w:hAnsi="宋体" w:cs="宋体"/>
          <w:b/>
          <w:bCs/>
          <w:kern w:val="0"/>
          <w:szCs w:val="21"/>
          <w:lang w:bidi="zh-CN"/>
        </w:rPr>
        <w:t>:</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val="zh-CN" w:bidi="zh-CN"/>
        </w:rPr>
        <w:t>a</w:t>
      </w:r>
      <w:r>
        <w:rPr>
          <w:rFonts w:hint="eastAsia" w:ascii="宋体" w:hAnsi="宋体" w:cs="宋体"/>
          <w:kern w:val="0"/>
          <w:szCs w:val="21"/>
          <w:lang w:val="zh-CN" w:bidi="zh-CN"/>
        </w:rPr>
        <w:t>）负责服务人员的诚信综合培训，以维护公司诚信经营形象。</w:t>
      </w:r>
    </w:p>
    <w:p>
      <w:pPr>
        <w:autoSpaceDE w:val="0"/>
        <w:autoSpaceDN w:val="0"/>
        <w:spacing w:line="276" w:lineRule="auto"/>
        <w:jc w:val="left"/>
        <w:rPr>
          <w:rFonts w:ascii="宋体" w:hAnsi="宋体" w:cs="宋体"/>
          <w:b/>
          <w:bCs/>
          <w:kern w:val="0"/>
          <w:szCs w:val="21"/>
          <w:lang w:bidi="zh-CN"/>
        </w:rPr>
      </w:pPr>
      <w:r>
        <w:rPr>
          <w:rFonts w:ascii="宋体" w:hAnsi="宋体" w:cs="宋体"/>
          <w:kern w:val="0"/>
          <w:szCs w:val="21"/>
          <w:lang w:bidi="zh-CN"/>
        </w:rPr>
        <w:t>b</w:t>
      </w:r>
      <w:r>
        <w:rPr>
          <w:rFonts w:hint="eastAsia" w:ascii="宋体" w:hAnsi="宋体" w:cs="宋体"/>
          <w:kern w:val="0"/>
          <w:szCs w:val="21"/>
          <w:lang w:bidi="zh-CN"/>
        </w:rPr>
        <w:t>)</w:t>
      </w:r>
      <w:r>
        <w:rPr>
          <w:rFonts w:hint="eastAsia" w:ascii="宋体" w:hAnsi="宋体" w:cs="宋体"/>
          <w:kern w:val="0"/>
          <w:szCs w:val="21"/>
          <w:lang w:val="zh-CN" w:bidi="zh-CN"/>
        </w:rPr>
        <w:t xml:space="preserve">积极配合公司迎接审核公司的审核，并对发生的问题，限时实施纠正行预防行动。 </w:t>
      </w:r>
    </w:p>
    <w:p>
      <w:pPr>
        <w:autoSpaceDE w:val="0"/>
        <w:autoSpaceDN w:val="0"/>
        <w:spacing w:line="276" w:lineRule="auto"/>
        <w:jc w:val="left"/>
        <w:rPr>
          <w:rFonts w:ascii="宋体" w:hAnsi="宋体" w:cs="宋体"/>
          <w:kern w:val="0"/>
          <w:szCs w:val="21"/>
          <w:lang w:val="zh-CN" w:bidi="zh-CN"/>
        </w:rPr>
      </w:pPr>
      <w:r>
        <w:rPr>
          <w:rFonts w:ascii="宋体" w:hAnsi="宋体" w:cs="宋体"/>
          <w:kern w:val="0"/>
          <w:szCs w:val="21"/>
          <w:lang w:bidi="zh-CN"/>
        </w:rPr>
        <w:t>c</w:t>
      </w:r>
      <w:r>
        <w:rPr>
          <w:rFonts w:hint="eastAsia" w:ascii="宋体" w:hAnsi="宋体" w:cs="宋体"/>
          <w:kern w:val="0"/>
          <w:szCs w:val="21"/>
          <w:lang w:bidi="zh-CN"/>
        </w:rPr>
        <w:t>)</w:t>
      </w:r>
      <w:r>
        <w:rPr>
          <w:rFonts w:hint="eastAsia" w:ascii="宋体" w:hAnsi="宋体" w:cs="宋体"/>
          <w:kern w:val="0"/>
          <w:szCs w:val="21"/>
          <w:lang w:val="zh-CN" w:bidi="zh-CN"/>
        </w:rPr>
        <w:t>积极参与体系的内部稽核与管理评审，发现、分析与纠正存在的问题，参与体系的评议，并提出更好地实施、持续改进社会责任管理体系的意见、建议。</w:t>
      </w:r>
    </w:p>
    <w:p>
      <w:pPr>
        <w:autoSpaceDE w:val="0"/>
        <w:autoSpaceDN w:val="0"/>
        <w:spacing w:line="276" w:lineRule="auto"/>
        <w:rPr>
          <w:rFonts w:ascii="宋体" w:hAnsi="宋体" w:cs="宋体"/>
          <w:bCs/>
          <w:szCs w:val="21"/>
          <w:lang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 w:val="24"/>
          <w:szCs w:val="24"/>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7</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jc w:val="center"/>
        <w:rPr>
          <w:rFonts w:asciiTheme="minorEastAsia" w:hAnsiTheme="minorEastAsia" w:eastAsiaTheme="minorEastAsia"/>
          <w:b/>
          <w:szCs w:val="21"/>
        </w:rPr>
      </w:pPr>
      <w:r>
        <w:rPr>
          <w:rFonts w:hint="eastAsia" w:asciiTheme="minorEastAsia" w:hAnsiTheme="minorEastAsia" w:eastAsiaTheme="minorEastAsia"/>
          <w:b/>
          <w:szCs w:val="21"/>
        </w:rPr>
        <w:t>诚信为本、守信至上、价质相符、用心服务</w:t>
      </w:r>
    </w:p>
    <w:p>
      <w:pPr>
        <w:autoSpaceDE w:val="0"/>
        <w:autoSpaceDN w:val="0"/>
        <w:spacing w:line="480" w:lineRule="auto"/>
        <w:jc w:val="left"/>
        <w:rPr>
          <w:rFonts w:ascii="宋体" w:hAnsi="宋体" w:cs="宋体"/>
          <w:b/>
          <w:bCs/>
          <w:color w:val="2B2B2B"/>
          <w:kern w:val="0"/>
          <w:szCs w:val="21"/>
          <w:shd w:val="clear" w:color="auto" w:fill="FFFFFF"/>
          <w:lang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8</w:t>
      </w:r>
      <w:r>
        <w:rPr>
          <w:rFonts w:hint="eastAsia" w:ascii="宋体" w:hAnsi="宋体" w:cs="宋体"/>
          <w:b/>
          <w:bCs/>
          <w:kern w:val="0"/>
          <w:szCs w:val="21"/>
          <w:lang w:val="zh-CN" w:bidi="zh-CN"/>
        </w:rPr>
        <w:t xml:space="preserve"> 诚信目标</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1、守法经营；  </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2、保持良好的财务状况；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3、重大失信行为发生次数为0；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4、保持良好的履约状况，实现企业可持续发展。</w:t>
      </w:r>
    </w:p>
    <w:p>
      <w:pPr>
        <w:autoSpaceDE w:val="0"/>
        <w:autoSpaceDN w:val="0"/>
        <w:spacing w:line="480" w:lineRule="auto"/>
        <w:jc w:val="left"/>
        <w:rPr>
          <w:rFonts w:hint="eastAsia" w:ascii="宋体" w:hAnsi="宋体" w:cs="宋体"/>
          <w:b/>
          <w:bCs/>
          <w:kern w:val="0"/>
          <w:szCs w:val="21"/>
          <w:lang w:val="zh-CN" w:bidi="zh-CN"/>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9</w:t>
      </w:r>
      <w:r>
        <w:rPr>
          <w:rFonts w:hint="eastAsia" w:ascii="宋体" w:hAnsi="宋体" w:cs="宋体"/>
          <w:b/>
          <w:bCs/>
          <w:kern w:val="0"/>
          <w:szCs w:val="21"/>
          <w:lang w:val="zh-CN" w:bidi="zh-CN"/>
        </w:rPr>
        <w:t xml:space="preserve"> 诚信方针</w:t>
      </w:r>
    </w:p>
    <w:p>
      <w:pPr>
        <w:autoSpaceDE w:val="0"/>
        <w:autoSpaceDN w:val="0"/>
        <w:spacing w:line="480" w:lineRule="auto"/>
        <w:jc w:val="left"/>
        <w:rPr>
          <w:rFonts w:ascii="宋体" w:hAnsi="宋体" w:cs="宋体"/>
          <w:kern w:val="0"/>
          <w:szCs w:val="21"/>
          <w:lang w:val="zh-CN" w:bidi="zh-CN"/>
        </w:rPr>
      </w:pPr>
      <w:r>
        <w:rPr>
          <w:rFonts w:hint="eastAsia" w:ascii="宋体" w:hAnsi="宋体" w:cs="宋体"/>
          <w:kern w:val="0"/>
          <w:szCs w:val="21"/>
          <w:lang w:val="zh-CN" w:bidi="zh-CN"/>
        </w:rPr>
        <w:t>本公司的诚信方针为：</w:t>
      </w:r>
    </w:p>
    <w:p>
      <w:pPr>
        <w:spacing w:line="360" w:lineRule="auto"/>
        <w:ind w:left="420"/>
        <w:rPr>
          <w:rFonts w:hint="eastAsia" w:asciiTheme="minorEastAsia" w:hAnsiTheme="minorEastAsia" w:eastAsiaTheme="minorEastAsia"/>
          <w:b/>
          <w:szCs w:val="21"/>
        </w:rPr>
      </w:pPr>
      <w:r>
        <w:rPr>
          <w:rFonts w:hint="eastAsia" w:asciiTheme="minorEastAsia" w:hAnsiTheme="minorEastAsia" w:eastAsiaTheme="minorEastAsia"/>
          <w:b/>
          <w:szCs w:val="21"/>
        </w:rPr>
        <w:t>遵规守法、合规履职、以诚信赢天下</w:t>
      </w:r>
    </w:p>
    <w:p>
      <w:pPr>
        <w:spacing w:line="360" w:lineRule="auto"/>
        <w:ind w:left="420"/>
        <w:rPr>
          <w:rFonts w:hint="eastAsia" w:asciiTheme="minorEastAsia" w:hAnsiTheme="minorEastAsia" w:eastAsiaTheme="minorEastAsia"/>
          <w:b/>
          <w:szCs w:val="21"/>
        </w:rPr>
      </w:pPr>
    </w:p>
    <w:p>
      <w:pPr>
        <w:autoSpaceDE w:val="0"/>
        <w:autoSpaceDN w:val="0"/>
        <w:spacing w:line="480" w:lineRule="auto"/>
        <w:jc w:val="left"/>
        <w:rPr>
          <w:rFonts w:ascii="宋体" w:hAnsi="宋体" w:cs="宋体"/>
          <w:b/>
          <w:bCs/>
          <w:kern w:val="0"/>
          <w:szCs w:val="21"/>
          <w:lang w:val="zh-CN" w:bidi="zh-CN"/>
        </w:rPr>
      </w:pPr>
      <w:r>
        <w:rPr>
          <w:rFonts w:hint="eastAsia" w:ascii="宋体" w:hAnsi="宋体" w:cs="宋体"/>
          <w:b/>
          <w:bCs/>
          <w:kern w:val="0"/>
          <w:szCs w:val="21"/>
          <w:lang w:val="zh-CN" w:bidi="zh-CN"/>
        </w:rPr>
        <w:t>附件</w:t>
      </w:r>
      <w:r>
        <w:rPr>
          <w:rFonts w:hint="eastAsia" w:ascii="宋体" w:hAnsi="宋体" w:cs="宋体"/>
          <w:b/>
          <w:bCs/>
          <w:kern w:val="0"/>
          <w:szCs w:val="21"/>
          <w:lang w:val="en-US" w:bidi="zh-CN"/>
        </w:rPr>
        <w:t>10</w:t>
      </w:r>
      <w:r>
        <w:rPr>
          <w:rFonts w:hint="eastAsia" w:ascii="宋体" w:hAnsi="宋体" w:cs="宋体"/>
          <w:b/>
          <w:bCs/>
          <w:kern w:val="0"/>
          <w:szCs w:val="21"/>
          <w:lang w:val="zh-CN" w:bidi="zh-CN"/>
        </w:rPr>
        <w:t xml:space="preserve"> 诚信目标</w:t>
      </w:r>
    </w:p>
    <w:p>
      <w:pPr>
        <w:autoSpaceDE w:val="0"/>
        <w:autoSpaceDN w:val="0"/>
        <w:spacing w:line="276" w:lineRule="auto"/>
        <w:ind w:firstLine="420" w:firstLineChars="200"/>
        <w:jc w:val="left"/>
        <w:rPr>
          <w:rFonts w:ascii="宋体" w:hAnsi="宋体" w:cs="宋体"/>
          <w:kern w:val="0"/>
          <w:szCs w:val="21"/>
          <w:lang w:val="zh-CN" w:bidi="zh-CN"/>
        </w:rPr>
      </w:pPr>
      <w:r>
        <w:rPr>
          <w:rFonts w:hint="eastAsia" w:ascii="宋体" w:hAnsi="宋体" w:cs="宋体"/>
          <w:kern w:val="0"/>
          <w:szCs w:val="21"/>
          <w:lang w:val="zh-CN" w:bidi="zh-CN"/>
        </w:rPr>
        <w:t>本公司的诚信目标为：</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 xml:space="preserve">社会保障违法记录0； </w:t>
      </w:r>
    </w:p>
    <w:p>
      <w:pPr>
        <w:autoSpaceDE w:val="0"/>
        <w:autoSpaceDN w:val="0"/>
        <w:spacing w:line="276" w:lineRule="auto"/>
        <w:ind w:firstLine="367" w:firstLineChars="175"/>
        <w:jc w:val="left"/>
        <w:rPr>
          <w:rFonts w:ascii="宋体" w:hAnsi="宋体" w:cs="宋体"/>
          <w:kern w:val="0"/>
          <w:szCs w:val="21"/>
          <w:lang w:bidi="zh-CN"/>
        </w:rPr>
      </w:pPr>
      <w:r>
        <w:rPr>
          <w:rFonts w:hint="eastAsia" w:ascii="宋体" w:hAnsi="宋体" w:cs="宋体"/>
          <w:kern w:val="0"/>
          <w:szCs w:val="21"/>
          <w:lang w:bidi="zh-CN"/>
        </w:rPr>
        <w:t>社会责任履行率 100%</w:t>
      </w:r>
    </w:p>
    <w:p>
      <w:pPr>
        <w:autoSpaceDE w:val="0"/>
        <w:autoSpaceDN w:val="0"/>
        <w:spacing w:line="276" w:lineRule="auto"/>
        <w:ind w:firstLine="367" w:firstLineChars="175"/>
        <w:jc w:val="left"/>
        <w:rPr>
          <w:rFonts w:ascii="宋体" w:hAnsi="宋体" w:cs="宋体"/>
          <w:kern w:val="0"/>
          <w:szCs w:val="21"/>
          <w:lang w:val="zh-CN" w:bidi="zh-CN"/>
        </w:rPr>
      </w:pPr>
      <w:r>
        <w:rPr>
          <w:rFonts w:hint="eastAsia" w:ascii="宋体" w:hAnsi="宋体" w:cs="宋体"/>
          <w:kern w:val="0"/>
          <w:szCs w:val="21"/>
          <w:lang w:bidi="zh-CN"/>
        </w:rPr>
        <w:t>重大失信行为 0 次/每年</w:t>
      </w: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line="480" w:lineRule="auto"/>
        <w:jc w:val="left"/>
        <w:rPr>
          <w:rFonts w:ascii="宋体" w:hAnsi="宋体" w:cs="宋体"/>
          <w:kern w:val="0"/>
          <w:sz w:val="24"/>
          <w:szCs w:val="24"/>
          <w:lang w:val="zh-CN" w:bidi="zh-CN"/>
        </w:rPr>
      </w:pPr>
    </w:p>
    <w:p>
      <w:pPr>
        <w:autoSpaceDE w:val="0"/>
        <w:autoSpaceDN w:val="0"/>
        <w:spacing w:before="240" w:after="60"/>
        <w:outlineLvl w:val="0"/>
        <w:rPr>
          <w:rFonts w:hint="eastAsia" w:ascii="Calibri Light" w:hAnsi="Calibri Light" w:cs="宋体"/>
          <w:b/>
          <w:bCs/>
          <w:kern w:val="0"/>
          <w:sz w:val="32"/>
          <w:szCs w:val="32"/>
          <w:lang w:val="zh-CN" w:bidi="zh-CN"/>
        </w:rPr>
      </w:pPr>
    </w:p>
    <w:sectPr>
      <w:headerReference r:id="rId4" w:type="default"/>
      <w:pgSz w:w="11906" w:h="16838"/>
      <w:pgMar w:top="1134" w:right="1134" w:bottom="1134" w:left="1134" w:header="935"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3" o:spid="_x0000_s1025" o:spt="202" type="#_x0000_t202" style="position:absolute;left:0pt;margin-left:301.5pt;margin-top:787.45pt;height:11pt;width:13.1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">
          <v:path/>
          <v:fill on="f" focussize="0,0"/>
          <v:stroke on="f" joinstyle="miter"/>
          <v:imagedata o:title=""/>
          <o:lock v:ext="edit"/>
          <v:textbox inset="0mm,0mm,0mm,0mm">
            <w:txbxContent>
              <w:p>
                <w:pPr>
                  <w:spacing w:line="203" w:lineRule="exac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5E952"/>
    <w:multiLevelType w:val="singleLevel"/>
    <w:tmpl w:val="9895E952"/>
    <w:lvl w:ilvl="0" w:tentative="0">
      <w:start w:val="1"/>
      <w:numFmt w:val="lowerLetter"/>
      <w:suff w:val="space"/>
      <w:lvlText w:val="%1)"/>
      <w:lvlJc w:val="left"/>
    </w:lvl>
  </w:abstractNum>
  <w:abstractNum w:abstractNumId="1">
    <w:nsid w:val="A1124EC6"/>
    <w:multiLevelType w:val="singleLevel"/>
    <w:tmpl w:val="A1124EC6"/>
    <w:lvl w:ilvl="0" w:tentative="0">
      <w:start w:val="1"/>
      <w:numFmt w:val="lowerLetter"/>
      <w:suff w:val="nothing"/>
      <w:lvlText w:val="%1）"/>
      <w:lvlJc w:val="left"/>
    </w:lvl>
  </w:abstractNum>
  <w:abstractNum w:abstractNumId="2">
    <w:nsid w:val="CD0D9A0A"/>
    <w:multiLevelType w:val="singleLevel"/>
    <w:tmpl w:val="CD0D9A0A"/>
    <w:lvl w:ilvl="0" w:tentative="0">
      <w:start w:val="1"/>
      <w:numFmt w:val="lowerLetter"/>
      <w:suff w:val="space"/>
      <w:lvlText w:val="%1)"/>
      <w:lvlJc w:val="left"/>
    </w:lvl>
  </w:abstractNum>
  <w:abstractNum w:abstractNumId="3">
    <w:nsid w:val="E65387F9"/>
    <w:multiLevelType w:val="singleLevel"/>
    <w:tmpl w:val="E65387F9"/>
    <w:lvl w:ilvl="0" w:tentative="0">
      <w:start w:val="1"/>
      <w:numFmt w:val="lowerLetter"/>
      <w:lvlText w:val="%1)"/>
      <w:lvlJc w:val="left"/>
      <w:pPr>
        <w:tabs>
          <w:tab w:val="left" w:pos="312"/>
        </w:tabs>
        <w:ind w:left="302" w:firstLine="0"/>
      </w:pPr>
    </w:lvl>
  </w:abstractNum>
  <w:abstractNum w:abstractNumId="4">
    <w:nsid w:val="F9569A88"/>
    <w:multiLevelType w:val="singleLevel"/>
    <w:tmpl w:val="F9569A88"/>
    <w:lvl w:ilvl="0" w:tentative="0">
      <w:start w:val="1"/>
      <w:numFmt w:val="lowerLetter"/>
      <w:lvlText w:val="%1)"/>
      <w:lvlJc w:val="left"/>
      <w:pPr>
        <w:tabs>
          <w:tab w:val="left" w:pos="312"/>
        </w:tabs>
      </w:pPr>
    </w:lvl>
  </w:abstractNum>
  <w:abstractNum w:abstractNumId="5">
    <w:nsid w:val="026A4A6D"/>
    <w:multiLevelType w:val="singleLevel"/>
    <w:tmpl w:val="026A4A6D"/>
    <w:lvl w:ilvl="0" w:tentative="0">
      <w:start w:val="1"/>
      <w:numFmt w:val="lowerLetter"/>
      <w:lvlText w:val="%1)"/>
      <w:lvlJc w:val="left"/>
      <w:pPr>
        <w:tabs>
          <w:tab w:val="left" w:pos="312"/>
        </w:tabs>
      </w:pPr>
    </w:lvl>
  </w:abstractNum>
  <w:abstractNum w:abstractNumId="6">
    <w:nsid w:val="0D52CF86"/>
    <w:multiLevelType w:val="singleLevel"/>
    <w:tmpl w:val="0D52CF86"/>
    <w:lvl w:ilvl="0" w:tentative="0">
      <w:start w:val="1"/>
      <w:numFmt w:val="lowerLetter"/>
      <w:suff w:val="space"/>
      <w:lvlText w:val="%1)"/>
      <w:lvlJc w:val="left"/>
    </w:lvl>
  </w:abstractNum>
  <w:abstractNum w:abstractNumId="7">
    <w:nsid w:val="1D56E3F4"/>
    <w:multiLevelType w:val="singleLevel"/>
    <w:tmpl w:val="1D56E3F4"/>
    <w:lvl w:ilvl="0" w:tentative="0">
      <w:start w:val="1"/>
      <w:numFmt w:val="lowerLetter"/>
      <w:suff w:val="space"/>
      <w:lvlText w:val="%1)"/>
      <w:lvlJc w:val="left"/>
    </w:lvl>
  </w:abstractNum>
  <w:abstractNum w:abstractNumId="8">
    <w:nsid w:val="2A8F537B"/>
    <w:multiLevelType w:val="multilevel"/>
    <w:tmpl w:val="2A8F537B"/>
    <w:lvl w:ilvl="0" w:tentative="0">
      <w:start w:val="4"/>
      <w:numFmt w:val="decimal"/>
      <w:lvlText w:val="%1"/>
      <w:lvlJc w:val="left"/>
      <w:pPr>
        <w:ind w:left="324" w:hanging="212"/>
      </w:pPr>
      <w:rPr>
        <w:rFonts w:hint="default" w:ascii="黑体" w:hAnsi="黑体" w:eastAsia="黑体" w:cs="黑体"/>
        <w:w w:val="100"/>
        <w:sz w:val="21"/>
        <w:szCs w:val="21"/>
        <w:lang w:val="zh-CN" w:eastAsia="zh-CN" w:bidi="zh-CN"/>
      </w:rPr>
    </w:lvl>
    <w:lvl w:ilvl="1" w:tentative="0">
      <w:start w:val="1"/>
      <w:numFmt w:val="decimal"/>
      <w:lvlText w:val="%1.%2"/>
      <w:lvlJc w:val="left"/>
      <w:pPr>
        <w:ind w:left="482" w:hanging="371"/>
      </w:pPr>
      <w:rPr>
        <w:rFonts w:hint="default" w:ascii="黑体" w:hAnsi="黑体" w:eastAsia="黑体" w:cs="黑体"/>
        <w:w w:val="100"/>
        <w:sz w:val="21"/>
        <w:szCs w:val="21"/>
        <w:lang w:val="zh-CN" w:eastAsia="zh-CN" w:bidi="zh-CN"/>
      </w:rPr>
    </w:lvl>
    <w:lvl w:ilvl="2" w:tentative="0">
      <w:start w:val="1"/>
      <w:numFmt w:val="lowerLetter"/>
      <w:lvlText w:val="%3)"/>
      <w:lvlJc w:val="left"/>
      <w:pPr>
        <w:ind w:left="955" w:hanging="423"/>
      </w:pPr>
      <w:rPr>
        <w:rFonts w:hint="default" w:ascii="宋体" w:hAnsi="宋体" w:eastAsia="宋体" w:cs="宋体"/>
        <w:w w:val="100"/>
        <w:sz w:val="21"/>
        <w:szCs w:val="21"/>
        <w:lang w:val="zh-CN" w:eastAsia="zh-CN" w:bidi="zh-CN"/>
      </w:rPr>
    </w:lvl>
    <w:lvl w:ilvl="3" w:tentative="0">
      <w:start w:val="0"/>
      <w:numFmt w:val="bullet"/>
      <w:lvlText w:val="•"/>
      <w:lvlJc w:val="left"/>
      <w:pPr>
        <w:ind w:left="960" w:hanging="423"/>
      </w:pPr>
      <w:rPr>
        <w:rFonts w:hint="default"/>
        <w:lang w:val="zh-CN" w:eastAsia="zh-CN" w:bidi="zh-CN"/>
      </w:rPr>
    </w:lvl>
    <w:lvl w:ilvl="4" w:tentative="0">
      <w:start w:val="0"/>
      <w:numFmt w:val="bullet"/>
      <w:lvlText w:val="•"/>
      <w:lvlJc w:val="left"/>
      <w:pPr>
        <w:ind w:left="2298" w:hanging="423"/>
      </w:pPr>
      <w:rPr>
        <w:rFonts w:hint="default"/>
        <w:lang w:val="zh-CN" w:eastAsia="zh-CN" w:bidi="zh-CN"/>
      </w:rPr>
    </w:lvl>
    <w:lvl w:ilvl="5" w:tentative="0">
      <w:start w:val="0"/>
      <w:numFmt w:val="bullet"/>
      <w:lvlText w:val="•"/>
      <w:lvlJc w:val="left"/>
      <w:pPr>
        <w:ind w:left="3636" w:hanging="423"/>
      </w:pPr>
      <w:rPr>
        <w:rFonts w:hint="default"/>
        <w:lang w:val="zh-CN" w:eastAsia="zh-CN" w:bidi="zh-CN"/>
      </w:rPr>
    </w:lvl>
    <w:lvl w:ilvl="6" w:tentative="0">
      <w:start w:val="0"/>
      <w:numFmt w:val="bullet"/>
      <w:lvlText w:val="•"/>
      <w:lvlJc w:val="left"/>
      <w:pPr>
        <w:ind w:left="4974" w:hanging="423"/>
      </w:pPr>
      <w:rPr>
        <w:rFonts w:hint="default"/>
        <w:lang w:val="zh-CN" w:eastAsia="zh-CN" w:bidi="zh-CN"/>
      </w:rPr>
    </w:lvl>
    <w:lvl w:ilvl="7" w:tentative="0">
      <w:start w:val="0"/>
      <w:numFmt w:val="bullet"/>
      <w:lvlText w:val="•"/>
      <w:lvlJc w:val="left"/>
      <w:pPr>
        <w:ind w:left="6312" w:hanging="423"/>
      </w:pPr>
      <w:rPr>
        <w:rFonts w:hint="default"/>
        <w:lang w:val="zh-CN" w:eastAsia="zh-CN" w:bidi="zh-CN"/>
      </w:rPr>
    </w:lvl>
    <w:lvl w:ilvl="8" w:tentative="0">
      <w:start w:val="0"/>
      <w:numFmt w:val="bullet"/>
      <w:lvlText w:val="•"/>
      <w:lvlJc w:val="left"/>
      <w:pPr>
        <w:ind w:left="7650" w:hanging="423"/>
      </w:pPr>
      <w:rPr>
        <w:rFonts w:hint="default"/>
        <w:lang w:val="zh-CN" w:eastAsia="zh-CN" w:bidi="zh-CN"/>
      </w:rPr>
    </w:lvl>
  </w:abstractNum>
  <w:abstractNum w:abstractNumId="9">
    <w:nsid w:val="67C30C3F"/>
    <w:multiLevelType w:val="singleLevel"/>
    <w:tmpl w:val="67C30C3F"/>
    <w:lvl w:ilvl="0" w:tentative="0">
      <w:start w:val="1"/>
      <w:numFmt w:val="lowerLetter"/>
      <w:lvlText w:val="%1)"/>
      <w:lvlJc w:val="left"/>
      <w:pPr>
        <w:tabs>
          <w:tab w:val="left" w:pos="312"/>
        </w:tabs>
      </w:pPr>
    </w:lvl>
  </w:abstractNum>
  <w:abstractNum w:abstractNumId="10">
    <w:nsid w:val="6EF51254"/>
    <w:multiLevelType w:val="singleLevel"/>
    <w:tmpl w:val="6EF51254"/>
    <w:lvl w:ilvl="0" w:tentative="0">
      <w:start w:val="1"/>
      <w:numFmt w:val="lowerLetter"/>
      <w:lvlText w:val="%1)"/>
      <w:lvlJc w:val="left"/>
      <w:pPr>
        <w:tabs>
          <w:tab w:val="left" w:pos="312"/>
        </w:tabs>
      </w:pPr>
    </w:lvl>
  </w:abstractNum>
  <w:num w:numId="1">
    <w:abstractNumId w:val="8"/>
  </w:num>
  <w:num w:numId="2">
    <w:abstractNumId w:val="2"/>
  </w:num>
  <w:num w:numId="3">
    <w:abstractNumId w:val="3"/>
  </w:num>
  <w:num w:numId="4">
    <w:abstractNumId w:val="1"/>
  </w:num>
  <w:num w:numId="5">
    <w:abstractNumId w:val="6"/>
  </w:num>
  <w:num w:numId="6">
    <w:abstractNumId w:val="0"/>
  </w:num>
  <w:num w:numId="7">
    <w:abstractNumId w:val="4"/>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wNDAzNGRiNGFlZTExMWI4NzdlNjZiYjYyODVhZmUifQ=="/>
  </w:docVars>
  <w:rsids>
    <w:rsidRoot w:val="00A05BCF"/>
    <w:rsid w:val="000002FC"/>
    <w:rsid w:val="00000539"/>
    <w:rsid w:val="00000F4A"/>
    <w:rsid w:val="00001537"/>
    <w:rsid w:val="00001597"/>
    <w:rsid w:val="00001DF3"/>
    <w:rsid w:val="00002091"/>
    <w:rsid w:val="0000260C"/>
    <w:rsid w:val="000037E0"/>
    <w:rsid w:val="0000399A"/>
    <w:rsid w:val="00004CEA"/>
    <w:rsid w:val="00005579"/>
    <w:rsid w:val="0000595B"/>
    <w:rsid w:val="000066FF"/>
    <w:rsid w:val="0001012A"/>
    <w:rsid w:val="0001044B"/>
    <w:rsid w:val="00010510"/>
    <w:rsid w:val="00011B19"/>
    <w:rsid w:val="0001243F"/>
    <w:rsid w:val="000143BC"/>
    <w:rsid w:val="00014D0B"/>
    <w:rsid w:val="00015ACE"/>
    <w:rsid w:val="00016030"/>
    <w:rsid w:val="0001666A"/>
    <w:rsid w:val="00017024"/>
    <w:rsid w:val="000176F7"/>
    <w:rsid w:val="000204A3"/>
    <w:rsid w:val="00020B84"/>
    <w:rsid w:val="00020D53"/>
    <w:rsid w:val="0002247C"/>
    <w:rsid w:val="00022B69"/>
    <w:rsid w:val="000234C3"/>
    <w:rsid w:val="00023D41"/>
    <w:rsid w:val="0002415B"/>
    <w:rsid w:val="0002452D"/>
    <w:rsid w:val="00024A1F"/>
    <w:rsid w:val="00024B07"/>
    <w:rsid w:val="00025B0E"/>
    <w:rsid w:val="00026080"/>
    <w:rsid w:val="000267BF"/>
    <w:rsid w:val="0002688E"/>
    <w:rsid w:val="00027AD6"/>
    <w:rsid w:val="00030334"/>
    <w:rsid w:val="00030544"/>
    <w:rsid w:val="00032104"/>
    <w:rsid w:val="00032985"/>
    <w:rsid w:val="00033710"/>
    <w:rsid w:val="000356F4"/>
    <w:rsid w:val="0003633F"/>
    <w:rsid w:val="00037373"/>
    <w:rsid w:val="00037A4E"/>
    <w:rsid w:val="0004091C"/>
    <w:rsid w:val="0004137B"/>
    <w:rsid w:val="00041F90"/>
    <w:rsid w:val="000423CE"/>
    <w:rsid w:val="000429DE"/>
    <w:rsid w:val="00043E1C"/>
    <w:rsid w:val="00044D5E"/>
    <w:rsid w:val="00045200"/>
    <w:rsid w:val="00045815"/>
    <w:rsid w:val="00045864"/>
    <w:rsid w:val="00046708"/>
    <w:rsid w:val="00046A1F"/>
    <w:rsid w:val="00046A54"/>
    <w:rsid w:val="00046BA8"/>
    <w:rsid w:val="00046D93"/>
    <w:rsid w:val="0004711A"/>
    <w:rsid w:val="000478E0"/>
    <w:rsid w:val="000504BC"/>
    <w:rsid w:val="000506D6"/>
    <w:rsid w:val="000510C1"/>
    <w:rsid w:val="00051379"/>
    <w:rsid w:val="000524C6"/>
    <w:rsid w:val="00052FBC"/>
    <w:rsid w:val="0005432C"/>
    <w:rsid w:val="00054965"/>
    <w:rsid w:val="00054ADF"/>
    <w:rsid w:val="00054F93"/>
    <w:rsid w:val="00057C62"/>
    <w:rsid w:val="000603FA"/>
    <w:rsid w:val="000609CF"/>
    <w:rsid w:val="00060BFF"/>
    <w:rsid w:val="00060F66"/>
    <w:rsid w:val="00061CAE"/>
    <w:rsid w:val="00062BED"/>
    <w:rsid w:val="00064383"/>
    <w:rsid w:val="00070DFE"/>
    <w:rsid w:val="000711FD"/>
    <w:rsid w:val="000724DB"/>
    <w:rsid w:val="00073141"/>
    <w:rsid w:val="0007393D"/>
    <w:rsid w:val="000745E0"/>
    <w:rsid w:val="00074E17"/>
    <w:rsid w:val="00074F4E"/>
    <w:rsid w:val="00075D05"/>
    <w:rsid w:val="000762AE"/>
    <w:rsid w:val="00077DC5"/>
    <w:rsid w:val="000800A3"/>
    <w:rsid w:val="000803E9"/>
    <w:rsid w:val="00080B70"/>
    <w:rsid w:val="0008124B"/>
    <w:rsid w:val="00081A82"/>
    <w:rsid w:val="0008242D"/>
    <w:rsid w:val="000825A1"/>
    <w:rsid w:val="00082ADB"/>
    <w:rsid w:val="00082B6D"/>
    <w:rsid w:val="0008378C"/>
    <w:rsid w:val="00084320"/>
    <w:rsid w:val="00084551"/>
    <w:rsid w:val="00085DB6"/>
    <w:rsid w:val="00086370"/>
    <w:rsid w:val="0009169C"/>
    <w:rsid w:val="00091B79"/>
    <w:rsid w:val="00092C73"/>
    <w:rsid w:val="00093593"/>
    <w:rsid w:val="000942F6"/>
    <w:rsid w:val="00095317"/>
    <w:rsid w:val="000955BE"/>
    <w:rsid w:val="00095DBC"/>
    <w:rsid w:val="00096159"/>
    <w:rsid w:val="0009655A"/>
    <w:rsid w:val="000972D3"/>
    <w:rsid w:val="00097D0E"/>
    <w:rsid w:val="000A0253"/>
    <w:rsid w:val="000A0C6F"/>
    <w:rsid w:val="000A1949"/>
    <w:rsid w:val="000A1A39"/>
    <w:rsid w:val="000A29A5"/>
    <w:rsid w:val="000A3B3A"/>
    <w:rsid w:val="000A5F12"/>
    <w:rsid w:val="000A6782"/>
    <w:rsid w:val="000A6B57"/>
    <w:rsid w:val="000A7BED"/>
    <w:rsid w:val="000B075B"/>
    <w:rsid w:val="000B2692"/>
    <w:rsid w:val="000B2926"/>
    <w:rsid w:val="000B2BD4"/>
    <w:rsid w:val="000B3906"/>
    <w:rsid w:val="000B3C3D"/>
    <w:rsid w:val="000B5428"/>
    <w:rsid w:val="000B5E1A"/>
    <w:rsid w:val="000B6A2B"/>
    <w:rsid w:val="000B6D6D"/>
    <w:rsid w:val="000B6DFC"/>
    <w:rsid w:val="000B71F5"/>
    <w:rsid w:val="000B7D62"/>
    <w:rsid w:val="000C0232"/>
    <w:rsid w:val="000C044F"/>
    <w:rsid w:val="000C0A53"/>
    <w:rsid w:val="000C1169"/>
    <w:rsid w:val="000C1187"/>
    <w:rsid w:val="000C1770"/>
    <w:rsid w:val="000C208E"/>
    <w:rsid w:val="000C2C71"/>
    <w:rsid w:val="000C3605"/>
    <w:rsid w:val="000C3E2E"/>
    <w:rsid w:val="000C42A3"/>
    <w:rsid w:val="000C4503"/>
    <w:rsid w:val="000C46CB"/>
    <w:rsid w:val="000C49AB"/>
    <w:rsid w:val="000C578E"/>
    <w:rsid w:val="000C64F4"/>
    <w:rsid w:val="000C6F20"/>
    <w:rsid w:val="000C7EFC"/>
    <w:rsid w:val="000D0AA3"/>
    <w:rsid w:val="000D1359"/>
    <w:rsid w:val="000D1FE4"/>
    <w:rsid w:val="000D2017"/>
    <w:rsid w:val="000D2840"/>
    <w:rsid w:val="000D2B94"/>
    <w:rsid w:val="000D3306"/>
    <w:rsid w:val="000D3600"/>
    <w:rsid w:val="000D3B88"/>
    <w:rsid w:val="000D3D30"/>
    <w:rsid w:val="000D3DE3"/>
    <w:rsid w:val="000D4446"/>
    <w:rsid w:val="000D4AD4"/>
    <w:rsid w:val="000D4C9B"/>
    <w:rsid w:val="000D53BE"/>
    <w:rsid w:val="000D559E"/>
    <w:rsid w:val="000D55C6"/>
    <w:rsid w:val="000D59CE"/>
    <w:rsid w:val="000E0ED3"/>
    <w:rsid w:val="000E1326"/>
    <w:rsid w:val="000E15A4"/>
    <w:rsid w:val="000E2050"/>
    <w:rsid w:val="000E20A0"/>
    <w:rsid w:val="000E221F"/>
    <w:rsid w:val="000E261C"/>
    <w:rsid w:val="000E3039"/>
    <w:rsid w:val="000E314E"/>
    <w:rsid w:val="000E32AB"/>
    <w:rsid w:val="000E365C"/>
    <w:rsid w:val="000E4219"/>
    <w:rsid w:val="000E5E9C"/>
    <w:rsid w:val="000E67C0"/>
    <w:rsid w:val="000E7441"/>
    <w:rsid w:val="000F0645"/>
    <w:rsid w:val="000F13D1"/>
    <w:rsid w:val="000F16A7"/>
    <w:rsid w:val="000F17E9"/>
    <w:rsid w:val="000F2190"/>
    <w:rsid w:val="000F2245"/>
    <w:rsid w:val="000F3AC8"/>
    <w:rsid w:val="000F4F2C"/>
    <w:rsid w:val="000F54DE"/>
    <w:rsid w:val="000F6E9C"/>
    <w:rsid w:val="000F7601"/>
    <w:rsid w:val="00100023"/>
    <w:rsid w:val="001008AC"/>
    <w:rsid w:val="00100937"/>
    <w:rsid w:val="001025DF"/>
    <w:rsid w:val="00102818"/>
    <w:rsid w:val="00103A3C"/>
    <w:rsid w:val="00105048"/>
    <w:rsid w:val="00105302"/>
    <w:rsid w:val="00105565"/>
    <w:rsid w:val="00105729"/>
    <w:rsid w:val="00105AFE"/>
    <w:rsid w:val="00105CB0"/>
    <w:rsid w:val="001060D9"/>
    <w:rsid w:val="001069AC"/>
    <w:rsid w:val="00106D5F"/>
    <w:rsid w:val="00107739"/>
    <w:rsid w:val="0011039A"/>
    <w:rsid w:val="00112068"/>
    <w:rsid w:val="0011225D"/>
    <w:rsid w:val="00113C27"/>
    <w:rsid w:val="00115FDD"/>
    <w:rsid w:val="001161EF"/>
    <w:rsid w:val="00116447"/>
    <w:rsid w:val="001167EB"/>
    <w:rsid w:val="00116EF7"/>
    <w:rsid w:val="0012063C"/>
    <w:rsid w:val="00120A0F"/>
    <w:rsid w:val="00120D7C"/>
    <w:rsid w:val="001211CC"/>
    <w:rsid w:val="00121CFB"/>
    <w:rsid w:val="00122A78"/>
    <w:rsid w:val="00122BEF"/>
    <w:rsid w:val="00124B17"/>
    <w:rsid w:val="00124BD5"/>
    <w:rsid w:val="001253C7"/>
    <w:rsid w:val="00125610"/>
    <w:rsid w:val="001258E1"/>
    <w:rsid w:val="00125917"/>
    <w:rsid w:val="00126E09"/>
    <w:rsid w:val="00127C19"/>
    <w:rsid w:val="00130BC5"/>
    <w:rsid w:val="0013139D"/>
    <w:rsid w:val="0013170B"/>
    <w:rsid w:val="00132435"/>
    <w:rsid w:val="00132B44"/>
    <w:rsid w:val="0013404F"/>
    <w:rsid w:val="001352C6"/>
    <w:rsid w:val="0013595A"/>
    <w:rsid w:val="00135AB0"/>
    <w:rsid w:val="0013639D"/>
    <w:rsid w:val="001368CD"/>
    <w:rsid w:val="00137D66"/>
    <w:rsid w:val="00137F5C"/>
    <w:rsid w:val="00140CF8"/>
    <w:rsid w:val="00141873"/>
    <w:rsid w:val="00141A71"/>
    <w:rsid w:val="00141B33"/>
    <w:rsid w:val="001429B1"/>
    <w:rsid w:val="00142DE9"/>
    <w:rsid w:val="001439ED"/>
    <w:rsid w:val="00143C3B"/>
    <w:rsid w:val="00143CE0"/>
    <w:rsid w:val="00143E29"/>
    <w:rsid w:val="00144BBE"/>
    <w:rsid w:val="001463F8"/>
    <w:rsid w:val="001476E3"/>
    <w:rsid w:val="00147957"/>
    <w:rsid w:val="00147BEF"/>
    <w:rsid w:val="00147F7A"/>
    <w:rsid w:val="00150746"/>
    <w:rsid w:val="00150BBF"/>
    <w:rsid w:val="00151118"/>
    <w:rsid w:val="00151DBE"/>
    <w:rsid w:val="00151E37"/>
    <w:rsid w:val="0015321F"/>
    <w:rsid w:val="00153356"/>
    <w:rsid w:val="00155933"/>
    <w:rsid w:val="00160453"/>
    <w:rsid w:val="00161756"/>
    <w:rsid w:val="00163005"/>
    <w:rsid w:val="00163FD3"/>
    <w:rsid w:val="00164D2F"/>
    <w:rsid w:val="00165365"/>
    <w:rsid w:val="00165455"/>
    <w:rsid w:val="001660D5"/>
    <w:rsid w:val="001665B4"/>
    <w:rsid w:val="00167852"/>
    <w:rsid w:val="00170CD1"/>
    <w:rsid w:val="00171187"/>
    <w:rsid w:val="00172105"/>
    <w:rsid w:val="00172B75"/>
    <w:rsid w:val="00172D56"/>
    <w:rsid w:val="00174B45"/>
    <w:rsid w:val="00175368"/>
    <w:rsid w:val="00175CA9"/>
    <w:rsid w:val="00176BA1"/>
    <w:rsid w:val="001777AF"/>
    <w:rsid w:val="00177B12"/>
    <w:rsid w:val="00177B72"/>
    <w:rsid w:val="00177DB3"/>
    <w:rsid w:val="00180E14"/>
    <w:rsid w:val="001833FD"/>
    <w:rsid w:val="001835CB"/>
    <w:rsid w:val="00183F04"/>
    <w:rsid w:val="00185A71"/>
    <w:rsid w:val="00186252"/>
    <w:rsid w:val="001865C1"/>
    <w:rsid w:val="00186987"/>
    <w:rsid w:val="00191145"/>
    <w:rsid w:val="0019134E"/>
    <w:rsid w:val="00191D7F"/>
    <w:rsid w:val="00191DBB"/>
    <w:rsid w:val="00193EEA"/>
    <w:rsid w:val="00195FE9"/>
    <w:rsid w:val="00196BE0"/>
    <w:rsid w:val="001979A4"/>
    <w:rsid w:val="001A00B9"/>
    <w:rsid w:val="001A0A1F"/>
    <w:rsid w:val="001A0A69"/>
    <w:rsid w:val="001A1147"/>
    <w:rsid w:val="001A11DC"/>
    <w:rsid w:val="001A1A3C"/>
    <w:rsid w:val="001A206C"/>
    <w:rsid w:val="001A21EF"/>
    <w:rsid w:val="001A25E2"/>
    <w:rsid w:val="001A2FEB"/>
    <w:rsid w:val="001A3802"/>
    <w:rsid w:val="001A3C97"/>
    <w:rsid w:val="001A41EF"/>
    <w:rsid w:val="001A447E"/>
    <w:rsid w:val="001A5D0C"/>
    <w:rsid w:val="001A64DF"/>
    <w:rsid w:val="001A74C1"/>
    <w:rsid w:val="001A76B0"/>
    <w:rsid w:val="001A7835"/>
    <w:rsid w:val="001A7878"/>
    <w:rsid w:val="001B00B8"/>
    <w:rsid w:val="001B0F19"/>
    <w:rsid w:val="001B4009"/>
    <w:rsid w:val="001B40F5"/>
    <w:rsid w:val="001B4610"/>
    <w:rsid w:val="001B48CE"/>
    <w:rsid w:val="001B664A"/>
    <w:rsid w:val="001C1E8B"/>
    <w:rsid w:val="001C2748"/>
    <w:rsid w:val="001C509C"/>
    <w:rsid w:val="001C53C1"/>
    <w:rsid w:val="001C569A"/>
    <w:rsid w:val="001C5A8E"/>
    <w:rsid w:val="001C60FC"/>
    <w:rsid w:val="001C62AE"/>
    <w:rsid w:val="001C6B96"/>
    <w:rsid w:val="001C754D"/>
    <w:rsid w:val="001C7C3E"/>
    <w:rsid w:val="001D04C0"/>
    <w:rsid w:val="001D2042"/>
    <w:rsid w:val="001D251C"/>
    <w:rsid w:val="001D2630"/>
    <w:rsid w:val="001D272C"/>
    <w:rsid w:val="001D2A57"/>
    <w:rsid w:val="001D2DC7"/>
    <w:rsid w:val="001D41BD"/>
    <w:rsid w:val="001D4EF7"/>
    <w:rsid w:val="001D50EF"/>
    <w:rsid w:val="001D677A"/>
    <w:rsid w:val="001E0784"/>
    <w:rsid w:val="001E0F6F"/>
    <w:rsid w:val="001E0FFD"/>
    <w:rsid w:val="001E1145"/>
    <w:rsid w:val="001E2310"/>
    <w:rsid w:val="001E2B3D"/>
    <w:rsid w:val="001E3784"/>
    <w:rsid w:val="001E4047"/>
    <w:rsid w:val="001E4048"/>
    <w:rsid w:val="001E44BE"/>
    <w:rsid w:val="001E48BA"/>
    <w:rsid w:val="001E5582"/>
    <w:rsid w:val="001E7048"/>
    <w:rsid w:val="001E741C"/>
    <w:rsid w:val="001E7A6C"/>
    <w:rsid w:val="001E7FAD"/>
    <w:rsid w:val="001F06F0"/>
    <w:rsid w:val="001F1068"/>
    <w:rsid w:val="001F13DD"/>
    <w:rsid w:val="001F2933"/>
    <w:rsid w:val="001F371A"/>
    <w:rsid w:val="001F38CB"/>
    <w:rsid w:val="001F3D25"/>
    <w:rsid w:val="001F42AD"/>
    <w:rsid w:val="001F42D8"/>
    <w:rsid w:val="001F6F04"/>
    <w:rsid w:val="001F74CF"/>
    <w:rsid w:val="00200070"/>
    <w:rsid w:val="00200CAC"/>
    <w:rsid w:val="00200DDD"/>
    <w:rsid w:val="00201482"/>
    <w:rsid w:val="00202156"/>
    <w:rsid w:val="002024AC"/>
    <w:rsid w:val="00202EF4"/>
    <w:rsid w:val="00203CB9"/>
    <w:rsid w:val="0020452F"/>
    <w:rsid w:val="00205AFA"/>
    <w:rsid w:val="002066D2"/>
    <w:rsid w:val="002069FA"/>
    <w:rsid w:val="0020710E"/>
    <w:rsid w:val="00207A5E"/>
    <w:rsid w:val="00210DC2"/>
    <w:rsid w:val="00212024"/>
    <w:rsid w:val="00212318"/>
    <w:rsid w:val="0021281D"/>
    <w:rsid w:val="00215311"/>
    <w:rsid w:val="00215B9E"/>
    <w:rsid w:val="0021737B"/>
    <w:rsid w:val="0022074A"/>
    <w:rsid w:val="00221E9A"/>
    <w:rsid w:val="0022392B"/>
    <w:rsid w:val="002241EE"/>
    <w:rsid w:val="00224906"/>
    <w:rsid w:val="002249FD"/>
    <w:rsid w:val="00225A6C"/>
    <w:rsid w:val="00225E8A"/>
    <w:rsid w:val="0022666B"/>
    <w:rsid w:val="00230507"/>
    <w:rsid w:val="00230B4D"/>
    <w:rsid w:val="00230BA5"/>
    <w:rsid w:val="00232381"/>
    <w:rsid w:val="00232AD7"/>
    <w:rsid w:val="00233456"/>
    <w:rsid w:val="00234D94"/>
    <w:rsid w:val="0023681B"/>
    <w:rsid w:val="0023791E"/>
    <w:rsid w:val="0024064D"/>
    <w:rsid w:val="00240AF4"/>
    <w:rsid w:val="002417FB"/>
    <w:rsid w:val="00242588"/>
    <w:rsid w:val="0024406C"/>
    <w:rsid w:val="00244265"/>
    <w:rsid w:val="002443CD"/>
    <w:rsid w:val="002456DB"/>
    <w:rsid w:val="0024587D"/>
    <w:rsid w:val="002459F9"/>
    <w:rsid w:val="00247408"/>
    <w:rsid w:val="00247783"/>
    <w:rsid w:val="00247804"/>
    <w:rsid w:val="0025011D"/>
    <w:rsid w:val="002514B9"/>
    <w:rsid w:val="0025254C"/>
    <w:rsid w:val="002540CA"/>
    <w:rsid w:val="00254890"/>
    <w:rsid w:val="00254948"/>
    <w:rsid w:val="00255160"/>
    <w:rsid w:val="0025559E"/>
    <w:rsid w:val="00255DEF"/>
    <w:rsid w:val="0025641B"/>
    <w:rsid w:val="00256B1A"/>
    <w:rsid w:val="00257730"/>
    <w:rsid w:val="00260446"/>
    <w:rsid w:val="00262560"/>
    <w:rsid w:val="00262D5E"/>
    <w:rsid w:val="00263650"/>
    <w:rsid w:val="00263C4E"/>
    <w:rsid w:val="00263FF8"/>
    <w:rsid w:val="002651CF"/>
    <w:rsid w:val="00265510"/>
    <w:rsid w:val="00265573"/>
    <w:rsid w:val="00265C10"/>
    <w:rsid w:val="00266A48"/>
    <w:rsid w:val="00270D22"/>
    <w:rsid w:val="00271C2D"/>
    <w:rsid w:val="002730E0"/>
    <w:rsid w:val="002740E8"/>
    <w:rsid w:val="00274419"/>
    <w:rsid w:val="00274431"/>
    <w:rsid w:val="002773CB"/>
    <w:rsid w:val="00277FD9"/>
    <w:rsid w:val="0028090F"/>
    <w:rsid w:val="0028308C"/>
    <w:rsid w:val="002831DD"/>
    <w:rsid w:val="00283386"/>
    <w:rsid w:val="00283698"/>
    <w:rsid w:val="00284BB7"/>
    <w:rsid w:val="002863B1"/>
    <w:rsid w:val="0028675F"/>
    <w:rsid w:val="00290B7D"/>
    <w:rsid w:val="00290BCC"/>
    <w:rsid w:val="002919F7"/>
    <w:rsid w:val="00291A04"/>
    <w:rsid w:val="00291AC3"/>
    <w:rsid w:val="0029262D"/>
    <w:rsid w:val="002934E5"/>
    <w:rsid w:val="00293889"/>
    <w:rsid w:val="002948CB"/>
    <w:rsid w:val="00295616"/>
    <w:rsid w:val="00296284"/>
    <w:rsid w:val="002A1715"/>
    <w:rsid w:val="002A1A68"/>
    <w:rsid w:val="002A287A"/>
    <w:rsid w:val="002A2F95"/>
    <w:rsid w:val="002A33E7"/>
    <w:rsid w:val="002A5610"/>
    <w:rsid w:val="002A6CFF"/>
    <w:rsid w:val="002A732A"/>
    <w:rsid w:val="002A74C7"/>
    <w:rsid w:val="002B178F"/>
    <w:rsid w:val="002B18AB"/>
    <w:rsid w:val="002B1B8E"/>
    <w:rsid w:val="002B1C2B"/>
    <w:rsid w:val="002B1DEA"/>
    <w:rsid w:val="002B21C9"/>
    <w:rsid w:val="002B255F"/>
    <w:rsid w:val="002B2EC3"/>
    <w:rsid w:val="002B473B"/>
    <w:rsid w:val="002B53FB"/>
    <w:rsid w:val="002B6440"/>
    <w:rsid w:val="002C0A08"/>
    <w:rsid w:val="002C1674"/>
    <w:rsid w:val="002C1678"/>
    <w:rsid w:val="002C313B"/>
    <w:rsid w:val="002C381A"/>
    <w:rsid w:val="002C3ACD"/>
    <w:rsid w:val="002C4782"/>
    <w:rsid w:val="002C495D"/>
    <w:rsid w:val="002C4E1F"/>
    <w:rsid w:val="002C5619"/>
    <w:rsid w:val="002C6565"/>
    <w:rsid w:val="002C6FF6"/>
    <w:rsid w:val="002C7570"/>
    <w:rsid w:val="002C7D51"/>
    <w:rsid w:val="002D0690"/>
    <w:rsid w:val="002D19EE"/>
    <w:rsid w:val="002D1D72"/>
    <w:rsid w:val="002D1DF2"/>
    <w:rsid w:val="002D22F4"/>
    <w:rsid w:val="002D26D3"/>
    <w:rsid w:val="002D2E1A"/>
    <w:rsid w:val="002D3236"/>
    <w:rsid w:val="002D32C1"/>
    <w:rsid w:val="002D37B0"/>
    <w:rsid w:val="002D3D35"/>
    <w:rsid w:val="002D44D6"/>
    <w:rsid w:val="002D4740"/>
    <w:rsid w:val="002D5067"/>
    <w:rsid w:val="002D524D"/>
    <w:rsid w:val="002D53E0"/>
    <w:rsid w:val="002D6627"/>
    <w:rsid w:val="002D6C9F"/>
    <w:rsid w:val="002D7598"/>
    <w:rsid w:val="002D7B00"/>
    <w:rsid w:val="002E0420"/>
    <w:rsid w:val="002E07A0"/>
    <w:rsid w:val="002E1E5C"/>
    <w:rsid w:val="002E224D"/>
    <w:rsid w:val="002E2675"/>
    <w:rsid w:val="002E281C"/>
    <w:rsid w:val="002E3582"/>
    <w:rsid w:val="002E52FE"/>
    <w:rsid w:val="002E5723"/>
    <w:rsid w:val="002E5875"/>
    <w:rsid w:val="002E6643"/>
    <w:rsid w:val="002E678B"/>
    <w:rsid w:val="002E69CB"/>
    <w:rsid w:val="002E7154"/>
    <w:rsid w:val="002E7618"/>
    <w:rsid w:val="002E79C2"/>
    <w:rsid w:val="002E7BA3"/>
    <w:rsid w:val="002F0407"/>
    <w:rsid w:val="002F1273"/>
    <w:rsid w:val="002F16C7"/>
    <w:rsid w:val="002F1E15"/>
    <w:rsid w:val="002F1EE1"/>
    <w:rsid w:val="002F2811"/>
    <w:rsid w:val="002F34E8"/>
    <w:rsid w:val="002F3E47"/>
    <w:rsid w:val="002F40B5"/>
    <w:rsid w:val="002F62FA"/>
    <w:rsid w:val="002F6F9E"/>
    <w:rsid w:val="002F7045"/>
    <w:rsid w:val="002F726A"/>
    <w:rsid w:val="002F7816"/>
    <w:rsid w:val="00301072"/>
    <w:rsid w:val="00301AD3"/>
    <w:rsid w:val="00302117"/>
    <w:rsid w:val="0030284E"/>
    <w:rsid w:val="00302994"/>
    <w:rsid w:val="00302B9B"/>
    <w:rsid w:val="00304E2A"/>
    <w:rsid w:val="003050B9"/>
    <w:rsid w:val="00305E01"/>
    <w:rsid w:val="003066E2"/>
    <w:rsid w:val="00307FF4"/>
    <w:rsid w:val="0031068A"/>
    <w:rsid w:val="00310EFF"/>
    <w:rsid w:val="0031182B"/>
    <w:rsid w:val="00311D3B"/>
    <w:rsid w:val="00312581"/>
    <w:rsid w:val="00312C9D"/>
    <w:rsid w:val="003132D6"/>
    <w:rsid w:val="0031355D"/>
    <w:rsid w:val="0031641A"/>
    <w:rsid w:val="003164E2"/>
    <w:rsid w:val="00316EBC"/>
    <w:rsid w:val="003173AA"/>
    <w:rsid w:val="00317BE1"/>
    <w:rsid w:val="00321216"/>
    <w:rsid w:val="00321896"/>
    <w:rsid w:val="00322672"/>
    <w:rsid w:val="00324316"/>
    <w:rsid w:val="00324672"/>
    <w:rsid w:val="00326445"/>
    <w:rsid w:val="003275C6"/>
    <w:rsid w:val="00330387"/>
    <w:rsid w:val="003310E7"/>
    <w:rsid w:val="00332245"/>
    <w:rsid w:val="00332A44"/>
    <w:rsid w:val="00332A95"/>
    <w:rsid w:val="003334D3"/>
    <w:rsid w:val="0033368A"/>
    <w:rsid w:val="00333875"/>
    <w:rsid w:val="00333FC9"/>
    <w:rsid w:val="003340FD"/>
    <w:rsid w:val="00334807"/>
    <w:rsid w:val="00336341"/>
    <w:rsid w:val="00336424"/>
    <w:rsid w:val="00337E05"/>
    <w:rsid w:val="00340254"/>
    <w:rsid w:val="00340A33"/>
    <w:rsid w:val="00340ADC"/>
    <w:rsid w:val="00341F4C"/>
    <w:rsid w:val="00342041"/>
    <w:rsid w:val="00342913"/>
    <w:rsid w:val="00342990"/>
    <w:rsid w:val="00342B8B"/>
    <w:rsid w:val="00344593"/>
    <w:rsid w:val="00345BED"/>
    <w:rsid w:val="003463A9"/>
    <w:rsid w:val="00346B43"/>
    <w:rsid w:val="00350787"/>
    <w:rsid w:val="00350C02"/>
    <w:rsid w:val="00350D60"/>
    <w:rsid w:val="00351219"/>
    <w:rsid w:val="0035224B"/>
    <w:rsid w:val="00353CDF"/>
    <w:rsid w:val="00354EEB"/>
    <w:rsid w:val="00354EFE"/>
    <w:rsid w:val="00355027"/>
    <w:rsid w:val="00355D18"/>
    <w:rsid w:val="00355F4C"/>
    <w:rsid w:val="00357AAC"/>
    <w:rsid w:val="00360672"/>
    <w:rsid w:val="00361982"/>
    <w:rsid w:val="00362386"/>
    <w:rsid w:val="0036397F"/>
    <w:rsid w:val="003644E4"/>
    <w:rsid w:val="00364DA6"/>
    <w:rsid w:val="0036516E"/>
    <w:rsid w:val="0036527F"/>
    <w:rsid w:val="003655F7"/>
    <w:rsid w:val="003656E5"/>
    <w:rsid w:val="003662E9"/>
    <w:rsid w:val="0036692C"/>
    <w:rsid w:val="003675C5"/>
    <w:rsid w:val="00367866"/>
    <w:rsid w:val="00367F7C"/>
    <w:rsid w:val="00370158"/>
    <w:rsid w:val="003708CC"/>
    <w:rsid w:val="0037194F"/>
    <w:rsid w:val="00371C95"/>
    <w:rsid w:val="00371F1A"/>
    <w:rsid w:val="003727BF"/>
    <w:rsid w:val="00372962"/>
    <w:rsid w:val="0037519E"/>
    <w:rsid w:val="00375764"/>
    <w:rsid w:val="00375CA9"/>
    <w:rsid w:val="003761B5"/>
    <w:rsid w:val="003777E8"/>
    <w:rsid w:val="00380D28"/>
    <w:rsid w:val="00380E6E"/>
    <w:rsid w:val="003810A8"/>
    <w:rsid w:val="00382D28"/>
    <w:rsid w:val="00384CA5"/>
    <w:rsid w:val="00385127"/>
    <w:rsid w:val="003865A7"/>
    <w:rsid w:val="00387147"/>
    <w:rsid w:val="0038799C"/>
    <w:rsid w:val="0039000B"/>
    <w:rsid w:val="003901DC"/>
    <w:rsid w:val="00391E91"/>
    <w:rsid w:val="00391F72"/>
    <w:rsid w:val="00392134"/>
    <w:rsid w:val="003928A4"/>
    <w:rsid w:val="00392B24"/>
    <w:rsid w:val="00392DEF"/>
    <w:rsid w:val="003940E4"/>
    <w:rsid w:val="003941C8"/>
    <w:rsid w:val="00394E23"/>
    <w:rsid w:val="00395010"/>
    <w:rsid w:val="00395BBD"/>
    <w:rsid w:val="00395DE3"/>
    <w:rsid w:val="00397419"/>
    <w:rsid w:val="003977A8"/>
    <w:rsid w:val="003A01CA"/>
    <w:rsid w:val="003A0908"/>
    <w:rsid w:val="003A2B1F"/>
    <w:rsid w:val="003A3041"/>
    <w:rsid w:val="003A3EBC"/>
    <w:rsid w:val="003A43FF"/>
    <w:rsid w:val="003A4425"/>
    <w:rsid w:val="003A50E7"/>
    <w:rsid w:val="003B001A"/>
    <w:rsid w:val="003B061C"/>
    <w:rsid w:val="003B187D"/>
    <w:rsid w:val="003B2173"/>
    <w:rsid w:val="003B367F"/>
    <w:rsid w:val="003B3934"/>
    <w:rsid w:val="003B410E"/>
    <w:rsid w:val="003B41B9"/>
    <w:rsid w:val="003B4798"/>
    <w:rsid w:val="003B5AF5"/>
    <w:rsid w:val="003B6544"/>
    <w:rsid w:val="003B66F6"/>
    <w:rsid w:val="003B6826"/>
    <w:rsid w:val="003B6EFD"/>
    <w:rsid w:val="003C01E5"/>
    <w:rsid w:val="003C09F5"/>
    <w:rsid w:val="003C13B4"/>
    <w:rsid w:val="003C15CC"/>
    <w:rsid w:val="003C2017"/>
    <w:rsid w:val="003C26C6"/>
    <w:rsid w:val="003C3D82"/>
    <w:rsid w:val="003C3E62"/>
    <w:rsid w:val="003C7671"/>
    <w:rsid w:val="003C77BE"/>
    <w:rsid w:val="003D0511"/>
    <w:rsid w:val="003D1116"/>
    <w:rsid w:val="003D13E6"/>
    <w:rsid w:val="003D19D6"/>
    <w:rsid w:val="003D1A5D"/>
    <w:rsid w:val="003D2FBD"/>
    <w:rsid w:val="003D45D3"/>
    <w:rsid w:val="003D54E9"/>
    <w:rsid w:val="003D641E"/>
    <w:rsid w:val="003D6A47"/>
    <w:rsid w:val="003D7D05"/>
    <w:rsid w:val="003E1C73"/>
    <w:rsid w:val="003E1FB0"/>
    <w:rsid w:val="003E2623"/>
    <w:rsid w:val="003E47DE"/>
    <w:rsid w:val="003E5AE2"/>
    <w:rsid w:val="003E5F1B"/>
    <w:rsid w:val="003E654D"/>
    <w:rsid w:val="003E681C"/>
    <w:rsid w:val="003E685F"/>
    <w:rsid w:val="003E751C"/>
    <w:rsid w:val="003E7C32"/>
    <w:rsid w:val="003F19FF"/>
    <w:rsid w:val="003F1DAC"/>
    <w:rsid w:val="003F225F"/>
    <w:rsid w:val="003F2B50"/>
    <w:rsid w:val="003F2DB0"/>
    <w:rsid w:val="003F36E5"/>
    <w:rsid w:val="003F4061"/>
    <w:rsid w:val="003F4E6D"/>
    <w:rsid w:val="003F5884"/>
    <w:rsid w:val="003F6927"/>
    <w:rsid w:val="003F7406"/>
    <w:rsid w:val="004003B8"/>
    <w:rsid w:val="00400D75"/>
    <w:rsid w:val="00401A99"/>
    <w:rsid w:val="0040289F"/>
    <w:rsid w:val="004028AD"/>
    <w:rsid w:val="00403771"/>
    <w:rsid w:val="0040421B"/>
    <w:rsid w:val="00407282"/>
    <w:rsid w:val="00407B9F"/>
    <w:rsid w:val="00410C11"/>
    <w:rsid w:val="00410C99"/>
    <w:rsid w:val="00410EE9"/>
    <w:rsid w:val="00410F9E"/>
    <w:rsid w:val="0041231B"/>
    <w:rsid w:val="00412BE0"/>
    <w:rsid w:val="0041343A"/>
    <w:rsid w:val="00416538"/>
    <w:rsid w:val="00423874"/>
    <w:rsid w:val="00424A6A"/>
    <w:rsid w:val="004252D3"/>
    <w:rsid w:val="004254DA"/>
    <w:rsid w:val="00425A3C"/>
    <w:rsid w:val="00426401"/>
    <w:rsid w:val="00426540"/>
    <w:rsid w:val="00426ACB"/>
    <w:rsid w:val="004300F1"/>
    <w:rsid w:val="00430426"/>
    <w:rsid w:val="0043061A"/>
    <w:rsid w:val="00432C36"/>
    <w:rsid w:val="00434A6E"/>
    <w:rsid w:val="004356BB"/>
    <w:rsid w:val="00435B38"/>
    <w:rsid w:val="00435E53"/>
    <w:rsid w:val="00436282"/>
    <w:rsid w:val="00436AF4"/>
    <w:rsid w:val="00436DA0"/>
    <w:rsid w:val="004371D1"/>
    <w:rsid w:val="004374E4"/>
    <w:rsid w:val="00441045"/>
    <w:rsid w:val="0044124E"/>
    <w:rsid w:val="00441F39"/>
    <w:rsid w:val="00443AF8"/>
    <w:rsid w:val="004441B3"/>
    <w:rsid w:val="00444A4A"/>
    <w:rsid w:val="00444E37"/>
    <w:rsid w:val="00444FDF"/>
    <w:rsid w:val="00447D72"/>
    <w:rsid w:val="0045052B"/>
    <w:rsid w:val="00450A8D"/>
    <w:rsid w:val="00452A4F"/>
    <w:rsid w:val="004535F1"/>
    <w:rsid w:val="004545EF"/>
    <w:rsid w:val="00454A1E"/>
    <w:rsid w:val="004551E9"/>
    <w:rsid w:val="0045588F"/>
    <w:rsid w:val="00455D31"/>
    <w:rsid w:val="00457B53"/>
    <w:rsid w:val="00461A0C"/>
    <w:rsid w:val="00462116"/>
    <w:rsid w:val="0046288F"/>
    <w:rsid w:val="00462A55"/>
    <w:rsid w:val="0046405E"/>
    <w:rsid w:val="004643B3"/>
    <w:rsid w:val="00464C95"/>
    <w:rsid w:val="004667F2"/>
    <w:rsid w:val="00467D3A"/>
    <w:rsid w:val="00467DCC"/>
    <w:rsid w:val="00470083"/>
    <w:rsid w:val="00470762"/>
    <w:rsid w:val="004713DD"/>
    <w:rsid w:val="00471C85"/>
    <w:rsid w:val="00471F20"/>
    <w:rsid w:val="00472334"/>
    <w:rsid w:val="00473AC3"/>
    <w:rsid w:val="00476AFF"/>
    <w:rsid w:val="004771AB"/>
    <w:rsid w:val="004773A3"/>
    <w:rsid w:val="004775F1"/>
    <w:rsid w:val="00480234"/>
    <w:rsid w:val="0048352F"/>
    <w:rsid w:val="004845A0"/>
    <w:rsid w:val="00484C45"/>
    <w:rsid w:val="00486802"/>
    <w:rsid w:val="00487C0F"/>
    <w:rsid w:val="004910CE"/>
    <w:rsid w:val="004913EE"/>
    <w:rsid w:val="0049161C"/>
    <w:rsid w:val="00491901"/>
    <w:rsid w:val="00492E31"/>
    <w:rsid w:val="004931AF"/>
    <w:rsid w:val="00493BDC"/>
    <w:rsid w:val="004953E9"/>
    <w:rsid w:val="00495965"/>
    <w:rsid w:val="004959F1"/>
    <w:rsid w:val="00496ACE"/>
    <w:rsid w:val="004970CC"/>
    <w:rsid w:val="00497320"/>
    <w:rsid w:val="004975AE"/>
    <w:rsid w:val="00497E74"/>
    <w:rsid w:val="004A06A1"/>
    <w:rsid w:val="004A2BC3"/>
    <w:rsid w:val="004A2F5D"/>
    <w:rsid w:val="004A51E9"/>
    <w:rsid w:val="004A52F9"/>
    <w:rsid w:val="004A7200"/>
    <w:rsid w:val="004B06B1"/>
    <w:rsid w:val="004B08C1"/>
    <w:rsid w:val="004B26BB"/>
    <w:rsid w:val="004B2A5D"/>
    <w:rsid w:val="004B3143"/>
    <w:rsid w:val="004B38F0"/>
    <w:rsid w:val="004B4998"/>
    <w:rsid w:val="004B4EE5"/>
    <w:rsid w:val="004B6A28"/>
    <w:rsid w:val="004B6BF1"/>
    <w:rsid w:val="004B7351"/>
    <w:rsid w:val="004B7E71"/>
    <w:rsid w:val="004C00EB"/>
    <w:rsid w:val="004C021B"/>
    <w:rsid w:val="004C18FB"/>
    <w:rsid w:val="004C1EC9"/>
    <w:rsid w:val="004C1F78"/>
    <w:rsid w:val="004C25AA"/>
    <w:rsid w:val="004C2A26"/>
    <w:rsid w:val="004C38C7"/>
    <w:rsid w:val="004C41CF"/>
    <w:rsid w:val="004C4C38"/>
    <w:rsid w:val="004C4CF4"/>
    <w:rsid w:val="004C50C8"/>
    <w:rsid w:val="004C51F9"/>
    <w:rsid w:val="004C524C"/>
    <w:rsid w:val="004C5846"/>
    <w:rsid w:val="004C6258"/>
    <w:rsid w:val="004C66AE"/>
    <w:rsid w:val="004C6DB2"/>
    <w:rsid w:val="004C7242"/>
    <w:rsid w:val="004C75A2"/>
    <w:rsid w:val="004C761C"/>
    <w:rsid w:val="004C76CF"/>
    <w:rsid w:val="004C7A1F"/>
    <w:rsid w:val="004C7B6E"/>
    <w:rsid w:val="004D0CE0"/>
    <w:rsid w:val="004D0EFE"/>
    <w:rsid w:val="004D1C66"/>
    <w:rsid w:val="004D2B15"/>
    <w:rsid w:val="004D319A"/>
    <w:rsid w:val="004D40FB"/>
    <w:rsid w:val="004D5A11"/>
    <w:rsid w:val="004D5BF4"/>
    <w:rsid w:val="004D75D0"/>
    <w:rsid w:val="004D7638"/>
    <w:rsid w:val="004D7FDA"/>
    <w:rsid w:val="004E02EF"/>
    <w:rsid w:val="004E1533"/>
    <w:rsid w:val="004E22B2"/>
    <w:rsid w:val="004E319D"/>
    <w:rsid w:val="004E363A"/>
    <w:rsid w:val="004E4A50"/>
    <w:rsid w:val="004E4B99"/>
    <w:rsid w:val="004E4E39"/>
    <w:rsid w:val="004E7178"/>
    <w:rsid w:val="004E777A"/>
    <w:rsid w:val="004E7C77"/>
    <w:rsid w:val="004F0087"/>
    <w:rsid w:val="004F0B26"/>
    <w:rsid w:val="004F1B99"/>
    <w:rsid w:val="004F2BDD"/>
    <w:rsid w:val="004F41C1"/>
    <w:rsid w:val="004F47FD"/>
    <w:rsid w:val="004F484B"/>
    <w:rsid w:val="004F4FF3"/>
    <w:rsid w:val="004F5066"/>
    <w:rsid w:val="004F5F35"/>
    <w:rsid w:val="004F7B36"/>
    <w:rsid w:val="004F7B85"/>
    <w:rsid w:val="00500394"/>
    <w:rsid w:val="005014CD"/>
    <w:rsid w:val="005018DF"/>
    <w:rsid w:val="00501F74"/>
    <w:rsid w:val="005022B6"/>
    <w:rsid w:val="00502F00"/>
    <w:rsid w:val="0050386C"/>
    <w:rsid w:val="005042C7"/>
    <w:rsid w:val="0050438C"/>
    <w:rsid w:val="0050645B"/>
    <w:rsid w:val="00506B54"/>
    <w:rsid w:val="00507E30"/>
    <w:rsid w:val="00510982"/>
    <w:rsid w:val="00510CF3"/>
    <w:rsid w:val="00511709"/>
    <w:rsid w:val="00514A3D"/>
    <w:rsid w:val="00515054"/>
    <w:rsid w:val="00515556"/>
    <w:rsid w:val="0051568F"/>
    <w:rsid w:val="00515D64"/>
    <w:rsid w:val="00515DD1"/>
    <w:rsid w:val="005176AB"/>
    <w:rsid w:val="005233AF"/>
    <w:rsid w:val="00523413"/>
    <w:rsid w:val="00523B00"/>
    <w:rsid w:val="00523C98"/>
    <w:rsid w:val="005246D6"/>
    <w:rsid w:val="00525318"/>
    <w:rsid w:val="00526998"/>
    <w:rsid w:val="00526A13"/>
    <w:rsid w:val="00527D6F"/>
    <w:rsid w:val="00530C1A"/>
    <w:rsid w:val="00530F23"/>
    <w:rsid w:val="005315B1"/>
    <w:rsid w:val="00531DA1"/>
    <w:rsid w:val="0053220C"/>
    <w:rsid w:val="00532ECE"/>
    <w:rsid w:val="005341A9"/>
    <w:rsid w:val="005344F3"/>
    <w:rsid w:val="005354DB"/>
    <w:rsid w:val="005363E2"/>
    <w:rsid w:val="00536501"/>
    <w:rsid w:val="005366B8"/>
    <w:rsid w:val="00536CA9"/>
    <w:rsid w:val="00536F0C"/>
    <w:rsid w:val="00537118"/>
    <w:rsid w:val="00537876"/>
    <w:rsid w:val="00537DB1"/>
    <w:rsid w:val="005400F5"/>
    <w:rsid w:val="0054141F"/>
    <w:rsid w:val="005420F7"/>
    <w:rsid w:val="00542239"/>
    <w:rsid w:val="00542A7A"/>
    <w:rsid w:val="005473B0"/>
    <w:rsid w:val="005509E9"/>
    <w:rsid w:val="00551746"/>
    <w:rsid w:val="0055183E"/>
    <w:rsid w:val="00557467"/>
    <w:rsid w:val="005606B0"/>
    <w:rsid w:val="00560A0F"/>
    <w:rsid w:val="00563703"/>
    <w:rsid w:val="005638CB"/>
    <w:rsid w:val="00565046"/>
    <w:rsid w:val="0056525F"/>
    <w:rsid w:val="0056557B"/>
    <w:rsid w:val="00565DD6"/>
    <w:rsid w:val="0056659A"/>
    <w:rsid w:val="00567755"/>
    <w:rsid w:val="00567815"/>
    <w:rsid w:val="005678E1"/>
    <w:rsid w:val="00570038"/>
    <w:rsid w:val="00570410"/>
    <w:rsid w:val="00570629"/>
    <w:rsid w:val="00570744"/>
    <w:rsid w:val="00570D14"/>
    <w:rsid w:val="005717A2"/>
    <w:rsid w:val="00571C40"/>
    <w:rsid w:val="005720BB"/>
    <w:rsid w:val="0057272B"/>
    <w:rsid w:val="00573452"/>
    <w:rsid w:val="005739A4"/>
    <w:rsid w:val="00573A58"/>
    <w:rsid w:val="00574289"/>
    <w:rsid w:val="005757F1"/>
    <w:rsid w:val="00576257"/>
    <w:rsid w:val="00576CB8"/>
    <w:rsid w:val="00580182"/>
    <w:rsid w:val="00580516"/>
    <w:rsid w:val="00581B38"/>
    <w:rsid w:val="0058284A"/>
    <w:rsid w:val="005836DB"/>
    <w:rsid w:val="00583F99"/>
    <w:rsid w:val="0058457A"/>
    <w:rsid w:val="00584D20"/>
    <w:rsid w:val="00584EA9"/>
    <w:rsid w:val="00585192"/>
    <w:rsid w:val="005854DC"/>
    <w:rsid w:val="00585995"/>
    <w:rsid w:val="00586BAA"/>
    <w:rsid w:val="00587727"/>
    <w:rsid w:val="0059255E"/>
    <w:rsid w:val="00592C91"/>
    <w:rsid w:val="00593355"/>
    <w:rsid w:val="005950E5"/>
    <w:rsid w:val="00597468"/>
    <w:rsid w:val="00597628"/>
    <w:rsid w:val="005A1A6D"/>
    <w:rsid w:val="005A2FC2"/>
    <w:rsid w:val="005A3886"/>
    <w:rsid w:val="005A3B68"/>
    <w:rsid w:val="005A3D3C"/>
    <w:rsid w:val="005A3FA0"/>
    <w:rsid w:val="005A41D8"/>
    <w:rsid w:val="005A62D3"/>
    <w:rsid w:val="005B0878"/>
    <w:rsid w:val="005B0CDD"/>
    <w:rsid w:val="005B1F46"/>
    <w:rsid w:val="005B3285"/>
    <w:rsid w:val="005B352C"/>
    <w:rsid w:val="005B35F2"/>
    <w:rsid w:val="005B3A27"/>
    <w:rsid w:val="005B3DA7"/>
    <w:rsid w:val="005B3DAD"/>
    <w:rsid w:val="005B406B"/>
    <w:rsid w:val="005B4DEB"/>
    <w:rsid w:val="005B50F8"/>
    <w:rsid w:val="005B559A"/>
    <w:rsid w:val="005B5726"/>
    <w:rsid w:val="005B60FC"/>
    <w:rsid w:val="005B7160"/>
    <w:rsid w:val="005B78CC"/>
    <w:rsid w:val="005B7BA4"/>
    <w:rsid w:val="005C0874"/>
    <w:rsid w:val="005C2A0C"/>
    <w:rsid w:val="005C3BC9"/>
    <w:rsid w:val="005C4C16"/>
    <w:rsid w:val="005C5026"/>
    <w:rsid w:val="005C5591"/>
    <w:rsid w:val="005C5932"/>
    <w:rsid w:val="005C5A8C"/>
    <w:rsid w:val="005C63CC"/>
    <w:rsid w:val="005C64D4"/>
    <w:rsid w:val="005C6F06"/>
    <w:rsid w:val="005C7CC8"/>
    <w:rsid w:val="005C7D79"/>
    <w:rsid w:val="005D0C3A"/>
    <w:rsid w:val="005D308F"/>
    <w:rsid w:val="005D4DBD"/>
    <w:rsid w:val="005D68C6"/>
    <w:rsid w:val="005D696A"/>
    <w:rsid w:val="005D7E02"/>
    <w:rsid w:val="005E080C"/>
    <w:rsid w:val="005E0BEE"/>
    <w:rsid w:val="005E1708"/>
    <w:rsid w:val="005E209F"/>
    <w:rsid w:val="005E20A2"/>
    <w:rsid w:val="005E3239"/>
    <w:rsid w:val="005E34F2"/>
    <w:rsid w:val="005E4443"/>
    <w:rsid w:val="005E56D5"/>
    <w:rsid w:val="005E6562"/>
    <w:rsid w:val="005E7DD9"/>
    <w:rsid w:val="005F0B4B"/>
    <w:rsid w:val="005F0F1B"/>
    <w:rsid w:val="005F2FFD"/>
    <w:rsid w:val="005F352C"/>
    <w:rsid w:val="005F3FE6"/>
    <w:rsid w:val="005F403E"/>
    <w:rsid w:val="005F41BC"/>
    <w:rsid w:val="005F46B3"/>
    <w:rsid w:val="005F5778"/>
    <w:rsid w:val="005F72BC"/>
    <w:rsid w:val="00600F3E"/>
    <w:rsid w:val="00601CE6"/>
    <w:rsid w:val="0060211F"/>
    <w:rsid w:val="00602531"/>
    <w:rsid w:val="00602644"/>
    <w:rsid w:val="006052B9"/>
    <w:rsid w:val="00605313"/>
    <w:rsid w:val="0060548B"/>
    <w:rsid w:val="0060574C"/>
    <w:rsid w:val="006064D0"/>
    <w:rsid w:val="00607406"/>
    <w:rsid w:val="00607CD6"/>
    <w:rsid w:val="00610E69"/>
    <w:rsid w:val="00610E94"/>
    <w:rsid w:val="006115B7"/>
    <w:rsid w:val="0061234D"/>
    <w:rsid w:val="00612929"/>
    <w:rsid w:val="006155C6"/>
    <w:rsid w:val="0061628E"/>
    <w:rsid w:val="006205F5"/>
    <w:rsid w:val="00620626"/>
    <w:rsid w:val="00621B1E"/>
    <w:rsid w:val="00622523"/>
    <w:rsid w:val="006228C3"/>
    <w:rsid w:val="00623EAA"/>
    <w:rsid w:val="006240C0"/>
    <w:rsid w:val="00624BED"/>
    <w:rsid w:val="00624FCF"/>
    <w:rsid w:val="00626369"/>
    <w:rsid w:val="006279A2"/>
    <w:rsid w:val="006333DD"/>
    <w:rsid w:val="00633B68"/>
    <w:rsid w:val="006341F3"/>
    <w:rsid w:val="00636486"/>
    <w:rsid w:val="00636AEB"/>
    <w:rsid w:val="006373C7"/>
    <w:rsid w:val="00637696"/>
    <w:rsid w:val="00637963"/>
    <w:rsid w:val="00637B5C"/>
    <w:rsid w:val="006423A5"/>
    <w:rsid w:val="006437A6"/>
    <w:rsid w:val="00644774"/>
    <w:rsid w:val="00644EA0"/>
    <w:rsid w:val="0064532E"/>
    <w:rsid w:val="00645D8E"/>
    <w:rsid w:val="006468EA"/>
    <w:rsid w:val="00647B0C"/>
    <w:rsid w:val="006501BF"/>
    <w:rsid w:val="00651149"/>
    <w:rsid w:val="0065263E"/>
    <w:rsid w:val="0065286F"/>
    <w:rsid w:val="0065298D"/>
    <w:rsid w:val="00652F8D"/>
    <w:rsid w:val="006532B9"/>
    <w:rsid w:val="00653B07"/>
    <w:rsid w:val="00653F43"/>
    <w:rsid w:val="006548FA"/>
    <w:rsid w:val="006549C5"/>
    <w:rsid w:val="00655E7D"/>
    <w:rsid w:val="00655FE9"/>
    <w:rsid w:val="006560C2"/>
    <w:rsid w:val="00656569"/>
    <w:rsid w:val="006568A4"/>
    <w:rsid w:val="00656E61"/>
    <w:rsid w:val="00660553"/>
    <w:rsid w:val="00660B28"/>
    <w:rsid w:val="006613D3"/>
    <w:rsid w:val="00661A47"/>
    <w:rsid w:val="006620AE"/>
    <w:rsid w:val="0066420A"/>
    <w:rsid w:val="006645DD"/>
    <w:rsid w:val="00664675"/>
    <w:rsid w:val="00664D77"/>
    <w:rsid w:val="00667270"/>
    <w:rsid w:val="00667CF0"/>
    <w:rsid w:val="006705EE"/>
    <w:rsid w:val="00670C2C"/>
    <w:rsid w:val="006723D6"/>
    <w:rsid w:val="006723F2"/>
    <w:rsid w:val="006729A3"/>
    <w:rsid w:val="00673943"/>
    <w:rsid w:val="00673F41"/>
    <w:rsid w:val="00674E5B"/>
    <w:rsid w:val="00675494"/>
    <w:rsid w:val="00675F9C"/>
    <w:rsid w:val="00676155"/>
    <w:rsid w:val="006764B8"/>
    <w:rsid w:val="0067664A"/>
    <w:rsid w:val="0067672B"/>
    <w:rsid w:val="00676E29"/>
    <w:rsid w:val="0067752F"/>
    <w:rsid w:val="00677901"/>
    <w:rsid w:val="0068126C"/>
    <w:rsid w:val="0068188D"/>
    <w:rsid w:val="00682501"/>
    <w:rsid w:val="006828BA"/>
    <w:rsid w:val="00682BB9"/>
    <w:rsid w:val="0068561C"/>
    <w:rsid w:val="00686B96"/>
    <w:rsid w:val="00687603"/>
    <w:rsid w:val="006908B8"/>
    <w:rsid w:val="00690BBA"/>
    <w:rsid w:val="00690C6B"/>
    <w:rsid w:val="0069106E"/>
    <w:rsid w:val="00691786"/>
    <w:rsid w:val="0069205D"/>
    <w:rsid w:val="00692A2D"/>
    <w:rsid w:val="00693F17"/>
    <w:rsid w:val="00694376"/>
    <w:rsid w:val="0069691F"/>
    <w:rsid w:val="00696927"/>
    <w:rsid w:val="006971D0"/>
    <w:rsid w:val="006973A6"/>
    <w:rsid w:val="006A060F"/>
    <w:rsid w:val="006A08D3"/>
    <w:rsid w:val="006A1A76"/>
    <w:rsid w:val="006A1CCB"/>
    <w:rsid w:val="006A5127"/>
    <w:rsid w:val="006A5545"/>
    <w:rsid w:val="006A5F93"/>
    <w:rsid w:val="006A630D"/>
    <w:rsid w:val="006A6463"/>
    <w:rsid w:val="006B050E"/>
    <w:rsid w:val="006B08EB"/>
    <w:rsid w:val="006B09B6"/>
    <w:rsid w:val="006B0FFA"/>
    <w:rsid w:val="006B2702"/>
    <w:rsid w:val="006B3A03"/>
    <w:rsid w:val="006B3F3E"/>
    <w:rsid w:val="006B44B1"/>
    <w:rsid w:val="006B4E92"/>
    <w:rsid w:val="006B5093"/>
    <w:rsid w:val="006B5592"/>
    <w:rsid w:val="006B5631"/>
    <w:rsid w:val="006B600D"/>
    <w:rsid w:val="006B6021"/>
    <w:rsid w:val="006B613B"/>
    <w:rsid w:val="006B6ADF"/>
    <w:rsid w:val="006B7004"/>
    <w:rsid w:val="006B7605"/>
    <w:rsid w:val="006C0419"/>
    <w:rsid w:val="006C0626"/>
    <w:rsid w:val="006C10A8"/>
    <w:rsid w:val="006C10ED"/>
    <w:rsid w:val="006C1709"/>
    <w:rsid w:val="006C1959"/>
    <w:rsid w:val="006C1ED8"/>
    <w:rsid w:val="006C2006"/>
    <w:rsid w:val="006C2877"/>
    <w:rsid w:val="006C46A2"/>
    <w:rsid w:val="006C6303"/>
    <w:rsid w:val="006D0822"/>
    <w:rsid w:val="006D0EB7"/>
    <w:rsid w:val="006D1943"/>
    <w:rsid w:val="006D195E"/>
    <w:rsid w:val="006D1E03"/>
    <w:rsid w:val="006D2467"/>
    <w:rsid w:val="006D28AB"/>
    <w:rsid w:val="006D2E97"/>
    <w:rsid w:val="006D3AC1"/>
    <w:rsid w:val="006D4D23"/>
    <w:rsid w:val="006D57BB"/>
    <w:rsid w:val="006D5AB6"/>
    <w:rsid w:val="006D5CA3"/>
    <w:rsid w:val="006D6A17"/>
    <w:rsid w:val="006D6BC1"/>
    <w:rsid w:val="006D6F5A"/>
    <w:rsid w:val="006D752F"/>
    <w:rsid w:val="006E0430"/>
    <w:rsid w:val="006E0504"/>
    <w:rsid w:val="006E0F3D"/>
    <w:rsid w:val="006E2291"/>
    <w:rsid w:val="006E2980"/>
    <w:rsid w:val="006E39A2"/>
    <w:rsid w:val="006E3DA7"/>
    <w:rsid w:val="006E55EA"/>
    <w:rsid w:val="006F0D9D"/>
    <w:rsid w:val="006F2669"/>
    <w:rsid w:val="006F2CF7"/>
    <w:rsid w:val="006F2E06"/>
    <w:rsid w:val="006F3183"/>
    <w:rsid w:val="006F3343"/>
    <w:rsid w:val="006F3AF8"/>
    <w:rsid w:val="006F5550"/>
    <w:rsid w:val="0070062B"/>
    <w:rsid w:val="0070159E"/>
    <w:rsid w:val="00702014"/>
    <w:rsid w:val="00702FC9"/>
    <w:rsid w:val="00703F01"/>
    <w:rsid w:val="0070445E"/>
    <w:rsid w:val="00704792"/>
    <w:rsid w:val="00704DAB"/>
    <w:rsid w:val="00705051"/>
    <w:rsid w:val="00705D14"/>
    <w:rsid w:val="00705EE3"/>
    <w:rsid w:val="00706F8A"/>
    <w:rsid w:val="00707270"/>
    <w:rsid w:val="007079A3"/>
    <w:rsid w:val="0071167A"/>
    <w:rsid w:val="00712161"/>
    <w:rsid w:val="00712D33"/>
    <w:rsid w:val="007167BC"/>
    <w:rsid w:val="00716B48"/>
    <w:rsid w:val="007173E5"/>
    <w:rsid w:val="00717652"/>
    <w:rsid w:val="00717F1F"/>
    <w:rsid w:val="00717F71"/>
    <w:rsid w:val="007216E1"/>
    <w:rsid w:val="00721D83"/>
    <w:rsid w:val="007227C7"/>
    <w:rsid w:val="007229E8"/>
    <w:rsid w:val="007263FE"/>
    <w:rsid w:val="00726768"/>
    <w:rsid w:val="00726A04"/>
    <w:rsid w:val="00727040"/>
    <w:rsid w:val="00730D85"/>
    <w:rsid w:val="00731EAC"/>
    <w:rsid w:val="00733406"/>
    <w:rsid w:val="00733B28"/>
    <w:rsid w:val="007355DD"/>
    <w:rsid w:val="00737710"/>
    <w:rsid w:val="00737820"/>
    <w:rsid w:val="00740DDC"/>
    <w:rsid w:val="0074170F"/>
    <w:rsid w:val="00742511"/>
    <w:rsid w:val="0074447E"/>
    <w:rsid w:val="007461C8"/>
    <w:rsid w:val="00746BA6"/>
    <w:rsid w:val="00746FA5"/>
    <w:rsid w:val="00750CC6"/>
    <w:rsid w:val="00750F17"/>
    <w:rsid w:val="00751132"/>
    <w:rsid w:val="00752068"/>
    <w:rsid w:val="00753371"/>
    <w:rsid w:val="00754445"/>
    <w:rsid w:val="00754917"/>
    <w:rsid w:val="00754F62"/>
    <w:rsid w:val="00755DA7"/>
    <w:rsid w:val="007565B1"/>
    <w:rsid w:val="00757269"/>
    <w:rsid w:val="00757393"/>
    <w:rsid w:val="00760AFB"/>
    <w:rsid w:val="00761343"/>
    <w:rsid w:val="00761B78"/>
    <w:rsid w:val="00761E8C"/>
    <w:rsid w:val="007632A1"/>
    <w:rsid w:val="00763E0E"/>
    <w:rsid w:val="007643E8"/>
    <w:rsid w:val="00765B94"/>
    <w:rsid w:val="00765DB9"/>
    <w:rsid w:val="00767244"/>
    <w:rsid w:val="00767A2C"/>
    <w:rsid w:val="00770931"/>
    <w:rsid w:val="007713B3"/>
    <w:rsid w:val="00771401"/>
    <w:rsid w:val="00771B36"/>
    <w:rsid w:val="00771DE8"/>
    <w:rsid w:val="007722DC"/>
    <w:rsid w:val="007746DC"/>
    <w:rsid w:val="00774990"/>
    <w:rsid w:val="007754A3"/>
    <w:rsid w:val="00775BF8"/>
    <w:rsid w:val="007767B2"/>
    <w:rsid w:val="00782350"/>
    <w:rsid w:val="0078298E"/>
    <w:rsid w:val="00783484"/>
    <w:rsid w:val="0078389D"/>
    <w:rsid w:val="00783D2B"/>
    <w:rsid w:val="00784559"/>
    <w:rsid w:val="007855B6"/>
    <w:rsid w:val="00785D01"/>
    <w:rsid w:val="00785DE1"/>
    <w:rsid w:val="00785EBE"/>
    <w:rsid w:val="00786121"/>
    <w:rsid w:val="00786307"/>
    <w:rsid w:val="007867FC"/>
    <w:rsid w:val="00786CA6"/>
    <w:rsid w:val="00787A83"/>
    <w:rsid w:val="00790C04"/>
    <w:rsid w:val="00790CF1"/>
    <w:rsid w:val="00791970"/>
    <w:rsid w:val="00792429"/>
    <w:rsid w:val="00792815"/>
    <w:rsid w:val="007952EF"/>
    <w:rsid w:val="007955BD"/>
    <w:rsid w:val="00795C0C"/>
    <w:rsid w:val="007962DB"/>
    <w:rsid w:val="00796A7F"/>
    <w:rsid w:val="007975E2"/>
    <w:rsid w:val="00797644"/>
    <w:rsid w:val="007A0AF6"/>
    <w:rsid w:val="007A1209"/>
    <w:rsid w:val="007A17DD"/>
    <w:rsid w:val="007A24CA"/>
    <w:rsid w:val="007A512E"/>
    <w:rsid w:val="007A64A1"/>
    <w:rsid w:val="007A677C"/>
    <w:rsid w:val="007A6DDC"/>
    <w:rsid w:val="007A7A87"/>
    <w:rsid w:val="007B0228"/>
    <w:rsid w:val="007B1123"/>
    <w:rsid w:val="007B13E5"/>
    <w:rsid w:val="007B1B79"/>
    <w:rsid w:val="007B2F5D"/>
    <w:rsid w:val="007B3028"/>
    <w:rsid w:val="007B3457"/>
    <w:rsid w:val="007B47E3"/>
    <w:rsid w:val="007B576F"/>
    <w:rsid w:val="007B5D97"/>
    <w:rsid w:val="007B6475"/>
    <w:rsid w:val="007B762D"/>
    <w:rsid w:val="007B7DB1"/>
    <w:rsid w:val="007C03FE"/>
    <w:rsid w:val="007C162A"/>
    <w:rsid w:val="007C1CF2"/>
    <w:rsid w:val="007C2889"/>
    <w:rsid w:val="007C405C"/>
    <w:rsid w:val="007C5B64"/>
    <w:rsid w:val="007C67B4"/>
    <w:rsid w:val="007C720B"/>
    <w:rsid w:val="007C72E7"/>
    <w:rsid w:val="007C7DED"/>
    <w:rsid w:val="007D0B11"/>
    <w:rsid w:val="007D1451"/>
    <w:rsid w:val="007D2B4C"/>
    <w:rsid w:val="007D3AD4"/>
    <w:rsid w:val="007D4402"/>
    <w:rsid w:val="007D4BA7"/>
    <w:rsid w:val="007D6E85"/>
    <w:rsid w:val="007D7370"/>
    <w:rsid w:val="007D74BB"/>
    <w:rsid w:val="007D75F2"/>
    <w:rsid w:val="007D7C66"/>
    <w:rsid w:val="007E0583"/>
    <w:rsid w:val="007E11F5"/>
    <w:rsid w:val="007E26CF"/>
    <w:rsid w:val="007E6650"/>
    <w:rsid w:val="007E69D7"/>
    <w:rsid w:val="007E74C2"/>
    <w:rsid w:val="007E79D1"/>
    <w:rsid w:val="007E7A9B"/>
    <w:rsid w:val="007E7BDD"/>
    <w:rsid w:val="007F03C7"/>
    <w:rsid w:val="007F0A30"/>
    <w:rsid w:val="007F1396"/>
    <w:rsid w:val="007F27F0"/>
    <w:rsid w:val="007F379E"/>
    <w:rsid w:val="007F3A47"/>
    <w:rsid w:val="007F4A21"/>
    <w:rsid w:val="007F4FFE"/>
    <w:rsid w:val="007F52EE"/>
    <w:rsid w:val="007F7690"/>
    <w:rsid w:val="007F79A4"/>
    <w:rsid w:val="00800202"/>
    <w:rsid w:val="008009CB"/>
    <w:rsid w:val="00800C5E"/>
    <w:rsid w:val="00800D14"/>
    <w:rsid w:val="00801124"/>
    <w:rsid w:val="00801D74"/>
    <w:rsid w:val="00803F91"/>
    <w:rsid w:val="008051C3"/>
    <w:rsid w:val="00805690"/>
    <w:rsid w:val="008059C6"/>
    <w:rsid w:val="00805A8D"/>
    <w:rsid w:val="0080614E"/>
    <w:rsid w:val="008061E0"/>
    <w:rsid w:val="00806BAF"/>
    <w:rsid w:val="00806F25"/>
    <w:rsid w:val="0080779D"/>
    <w:rsid w:val="00810017"/>
    <w:rsid w:val="00810259"/>
    <w:rsid w:val="00811171"/>
    <w:rsid w:val="008115C9"/>
    <w:rsid w:val="0081166B"/>
    <w:rsid w:val="00811CE9"/>
    <w:rsid w:val="00812605"/>
    <w:rsid w:val="00812B9E"/>
    <w:rsid w:val="00812BC7"/>
    <w:rsid w:val="00815F4C"/>
    <w:rsid w:val="0081748B"/>
    <w:rsid w:val="00817AC3"/>
    <w:rsid w:val="008224C4"/>
    <w:rsid w:val="008225E6"/>
    <w:rsid w:val="00823712"/>
    <w:rsid w:val="00824007"/>
    <w:rsid w:val="0082427A"/>
    <w:rsid w:val="008243CC"/>
    <w:rsid w:val="00825FAB"/>
    <w:rsid w:val="0082714E"/>
    <w:rsid w:val="008276B8"/>
    <w:rsid w:val="00827979"/>
    <w:rsid w:val="00830447"/>
    <w:rsid w:val="00831FF2"/>
    <w:rsid w:val="008320B2"/>
    <w:rsid w:val="0083228E"/>
    <w:rsid w:val="00832432"/>
    <w:rsid w:val="008327CC"/>
    <w:rsid w:val="00832B16"/>
    <w:rsid w:val="00832F8B"/>
    <w:rsid w:val="00833DD0"/>
    <w:rsid w:val="0083410A"/>
    <w:rsid w:val="00834495"/>
    <w:rsid w:val="00835D71"/>
    <w:rsid w:val="008365F5"/>
    <w:rsid w:val="00837DF9"/>
    <w:rsid w:val="008412BE"/>
    <w:rsid w:val="008419DA"/>
    <w:rsid w:val="00841C90"/>
    <w:rsid w:val="00841FE8"/>
    <w:rsid w:val="008429ED"/>
    <w:rsid w:val="00842F56"/>
    <w:rsid w:val="00843168"/>
    <w:rsid w:val="00843776"/>
    <w:rsid w:val="00843D14"/>
    <w:rsid w:val="0084558E"/>
    <w:rsid w:val="00846C8E"/>
    <w:rsid w:val="008515F6"/>
    <w:rsid w:val="00851687"/>
    <w:rsid w:val="008518F1"/>
    <w:rsid w:val="00851D77"/>
    <w:rsid w:val="008524A3"/>
    <w:rsid w:val="00852561"/>
    <w:rsid w:val="00852A50"/>
    <w:rsid w:val="00852E0E"/>
    <w:rsid w:val="00853B64"/>
    <w:rsid w:val="00853F1A"/>
    <w:rsid w:val="00855452"/>
    <w:rsid w:val="00856143"/>
    <w:rsid w:val="008562DE"/>
    <w:rsid w:val="00856A3D"/>
    <w:rsid w:val="00862DB6"/>
    <w:rsid w:val="0086325F"/>
    <w:rsid w:val="008636BB"/>
    <w:rsid w:val="008638B3"/>
    <w:rsid w:val="0086416B"/>
    <w:rsid w:val="00864248"/>
    <w:rsid w:val="00864823"/>
    <w:rsid w:val="008666AB"/>
    <w:rsid w:val="00870C26"/>
    <w:rsid w:val="00870DE3"/>
    <w:rsid w:val="00871B51"/>
    <w:rsid w:val="00871F30"/>
    <w:rsid w:val="00872A4D"/>
    <w:rsid w:val="00872C9A"/>
    <w:rsid w:val="00873AF8"/>
    <w:rsid w:val="00873E91"/>
    <w:rsid w:val="00875D06"/>
    <w:rsid w:val="00876670"/>
    <w:rsid w:val="008766EA"/>
    <w:rsid w:val="0087680E"/>
    <w:rsid w:val="00876E1D"/>
    <w:rsid w:val="00880983"/>
    <w:rsid w:val="00880BC2"/>
    <w:rsid w:val="00882F9E"/>
    <w:rsid w:val="00883352"/>
    <w:rsid w:val="00883D3B"/>
    <w:rsid w:val="00884DEE"/>
    <w:rsid w:val="00890E53"/>
    <w:rsid w:val="008912F4"/>
    <w:rsid w:val="008916AF"/>
    <w:rsid w:val="008923D3"/>
    <w:rsid w:val="00892C43"/>
    <w:rsid w:val="00893FD6"/>
    <w:rsid w:val="008947C4"/>
    <w:rsid w:val="00894868"/>
    <w:rsid w:val="008965B8"/>
    <w:rsid w:val="008970C5"/>
    <w:rsid w:val="008A08EE"/>
    <w:rsid w:val="008A1008"/>
    <w:rsid w:val="008A122C"/>
    <w:rsid w:val="008A17F9"/>
    <w:rsid w:val="008A207F"/>
    <w:rsid w:val="008A22EC"/>
    <w:rsid w:val="008A2EAA"/>
    <w:rsid w:val="008A3B1C"/>
    <w:rsid w:val="008A4243"/>
    <w:rsid w:val="008A4D2F"/>
    <w:rsid w:val="008A52A3"/>
    <w:rsid w:val="008A603C"/>
    <w:rsid w:val="008A6AA7"/>
    <w:rsid w:val="008A7A20"/>
    <w:rsid w:val="008B04DE"/>
    <w:rsid w:val="008B1C09"/>
    <w:rsid w:val="008B1EEC"/>
    <w:rsid w:val="008B3061"/>
    <w:rsid w:val="008B3A19"/>
    <w:rsid w:val="008B3BAD"/>
    <w:rsid w:val="008B49F8"/>
    <w:rsid w:val="008B5F73"/>
    <w:rsid w:val="008B6A6D"/>
    <w:rsid w:val="008B6D69"/>
    <w:rsid w:val="008B6DD8"/>
    <w:rsid w:val="008B7BAF"/>
    <w:rsid w:val="008C0AE7"/>
    <w:rsid w:val="008C0FCC"/>
    <w:rsid w:val="008C3294"/>
    <w:rsid w:val="008C3462"/>
    <w:rsid w:val="008C37D5"/>
    <w:rsid w:val="008C3C63"/>
    <w:rsid w:val="008C3DF2"/>
    <w:rsid w:val="008C4796"/>
    <w:rsid w:val="008C5945"/>
    <w:rsid w:val="008C5BA8"/>
    <w:rsid w:val="008C63ED"/>
    <w:rsid w:val="008C6CC7"/>
    <w:rsid w:val="008C706B"/>
    <w:rsid w:val="008D03A2"/>
    <w:rsid w:val="008D1260"/>
    <w:rsid w:val="008D26E8"/>
    <w:rsid w:val="008D27C1"/>
    <w:rsid w:val="008D2D7C"/>
    <w:rsid w:val="008D2E40"/>
    <w:rsid w:val="008D33FF"/>
    <w:rsid w:val="008D373C"/>
    <w:rsid w:val="008D4316"/>
    <w:rsid w:val="008D5A08"/>
    <w:rsid w:val="008D611E"/>
    <w:rsid w:val="008D62A5"/>
    <w:rsid w:val="008D704A"/>
    <w:rsid w:val="008E0305"/>
    <w:rsid w:val="008E0C03"/>
    <w:rsid w:val="008E0D62"/>
    <w:rsid w:val="008E1308"/>
    <w:rsid w:val="008E200A"/>
    <w:rsid w:val="008E2433"/>
    <w:rsid w:val="008E2517"/>
    <w:rsid w:val="008E359E"/>
    <w:rsid w:val="008E4324"/>
    <w:rsid w:val="008E4BFC"/>
    <w:rsid w:val="008F04B8"/>
    <w:rsid w:val="008F118F"/>
    <w:rsid w:val="008F15AF"/>
    <w:rsid w:val="008F204C"/>
    <w:rsid w:val="008F2C83"/>
    <w:rsid w:val="008F3343"/>
    <w:rsid w:val="008F5B66"/>
    <w:rsid w:val="008F6E35"/>
    <w:rsid w:val="00900D14"/>
    <w:rsid w:val="00900DE0"/>
    <w:rsid w:val="009010C1"/>
    <w:rsid w:val="00901892"/>
    <w:rsid w:val="00901A23"/>
    <w:rsid w:val="009033F8"/>
    <w:rsid w:val="009057CF"/>
    <w:rsid w:val="00905EA5"/>
    <w:rsid w:val="00906148"/>
    <w:rsid w:val="00906C00"/>
    <w:rsid w:val="009073CD"/>
    <w:rsid w:val="00907594"/>
    <w:rsid w:val="00907FDA"/>
    <w:rsid w:val="00910689"/>
    <w:rsid w:val="00910A97"/>
    <w:rsid w:val="00910D8B"/>
    <w:rsid w:val="00910E03"/>
    <w:rsid w:val="00911C51"/>
    <w:rsid w:val="009125CC"/>
    <w:rsid w:val="00912E63"/>
    <w:rsid w:val="00913AFB"/>
    <w:rsid w:val="00915943"/>
    <w:rsid w:val="00915F5C"/>
    <w:rsid w:val="00915FB0"/>
    <w:rsid w:val="009161BB"/>
    <w:rsid w:val="00916441"/>
    <w:rsid w:val="00920CF1"/>
    <w:rsid w:val="00921C77"/>
    <w:rsid w:val="00921D14"/>
    <w:rsid w:val="009225C3"/>
    <w:rsid w:val="00922B19"/>
    <w:rsid w:val="00922F49"/>
    <w:rsid w:val="0092381C"/>
    <w:rsid w:val="00924129"/>
    <w:rsid w:val="00925CA0"/>
    <w:rsid w:val="00926000"/>
    <w:rsid w:val="009276F1"/>
    <w:rsid w:val="009300C3"/>
    <w:rsid w:val="009301D2"/>
    <w:rsid w:val="00930271"/>
    <w:rsid w:val="0093032E"/>
    <w:rsid w:val="009303F4"/>
    <w:rsid w:val="00930757"/>
    <w:rsid w:val="00932002"/>
    <w:rsid w:val="0093632C"/>
    <w:rsid w:val="0093689C"/>
    <w:rsid w:val="00936DD1"/>
    <w:rsid w:val="009378C5"/>
    <w:rsid w:val="00940269"/>
    <w:rsid w:val="0094079F"/>
    <w:rsid w:val="00941BDA"/>
    <w:rsid w:val="00941D05"/>
    <w:rsid w:val="00941F68"/>
    <w:rsid w:val="0094292C"/>
    <w:rsid w:val="00942A6B"/>
    <w:rsid w:val="00942C4C"/>
    <w:rsid w:val="009433CF"/>
    <w:rsid w:val="00945B91"/>
    <w:rsid w:val="00945D61"/>
    <w:rsid w:val="00947B03"/>
    <w:rsid w:val="009509E0"/>
    <w:rsid w:val="00951ADD"/>
    <w:rsid w:val="009523E8"/>
    <w:rsid w:val="0095276B"/>
    <w:rsid w:val="00953559"/>
    <w:rsid w:val="00953F17"/>
    <w:rsid w:val="009548A4"/>
    <w:rsid w:val="009548D3"/>
    <w:rsid w:val="00954A38"/>
    <w:rsid w:val="009559E2"/>
    <w:rsid w:val="00955CBE"/>
    <w:rsid w:val="00956DB6"/>
    <w:rsid w:val="00960051"/>
    <w:rsid w:val="00960CA3"/>
    <w:rsid w:val="0096113D"/>
    <w:rsid w:val="0096471A"/>
    <w:rsid w:val="00964945"/>
    <w:rsid w:val="00965DC6"/>
    <w:rsid w:val="009674F0"/>
    <w:rsid w:val="00970F93"/>
    <w:rsid w:val="00971059"/>
    <w:rsid w:val="0097230A"/>
    <w:rsid w:val="00972446"/>
    <w:rsid w:val="00972AAF"/>
    <w:rsid w:val="009743B4"/>
    <w:rsid w:val="00974BDF"/>
    <w:rsid w:val="00974DDB"/>
    <w:rsid w:val="00975779"/>
    <w:rsid w:val="00975BD4"/>
    <w:rsid w:val="00976CF7"/>
    <w:rsid w:val="009775CA"/>
    <w:rsid w:val="00977D7D"/>
    <w:rsid w:val="009801CC"/>
    <w:rsid w:val="0098026C"/>
    <w:rsid w:val="009802B6"/>
    <w:rsid w:val="00980651"/>
    <w:rsid w:val="00982CB9"/>
    <w:rsid w:val="00982F61"/>
    <w:rsid w:val="00982FFD"/>
    <w:rsid w:val="009832E0"/>
    <w:rsid w:val="009833D4"/>
    <w:rsid w:val="00984BD8"/>
    <w:rsid w:val="009856F5"/>
    <w:rsid w:val="009861AB"/>
    <w:rsid w:val="0098644B"/>
    <w:rsid w:val="00986A06"/>
    <w:rsid w:val="0099084E"/>
    <w:rsid w:val="00990E93"/>
    <w:rsid w:val="00991A62"/>
    <w:rsid w:val="0099289A"/>
    <w:rsid w:val="00992F02"/>
    <w:rsid w:val="00993322"/>
    <w:rsid w:val="009933FC"/>
    <w:rsid w:val="0099371E"/>
    <w:rsid w:val="00993793"/>
    <w:rsid w:val="009951A9"/>
    <w:rsid w:val="00995479"/>
    <w:rsid w:val="009956FE"/>
    <w:rsid w:val="0099587C"/>
    <w:rsid w:val="00995B72"/>
    <w:rsid w:val="00995C24"/>
    <w:rsid w:val="0099608F"/>
    <w:rsid w:val="00997935"/>
    <w:rsid w:val="009A086F"/>
    <w:rsid w:val="009A0FBD"/>
    <w:rsid w:val="009A1A84"/>
    <w:rsid w:val="009A21EE"/>
    <w:rsid w:val="009A2566"/>
    <w:rsid w:val="009A26B7"/>
    <w:rsid w:val="009A2CE9"/>
    <w:rsid w:val="009A3ACF"/>
    <w:rsid w:val="009A63ED"/>
    <w:rsid w:val="009A647E"/>
    <w:rsid w:val="009A7C60"/>
    <w:rsid w:val="009B069A"/>
    <w:rsid w:val="009B0EA4"/>
    <w:rsid w:val="009B0F86"/>
    <w:rsid w:val="009B175E"/>
    <w:rsid w:val="009B22D9"/>
    <w:rsid w:val="009B29A5"/>
    <w:rsid w:val="009B4D15"/>
    <w:rsid w:val="009B5837"/>
    <w:rsid w:val="009B5F49"/>
    <w:rsid w:val="009B6F30"/>
    <w:rsid w:val="009C1B44"/>
    <w:rsid w:val="009C2736"/>
    <w:rsid w:val="009C3507"/>
    <w:rsid w:val="009C3691"/>
    <w:rsid w:val="009C3F79"/>
    <w:rsid w:val="009C64F0"/>
    <w:rsid w:val="009C66DE"/>
    <w:rsid w:val="009C6966"/>
    <w:rsid w:val="009C6F62"/>
    <w:rsid w:val="009C71E3"/>
    <w:rsid w:val="009D12E4"/>
    <w:rsid w:val="009D147F"/>
    <w:rsid w:val="009D1D8D"/>
    <w:rsid w:val="009D2931"/>
    <w:rsid w:val="009D2E31"/>
    <w:rsid w:val="009D3435"/>
    <w:rsid w:val="009D47B0"/>
    <w:rsid w:val="009D4D7D"/>
    <w:rsid w:val="009D5AC5"/>
    <w:rsid w:val="009D6070"/>
    <w:rsid w:val="009D6776"/>
    <w:rsid w:val="009D779B"/>
    <w:rsid w:val="009E276E"/>
    <w:rsid w:val="009E3AAA"/>
    <w:rsid w:val="009E3B8F"/>
    <w:rsid w:val="009E4055"/>
    <w:rsid w:val="009E477F"/>
    <w:rsid w:val="009E5DD2"/>
    <w:rsid w:val="009E5DD6"/>
    <w:rsid w:val="009E6B30"/>
    <w:rsid w:val="009E78B2"/>
    <w:rsid w:val="009E7EA6"/>
    <w:rsid w:val="009F1832"/>
    <w:rsid w:val="009F3660"/>
    <w:rsid w:val="009F5198"/>
    <w:rsid w:val="009F54F8"/>
    <w:rsid w:val="009F5A95"/>
    <w:rsid w:val="009F626C"/>
    <w:rsid w:val="009F64D0"/>
    <w:rsid w:val="009F69C3"/>
    <w:rsid w:val="009F7CB3"/>
    <w:rsid w:val="00A0003A"/>
    <w:rsid w:val="00A00F7B"/>
    <w:rsid w:val="00A01170"/>
    <w:rsid w:val="00A0186C"/>
    <w:rsid w:val="00A02A6C"/>
    <w:rsid w:val="00A02E0D"/>
    <w:rsid w:val="00A03266"/>
    <w:rsid w:val="00A036E7"/>
    <w:rsid w:val="00A03751"/>
    <w:rsid w:val="00A05BCF"/>
    <w:rsid w:val="00A07EDD"/>
    <w:rsid w:val="00A1070C"/>
    <w:rsid w:val="00A108DF"/>
    <w:rsid w:val="00A10B4B"/>
    <w:rsid w:val="00A1214E"/>
    <w:rsid w:val="00A12450"/>
    <w:rsid w:val="00A130EB"/>
    <w:rsid w:val="00A13C00"/>
    <w:rsid w:val="00A13D7B"/>
    <w:rsid w:val="00A15726"/>
    <w:rsid w:val="00A17E30"/>
    <w:rsid w:val="00A2002B"/>
    <w:rsid w:val="00A20D3A"/>
    <w:rsid w:val="00A21CBA"/>
    <w:rsid w:val="00A2238E"/>
    <w:rsid w:val="00A230B5"/>
    <w:rsid w:val="00A2324D"/>
    <w:rsid w:val="00A24D1D"/>
    <w:rsid w:val="00A2552F"/>
    <w:rsid w:val="00A26642"/>
    <w:rsid w:val="00A26989"/>
    <w:rsid w:val="00A27CFD"/>
    <w:rsid w:val="00A3019C"/>
    <w:rsid w:val="00A301A6"/>
    <w:rsid w:val="00A310EB"/>
    <w:rsid w:val="00A32414"/>
    <w:rsid w:val="00A34E97"/>
    <w:rsid w:val="00A3546B"/>
    <w:rsid w:val="00A359C9"/>
    <w:rsid w:val="00A35CC2"/>
    <w:rsid w:val="00A36CFC"/>
    <w:rsid w:val="00A37344"/>
    <w:rsid w:val="00A37B00"/>
    <w:rsid w:val="00A40E23"/>
    <w:rsid w:val="00A4116D"/>
    <w:rsid w:val="00A426DB"/>
    <w:rsid w:val="00A42AC9"/>
    <w:rsid w:val="00A42B7C"/>
    <w:rsid w:val="00A433F1"/>
    <w:rsid w:val="00A44068"/>
    <w:rsid w:val="00A45E52"/>
    <w:rsid w:val="00A46EAE"/>
    <w:rsid w:val="00A46EF1"/>
    <w:rsid w:val="00A47856"/>
    <w:rsid w:val="00A478B3"/>
    <w:rsid w:val="00A50ABE"/>
    <w:rsid w:val="00A50CA5"/>
    <w:rsid w:val="00A50DE6"/>
    <w:rsid w:val="00A510BC"/>
    <w:rsid w:val="00A54242"/>
    <w:rsid w:val="00A54808"/>
    <w:rsid w:val="00A54809"/>
    <w:rsid w:val="00A562B2"/>
    <w:rsid w:val="00A56389"/>
    <w:rsid w:val="00A5757A"/>
    <w:rsid w:val="00A62F4B"/>
    <w:rsid w:val="00A639E3"/>
    <w:rsid w:val="00A63B3F"/>
    <w:rsid w:val="00A6535B"/>
    <w:rsid w:val="00A71169"/>
    <w:rsid w:val="00A71458"/>
    <w:rsid w:val="00A71A24"/>
    <w:rsid w:val="00A7284B"/>
    <w:rsid w:val="00A72D37"/>
    <w:rsid w:val="00A73D0E"/>
    <w:rsid w:val="00A73D18"/>
    <w:rsid w:val="00A747E0"/>
    <w:rsid w:val="00A752C9"/>
    <w:rsid w:val="00A77081"/>
    <w:rsid w:val="00A7734E"/>
    <w:rsid w:val="00A77DFB"/>
    <w:rsid w:val="00A80545"/>
    <w:rsid w:val="00A815BA"/>
    <w:rsid w:val="00A81816"/>
    <w:rsid w:val="00A81967"/>
    <w:rsid w:val="00A81CE3"/>
    <w:rsid w:val="00A839F6"/>
    <w:rsid w:val="00A83DB7"/>
    <w:rsid w:val="00A83E21"/>
    <w:rsid w:val="00A8400A"/>
    <w:rsid w:val="00A8628C"/>
    <w:rsid w:val="00A90250"/>
    <w:rsid w:val="00A902FE"/>
    <w:rsid w:val="00A90B91"/>
    <w:rsid w:val="00A90C87"/>
    <w:rsid w:val="00A916D6"/>
    <w:rsid w:val="00A91737"/>
    <w:rsid w:val="00A91F9A"/>
    <w:rsid w:val="00A92282"/>
    <w:rsid w:val="00A9566B"/>
    <w:rsid w:val="00A95703"/>
    <w:rsid w:val="00A96839"/>
    <w:rsid w:val="00A96848"/>
    <w:rsid w:val="00A96939"/>
    <w:rsid w:val="00A969E7"/>
    <w:rsid w:val="00A975E4"/>
    <w:rsid w:val="00AA0096"/>
    <w:rsid w:val="00AA0CC8"/>
    <w:rsid w:val="00AA1707"/>
    <w:rsid w:val="00AA279F"/>
    <w:rsid w:val="00AA3519"/>
    <w:rsid w:val="00AA36BB"/>
    <w:rsid w:val="00AA4E89"/>
    <w:rsid w:val="00AA5215"/>
    <w:rsid w:val="00AA5694"/>
    <w:rsid w:val="00AA6AA6"/>
    <w:rsid w:val="00AA6B68"/>
    <w:rsid w:val="00AA6DE3"/>
    <w:rsid w:val="00AA718F"/>
    <w:rsid w:val="00AA7303"/>
    <w:rsid w:val="00AA7CD1"/>
    <w:rsid w:val="00AA7E8B"/>
    <w:rsid w:val="00AA7FAD"/>
    <w:rsid w:val="00AB18A2"/>
    <w:rsid w:val="00AB2375"/>
    <w:rsid w:val="00AB2DBC"/>
    <w:rsid w:val="00AB2F49"/>
    <w:rsid w:val="00AB3009"/>
    <w:rsid w:val="00AB30FD"/>
    <w:rsid w:val="00AB4D0B"/>
    <w:rsid w:val="00AB5722"/>
    <w:rsid w:val="00AB57A4"/>
    <w:rsid w:val="00AB5D22"/>
    <w:rsid w:val="00AB67C8"/>
    <w:rsid w:val="00AB6CD6"/>
    <w:rsid w:val="00AC081F"/>
    <w:rsid w:val="00AC0E16"/>
    <w:rsid w:val="00AC3181"/>
    <w:rsid w:val="00AC5A6C"/>
    <w:rsid w:val="00AC5C34"/>
    <w:rsid w:val="00AC6220"/>
    <w:rsid w:val="00AC7116"/>
    <w:rsid w:val="00AD01B8"/>
    <w:rsid w:val="00AD0ECD"/>
    <w:rsid w:val="00AD13E2"/>
    <w:rsid w:val="00AD1FA2"/>
    <w:rsid w:val="00AD3482"/>
    <w:rsid w:val="00AD352B"/>
    <w:rsid w:val="00AD3FFA"/>
    <w:rsid w:val="00AD4A39"/>
    <w:rsid w:val="00AD5B82"/>
    <w:rsid w:val="00AD6ABD"/>
    <w:rsid w:val="00AD7C5B"/>
    <w:rsid w:val="00AD7CE4"/>
    <w:rsid w:val="00AE0CC6"/>
    <w:rsid w:val="00AE20FC"/>
    <w:rsid w:val="00AE235A"/>
    <w:rsid w:val="00AE41B2"/>
    <w:rsid w:val="00AE44BE"/>
    <w:rsid w:val="00AE4970"/>
    <w:rsid w:val="00AE4EFF"/>
    <w:rsid w:val="00AE517A"/>
    <w:rsid w:val="00AE5990"/>
    <w:rsid w:val="00AE6102"/>
    <w:rsid w:val="00AE6CB4"/>
    <w:rsid w:val="00AE7E9B"/>
    <w:rsid w:val="00AF0963"/>
    <w:rsid w:val="00AF11A5"/>
    <w:rsid w:val="00AF236F"/>
    <w:rsid w:val="00AF2469"/>
    <w:rsid w:val="00AF256A"/>
    <w:rsid w:val="00AF2AFE"/>
    <w:rsid w:val="00AF2DA7"/>
    <w:rsid w:val="00AF2EC6"/>
    <w:rsid w:val="00AF4524"/>
    <w:rsid w:val="00AF46D8"/>
    <w:rsid w:val="00AF544C"/>
    <w:rsid w:val="00AF5D5C"/>
    <w:rsid w:val="00AF6293"/>
    <w:rsid w:val="00AF746A"/>
    <w:rsid w:val="00B004FB"/>
    <w:rsid w:val="00B007FD"/>
    <w:rsid w:val="00B00FA3"/>
    <w:rsid w:val="00B01138"/>
    <w:rsid w:val="00B01638"/>
    <w:rsid w:val="00B021E5"/>
    <w:rsid w:val="00B025AC"/>
    <w:rsid w:val="00B03470"/>
    <w:rsid w:val="00B03DC5"/>
    <w:rsid w:val="00B04D45"/>
    <w:rsid w:val="00B055A6"/>
    <w:rsid w:val="00B055CB"/>
    <w:rsid w:val="00B05E50"/>
    <w:rsid w:val="00B0616D"/>
    <w:rsid w:val="00B06AD3"/>
    <w:rsid w:val="00B06DC6"/>
    <w:rsid w:val="00B079DC"/>
    <w:rsid w:val="00B07DF9"/>
    <w:rsid w:val="00B11E88"/>
    <w:rsid w:val="00B12AEC"/>
    <w:rsid w:val="00B14253"/>
    <w:rsid w:val="00B1467A"/>
    <w:rsid w:val="00B1495E"/>
    <w:rsid w:val="00B15A8D"/>
    <w:rsid w:val="00B1620F"/>
    <w:rsid w:val="00B17209"/>
    <w:rsid w:val="00B175B5"/>
    <w:rsid w:val="00B178B1"/>
    <w:rsid w:val="00B2049C"/>
    <w:rsid w:val="00B21BC6"/>
    <w:rsid w:val="00B22289"/>
    <w:rsid w:val="00B223BD"/>
    <w:rsid w:val="00B230CA"/>
    <w:rsid w:val="00B2571D"/>
    <w:rsid w:val="00B2657F"/>
    <w:rsid w:val="00B26AFA"/>
    <w:rsid w:val="00B27B01"/>
    <w:rsid w:val="00B30342"/>
    <w:rsid w:val="00B30465"/>
    <w:rsid w:val="00B30BFF"/>
    <w:rsid w:val="00B30DF4"/>
    <w:rsid w:val="00B30E56"/>
    <w:rsid w:val="00B30F09"/>
    <w:rsid w:val="00B31879"/>
    <w:rsid w:val="00B31A20"/>
    <w:rsid w:val="00B31F61"/>
    <w:rsid w:val="00B32C93"/>
    <w:rsid w:val="00B32F93"/>
    <w:rsid w:val="00B34E09"/>
    <w:rsid w:val="00B3531E"/>
    <w:rsid w:val="00B3575E"/>
    <w:rsid w:val="00B35A11"/>
    <w:rsid w:val="00B36AFC"/>
    <w:rsid w:val="00B36EC6"/>
    <w:rsid w:val="00B4124F"/>
    <w:rsid w:val="00B4149A"/>
    <w:rsid w:val="00B41866"/>
    <w:rsid w:val="00B41A48"/>
    <w:rsid w:val="00B41BE3"/>
    <w:rsid w:val="00B421DE"/>
    <w:rsid w:val="00B435ED"/>
    <w:rsid w:val="00B45283"/>
    <w:rsid w:val="00B45C42"/>
    <w:rsid w:val="00B45D3D"/>
    <w:rsid w:val="00B47A48"/>
    <w:rsid w:val="00B50277"/>
    <w:rsid w:val="00B5045E"/>
    <w:rsid w:val="00B5117C"/>
    <w:rsid w:val="00B51367"/>
    <w:rsid w:val="00B520B4"/>
    <w:rsid w:val="00B52B1D"/>
    <w:rsid w:val="00B53548"/>
    <w:rsid w:val="00B5446A"/>
    <w:rsid w:val="00B55259"/>
    <w:rsid w:val="00B55C42"/>
    <w:rsid w:val="00B60698"/>
    <w:rsid w:val="00B61373"/>
    <w:rsid w:val="00B63407"/>
    <w:rsid w:val="00B64C03"/>
    <w:rsid w:val="00B65FA2"/>
    <w:rsid w:val="00B70472"/>
    <w:rsid w:val="00B70AAA"/>
    <w:rsid w:val="00B711D8"/>
    <w:rsid w:val="00B71AE7"/>
    <w:rsid w:val="00B73980"/>
    <w:rsid w:val="00B748AD"/>
    <w:rsid w:val="00B74E26"/>
    <w:rsid w:val="00B754F8"/>
    <w:rsid w:val="00B77A07"/>
    <w:rsid w:val="00B801DC"/>
    <w:rsid w:val="00B82B22"/>
    <w:rsid w:val="00B841D1"/>
    <w:rsid w:val="00B848C0"/>
    <w:rsid w:val="00B85E8A"/>
    <w:rsid w:val="00B86AA3"/>
    <w:rsid w:val="00B9031D"/>
    <w:rsid w:val="00B90F58"/>
    <w:rsid w:val="00B91549"/>
    <w:rsid w:val="00B916C2"/>
    <w:rsid w:val="00B93662"/>
    <w:rsid w:val="00B95E3B"/>
    <w:rsid w:val="00B960D2"/>
    <w:rsid w:val="00B969DE"/>
    <w:rsid w:val="00B97B2F"/>
    <w:rsid w:val="00BA1B8E"/>
    <w:rsid w:val="00BA3AF1"/>
    <w:rsid w:val="00BA3B76"/>
    <w:rsid w:val="00BA3E04"/>
    <w:rsid w:val="00BA438C"/>
    <w:rsid w:val="00BA43E3"/>
    <w:rsid w:val="00BA4494"/>
    <w:rsid w:val="00BA4998"/>
    <w:rsid w:val="00BA4BFB"/>
    <w:rsid w:val="00BA530E"/>
    <w:rsid w:val="00BA681F"/>
    <w:rsid w:val="00BA685D"/>
    <w:rsid w:val="00BA723D"/>
    <w:rsid w:val="00BA7B5A"/>
    <w:rsid w:val="00BB00D1"/>
    <w:rsid w:val="00BB0267"/>
    <w:rsid w:val="00BB078B"/>
    <w:rsid w:val="00BB0876"/>
    <w:rsid w:val="00BB146D"/>
    <w:rsid w:val="00BB1E15"/>
    <w:rsid w:val="00BB24EC"/>
    <w:rsid w:val="00BB384F"/>
    <w:rsid w:val="00BB4758"/>
    <w:rsid w:val="00BB5900"/>
    <w:rsid w:val="00BB5C14"/>
    <w:rsid w:val="00BB7228"/>
    <w:rsid w:val="00BB72CA"/>
    <w:rsid w:val="00BB756A"/>
    <w:rsid w:val="00BC04C1"/>
    <w:rsid w:val="00BC1258"/>
    <w:rsid w:val="00BC15F7"/>
    <w:rsid w:val="00BC1796"/>
    <w:rsid w:val="00BC23C7"/>
    <w:rsid w:val="00BC3048"/>
    <w:rsid w:val="00BC390D"/>
    <w:rsid w:val="00BC3C40"/>
    <w:rsid w:val="00BC4047"/>
    <w:rsid w:val="00BC47F6"/>
    <w:rsid w:val="00BC4C94"/>
    <w:rsid w:val="00BC51CE"/>
    <w:rsid w:val="00BC5936"/>
    <w:rsid w:val="00BC5A5F"/>
    <w:rsid w:val="00BC5D66"/>
    <w:rsid w:val="00BC79C6"/>
    <w:rsid w:val="00BD0B86"/>
    <w:rsid w:val="00BD17B8"/>
    <w:rsid w:val="00BD1FE9"/>
    <w:rsid w:val="00BD2405"/>
    <w:rsid w:val="00BD3639"/>
    <w:rsid w:val="00BD43D2"/>
    <w:rsid w:val="00BD47D9"/>
    <w:rsid w:val="00BD5F12"/>
    <w:rsid w:val="00BE24A0"/>
    <w:rsid w:val="00BE41B3"/>
    <w:rsid w:val="00BE6B48"/>
    <w:rsid w:val="00BE767F"/>
    <w:rsid w:val="00BF0450"/>
    <w:rsid w:val="00BF14CB"/>
    <w:rsid w:val="00BF38E9"/>
    <w:rsid w:val="00BF39EF"/>
    <w:rsid w:val="00BF4C5C"/>
    <w:rsid w:val="00BF51A5"/>
    <w:rsid w:val="00BF55DB"/>
    <w:rsid w:val="00BF5C27"/>
    <w:rsid w:val="00BF6B03"/>
    <w:rsid w:val="00C00799"/>
    <w:rsid w:val="00C00B45"/>
    <w:rsid w:val="00C00EE8"/>
    <w:rsid w:val="00C0207E"/>
    <w:rsid w:val="00C021D8"/>
    <w:rsid w:val="00C02C72"/>
    <w:rsid w:val="00C03218"/>
    <w:rsid w:val="00C03780"/>
    <w:rsid w:val="00C0479C"/>
    <w:rsid w:val="00C0599F"/>
    <w:rsid w:val="00C05CC1"/>
    <w:rsid w:val="00C05CF0"/>
    <w:rsid w:val="00C0605A"/>
    <w:rsid w:val="00C06096"/>
    <w:rsid w:val="00C065C8"/>
    <w:rsid w:val="00C070BA"/>
    <w:rsid w:val="00C071A6"/>
    <w:rsid w:val="00C07C37"/>
    <w:rsid w:val="00C07C75"/>
    <w:rsid w:val="00C114D7"/>
    <w:rsid w:val="00C11512"/>
    <w:rsid w:val="00C1211F"/>
    <w:rsid w:val="00C13172"/>
    <w:rsid w:val="00C14D09"/>
    <w:rsid w:val="00C157DF"/>
    <w:rsid w:val="00C15830"/>
    <w:rsid w:val="00C1736A"/>
    <w:rsid w:val="00C17C45"/>
    <w:rsid w:val="00C20ABE"/>
    <w:rsid w:val="00C20C4D"/>
    <w:rsid w:val="00C20EB8"/>
    <w:rsid w:val="00C20F84"/>
    <w:rsid w:val="00C20FF4"/>
    <w:rsid w:val="00C21217"/>
    <w:rsid w:val="00C21EC5"/>
    <w:rsid w:val="00C221D2"/>
    <w:rsid w:val="00C22815"/>
    <w:rsid w:val="00C229DF"/>
    <w:rsid w:val="00C22F1E"/>
    <w:rsid w:val="00C236A6"/>
    <w:rsid w:val="00C23A09"/>
    <w:rsid w:val="00C23D7E"/>
    <w:rsid w:val="00C24740"/>
    <w:rsid w:val="00C255EB"/>
    <w:rsid w:val="00C26DB7"/>
    <w:rsid w:val="00C27689"/>
    <w:rsid w:val="00C27795"/>
    <w:rsid w:val="00C315E8"/>
    <w:rsid w:val="00C32013"/>
    <w:rsid w:val="00C326CD"/>
    <w:rsid w:val="00C33EC0"/>
    <w:rsid w:val="00C350CB"/>
    <w:rsid w:val="00C35216"/>
    <w:rsid w:val="00C366AD"/>
    <w:rsid w:val="00C36F75"/>
    <w:rsid w:val="00C4036A"/>
    <w:rsid w:val="00C42D74"/>
    <w:rsid w:val="00C42E77"/>
    <w:rsid w:val="00C4411E"/>
    <w:rsid w:val="00C441FE"/>
    <w:rsid w:val="00C44305"/>
    <w:rsid w:val="00C45856"/>
    <w:rsid w:val="00C458A4"/>
    <w:rsid w:val="00C46404"/>
    <w:rsid w:val="00C464FD"/>
    <w:rsid w:val="00C46D7A"/>
    <w:rsid w:val="00C4739D"/>
    <w:rsid w:val="00C47B9A"/>
    <w:rsid w:val="00C47BA4"/>
    <w:rsid w:val="00C507ED"/>
    <w:rsid w:val="00C5188C"/>
    <w:rsid w:val="00C51B65"/>
    <w:rsid w:val="00C523FA"/>
    <w:rsid w:val="00C5256A"/>
    <w:rsid w:val="00C52AB3"/>
    <w:rsid w:val="00C53379"/>
    <w:rsid w:val="00C5448B"/>
    <w:rsid w:val="00C54A5D"/>
    <w:rsid w:val="00C56396"/>
    <w:rsid w:val="00C57D2A"/>
    <w:rsid w:val="00C61239"/>
    <w:rsid w:val="00C62306"/>
    <w:rsid w:val="00C62330"/>
    <w:rsid w:val="00C6287F"/>
    <w:rsid w:val="00C63170"/>
    <w:rsid w:val="00C63699"/>
    <w:rsid w:val="00C6441F"/>
    <w:rsid w:val="00C66D9F"/>
    <w:rsid w:val="00C7082A"/>
    <w:rsid w:val="00C7139F"/>
    <w:rsid w:val="00C727A2"/>
    <w:rsid w:val="00C72889"/>
    <w:rsid w:val="00C72B45"/>
    <w:rsid w:val="00C7346D"/>
    <w:rsid w:val="00C737AE"/>
    <w:rsid w:val="00C73AC4"/>
    <w:rsid w:val="00C749EB"/>
    <w:rsid w:val="00C74DFC"/>
    <w:rsid w:val="00C772DD"/>
    <w:rsid w:val="00C77331"/>
    <w:rsid w:val="00C77C09"/>
    <w:rsid w:val="00C77D35"/>
    <w:rsid w:val="00C81139"/>
    <w:rsid w:val="00C8285B"/>
    <w:rsid w:val="00C8296F"/>
    <w:rsid w:val="00C83B9F"/>
    <w:rsid w:val="00C84341"/>
    <w:rsid w:val="00C84A38"/>
    <w:rsid w:val="00C85458"/>
    <w:rsid w:val="00C85F2E"/>
    <w:rsid w:val="00C86631"/>
    <w:rsid w:val="00C871AB"/>
    <w:rsid w:val="00C91FA2"/>
    <w:rsid w:val="00C92C53"/>
    <w:rsid w:val="00C92E63"/>
    <w:rsid w:val="00C93D5A"/>
    <w:rsid w:val="00C94A99"/>
    <w:rsid w:val="00C94DD1"/>
    <w:rsid w:val="00C94FFF"/>
    <w:rsid w:val="00C955E4"/>
    <w:rsid w:val="00C96798"/>
    <w:rsid w:val="00C96F38"/>
    <w:rsid w:val="00C97EAE"/>
    <w:rsid w:val="00CA0231"/>
    <w:rsid w:val="00CA02BB"/>
    <w:rsid w:val="00CA08D0"/>
    <w:rsid w:val="00CA0FBA"/>
    <w:rsid w:val="00CA1D39"/>
    <w:rsid w:val="00CA252E"/>
    <w:rsid w:val="00CA2995"/>
    <w:rsid w:val="00CA30C2"/>
    <w:rsid w:val="00CA441B"/>
    <w:rsid w:val="00CA468D"/>
    <w:rsid w:val="00CA4B1D"/>
    <w:rsid w:val="00CA54D2"/>
    <w:rsid w:val="00CA68FF"/>
    <w:rsid w:val="00CA77B8"/>
    <w:rsid w:val="00CB0751"/>
    <w:rsid w:val="00CB16BA"/>
    <w:rsid w:val="00CB30D7"/>
    <w:rsid w:val="00CB3CBB"/>
    <w:rsid w:val="00CB456B"/>
    <w:rsid w:val="00CB531C"/>
    <w:rsid w:val="00CB599A"/>
    <w:rsid w:val="00CB72C9"/>
    <w:rsid w:val="00CC072C"/>
    <w:rsid w:val="00CC0C39"/>
    <w:rsid w:val="00CC1109"/>
    <w:rsid w:val="00CC194F"/>
    <w:rsid w:val="00CC3885"/>
    <w:rsid w:val="00CC3A71"/>
    <w:rsid w:val="00CC482F"/>
    <w:rsid w:val="00CC4EC6"/>
    <w:rsid w:val="00CC4F09"/>
    <w:rsid w:val="00CC4FA7"/>
    <w:rsid w:val="00CC6908"/>
    <w:rsid w:val="00CC78AF"/>
    <w:rsid w:val="00CC7AEC"/>
    <w:rsid w:val="00CD0818"/>
    <w:rsid w:val="00CD0849"/>
    <w:rsid w:val="00CD1140"/>
    <w:rsid w:val="00CD1EC1"/>
    <w:rsid w:val="00CD349F"/>
    <w:rsid w:val="00CD3F7E"/>
    <w:rsid w:val="00CD629C"/>
    <w:rsid w:val="00CE0362"/>
    <w:rsid w:val="00CE10BC"/>
    <w:rsid w:val="00CE12AC"/>
    <w:rsid w:val="00CE17B4"/>
    <w:rsid w:val="00CE24B0"/>
    <w:rsid w:val="00CE26A4"/>
    <w:rsid w:val="00CE2E23"/>
    <w:rsid w:val="00CE423D"/>
    <w:rsid w:val="00CE438A"/>
    <w:rsid w:val="00CE4AC3"/>
    <w:rsid w:val="00CE4B6A"/>
    <w:rsid w:val="00CE51F5"/>
    <w:rsid w:val="00CE568A"/>
    <w:rsid w:val="00CE6026"/>
    <w:rsid w:val="00CE77E2"/>
    <w:rsid w:val="00CE79EE"/>
    <w:rsid w:val="00CF19F6"/>
    <w:rsid w:val="00CF1C48"/>
    <w:rsid w:val="00CF24CF"/>
    <w:rsid w:val="00CF4376"/>
    <w:rsid w:val="00CF4C4C"/>
    <w:rsid w:val="00CF4D29"/>
    <w:rsid w:val="00CF5AEA"/>
    <w:rsid w:val="00CF6434"/>
    <w:rsid w:val="00D001A3"/>
    <w:rsid w:val="00D00397"/>
    <w:rsid w:val="00D00AC1"/>
    <w:rsid w:val="00D00BAF"/>
    <w:rsid w:val="00D00E40"/>
    <w:rsid w:val="00D01845"/>
    <w:rsid w:val="00D01BE6"/>
    <w:rsid w:val="00D01C85"/>
    <w:rsid w:val="00D0213C"/>
    <w:rsid w:val="00D0236F"/>
    <w:rsid w:val="00D0314C"/>
    <w:rsid w:val="00D0459A"/>
    <w:rsid w:val="00D049F7"/>
    <w:rsid w:val="00D066FB"/>
    <w:rsid w:val="00D111A2"/>
    <w:rsid w:val="00D115BF"/>
    <w:rsid w:val="00D12C98"/>
    <w:rsid w:val="00D145F0"/>
    <w:rsid w:val="00D150D4"/>
    <w:rsid w:val="00D16B9E"/>
    <w:rsid w:val="00D16F29"/>
    <w:rsid w:val="00D1717C"/>
    <w:rsid w:val="00D2054E"/>
    <w:rsid w:val="00D212A4"/>
    <w:rsid w:val="00D214D4"/>
    <w:rsid w:val="00D2191B"/>
    <w:rsid w:val="00D22C69"/>
    <w:rsid w:val="00D235CB"/>
    <w:rsid w:val="00D23BCE"/>
    <w:rsid w:val="00D23E72"/>
    <w:rsid w:val="00D2588A"/>
    <w:rsid w:val="00D25A55"/>
    <w:rsid w:val="00D26693"/>
    <w:rsid w:val="00D3017C"/>
    <w:rsid w:val="00D330DA"/>
    <w:rsid w:val="00D3354E"/>
    <w:rsid w:val="00D33ACF"/>
    <w:rsid w:val="00D35166"/>
    <w:rsid w:val="00D35A03"/>
    <w:rsid w:val="00D35E5F"/>
    <w:rsid w:val="00D36293"/>
    <w:rsid w:val="00D362A8"/>
    <w:rsid w:val="00D371B5"/>
    <w:rsid w:val="00D3738F"/>
    <w:rsid w:val="00D37D43"/>
    <w:rsid w:val="00D4226A"/>
    <w:rsid w:val="00D422DA"/>
    <w:rsid w:val="00D4243D"/>
    <w:rsid w:val="00D42742"/>
    <w:rsid w:val="00D43368"/>
    <w:rsid w:val="00D44D7A"/>
    <w:rsid w:val="00D451C4"/>
    <w:rsid w:val="00D4536E"/>
    <w:rsid w:val="00D4564E"/>
    <w:rsid w:val="00D45855"/>
    <w:rsid w:val="00D46044"/>
    <w:rsid w:val="00D46675"/>
    <w:rsid w:val="00D46ECF"/>
    <w:rsid w:val="00D47404"/>
    <w:rsid w:val="00D47A36"/>
    <w:rsid w:val="00D5018B"/>
    <w:rsid w:val="00D508D5"/>
    <w:rsid w:val="00D50B5F"/>
    <w:rsid w:val="00D50F88"/>
    <w:rsid w:val="00D51623"/>
    <w:rsid w:val="00D517A0"/>
    <w:rsid w:val="00D51FB6"/>
    <w:rsid w:val="00D52D37"/>
    <w:rsid w:val="00D53078"/>
    <w:rsid w:val="00D54A75"/>
    <w:rsid w:val="00D54CFC"/>
    <w:rsid w:val="00D55516"/>
    <w:rsid w:val="00D55B90"/>
    <w:rsid w:val="00D5632C"/>
    <w:rsid w:val="00D56ACC"/>
    <w:rsid w:val="00D56DEF"/>
    <w:rsid w:val="00D56F12"/>
    <w:rsid w:val="00D572E6"/>
    <w:rsid w:val="00D57B83"/>
    <w:rsid w:val="00D57EFC"/>
    <w:rsid w:val="00D61A2F"/>
    <w:rsid w:val="00D62CB5"/>
    <w:rsid w:val="00D62F00"/>
    <w:rsid w:val="00D630EF"/>
    <w:rsid w:val="00D639EB"/>
    <w:rsid w:val="00D64256"/>
    <w:rsid w:val="00D64592"/>
    <w:rsid w:val="00D64AD0"/>
    <w:rsid w:val="00D64C53"/>
    <w:rsid w:val="00D64CC2"/>
    <w:rsid w:val="00D65717"/>
    <w:rsid w:val="00D65CDB"/>
    <w:rsid w:val="00D65F15"/>
    <w:rsid w:val="00D65F90"/>
    <w:rsid w:val="00D6680B"/>
    <w:rsid w:val="00D668DD"/>
    <w:rsid w:val="00D70437"/>
    <w:rsid w:val="00D70719"/>
    <w:rsid w:val="00D70DF8"/>
    <w:rsid w:val="00D7183F"/>
    <w:rsid w:val="00D72200"/>
    <w:rsid w:val="00D72A59"/>
    <w:rsid w:val="00D73CF8"/>
    <w:rsid w:val="00D75296"/>
    <w:rsid w:val="00D7637E"/>
    <w:rsid w:val="00D76A73"/>
    <w:rsid w:val="00D76ECB"/>
    <w:rsid w:val="00D77ED5"/>
    <w:rsid w:val="00D8110F"/>
    <w:rsid w:val="00D8282E"/>
    <w:rsid w:val="00D838BC"/>
    <w:rsid w:val="00D85086"/>
    <w:rsid w:val="00D854AD"/>
    <w:rsid w:val="00D85723"/>
    <w:rsid w:val="00D85E52"/>
    <w:rsid w:val="00D910E1"/>
    <w:rsid w:val="00D9181B"/>
    <w:rsid w:val="00D921DE"/>
    <w:rsid w:val="00D92F33"/>
    <w:rsid w:val="00D94FD5"/>
    <w:rsid w:val="00D95BBE"/>
    <w:rsid w:val="00D962A3"/>
    <w:rsid w:val="00D96984"/>
    <w:rsid w:val="00D9738A"/>
    <w:rsid w:val="00D973B4"/>
    <w:rsid w:val="00DA02BB"/>
    <w:rsid w:val="00DA0684"/>
    <w:rsid w:val="00DA1191"/>
    <w:rsid w:val="00DA18EA"/>
    <w:rsid w:val="00DA20FB"/>
    <w:rsid w:val="00DA343F"/>
    <w:rsid w:val="00DA34C1"/>
    <w:rsid w:val="00DA4538"/>
    <w:rsid w:val="00DA4598"/>
    <w:rsid w:val="00DA4C48"/>
    <w:rsid w:val="00DA535F"/>
    <w:rsid w:val="00DA5656"/>
    <w:rsid w:val="00DA73AF"/>
    <w:rsid w:val="00DA7525"/>
    <w:rsid w:val="00DB08AD"/>
    <w:rsid w:val="00DB16E6"/>
    <w:rsid w:val="00DB1C6A"/>
    <w:rsid w:val="00DB1FE8"/>
    <w:rsid w:val="00DB2BC9"/>
    <w:rsid w:val="00DB338E"/>
    <w:rsid w:val="00DB3E6A"/>
    <w:rsid w:val="00DB58EA"/>
    <w:rsid w:val="00DB5A78"/>
    <w:rsid w:val="00DB6E10"/>
    <w:rsid w:val="00DB75B8"/>
    <w:rsid w:val="00DC0820"/>
    <w:rsid w:val="00DC0B38"/>
    <w:rsid w:val="00DC1416"/>
    <w:rsid w:val="00DC202D"/>
    <w:rsid w:val="00DC2E46"/>
    <w:rsid w:val="00DC48FF"/>
    <w:rsid w:val="00DC53A5"/>
    <w:rsid w:val="00DC54B9"/>
    <w:rsid w:val="00DC59E1"/>
    <w:rsid w:val="00DC667E"/>
    <w:rsid w:val="00DC6786"/>
    <w:rsid w:val="00DC6F13"/>
    <w:rsid w:val="00DC6F33"/>
    <w:rsid w:val="00DC7119"/>
    <w:rsid w:val="00DD13D3"/>
    <w:rsid w:val="00DD1ABD"/>
    <w:rsid w:val="00DD30D9"/>
    <w:rsid w:val="00DD392B"/>
    <w:rsid w:val="00DD39E6"/>
    <w:rsid w:val="00DD40B9"/>
    <w:rsid w:val="00DD481F"/>
    <w:rsid w:val="00DD4A6A"/>
    <w:rsid w:val="00DD5223"/>
    <w:rsid w:val="00DD5518"/>
    <w:rsid w:val="00DD58CE"/>
    <w:rsid w:val="00DD5F48"/>
    <w:rsid w:val="00DD7B9D"/>
    <w:rsid w:val="00DD7C3F"/>
    <w:rsid w:val="00DE14AB"/>
    <w:rsid w:val="00DE1D5A"/>
    <w:rsid w:val="00DE21D4"/>
    <w:rsid w:val="00DE447A"/>
    <w:rsid w:val="00DE473C"/>
    <w:rsid w:val="00DE4C07"/>
    <w:rsid w:val="00DE698E"/>
    <w:rsid w:val="00DE6E06"/>
    <w:rsid w:val="00DF1ABC"/>
    <w:rsid w:val="00DF226E"/>
    <w:rsid w:val="00DF2635"/>
    <w:rsid w:val="00DF35F8"/>
    <w:rsid w:val="00DF4AAF"/>
    <w:rsid w:val="00DF79AC"/>
    <w:rsid w:val="00E01506"/>
    <w:rsid w:val="00E03010"/>
    <w:rsid w:val="00E05AB3"/>
    <w:rsid w:val="00E06226"/>
    <w:rsid w:val="00E07306"/>
    <w:rsid w:val="00E10278"/>
    <w:rsid w:val="00E10C71"/>
    <w:rsid w:val="00E10EF8"/>
    <w:rsid w:val="00E11449"/>
    <w:rsid w:val="00E1233F"/>
    <w:rsid w:val="00E12432"/>
    <w:rsid w:val="00E12646"/>
    <w:rsid w:val="00E12AF1"/>
    <w:rsid w:val="00E139C0"/>
    <w:rsid w:val="00E13AF2"/>
    <w:rsid w:val="00E14039"/>
    <w:rsid w:val="00E148C0"/>
    <w:rsid w:val="00E15BFD"/>
    <w:rsid w:val="00E16A91"/>
    <w:rsid w:val="00E176BB"/>
    <w:rsid w:val="00E178BA"/>
    <w:rsid w:val="00E21003"/>
    <w:rsid w:val="00E21A26"/>
    <w:rsid w:val="00E22871"/>
    <w:rsid w:val="00E22878"/>
    <w:rsid w:val="00E23D53"/>
    <w:rsid w:val="00E23F3C"/>
    <w:rsid w:val="00E240EA"/>
    <w:rsid w:val="00E2428F"/>
    <w:rsid w:val="00E248CA"/>
    <w:rsid w:val="00E25115"/>
    <w:rsid w:val="00E255A3"/>
    <w:rsid w:val="00E26BFE"/>
    <w:rsid w:val="00E27359"/>
    <w:rsid w:val="00E279B5"/>
    <w:rsid w:val="00E30E7F"/>
    <w:rsid w:val="00E31502"/>
    <w:rsid w:val="00E31689"/>
    <w:rsid w:val="00E31A0C"/>
    <w:rsid w:val="00E31E24"/>
    <w:rsid w:val="00E34F3C"/>
    <w:rsid w:val="00E35584"/>
    <w:rsid w:val="00E356A0"/>
    <w:rsid w:val="00E3713C"/>
    <w:rsid w:val="00E372A0"/>
    <w:rsid w:val="00E37E38"/>
    <w:rsid w:val="00E40354"/>
    <w:rsid w:val="00E410C1"/>
    <w:rsid w:val="00E4342D"/>
    <w:rsid w:val="00E43871"/>
    <w:rsid w:val="00E440B0"/>
    <w:rsid w:val="00E45069"/>
    <w:rsid w:val="00E453CD"/>
    <w:rsid w:val="00E45ADA"/>
    <w:rsid w:val="00E519FB"/>
    <w:rsid w:val="00E51BD9"/>
    <w:rsid w:val="00E51E1B"/>
    <w:rsid w:val="00E52B1E"/>
    <w:rsid w:val="00E52EE6"/>
    <w:rsid w:val="00E53958"/>
    <w:rsid w:val="00E53A71"/>
    <w:rsid w:val="00E53E08"/>
    <w:rsid w:val="00E55D13"/>
    <w:rsid w:val="00E565D8"/>
    <w:rsid w:val="00E569C9"/>
    <w:rsid w:val="00E60774"/>
    <w:rsid w:val="00E61C7D"/>
    <w:rsid w:val="00E62112"/>
    <w:rsid w:val="00E638F8"/>
    <w:rsid w:val="00E643D2"/>
    <w:rsid w:val="00E64F01"/>
    <w:rsid w:val="00E64F32"/>
    <w:rsid w:val="00E652CA"/>
    <w:rsid w:val="00E656A2"/>
    <w:rsid w:val="00E67A46"/>
    <w:rsid w:val="00E67C67"/>
    <w:rsid w:val="00E7019A"/>
    <w:rsid w:val="00E7048C"/>
    <w:rsid w:val="00E72B5A"/>
    <w:rsid w:val="00E7349C"/>
    <w:rsid w:val="00E736D7"/>
    <w:rsid w:val="00E73B3F"/>
    <w:rsid w:val="00E73D2F"/>
    <w:rsid w:val="00E73DB9"/>
    <w:rsid w:val="00E742BE"/>
    <w:rsid w:val="00E7434F"/>
    <w:rsid w:val="00E743B0"/>
    <w:rsid w:val="00E75FD8"/>
    <w:rsid w:val="00E76428"/>
    <w:rsid w:val="00E7690A"/>
    <w:rsid w:val="00E769E0"/>
    <w:rsid w:val="00E77853"/>
    <w:rsid w:val="00E810FF"/>
    <w:rsid w:val="00E81AD6"/>
    <w:rsid w:val="00E81FC2"/>
    <w:rsid w:val="00E8264D"/>
    <w:rsid w:val="00E82F7B"/>
    <w:rsid w:val="00E832DE"/>
    <w:rsid w:val="00E837D2"/>
    <w:rsid w:val="00E8574B"/>
    <w:rsid w:val="00E8715D"/>
    <w:rsid w:val="00E87463"/>
    <w:rsid w:val="00E875A8"/>
    <w:rsid w:val="00E90567"/>
    <w:rsid w:val="00E90715"/>
    <w:rsid w:val="00E90A44"/>
    <w:rsid w:val="00E937DA"/>
    <w:rsid w:val="00E93AC0"/>
    <w:rsid w:val="00E93C88"/>
    <w:rsid w:val="00E94431"/>
    <w:rsid w:val="00E94D81"/>
    <w:rsid w:val="00E9587B"/>
    <w:rsid w:val="00E95E2E"/>
    <w:rsid w:val="00E95E81"/>
    <w:rsid w:val="00E9678C"/>
    <w:rsid w:val="00EA01FD"/>
    <w:rsid w:val="00EA0402"/>
    <w:rsid w:val="00EA0B36"/>
    <w:rsid w:val="00EA0EB7"/>
    <w:rsid w:val="00EA18FA"/>
    <w:rsid w:val="00EA2F92"/>
    <w:rsid w:val="00EA3352"/>
    <w:rsid w:val="00EA3F03"/>
    <w:rsid w:val="00EA4950"/>
    <w:rsid w:val="00EA6844"/>
    <w:rsid w:val="00EA6F23"/>
    <w:rsid w:val="00EA702A"/>
    <w:rsid w:val="00EA7CAA"/>
    <w:rsid w:val="00EA7CF6"/>
    <w:rsid w:val="00EA7D56"/>
    <w:rsid w:val="00EA7DF6"/>
    <w:rsid w:val="00EB01C6"/>
    <w:rsid w:val="00EB0519"/>
    <w:rsid w:val="00EB0991"/>
    <w:rsid w:val="00EB122D"/>
    <w:rsid w:val="00EB198D"/>
    <w:rsid w:val="00EB383E"/>
    <w:rsid w:val="00EB418F"/>
    <w:rsid w:val="00EB4322"/>
    <w:rsid w:val="00EB4AC4"/>
    <w:rsid w:val="00EB5C3A"/>
    <w:rsid w:val="00EB5F11"/>
    <w:rsid w:val="00EB7837"/>
    <w:rsid w:val="00EC2A20"/>
    <w:rsid w:val="00EC30F0"/>
    <w:rsid w:val="00EC35F2"/>
    <w:rsid w:val="00EC3A1D"/>
    <w:rsid w:val="00EC3C1E"/>
    <w:rsid w:val="00EC428D"/>
    <w:rsid w:val="00EC4593"/>
    <w:rsid w:val="00EC4D26"/>
    <w:rsid w:val="00EC7121"/>
    <w:rsid w:val="00EC782F"/>
    <w:rsid w:val="00ED03EA"/>
    <w:rsid w:val="00ED0594"/>
    <w:rsid w:val="00ED0F78"/>
    <w:rsid w:val="00ED11F6"/>
    <w:rsid w:val="00ED130E"/>
    <w:rsid w:val="00ED196A"/>
    <w:rsid w:val="00ED1D6A"/>
    <w:rsid w:val="00ED1E3C"/>
    <w:rsid w:val="00ED2E93"/>
    <w:rsid w:val="00ED581E"/>
    <w:rsid w:val="00ED6E35"/>
    <w:rsid w:val="00EE02F8"/>
    <w:rsid w:val="00EE06D9"/>
    <w:rsid w:val="00EE0980"/>
    <w:rsid w:val="00EE1B79"/>
    <w:rsid w:val="00EE27D9"/>
    <w:rsid w:val="00EE2C18"/>
    <w:rsid w:val="00EE3819"/>
    <w:rsid w:val="00EE4561"/>
    <w:rsid w:val="00EE49EE"/>
    <w:rsid w:val="00EE4C2E"/>
    <w:rsid w:val="00EE4CE5"/>
    <w:rsid w:val="00EE5CBC"/>
    <w:rsid w:val="00EE5CE6"/>
    <w:rsid w:val="00EE6F2F"/>
    <w:rsid w:val="00EF0856"/>
    <w:rsid w:val="00EF1A49"/>
    <w:rsid w:val="00EF295B"/>
    <w:rsid w:val="00EF4008"/>
    <w:rsid w:val="00EF4C72"/>
    <w:rsid w:val="00EF5C06"/>
    <w:rsid w:val="00EF64B0"/>
    <w:rsid w:val="00EF65A8"/>
    <w:rsid w:val="00EF6BDB"/>
    <w:rsid w:val="00EF74FC"/>
    <w:rsid w:val="00EF7564"/>
    <w:rsid w:val="00F00593"/>
    <w:rsid w:val="00F008C5"/>
    <w:rsid w:val="00F00A03"/>
    <w:rsid w:val="00F00DA5"/>
    <w:rsid w:val="00F012AA"/>
    <w:rsid w:val="00F020BA"/>
    <w:rsid w:val="00F02342"/>
    <w:rsid w:val="00F028CE"/>
    <w:rsid w:val="00F02988"/>
    <w:rsid w:val="00F02E1E"/>
    <w:rsid w:val="00F02E8F"/>
    <w:rsid w:val="00F03191"/>
    <w:rsid w:val="00F035FE"/>
    <w:rsid w:val="00F036D2"/>
    <w:rsid w:val="00F04270"/>
    <w:rsid w:val="00F04C92"/>
    <w:rsid w:val="00F04D22"/>
    <w:rsid w:val="00F04EE1"/>
    <w:rsid w:val="00F04F50"/>
    <w:rsid w:val="00F058D4"/>
    <w:rsid w:val="00F05D47"/>
    <w:rsid w:val="00F062B2"/>
    <w:rsid w:val="00F077DA"/>
    <w:rsid w:val="00F07BD0"/>
    <w:rsid w:val="00F07D1B"/>
    <w:rsid w:val="00F07D2E"/>
    <w:rsid w:val="00F101CD"/>
    <w:rsid w:val="00F1051B"/>
    <w:rsid w:val="00F1073F"/>
    <w:rsid w:val="00F13A05"/>
    <w:rsid w:val="00F1672E"/>
    <w:rsid w:val="00F21627"/>
    <w:rsid w:val="00F231B6"/>
    <w:rsid w:val="00F232CC"/>
    <w:rsid w:val="00F234AB"/>
    <w:rsid w:val="00F2457B"/>
    <w:rsid w:val="00F25387"/>
    <w:rsid w:val="00F25606"/>
    <w:rsid w:val="00F2686A"/>
    <w:rsid w:val="00F3031B"/>
    <w:rsid w:val="00F30CC3"/>
    <w:rsid w:val="00F31F54"/>
    <w:rsid w:val="00F3434F"/>
    <w:rsid w:val="00F343F8"/>
    <w:rsid w:val="00F34A78"/>
    <w:rsid w:val="00F35E0B"/>
    <w:rsid w:val="00F368C4"/>
    <w:rsid w:val="00F36CE7"/>
    <w:rsid w:val="00F3724F"/>
    <w:rsid w:val="00F3750E"/>
    <w:rsid w:val="00F400FE"/>
    <w:rsid w:val="00F4083A"/>
    <w:rsid w:val="00F40B5B"/>
    <w:rsid w:val="00F4248D"/>
    <w:rsid w:val="00F42651"/>
    <w:rsid w:val="00F4340F"/>
    <w:rsid w:val="00F437AB"/>
    <w:rsid w:val="00F439D0"/>
    <w:rsid w:val="00F43D63"/>
    <w:rsid w:val="00F45228"/>
    <w:rsid w:val="00F452B6"/>
    <w:rsid w:val="00F469B6"/>
    <w:rsid w:val="00F4732C"/>
    <w:rsid w:val="00F50D5F"/>
    <w:rsid w:val="00F50F3C"/>
    <w:rsid w:val="00F5192F"/>
    <w:rsid w:val="00F519F8"/>
    <w:rsid w:val="00F51C12"/>
    <w:rsid w:val="00F525E5"/>
    <w:rsid w:val="00F54364"/>
    <w:rsid w:val="00F54805"/>
    <w:rsid w:val="00F56444"/>
    <w:rsid w:val="00F56BF7"/>
    <w:rsid w:val="00F57866"/>
    <w:rsid w:val="00F60028"/>
    <w:rsid w:val="00F6123E"/>
    <w:rsid w:val="00F61A49"/>
    <w:rsid w:val="00F62174"/>
    <w:rsid w:val="00F6239E"/>
    <w:rsid w:val="00F62EA8"/>
    <w:rsid w:val="00F63459"/>
    <w:rsid w:val="00F63942"/>
    <w:rsid w:val="00F64891"/>
    <w:rsid w:val="00F64D90"/>
    <w:rsid w:val="00F64F74"/>
    <w:rsid w:val="00F67503"/>
    <w:rsid w:val="00F67604"/>
    <w:rsid w:val="00F679D0"/>
    <w:rsid w:val="00F67C33"/>
    <w:rsid w:val="00F70BAC"/>
    <w:rsid w:val="00F71184"/>
    <w:rsid w:val="00F716A8"/>
    <w:rsid w:val="00F72902"/>
    <w:rsid w:val="00F7329F"/>
    <w:rsid w:val="00F7383F"/>
    <w:rsid w:val="00F73844"/>
    <w:rsid w:val="00F73B71"/>
    <w:rsid w:val="00F73BB3"/>
    <w:rsid w:val="00F7569A"/>
    <w:rsid w:val="00F77556"/>
    <w:rsid w:val="00F77BB1"/>
    <w:rsid w:val="00F80CB2"/>
    <w:rsid w:val="00F81049"/>
    <w:rsid w:val="00F813EB"/>
    <w:rsid w:val="00F817FB"/>
    <w:rsid w:val="00F81873"/>
    <w:rsid w:val="00F81B70"/>
    <w:rsid w:val="00F8245F"/>
    <w:rsid w:val="00F833C0"/>
    <w:rsid w:val="00F84109"/>
    <w:rsid w:val="00F8442B"/>
    <w:rsid w:val="00F8448E"/>
    <w:rsid w:val="00F84947"/>
    <w:rsid w:val="00F8539A"/>
    <w:rsid w:val="00F85E12"/>
    <w:rsid w:val="00F873A3"/>
    <w:rsid w:val="00F9189A"/>
    <w:rsid w:val="00F91E84"/>
    <w:rsid w:val="00F92B95"/>
    <w:rsid w:val="00F934DC"/>
    <w:rsid w:val="00F9409A"/>
    <w:rsid w:val="00F94217"/>
    <w:rsid w:val="00F94CDB"/>
    <w:rsid w:val="00F957FD"/>
    <w:rsid w:val="00F96A09"/>
    <w:rsid w:val="00F96BC3"/>
    <w:rsid w:val="00F96E8E"/>
    <w:rsid w:val="00F97369"/>
    <w:rsid w:val="00FA08E7"/>
    <w:rsid w:val="00FA225F"/>
    <w:rsid w:val="00FA2842"/>
    <w:rsid w:val="00FA2C44"/>
    <w:rsid w:val="00FA32FF"/>
    <w:rsid w:val="00FA3525"/>
    <w:rsid w:val="00FA386D"/>
    <w:rsid w:val="00FA3FBF"/>
    <w:rsid w:val="00FA53AE"/>
    <w:rsid w:val="00FA61A9"/>
    <w:rsid w:val="00FA668C"/>
    <w:rsid w:val="00FA7142"/>
    <w:rsid w:val="00FA73AE"/>
    <w:rsid w:val="00FA782B"/>
    <w:rsid w:val="00FB05E6"/>
    <w:rsid w:val="00FB0834"/>
    <w:rsid w:val="00FB093A"/>
    <w:rsid w:val="00FB15D3"/>
    <w:rsid w:val="00FB189F"/>
    <w:rsid w:val="00FB19EB"/>
    <w:rsid w:val="00FB318B"/>
    <w:rsid w:val="00FB351C"/>
    <w:rsid w:val="00FB3BCF"/>
    <w:rsid w:val="00FB3CB6"/>
    <w:rsid w:val="00FB485B"/>
    <w:rsid w:val="00FB52CE"/>
    <w:rsid w:val="00FB5999"/>
    <w:rsid w:val="00FB6CFF"/>
    <w:rsid w:val="00FB6F23"/>
    <w:rsid w:val="00FB719F"/>
    <w:rsid w:val="00FC023D"/>
    <w:rsid w:val="00FC0255"/>
    <w:rsid w:val="00FC0746"/>
    <w:rsid w:val="00FC0E05"/>
    <w:rsid w:val="00FC18D9"/>
    <w:rsid w:val="00FC27F8"/>
    <w:rsid w:val="00FC4BAB"/>
    <w:rsid w:val="00FC58EC"/>
    <w:rsid w:val="00FC69B4"/>
    <w:rsid w:val="00FC7629"/>
    <w:rsid w:val="00FD09C8"/>
    <w:rsid w:val="00FD151B"/>
    <w:rsid w:val="00FD28EC"/>
    <w:rsid w:val="00FD2CE7"/>
    <w:rsid w:val="00FD3529"/>
    <w:rsid w:val="00FD532D"/>
    <w:rsid w:val="00FD7782"/>
    <w:rsid w:val="00FE2F42"/>
    <w:rsid w:val="00FE2F6D"/>
    <w:rsid w:val="00FE343D"/>
    <w:rsid w:val="00FE456E"/>
    <w:rsid w:val="00FE493F"/>
    <w:rsid w:val="00FE4C7D"/>
    <w:rsid w:val="00FE577B"/>
    <w:rsid w:val="00FE5984"/>
    <w:rsid w:val="00FE7F44"/>
    <w:rsid w:val="00FF0535"/>
    <w:rsid w:val="00FF19EB"/>
    <w:rsid w:val="00FF2279"/>
    <w:rsid w:val="00FF27E1"/>
    <w:rsid w:val="00FF32CD"/>
    <w:rsid w:val="00FF388E"/>
    <w:rsid w:val="00FF3B3B"/>
    <w:rsid w:val="00FF3F3A"/>
    <w:rsid w:val="00FF41CE"/>
    <w:rsid w:val="00FF496F"/>
    <w:rsid w:val="00FF4FC9"/>
    <w:rsid w:val="00FF521D"/>
    <w:rsid w:val="00FF7B6B"/>
    <w:rsid w:val="00FF7B7C"/>
    <w:rsid w:val="00FF7F23"/>
    <w:rsid w:val="01B554A4"/>
    <w:rsid w:val="020F7706"/>
    <w:rsid w:val="03F539A3"/>
    <w:rsid w:val="06032E20"/>
    <w:rsid w:val="075E138C"/>
    <w:rsid w:val="0B776EC0"/>
    <w:rsid w:val="0B7C44D7"/>
    <w:rsid w:val="101B03C4"/>
    <w:rsid w:val="12323B41"/>
    <w:rsid w:val="140E5EE8"/>
    <w:rsid w:val="1603094B"/>
    <w:rsid w:val="16D3147E"/>
    <w:rsid w:val="16D62C2D"/>
    <w:rsid w:val="194113FB"/>
    <w:rsid w:val="1EFD1033"/>
    <w:rsid w:val="1FD06747"/>
    <w:rsid w:val="261A3C7D"/>
    <w:rsid w:val="299B4A9C"/>
    <w:rsid w:val="2E494FDD"/>
    <w:rsid w:val="30C772A7"/>
    <w:rsid w:val="348C744F"/>
    <w:rsid w:val="36910640"/>
    <w:rsid w:val="399D36E6"/>
    <w:rsid w:val="3A2515A7"/>
    <w:rsid w:val="3E9D7A57"/>
    <w:rsid w:val="3E9E5F37"/>
    <w:rsid w:val="3EE87825"/>
    <w:rsid w:val="3F35092D"/>
    <w:rsid w:val="48B12794"/>
    <w:rsid w:val="49747FC0"/>
    <w:rsid w:val="4A1330C1"/>
    <w:rsid w:val="4B930FB2"/>
    <w:rsid w:val="4CB334E1"/>
    <w:rsid w:val="4EA10117"/>
    <w:rsid w:val="4EB3345F"/>
    <w:rsid w:val="4F6D3BDC"/>
    <w:rsid w:val="4FD512C0"/>
    <w:rsid w:val="4FDE1A9D"/>
    <w:rsid w:val="57085DB6"/>
    <w:rsid w:val="5B3E3237"/>
    <w:rsid w:val="5C7834CB"/>
    <w:rsid w:val="5D2E002E"/>
    <w:rsid w:val="5F187094"/>
    <w:rsid w:val="6037369D"/>
    <w:rsid w:val="62522A10"/>
    <w:rsid w:val="639B4A7E"/>
    <w:rsid w:val="63ED479F"/>
    <w:rsid w:val="660D737A"/>
    <w:rsid w:val="665779A7"/>
    <w:rsid w:val="67584625"/>
    <w:rsid w:val="6A4543F6"/>
    <w:rsid w:val="72386B15"/>
    <w:rsid w:val="729F3A9F"/>
    <w:rsid w:val="76AA20B3"/>
    <w:rsid w:val="76D773C6"/>
    <w:rsid w:val="7AD973D3"/>
    <w:rsid w:val="7C10557C"/>
    <w:rsid w:val="7F233313"/>
    <w:rsid w:val="7FA470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1"/>
    <w:pPr>
      <w:keepNext/>
      <w:keepLines/>
      <w:spacing w:before="340" w:after="330" w:line="578" w:lineRule="auto"/>
      <w:outlineLvl w:val="0"/>
    </w:pPr>
    <w:rPr>
      <w:b/>
      <w:bCs/>
      <w:kern w:val="44"/>
      <w:sz w:val="44"/>
      <w:szCs w:val="44"/>
    </w:rPr>
  </w:style>
  <w:style w:type="paragraph" w:styleId="3">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Body Text"/>
    <w:basedOn w:val="1"/>
    <w:link w:val="27"/>
    <w:qFormat/>
    <w:uiPriority w:val="1"/>
    <w:pPr>
      <w:spacing w:after="120"/>
    </w:pPr>
    <w:rPr>
      <w:szCs w:val="24"/>
    </w:rPr>
  </w:style>
  <w:style w:type="paragraph" w:styleId="5">
    <w:name w:val="Body Text Indent"/>
    <w:basedOn w:val="1"/>
    <w:link w:val="29"/>
    <w:qFormat/>
    <w:uiPriority w:val="0"/>
    <w:pPr>
      <w:spacing w:after="120"/>
      <w:ind w:left="420" w:leftChars="200"/>
    </w:pPr>
    <w:rPr>
      <w:szCs w:val="24"/>
    </w:rPr>
  </w:style>
  <w:style w:type="paragraph" w:styleId="6">
    <w:name w:val="Plain Text"/>
    <w:basedOn w:val="1"/>
    <w:link w:val="30"/>
    <w:qFormat/>
    <w:uiPriority w:val="0"/>
    <w:rPr>
      <w:rFonts w:ascii="宋体" w:hAnsi="Courier New"/>
      <w:sz w:val="28"/>
    </w:rPr>
  </w:style>
  <w:style w:type="paragraph" w:styleId="7">
    <w:name w:val="Date"/>
    <w:basedOn w:val="1"/>
    <w:next w:val="1"/>
    <w:link w:val="32"/>
    <w:unhideWhenUsed/>
    <w:qFormat/>
    <w:uiPriority w:val="99"/>
    <w:pPr>
      <w:ind w:left="100" w:leftChars="2500"/>
    </w:pPr>
  </w:style>
  <w:style w:type="paragraph" w:styleId="8">
    <w:name w:val="Body Text Indent 2"/>
    <w:basedOn w:val="1"/>
    <w:link w:val="25"/>
    <w:qFormat/>
    <w:uiPriority w:val="0"/>
    <w:pPr>
      <w:ind w:firstLine="360"/>
    </w:pPr>
    <w:rPr>
      <w:rFonts w:ascii="宋体"/>
    </w:rPr>
  </w:style>
  <w:style w:type="paragraph" w:styleId="9">
    <w:name w:val="Balloon Text"/>
    <w:basedOn w:val="1"/>
    <w:link w:val="23"/>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link w:val="28"/>
    <w:qFormat/>
    <w:uiPriority w:val="0"/>
    <w:pPr>
      <w:spacing w:after="120"/>
      <w:ind w:left="420" w:leftChars="200"/>
    </w:pPr>
    <w:rPr>
      <w:sz w:val="16"/>
      <w:szCs w:val="16"/>
    </w:rPr>
  </w:style>
  <w:style w:type="paragraph" w:styleId="13">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9"/>
    <w:qFormat/>
    <w:uiPriority w:val="0"/>
    <w:pPr>
      <w:autoSpaceDE w:val="0"/>
      <w:autoSpaceDN w:val="0"/>
      <w:spacing w:before="240" w:after="60"/>
      <w:jc w:val="center"/>
      <w:outlineLvl w:val="0"/>
    </w:pPr>
    <w:rPr>
      <w:rFonts w:ascii="Calibri Light" w:hAnsi="Calibri Light" w:cs="宋体"/>
      <w:b/>
      <w:bCs/>
      <w:kern w:val="0"/>
      <w:sz w:val="32"/>
      <w:szCs w:val="32"/>
      <w:lang w:val="zh-CN" w:bidi="zh-CN"/>
    </w:rPr>
  </w:style>
  <w:style w:type="paragraph" w:styleId="16">
    <w:name w:val="Body Text First Indent"/>
    <w:basedOn w:val="4"/>
    <w:link w:val="31"/>
    <w:unhideWhenUsed/>
    <w:qFormat/>
    <w:uiPriority w:val="0"/>
    <w:pPr>
      <w:ind w:firstLine="420" w:firstLineChars="100"/>
    </w:pPr>
    <w:rPr>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customStyle="1" w:styleId="21">
    <w:name w:val="页眉 字符"/>
    <w:basedOn w:val="19"/>
    <w:link w:val="11"/>
    <w:qFormat/>
    <w:uiPriority w:val="99"/>
    <w:rPr>
      <w:sz w:val="18"/>
      <w:szCs w:val="18"/>
    </w:rPr>
  </w:style>
  <w:style w:type="character" w:customStyle="1" w:styleId="22">
    <w:name w:val="页脚 字符"/>
    <w:basedOn w:val="19"/>
    <w:link w:val="10"/>
    <w:qFormat/>
    <w:uiPriority w:val="99"/>
    <w:rPr>
      <w:sz w:val="18"/>
      <w:szCs w:val="18"/>
    </w:rPr>
  </w:style>
  <w:style w:type="character" w:customStyle="1" w:styleId="23">
    <w:name w:val="批注框文本 字符"/>
    <w:basedOn w:val="19"/>
    <w:link w:val="9"/>
    <w:semiHidden/>
    <w:qFormat/>
    <w:uiPriority w:val="99"/>
    <w:rPr>
      <w:rFonts w:ascii="Times New Roman" w:hAnsi="Times New Roman" w:eastAsia="宋体" w:cs="Times New Roman"/>
      <w:sz w:val="18"/>
      <w:szCs w:val="18"/>
    </w:rPr>
  </w:style>
  <w:style w:type="paragraph" w:styleId="24">
    <w:name w:val="List Paragraph"/>
    <w:basedOn w:val="1"/>
    <w:qFormat/>
    <w:uiPriority w:val="1"/>
    <w:pPr>
      <w:ind w:firstLine="420" w:firstLineChars="200"/>
    </w:pPr>
  </w:style>
  <w:style w:type="character" w:customStyle="1" w:styleId="25">
    <w:name w:val="正文文本缩进 2 字符"/>
    <w:basedOn w:val="19"/>
    <w:link w:val="8"/>
    <w:qFormat/>
    <w:uiPriority w:val="0"/>
    <w:rPr>
      <w:rFonts w:ascii="宋体" w:hAnsi="Times New Roman" w:eastAsia="宋体" w:cs="Times New Roman"/>
      <w:szCs w:val="20"/>
    </w:rPr>
  </w:style>
  <w:style w:type="character" w:customStyle="1" w:styleId="26">
    <w:name w:val="标题 3 字符"/>
    <w:basedOn w:val="19"/>
    <w:link w:val="3"/>
    <w:qFormat/>
    <w:uiPriority w:val="0"/>
    <w:rPr>
      <w:rFonts w:ascii="Times New Roman" w:hAnsi="Times New Roman" w:eastAsia="宋体" w:cs="Times New Roman"/>
      <w:b/>
      <w:bCs/>
      <w:sz w:val="32"/>
      <w:szCs w:val="32"/>
    </w:rPr>
  </w:style>
  <w:style w:type="character" w:customStyle="1" w:styleId="27">
    <w:name w:val="正文文本 字符"/>
    <w:basedOn w:val="19"/>
    <w:link w:val="4"/>
    <w:qFormat/>
    <w:uiPriority w:val="0"/>
    <w:rPr>
      <w:rFonts w:ascii="Times New Roman" w:hAnsi="Times New Roman" w:eastAsia="宋体" w:cs="Times New Roman"/>
      <w:szCs w:val="24"/>
    </w:rPr>
  </w:style>
  <w:style w:type="character" w:customStyle="1" w:styleId="28">
    <w:name w:val="正文文本缩进 3 字符"/>
    <w:basedOn w:val="19"/>
    <w:link w:val="12"/>
    <w:qFormat/>
    <w:uiPriority w:val="0"/>
    <w:rPr>
      <w:rFonts w:ascii="Times New Roman" w:hAnsi="Times New Roman" w:eastAsia="宋体" w:cs="Times New Roman"/>
      <w:sz w:val="16"/>
      <w:szCs w:val="16"/>
    </w:rPr>
  </w:style>
  <w:style w:type="character" w:customStyle="1" w:styleId="29">
    <w:name w:val="正文文本缩进 字符"/>
    <w:basedOn w:val="19"/>
    <w:link w:val="5"/>
    <w:qFormat/>
    <w:uiPriority w:val="0"/>
    <w:rPr>
      <w:rFonts w:ascii="Times New Roman" w:hAnsi="Times New Roman" w:eastAsia="宋体" w:cs="Times New Roman"/>
      <w:szCs w:val="24"/>
    </w:rPr>
  </w:style>
  <w:style w:type="character" w:customStyle="1" w:styleId="30">
    <w:name w:val="纯文本 字符"/>
    <w:basedOn w:val="19"/>
    <w:link w:val="6"/>
    <w:qFormat/>
    <w:uiPriority w:val="0"/>
    <w:rPr>
      <w:rFonts w:ascii="宋体" w:hAnsi="Courier New" w:eastAsia="宋体" w:cs="Times New Roman"/>
      <w:sz w:val="28"/>
      <w:szCs w:val="20"/>
    </w:rPr>
  </w:style>
  <w:style w:type="character" w:customStyle="1" w:styleId="31">
    <w:name w:val="正文文本首行缩进 字符"/>
    <w:basedOn w:val="27"/>
    <w:link w:val="16"/>
    <w:semiHidden/>
    <w:qFormat/>
    <w:uiPriority w:val="99"/>
    <w:rPr>
      <w:rFonts w:ascii="Times New Roman" w:hAnsi="Times New Roman" w:eastAsia="宋体" w:cs="Times New Roman"/>
      <w:szCs w:val="20"/>
    </w:rPr>
  </w:style>
  <w:style w:type="character" w:customStyle="1" w:styleId="32">
    <w:name w:val="日期 字符"/>
    <w:basedOn w:val="19"/>
    <w:link w:val="7"/>
    <w:semiHidden/>
    <w:qFormat/>
    <w:uiPriority w:val="99"/>
    <w:rPr>
      <w:rFonts w:ascii="Times New Roman" w:hAnsi="Times New Roman" w:eastAsia="宋体" w:cs="Times New Roman"/>
      <w:szCs w:val="20"/>
    </w:rPr>
  </w:style>
  <w:style w:type="character" w:customStyle="1" w:styleId="33">
    <w:name w:val="apple-converted-space"/>
    <w:basedOn w:val="19"/>
    <w:qFormat/>
    <w:uiPriority w:val="0"/>
  </w:style>
  <w:style w:type="character" w:customStyle="1" w:styleId="34">
    <w:name w:val="HTML 预设格式 字符"/>
    <w:link w:val="13"/>
    <w:qFormat/>
    <w:uiPriority w:val="99"/>
    <w:rPr>
      <w:rFonts w:ascii="宋体" w:hAnsi="宋体" w:eastAsia="宋体" w:cs="宋体"/>
      <w:sz w:val="24"/>
      <w:szCs w:val="24"/>
    </w:rPr>
  </w:style>
  <w:style w:type="character" w:customStyle="1" w:styleId="35">
    <w:name w:val="HTML 预设格式 Char1"/>
    <w:basedOn w:val="19"/>
    <w:semiHidden/>
    <w:qFormat/>
    <w:uiPriority w:val="99"/>
    <w:rPr>
      <w:rFonts w:ascii="Courier New" w:hAnsi="Courier New" w:eastAsia="宋体" w:cs="Courier New"/>
      <w:sz w:val="20"/>
      <w:szCs w:val="20"/>
    </w:rPr>
  </w:style>
  <w:style w:type="paragraph" w:customStyle="1" w:styleId="3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7">
    <w:name w:val="标题 1 字符"/>
    <w:basedOn w:val="19"/>
    <w:link w:val="2"/>
    <w:qFormat/>
    <w:uiPriority w:val="9"/>
    <w:rPr>
      <w:b/>
      <w:bCs/>
      <w:kern w:val="44"/>
      <w:sz w:val="44"/>
      <w:szCs w:val="44"/>
    </w:rPr>
  </w:style>
  <w:style w:type="paragraph" w:customStyle="1" w:styleId="38">
    <w:name w:val="样式 样式 左侧:  2 字符 + 左侧:  0.85 厘米 首行缩进:  2 字符1"/>
    <w:basedOn w:val="1"/>
    <w:qFormat/>
    <w:uiPriority w:val="0"/>
    <w:pPr>
      <w:autoSpaceDE w:val="0"/>
      <w:autoSpaceDN w:val="0"/>
      <w:spacing w:before="100" w:beforeAutospacing="1" w:after="100" w:afterAutospacing="1"/>
      <w:ind w:left="482" w:firstLine="200" w:firstLineChars="200"/>
      <w:jc w:val="left"/>
    </w:pPr>
    <w:rPr>
      <w:rFonts w:ascii="宋体" w:hAnsi="宋体" w:cs="宋体"/>
      <w:kern w:val="0"/>
      <w:sz w:val="22"/>
      <w:szCs w:val="22"/>
      <w:lang w:val="zh-CN" w:bidi="zh-CN"/>
    </w:rPr>
  </w:style>
  <w:style w:type="character" w:customStyle="1" w:styleId="39">
    <w:name w:val="标题 字符"/>
    <w:basedOn w:val="19"/>
    <w:link w:val="15"/>
    <w:qFormat/>
    <w:uiPriority w:val="0"/>
    <w:rPr>
      <w:rFonts w:ascii="Calibri Light" w:hAnsi="Calibri Light" w:cs="宋体"/>
      <w:b/>
      <w:bCs/>
      <w:sz w:val="32"/>
      <w:szCs w:val="32"/>
      <w:lang w:val="zh-CN" w:bidi="zh-CN"/>
    </w:rPr>
  </w:style>
  <w:style w:type="table" w:customStyle="1" w:styleId="40">
    <w:name w:val="Table Normal"/>
    <w:semiHidden/>
    <w:unhideWhenUsed/>
    <w:qFormat/>
    <w:uiPriority w:val="2"/>
    <w:tblPr>
      <w:tblCellMar>
        <w:top w:w="0" w:type="dxa"/>
        <w:left w:w="0" w:type="dxa"/>
        <w:bottom w:w="0" w:type="dxa"/>
        <w:right w:w="0" w:type="dxa"/>
      </w:tblCellMar>
    </w:tblPr>
  </w:style>
  <w:style w:type="paragraph" w:customStyle="1" w:styleId="4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21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FB3E4-8F90-4C14-A49E-2916FCC3FB2B}">
  <ds:schemaRefs/>
</ds:datastoreItem>
</file>

<file path=docProps/app.xml><?xml version="1.0" encoding="utf-8"?>
<Properties xmlns="http://schemas.openxmlformats.org/officeDocument/2006/extended-properties" xmlns:vt="http://schemas.openxmlformats.org/officeDocument/2006/docPropsVTypes">
  <Template>Normal</Template>
  <Company>John</Company>
  <Pages>37</Pages>
  <Words>21153</Words>
  <Characters>22471</Characters>
  <Lines>176</Lines>
  <Paragraphs>49</Paragraphs>
  <TotalTime>0</TotalTime>
  <ScaleCrop>false</ScaleCrop>
  <LinksUpToDate>false</LinksUpToDate>
  <CharactersWithSpaces>23188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2016-10-17T07:53:00Z</dcterms:created>
  <dc:creator>John</dc:creator>
  <cp:lastModifiedBy>HP</cp:lastModifiedBy>
  <cp:lastPrinted>2016-09-26T02:31:00Z</cp:lastPrinted>
  <dcterms:modified xsi:type="dcterms:W3CDTF">2023-04-27T05:18:49Z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13BFE09F06E84AB79E48F2A6333D1FA8_12</vt:lpwstr>
  </property>
</Properties>
</file>