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70CC9F">
      <w:pPr>
        <w:pBdr>
          <w:bottom w:val="single" w:color="auto" w:sz="6" w:space="2"/>
        </w:pBdr>
        <w:spacing w:before="120" w:line="460" w:lineRule="exact"/>
        <w:jc w:val="center"/>
        <w:rPr>
          <w:rFonts w:asciiTheme="minorEastAsia" w:hAnsiTheme="minorEastAsia"/>
        </w:rPr>
      </w:pPr>
      <w:bookmarkStart w:id="0" w:name="OLE_LINK1"/>
      <w:bookmarkStart w:id="1" w:name="SectionMark2"/>
      <w:r>
        <w:rPr>
          <w:rFonts w:hint="eastAsia" w:ascii="宋体" w:hAnsi="宋体" w:cs="宋体"/>
          <w:b/>
          <w:sz w:val="48"/>
          <w:szCs w:val="48"/>
          <w:lang w:val="en-US" w:eastAsia="zh-CN"/>
        </w:rPr>
        <w:t>霸州市煜森家具有限公司</w:t>
      </w:r>
    </w:p>
    <w:p w14:paraId="2799370A">
      <w:pPr>
        <w:spacing w:before="120" w:line="460" w:lineRule="exact"/>
        <w:jc w:val="center"/>
        <w:rPr>
          <w:rFonts w:asciiTheme="minorEastAsia" w:hAnsiTheme="minorEastAsia"/>
          <w:spacing w:val="100"/>
          <w:sz w:val="44"/>
          <w:szCs w:val="44"/>
        </w:rPr>
      </w:pPr>
    </w:p>
    <w:p w14:paraId="05155F88">
      <w:pPr>
        <w:spacing w:before="120" w:line="460" w:lineRule="exact"/>
        <w:jc w:val="center"/>
        <w:rPr>
          <w:rFonts w:asciiTheme="minorEastAsia" w:hAnsiTheme="minorEastAsia"/>
          <w:spacing w:val="120"/>
          <w:sz w:val="72"/>
          <w:szCs w:val="72"/>
        </w:rPr>
      </w:pPr>
      <w:r>
        <w:rPr>
          <w:rFonts w:hint="eastAsia" w:asciiTheme="minorEastAsia" w:hAnsiTheme="minorEastAsia"/>
          <w:spacing w:val="100"/>
          <w:sz w:val="44"/>
          <w:szCs w:val="44"/>
        </w:rPr>
        <w:t>质量/环境/职业健康安全</w:t>
      </w:r>
    </w:p>
    <w:p w14:paraId="79612830">
      <w:pPr>
        <w:spacing w:before="120"/>
        <w:jc w:val="center"/>
        <w:rPr>
          <w:rFonts w:asciiTheme="minorEastAsia" w:hAnsiTheme="minorEastAsia"/>
          <w:b/>
          <w:bCs/>
          <w:spacing w:val="120"/>
          <w:sz w:val="72"/>
          <w:szCs w:val="72"/>
        </w:rPr>
      </w:pPr>
      <w:r>
        <w:rPr>
          <w:rFonts w:hint="eastAsia" w:asciiTheme="minorEastAsia" w:hAnsiTheme="minorEastAsia"/>
          <w:b/>
          <w:bCs/>
          <w:spacing w:val="120"/>
          <w:sz w:val="72"/>
          <w:szCs w:val="72"/>
        </w:rPr>
        <w:t>管理手</w:t>
      </w:r>
      <w:r>
        <w:rPr>
          <w:rFonts w:hint="eastAsia" w:asciiTheme="minorEastAsia" w:hAnsiTheme="minorEastAsia"/>
          <w:b/>
          <w:bCs/>
          <w:sz w:val="72"/>
          <w:szCs w:val="72"/>
        </w:rPr>
        <w:t>册</w:t>
      </w:r>
    </w:p>
    <w:p w14:paraId="46726C6A">
      <w:pPr>
        <w:spacing w:line="460" w:lineRule="exact"/>
        <w:rPr>
          <w:rFonts w:asciiTheme="minorEastAsia" w:hAnsiTheme="minorEastAsia"/>
        </w:rPr>
      </w:pPr>
    </w:p>
    <w:p w14:paraId="67FFCE04">
      <w:pPr>
        <w:spacing w:line="460" w:lineRule="exact"/>
        <w:rPr>
          <w:rFonts w:asciiTheme="minorEastAsia" w:hAnsiTheme="minorEastAsia"/>
        </w:rPr>
      </w:pPr>
    </w:p>
    <w:p w14:paraId="42C1E69B">
      <w:pPr>
        <w:spacing w:line="460" w:lineRule="exact"/>
        <w:jc w:val="center"/>
        <w:rPr>
          <w:rFonts w:asciiTheme="minorEastAsia" w:hAnsiTheme="minorEastAsia"/>
          <w:sz w:val="16"/>
          <w:szCs w:val="18"/>
        </w:rPr>
      </w:pPr>
      <w:r>
        <w:rPr>
          <w:rFonts w:hint="eastAsia" w:asciiTheme="minorEastAsia" w:hAnsiTheme="minorEastAsia"/>
          <w:szCs w:val="21"/>
        </w:rPr>
        <w:t>（依</w:t>
      </w:r>
      <w:r>
        <w:rPr>
          <w:rFonts w:hint="eastAsia" w:ascii="宋体" w:hAnsi="宋体" w:eastAsia="宋体" w:cs="宋体"/>
          <w:szCs w:val="21"/>
        </w:rPr>
        <w:t>据：</w:t>
      </w:r>
      <w:r>
        <w:rPr>
          <w:rFonts w:hint="eastAsia" w:ascii="宋体" w:hAnsi="宋体" w:eastAsia="宋体" w:cs="宋体"/>
          <w:szCs w:val="21"/>
          <w:lang w:val="de-DE"/>
        </w:rPr>
        <w:t>GB/T19001-2016</w:t>
      </w:r>
      <w:r>
        <w:rPr>
          <w:rFonts w:hint="eastAsia" w:ascii="宋体" w:hAnsi="宋体" w:eastAsia="宋体" w:cs="宋体"/>
          <w:szCs w:val="21"/>
        </w:rPr>
        <w:t>、</w:t>
      </w:r>
      <w:r>
        <w:rPr>
          <w:rFonts w:hint="eastAsia" w:ascii="宋体" w:hAnsi="宋体" w:eastAsia="宋体" w:cs="宋体"/>
          <w:szCs w:val="21"/>
          <w:lang w:val="de-DE"/>
        </w:rPr>
        <w:t>GB/T24001-2016</w:t>
      </w:r>
      <w:r>
        <w:rPr>
          <w:rFonts w:hint="eastAsia" w:ascii="宋体" w:hAnsi="宋体" w:eastAsia="宋体" w:cs="宋体"/>
          <w:szCs w:val="21"/>
        </w:rPr>
        <w:t>、</w:t>
      </w:r>
      <w:r>
        <w:rPr>
          <w:rFonts w:hint="eastAsia" w:ascii="宋体" w:hAnsi="宋体" w:eastAsia="宋体" w:cs="宋体"/>
          <w:szCs w:val="21"/>
          <w:lang w:val="de-DE"/>
        </w:rPr>
        <w:t>GB/T45001-2020</w:t>
      </w:r>
      <w:r>
        <w:rPr>
          <w:rFonts w:hint="eastAsia" w:asciiTheme="minorEastAsia" w:hAnsiTheme="minorEastAsia"/>
          <w:szCs w:val="21"/>
        </w:rPr>
        <w:t>标准编制）</w:t>
      </w:r>
    </w:p>
    <w:p w14:paraId="0CE04926">
      <w:pPr>
        <w:tabs>
          <w:tab w:val="left" w:pos="2880"/>
        </w:tabs>
        <w:spacing w:line="460" w:lineRule="exact"/>
        <w:jc w:val="center"/>
        <w:rPr>
          <w:rFonts w:asciiTheme="minorEastAsia" w:hAnsiTheme="minorEastAsia"/>
          <w:b/>
          <w:sz w:val="22"/>
        </w:rPr>
      </w:pPr>
    </w:p>
    <w:p w14:paraId="47DF4DDF">
      <w:pPr>
        <w:tabs>
          <w:tab w:val="left" w:pos="2880"/>
        </w:tabs>
        <w:spacing w:line="460" w:lineRule="exact"/>
        <w:jc w:val="center"/>
        <w:rPr>
          <w:rFonts w:hint="eastAsia" w:asciiTheme="minorEastAsia" w:hAnsiTheme="minorEastAsia" w:eastAsiaTheme="minorEastAsia"/>
          <w:b/>
          <w:sz w:val="32"/>
          <w:szCs w:val="32"/>
          <w:lang w:eastAsia="zh-CN"/>
        </w:rPr>
      </w:pPr>
      <w:r>
        <w:rPr>
          <w:rFonts w:hint="eastAsia" w:asciiTheme="minorEastAsia" w:hAnsiTheme="minorEastAsia"/>
          <w:b/>
          <w:sz w:val="32"/>
          <w:szCs w:val="32"/>
        </w:rPr>
        <w:t>版  本： A/</w:t>
      </w:r>
      <w:r>
        <w:rPr>
          <w:rFonts w:hint="eastAsia" w:asciiTheme="minorEastAsia" w:hAnsiTheme="minorEastAsia"/>
          <w:b/>
          <w:sz w:val="32"/>
          <w:szCs w:val="32"/>
          <w:lang w:val="en-US" w:eastAsia="zh-CN"/>
        </w:rPr>
        <w:t>0</w:t>
      </w:r>
    </w:p>
    <w:p w14:paraId="1B25086F">
      <w:pPr>
        <w:tabs>
          <w:tab w:val="left" w:pos="2880"/>
        </w:tabs>
        <w:spacing w:line="720" w:lineRule="exact"/>
        <w:rPr>
          <w:rFonts w:asciiTheme="minorEastAsia" w:hAnsiTheme="minorEastAsia"/>
          <w:sz w:val="32"/>
        </w:rPr>
      </w:pPr>
    </w:p>
    <w:p w14:paraId="0431CF66">
      <w:pPr>
        <w:spacing w:line="1000" w:lineRule="exact"/>
        <w:ind w:firstLine="2699" w:firstLineChars="964"/>
        <w:rPr>
          <w:rFonts w:hint="eastAsia" w:asciiTheme="minorEastAsia" w:hAnsiTheme="minorEastAsia" w:eastAsiaTheme="minorEastAsia"/>
          <w:sz w:val="28"/>
          <w:lang w:eastAsia="zh-CN"/>
        </w:rPr>
      </w:pPr>
      <w:r>
        <w:rPr>
          <w:rFonts w:hint="eastAsia" w:asciiTheme="minorEastAsia" w:hAnsiTheme="minorEastAsia"/>
          <w:sz w:val="28"/>
        </w:rPr>
        <w:t>文件编号：</w:t>
      </w:r>
      <w:r>
        <w:rPr>
          <w:rFonts w:hint="eastAsia" w:asciiTheme="minorEastAsia" w:hAnsiTheme="minorEastAsia"/>
          <w:sz w:val="28"/>
          <w:lang w:val="en-US" w:eastAsia="zh-CN"/>
        </w:rPr>
        <w:t>YS/QES/SC</w:t>
      </w:r>
      <w:r>
        <w:rPr>
          <w:rFonts w:hint="eastAsia" w:asciiTheme="minorEastAsia" w:hAnsiTheme="minorEastAsia"/>
          <w:b/>
          <w:sz w:val="28"/>
        </w:rPr>
        <w:t>-202</w:t>
      </w:r>
      <w:r>
        <w:rPr>
          <w:rFonts w:hint="eastAsia" w:asciiTheme="minorEastAsia" w:hAnsiTheme="minorEastAsia"/>
          <w:b/>
          <w:sz w:val="28"/>
          <w:lang w:val="en-US" w:eastAsia="zh-CN"/>
        </w:rPr>
        <w:t>5</w:t>
      </w:r>
    </w:p>
    <w:p w14:paraId="7640F1CB">
      <w:pPr>
        <w:spacing w:line="1000" w:lineRule="exact"/>
        <w:ind w:firstLine="2699" w:firstLineChars="964"/>
        <w:rPr>
          <w:rFonts w:asciiTheme="minorEastAsia" w:hAnsiTheme="minorEastAsia"/>
          <w:sz w:val="28"/>
        </w:rPr>
      </w:pPr>
      <w:r>
        <w:rPr>
          <w:rFonts w:hint="eastAsia" w:asciiTheme="minorEastAsia" w:hAnsiTheme="minorEastAsia"/>
          <w:sz w:val="28"/>
        </w:rPr>
        <w:t>发 放 号：01</w:t>
      </w:r>
    </w:p>
    <w:p w14:paraId="199289F7">
      <w:pPr>
        <w:spacing w:line="1000" w:lineRule="exact"/>
        <w:ind w:firstLine="2699" w:firstLineChars="964"/>
        <w:rPr>
          <w:rFonts w:asciiTheme="minorEastAsia" w:hAnsiTheme="minorEastAsia"/>
          <w:sz w:val="28"/>
        </w:rPr>
      </w:pPr>
      <w:r>
        <w:rPr>
          <w:rFonts w:hint="eastAsia" w:asciiTheme="minorEastAsia" w:hAnsiTheme="minorEastAsia"/>
          <w:sz w:val="28"/>
        </w:rPr>
        <w:t>受控状态：受控</w:t>
      </w:r>
    </w:p>
    <w:p w14:paraId="2DA1B203">
      <w:pPr>
        <w:spacing w:line="720" w:lineRule="exact"/>
        <w:rPr>
          <w:rFonts w:asciiTheme="minorEastAsia" w:hAnsiTheme="minorEastAsia"/>
          <w:sz w:val="28"/>
        </w:rPr>
      </w:pPr>
    </w:p>
    <w:p w14:paraId="3AD2910C">
      <w:pPr>
        <w:spacing w:line="600" w:lineRule="exact"/>
        <w:ind w:firstLine="1400" w:firstLineChars="500"/>
        <w:rPr>
          <w:rFonts w:hint="eastAsia" w:asciiTheme="minorEastAsia" w:hAnsiTheme="minorEastAsia" w:eastAsiaTheme="minorEastAsia"/>
          <w:sz w:val="28"/>
          <w:lang w:eastAsia="zh-CN"/>
        </w:rPr>
      </w:pPr>
      <w:r>
        <w:rPr>
          <w:rFonts w:hint="eastAsia" w:asciiTheme="minorEastAsia" w:hAnsiTheme="minorEastAsia"/>
          <w:sz w:val="28"/>
        </w:rPr>
        <w:t>编制： 办公室                日期：</w:t>
      </w:r>
      <w:r>
        <w:rPr>
          <w:rFonts w:hint="eastAsia" w:asciiTheme="minorEastAsia" w:hAnsiTheme="minorEastAsia"/>
          <w:sz w:val="28"/>
          <w:lang w:eastAsia="zh-CN"/>
        </w:rPr>
        <w:t>2025年4月25日</w:t>
      </w:r>
    </w:p>
    <w:p w14:paraId="6FA05565">
      <w:pPr>
        <w:spacing w:line="600" w:lineRule="exact"/>
        <w:ind w:firstLine="1400" w:firstLineChars="500"/>
        <w:rPr>
          <w:rFonts w:hint="eastAsia" w:asciiTheme="minorEastAsia" w:hAnsiTheme="minorEastAsia" w:eastAsiaTheme="minorEastAsia"/>
          <w:sz w:val="28"/>
          <w:lang w:eastAsia="zh-CN"/>
        </w:rPr>
      </w:pPr>
      <w:r>
        <w:rPr>
          <w:rFonts w:hint="eastAsia" w:asciiTheme="minorEastAsia" w:hAnsiTheme="minorEastAsia"/>
          <w:sz w:val="28"/>
        </w:rPr>
        <w:t xml:space="preserve">审核： </w:t>
      </w:r>
      <w:r>
        <w:rPr>
          <w:rFonts w:hint="eastAsia" w:ascii="宋体" w:hAnsi="宋体"/>
          <w:sz w:val="28"/>
          <w:lang w:eastAsia="zh-CN"/>
        </w:rPr>
        <w:t>蔡妹</w:t>
      </w:r>
      <w:r>
        <w:rPr>
          <w:rFonts w:hint="eastAsia" w:asciiTheme="minorEastAsia" w:hAnsiTheme="minorEastAsia"/>
          <w:sz w:val="28"/>
        </w:rPr>
        <w:t xml:space="preserve">                日期：</w:t>
      </w:r>
      <w:r>
        <w:rPr>
          <w:rFonts w:hint="eastAsia" w:asciiTheme="minorEastAsia" w:hAnsiTheme="minorEastAsia"/>
          <w:sz w:val="28"/>
          <w:lang w:eastAsia="zh-CN"/>
        </w:rPr>
        <w:t>2025年4月25日</w:t>
      </w:r>
    </w:p>
    <w:p w14:paraId="30DDC6E4">
      <w:pPr>
        <w:spacing w:line="600" w:lineRule="exact"/>
        <w:ind w:firstLine="1400" w:firstLineChars="500"/>
        <w:rPr>
          <w:rFonts w:hint="eastAsia" w:asciiTheme="minorEastAsia" w:hAnsiTheme="minorEastAsia" w:eastAsiaTheme="minorEastAsia"/>
          <w:sz w:val="28"/>
          <w:lang w:eastAsia="zh-CN"/>
        </w:rPr>
      </w:pPr>
      <w:r>
        <w:rPr>
          <w:rFonts w:hint="eastAsia" w:asciiTheme="minorEastAsia" w:hAnsiTheme="minorEastAsia"/>
          <w:sz w:val="28"/>
        </w:rPr>
        <w:t xml:space="preserve">批准： </w:t>
      </w:r>
      <w:r>
        <w:rPr>
          <w:rFonts w:hint="eastAsia" w:ascii="宋体" w:hAnsi="宋体"/>
          <w:sz w:val="28"/>
          <w:lang w:eastAsia="zh-CN"/>
        </w:rPr>
        <w:t>郑瑞寻</w:t>
      </w:r>
      <w:r>
        <w:rPr>
          <w:rFonts w:hint="eastAsia" w:asciiTheme="minorEastAsia" w:hAnsiTheme="minorEastAsia"/>
          <w:sz w:val="28"/>
        </w:rPr>
        <w:t xml:space="preserve">                日期：</w:t>
      </w:r>
      <w:r>
        <w:rPr>
          <w:rFonts w:hint="eastAsia" w:asciiTheme="minorEastAsia" w:hAnsiTheme="minorEastAsia"/>
          <w:sz w:val="28"/>
          <w:lang w:eastAsia="zh-CN"/>
        </w:rPr>
        <w:t>2025年4月25日</w:t>
      </w:r>
    </w:p>
    <w:p w14:paraId="02D00CA2">
      <w:pPr>
        <w:pBdr>
          <w:top w:val="single" w:color="auto" w:sz="6" w:space="0"/>
        </w:pBdr>
        <w:spacing w:line="100" w:lineRule="exact"/>
        <w:rPr>
          <w:rFonts w:asciiTheme="minorEastAsia" w:hAnsiTheme="minorEastAsia"/>
          <w:sz w:val="28"/>
        </w:rPr>
      </w:pPr>
    </w:p>
    <w:p w14:paraId="73B4A196">
      <w:pPr>
        <w:spacing w:line="400" w:lineRule="exact"/>
        <w:rPr>
          <w:rFonts w:asciiTheme="minorEastAsia" w:hAnsiTheme="minorEastAsia"/>
        </w:rPr>
      </w:pPr>
      <w:r>
        <w:rPr>
          <w:rFonts w:hint="eastAsia" w:asciiTheme="minorEastAsia" w:hAnsiTheme="minorEastAsia"/>
          <w:sz w:val="28"/>
          <w:lang w:eastAsia="zh-CN"/>
        </w:rPr>
        <w:t>2025年4月25日</w:t>
      </w:r>
      <w:r>
        <w:rPr>
          <w:rFonts w:hint="eastAsia" w:asciiTheme="minorEastAsia" w:hAnsiTheme="minorEastAsia"/>
          <w:sz w:val="28"/>
        </w:rPr>
        <w:t xml:space="preserve">发布                       </w:t>
      </w:r>
      <w:r>
        <w:rPr>
          <w:rFonts w:hint="eastAsia" w:asciiTheme="minorEastAsia" w:hAnsiTheme="minorEastAsia"/>
          <w:sz w:val="28"/>
          <w:lang w:eastAsia="zh-CN"/>
        </w:rPr>
        <w:t>2025年4月25日</w:t>
      </w:r>
      <w:r>
        <w:rPr>
          <w:rFonts w:hint="eastAsia" w:asciiTheme="minorEastAsia" w:hAnsiTheme="minorEastAsia"/>
          <w:sz w:val="28"/>
        </w:rPr>
        <w:t>实施</w:t>
      </w:r>
    </w:p>
    <w:p w14:paraId="30A4BC59">
      <w:pPr>
        <w:tabs>
          <w:tab w:val="left" w:pos="4110"/>
        </w:tabs>
        <w:jc w:val="center"/>
        <w:rPr>
          <w:rFonts w:asciiTheme="minorEastAsia" w:hAnsiTheme="minorEastAsia"/>
          <w:b/>
          <w:sz w:val="32"/>
          <w:szCs w:val="32"/>
        </w:rPr>
        <w:sectPr>
          <w:headerReference r:id="rId4" w:type="first"/>
          <w:footerReference r:id="rId7" w:type="first"/>
          <w:headerReference r:id="rId3" w:type="default"/>
          <w:footerReference r:id="rId5" w:type="default"/>
          <w:footerReference r:id="rId6" w:type="even"/>
          <w:pgSz w:w="11907" w:h="16839"/>
          <w:pgMar w:top="1128" w:right="1134" w:bottom="1134" w:left="1417" w:header="1260" w:footer="850" w:gutter="0"/>
          <w:cols w:space="0" w:num="1"/>
          <w:titlePg/>
          <w:docGrid w:type="lines" w:linePitch="322" w:charSpace="0"/>
        </w:sectPr>
      </w:pPr>
    </w:p>
    <w:p w14:paraId="2E746373">
      <w:pPr>
        <w:tabs>
          <w:tab w:val="left" w:pos="4110"/>
        </w:tabs>
        <w:jc w:val="center"/>
        <w:rPr>
          <w:rFonts w:asciiTheme="minorEastAsia" w:hAnsiTheme="minorEastAsia"/>
          <w:b/>
          <w:sz w:val="32"/>
          <w:szCs w:val="32"/>
        </w:rPr>
      </w:pPr>
      <w:r>
        <w:rPr>
          <w:rFonts w:hint="eastAsia" w:asciiTheme="minorEastAsia" w:hAnsiTheme="minorEastAsia"/>
          <w:b/>
          <w:sz w:val="32"/>
          <w:szCs w:val="32"/>
        </w:rPr>
        <w:t>更改记录</w:t>
      </w:r>
    </w:p>
    <w:tbl>
      <w:tblPr>
        <w:tblStyle w:val="13"/>
        <w:tblW w:w="9127" w:type="dxa"/>
        <w:jc w:val="center"/>
        <w:tblLayout w:type="fixed"/>
        <w:tblCellMar>
          <w:top w:w="0" w:type="dxa"/>
          <w:left w:w="28" w:type="dxa"/>
          <w:bottom w:w="0" w:type="dxa"/>
          <w:right w:w="28" w:type="dxa"/>
        </w:tblCellMar>
      </w:tblPr>
      <w:tblGrid>
        <w:gridCol w:w="1345"/>
        <w:gridCol w:w="1676"/>
        <w:gridCol w:w="2031"/>
        <w:gridCol w:w="1410"/>
        <w:gridCol w:w="1349"/>
        <w:gridCol w:w="1316"/>
      </w:tblGrid>
      <w:tr w14:paraId="6C1F6E9D">
        <w:tblPrEx>
          <w:tblCellMar>
            <w:top w:w="0" w:type="dxa"/>
            <w:left w:w="28" w:type="dxa"/>
            <w:bottom w:w="0" w:type="dxa"/>
            <w:right w:w="28" w:type="dxa"/>
          </w:tblCellMar>
        </w:tblPrEx>
        <w:trPr>
          <w:cantSplit/>
          <w:trHeight w:val="655" w:hRule="atLeast"/>
          <w:jc w:val="center"/>
        </w:trPr>
        <w:tc>
          <w:tcPr>
            <w:tcW w:w="1345" w:type="dxa"/>
            <w:tcBorders>
              <w:top w:val="single" w:color="auto" w:sz="12" w:space="0"/>
              <w:left w:val="single" w:color="auto" w:sz="12" w:space="0"/>
              <w:bottom w:val="single" w:color="auto" w:sz="6" w:space="0"/>
              <w:right w:val="single" w:color="auto" w:sz="6" w:space="0"/>
            </w:tcBorders>
            <w:vAlign w:val="center"/>
          </w:tcPr>
          <w:p w14:paraId="729A14EC">
            <w:pPr>
              <w:pStyle w:val="18"/>
              <w:spacing w:line="240" w:lineRule="auto"/>
              <w:jc w:val="center"/>
              <w:rPr>
                <w:rFonts w:asciiTheme="minorEastAsia" w:hAnsiTheme="minorEastAsia"/>
                <w:color w:val="auto"/>
                <w:sz w:val="24"/>
              </w:rPr>
            </w:pPr>
            <w:r>
              <w:rPr>
                <w:rFonts w:hint="eastAsia" w:asciiTheme="minorEastAsia" w:hAnsiTheme="minorEastAsia"/>
                <w:color w:val="auto"/>
                <w:sz w:val="24"/>
              </w:rPr>
              <w:t>日期</w:t>
            </w:r>
          </w:p>
        </w:tc>
        <w:tc>
          <w:tcPr>
            <w:tcW w:w="1676" w:type="dxa"/>
            <w:tcBorders>
              <w:top w:val="single" w:color="auto" w:sz="12" w:space="0"/>
              <w:left w:val="single" w:color="auto" w:sz="6" w:space="0"/>
              <w:right w:val="single" w:color="auto" w:sz="6" w:space="0"/>
            </w:tcBorders>
            <w:vAlign w:val="center"/>
          </w:tcPr>
          <w:p w14:paraId="4BE40A02">
            <w:pPr>
              <w:pStyle w:val="18"/>
              <w:spacing w:line="240" w:lineRule="auto"/>
              <w:jc w:val="center"/>
              <w:rPr>
                <w:rFonts w:asciiTheme="minorEastAsia" w:hAnsiTheme="minorEastAsia"/>
                <w:color w:val="auto"/>
                <w:sz w:val="24"/>
              </w:rPr>
            </w:pPr>
            <w:r>
              <w:rPr>
                <w:rFonts w:hint="eastAsia" w:asciiTheme="minorEastAsia" w:hAnsiTheme="minorEastAsia"/>
                <w:color w:val="auto"/>
                <w:sz w:val="24"/>
              </w:rPr>
              <w:t>更改情况</w:t>
            </w:r>
          </w:p>
        </w:tc>
        <w:tc>
          <w:tcPr>
            <w:tcW w:w="2031" w:type="dxa"/>
            <w:tcBorders>
              <w:top w:val="single" w:color="auto" w:sz="12" w:space="0"/>
              <w:left w:val="single" w:color="auto" w:sz="6" w:space="0"/>
              <w:right w:val="single" w:color="auto" w:sz="6" w:space="0"/>
            </w:tcBorders>
            <w:vAlign w:val="center"/>
          </w:tcPr>
          <w:p w14:paraId="50ABDA9B">
            <w:pPr>
              <w:pStyle w:val="18"/>
              <w:spacing w:line="240" w:lineRule="auto"/>
              <w:jc w:val="center"/>
              <w:rPr>
                <w:rFonts w:asciiTheme="minorEastAsia" w:hAnsiTheme="minorEastAsia"/>
                <w:color w:val="auto"/>
                <w:sz w:val="24"/>
              </w:rPr>
            </w:pPr>
            <w:r>
              <w:rPr>
                <w:rFonts w:hint="eastAsia" w:asciiTheme="minorEastAsia" w:hAnsiTheme="minorEastAsia"/>
                <w:color w:val="auto"/>
                <w:sz w:val="24"/>
              </w:rPr>
              <w:t>更改内容</w:t>
            </w:r>
          </w:p>
        </w:tc>
        <w:tc>
          <w:tcPr>
            <w:tcW w:w="1410" w:type="dxa"/>
            <w:tcBorders>
              <w:top w:val="single" w:color="auto" w:sz="12" w:space="0"/>
              <w:left w:val="single" w:color="auto" w:sz="6" w:space="0"/>
              <w:bottom w:val="single" w:color="auto" w:sz="6" w:space="0"/>
              <w:right w:val="single" w:color="auto" w:sz="6" w:space="0"/>
            </w:tcBorders>
            <w:vAlign w:val="center"/>
          </w:tcPr>
          <w:p w14:paraId="4F411EDB">
            <w:pPr>
              <w:pStyle w:val="18"/>
              <w:spacing w:line="240" w:lineRule="auto"/>
              <w:jc w:val="center"/>
              <w:rPr>
                <w:rFonts w:asciiTheme="minorEastAsia" w:hAnsiTheme="minorEastAsia"/>
                <w:color w:val="auto"/>
                <w:sz w:val="24"/>
              </w:rPr>
            </w:pPr>
            <w:r>
              <w:rPr>
                <w:rFonts w:hint="eastAsia" w:asciiTheme="minorEastAsia" w:hAnsiTheme="minorEastAsia"/>
                <w:color w:val="auto"/>
                <w:sz w:val="24"/>
              </w:rPr>
              <w:t>更改人</w:t>
            </w:r>
          </w:p>
        </w:tc>
        <w:tc>
          <w:tcPr>
            <w:tcW w:w="1349" w:type="dxa"/>
            <w:tcBorders>
              <w:top w:val="single" w:color="auto" w:sz="12" w:space="0"/>
              <w:left w:val="single" w:color="auto" w:sz="6" w:space="0"/>
              <w:bottom w:val="single" w:color="auto" w:sz="6" w:space="0"/>
              <w:right w:val="single" w:color="auto" w:sz="6" w:space="0"/>
            </w:tcBorders>
            <w:vAlign w:val="center"/>
          </w:tcPr>
          <w:p w14:paraId="280A139D">
            <w:pPr>
              <w:pStyle w:val="18"/>
              <w:spacing w:line="240" w:lineRule="auto"/>
              <w:jc w:val="center"/>
              <w:rPr>
                <w:rFonts w:asciiTheme="minorEastAsia" w:hAnsiTheme="minorEastAsia"/>
                <w:color w:val="auto"/>
                <w:sz w:val="24"/>
              </w:rPr>
            </w:pPr>
            <w:r>
              <w:rPr>
                <w:rFonts w:hint="eastAsia" w:asciiTheme="minorEastAsia" w:hAnsiTheme="minorEastAsia"/>
                <w:color w:val="auto"/>
                <w:sz w:val="24"/>
              </w:rPr>
              <w:t>批准人</w:t>
            </w:r>
          </w:p>
        </w:tc>
        <w:tc>
          <w:tcPr>
            <w:tcW w:w="1316" w:type="dxa"/>
            <w:tcBorders>
              <w:top w:val="single" w:color="auto" w:sz="12" w:space="0"/>
              <w:left w:val="single" w:color="auto" w:sz="6" w:space="0"/>
              <w:bottom w:val="single" w:color="auto" w:sz="6" w:space="0"/>
              <w:right w:val="single" w:color="auto" w:sz="12" w:space="0"/>
            </w:tcBorders>
            <w:vAlign w:val="center"/>
          </w:tcPr>
          <w:p w14:paraId="4EA09F67">
            <w:pPr>
              <w:pStyle w:val="18"/>
              <w:spacing w:line="240" w:lineRule="auto"/>
              <w:jc w:val="center"/>
              <w:rPr>
                <w:rFonts w:asciiTheme="minorEastAsia" w:hAnsiTheme="minorEastAsia"/>
                <w:color w:val="auto"/>
                <w:sz w:val="24"/>
              </w:rPr>
            </w:pPr>
            <w:r>
              <w:rPr>
                <w:rFonts w:hint="eastAsia" w:asciiTheme="minorEastAsia" w:hAnsiTheme="minorEastAsia"/>
                <w:color w:val="auto"/>
                <w:sz w:val="24"/>
              </w:rPr>
              <w:t>备注</w:t>
            </w:r>
          </w:p>
        </w:tc>
      </w:tr>
      <w:tr w14:paraId="23135548">
        <w:tblPrEx>
          <w:tblCellMar>
            <w:top w:w="0" w:type="dxa"/>
            <w:left w:w="28" w:type="dxa"/>
            <w:bottom w:w="0" w:type="dxa"/>
            <w:right w:w="28" w:type="dxa"/>
          </w:tblCellMar>
        </w:tblPrEx>
        <w:trPr>
          <w:cantSplit/>
          <w:trHeight w:val="655" w:hRule="atLeast"/>
          <w:jc w:val="center"/>
        </w:trPr>
        <w:tc>
          <w:tcPr>
            <w:tcW w:w="1345" w:type="dxa"/>
            <w:tcBorders>
              <w:top w:val="single" w:color="auto" w:sz="6" w:space="0"/>
              <w:left w:val="single" w:color="auto" w:sz="12" w:space="0"/>
              <w:bottom w:val="single" w:color="auto" w:sz="6" w:space="0"/>
              <w:right w:val="single" w:color="auto" w:sz="6" w:space="0"/>
            </w:tcBorders>
            <w:vAlign w:val="center"/>
          </w:tcPr>
          <w:p w14:paraId="689A1D38">
            <w:pPr>
              <w:pStyle w:val="18"/>
              <w:spacing w:line="240" w:lineRule="auto"/>
              <w:jc w:val="center"/>
              <w:rPr>
                <w:rFonts w:hint="default" w:asciiTheme="minorEastAsia" w:hAnsiTheme="minorEastAsia" w:eastAsiaTheme="minorEastAsia"/>
                <w:color w:val="auto"/>
                <w:sz w:val="18"/>
                <w:lang w:val="en-US" w:eastAsia="zh-CN"/>
              </w:rPr>
            </w:pPr>
          </w:p>
        </w:tc>
        <w:tc>
          <w:tcPr>
            <w:tcW w:w="1676" w:type="dxa"/>
            <w:tcBorders>
              <w:top w:val="single" w:color="auto" w:sz="6" w:space="0"/>
              <w:left w:val="single" w:color="auto" w:sz="6" w:space="0"/>
              <w:bottom w:val="single" w:color="auto" w:sz="4" w:space="0"/>
              <w:right w:val="single" w:color="auto" w:sz="4" w:space="0"/>
            </w:tcBorders>
            <w:vAlign w:val="center"/>
          </w:tcPr>
          <w:p w14:paraId="070D1DBF">
            <w:pPr>
              <w:pStyle w:val="18"/>
              <w:spacing w:line="240" w:lineRule="auto"/>
              <w:rPr>
                <w:rFonts w:hint="eastAsia" w:asciiTheme="minorEastAsia" w:hAnsiTheme="minorEastAsia" w:eastAsiaTheme="minorEastAsia"/>
                <w:color w:val="auto"/>
                <w:sz w:val="18"/>
                <w:lang w:val="en-US" w:eastAsia="zh-CN"/>
              </w:rPr>
            </w:pPr>
          </w:p>
        </w:tc>
        <w:tc>
          <w:tcPr>
            <w:tcW w:w="2031" w:type="dxa"/>
            <w:tcBorders>
              <w:top w:val="single" w:color="auto" w:sz="6" w:space="0"/>
              <w:left w:val="single" w:color="auto" w:sz="4" w:space="0"/>
              <w:bottom w:val="single" w:color="auto" w:sz="4" w:space="0"/>
              <w:right w:val="single" w:color="auto" w:sz="6" w:space="0"/>
            </w:tcBorders>
            <w:vAlign w:val="center"/>
          </w:tcPr>
          <w:p w14:paraId="0F7BC236">
            <w:pPr>
              <w:pStyle w:val="18"/>
              <w:spacing w:line="240" w:lineRule="auto"/>
              <w:jc w:val="center"/>
              <w:rPr>
                <w:rFonts w:asciiTheme="minorEastAsia" w:hAnsiTheme="minorEastAsia"/>
                <w:color w:val="auto"/>
                <w:sz w:val="18"/>
              </w:rPr>
            </w:pPr>
          </w:p>
        </w:tc>
        <w:tc>
          <w:tcPr>
            <w:tcW w:w="1410" w:type="dxa"/>
            <w:tcBorders>
              <w:top w:val="single" w:color="auto" w:sz="6" w:space="0"/>
              <w:left w:val="single" w:color="auto" w:sz="6" w:space="0"/>
              <w:bottom w:val="single" w:color="auto" w:sz="6" w:space="0"/>
              <w:right w:val="single" w:color="auto" w:sz="6" w:space="0"/>
            </w:tcBorders>
            <w:vAlign w:val="center"/>
          </w:tcPr>
          <w:p w14:paraId="72F0E2FC">
            <w:pPr>
              <w:pStyle w:val="18"/>
              <w:spacing w:line="240" w:lineRule="auto"/>
              <w:jc w:val="center"/>
              <w:rPr>
                <w:rFonts w:hint="eastAsia" w:asciiTheme="minorEastAsia" w:hAnsiTheme="minorEastAsia" w:eastAsiaTheme="minorEastAsia"/>
                <w:color w:val="auto"/>
                <w:sz w:val="18"/>
                <w:lang w:eastAsia="zh-CN"/>
              </w:rPr>
            </w:pPr>
          </w:p>
        </w:tc>
        <w:tc>
          <w:tcPr>
            <w:tcW w:w="1349" w:type="dxa"/>
            <w:tcBorders>
              <w:top w:val="single" w:color="auto" w:sz="6" w:space="0"/>
              <w:left w:val="single" w:color="auto" w:sz="6" w:space="0"/>
              <w:bottom w:val="single" w:color="auto" w:sz="6" w:space="0"/>
              <w:right w:val="single" w:color="auto" w:sz="6" w:space="0"/>
            </w:tcBorders>
            <w:vAlign w:val="center"/>
          </w:tcPr>
          <w:p w14:paraId="73B6A785">
            <w:pPr>
              <w:pStyle w:val="18"/>
              <w:spacing w:line="240" w:lineRule="auto"/>
              <w:jc w:val="center"/>
              <w:rPr>
                <w:rFonts w:hint="eastAsia" w:asciiTheme="minorEastAsia" w:hAnsiTheme="minorEastAsia" w:eastAsiaTheme="minorEastAsia"/>
                <w:color w:val="auto"/>
                <w:sz w:val="18"/>
                <w:lang w:eastAsia="zh-CN"/>
              </w:rPr>
            </w:pPr>
          </w:p>
        </w:tc>
        <w:tc>
          <w:tcPr>
            <w:tcW w:w="1316" w:type="dxa"/>
            <w:tcBorders>
              <w:top w:val="single" w:color="auto" w:sz="6" w:space="0"/>
              <w:left w:val="single" w:color="auto" w:sz="6" w:space="0"/>
              <w:bottom w:val="single" w:color="auto" w:sz="6" w:space="0"/>
              <w:right w:val="single" w:color="auto" w:sz="12" w:space="0"/>
            </w:tcBorders>
            <w:vAlign w:val="center"/>
          </w:tcPr>
          <w:p w14:paraId="51B53958">
            <w:pPr>
              <w:pStyle w:val="18"/>
              <w:spacing w:line="240" w:lineRule="auto"/>
              <w:rPr>
                <w:rFonts w:asciiTheme="minorEastAsia" w:hAnsiTheme="minorEastAsia"/>
                <w:color w:val="auto"/>
                <w:sz w:val="18"/>
              </w:rPr>
            </w:pPr>
          </w:p>
        </w:tc>
      </w:tr>
      <w:tr w14:paraId="26590719">
        <w:tblPrEx>
          <w:tblCellMar>
            <w:top w:w="0" w:type="dxa"/>
            <w:left w:w="28" w:type="dxa"/>
            <w:bottom w:w="0" w:type="dxa"/>
            <w:right w:w="28" w:type="dxa"/>
          </w:tblCellMar>
        </w:tblPrEx>
        <w:trPr>
          <w:cantSplit/>
          <w:trHeight w:val="655" w:hRule="atLeast"/>
          <w:jc w:val="center"/>
        </w:trPr>
        <w:tc>
          <w:tcPr>
            <w:tcW w:w="1345" w:type="dxa"/>
            <w:tcBorders>
              <w:top w:val="single" w:color="auto" w:sz="6" w:space="0"/>
              <w:left w:val="single" w:color="auto" w:sz="12" w:space="0"/>
              <w:bottom w:val="single" w:color="auto" w:sz="6" w:space="0"/>
              <w:right w:val="single" w:color="auto" w:sz="6" w:space="0"/>
            </w:tcBorders>
            <w:vAlign w:val="center"/>
          </w:tcPr>
          <w:p w14:paraId="74477959">
            <w:pPr>
              <w:pStyle w:val="18"/>
              <w:spacing w:line="240" w:lineRule="auto"/>
              <w:jc w:val="center"/>
              <w:rPr>
                <w:rFonts w:hint="default" w:asciiTheme="minorEastAsia" w:hAnsiTheme="minorEastAsia" w:eastAsiaTheme="minorEastAsia"/>
                <w:color w:val="auto"/>
                <w:sz w:val="18"/>
                <w:lang w:val="en-US" w:eastAsia="zh-CN"/>
              </w:rPr>
            </w:pPr>
          </w:p>
        </w:tc>
        <w:tc>
          <w:tcPr>
            <w:tcW w:w="1676" w:type="dxa"/>
            <w:tcBorders>
              <w:top w:val="single" w:color="auto" w:sz="6" w:space="0"/>
              <w:left w:val="single" w:color="auto" w:sz="6" w:space="0"/>
              <w:bottom w:val="single" w:color="auto" w:sz="4" w:space="0"/>
              <w:right w:val="single" w:color="auto" w:sz="4" w:space="0"/>
            </w:tcBorders>
            <w:vAlign w:val="center"/>
          </w:tcPr>
          <w:p w14:paraId="6DE7F332">
            <w:pPr>
              <w:pStyle w:val="18"/>
              <w:spacing w:line="240" w:lineRule="auto"/>
              <w:jc w:val="left"/>
              <w:rPr>
                <w:rFonts w:hint="eastAsia" w:asciiTheme="minorEastAsia" w:hAnsiTheme="minorEastAsia" w:eastAsiaTheme="minorEastAsia"/>
                <w:color w:val="auto"/>
                <w:sz w:val="18"/>
                <w:lang w:val="en-US" w:eastAsia="zh-CN"/>
              </w:rPr>
            </w:pPr>
          </w:p>
        </w:tc>
        <w:tc>
          <w:tcPr>
            <w:tcW w:w="2031" w:type="dxa"/>
            <w:tcBorders>
              <w:top w:val="single" w:color="auto" w:sz="6" w:space="0"/>
              <w:left w:val="single" w:color="auto" w:sz="4" w:space="0"/>
              <w:bottom w:val="single" w:color="auto" w:sz="4" w:space="0"/>
              <w:right w:val="single" w:color="auto" w:sz="6" w:space="0"/>
            </w:tcBorders>
            <w:vAlign w:val="center"/>
          </w:tcPr>
          <w:p w14:paraId="3AEA4F4F">
            <w:pPr>
              <w:pStyle w:val="18"/>
              <w:spacing w:line="240" w:lineRule="auto"/>
              <w:jc w:val="both"/>
              <w:rPr>
                <w:rFonts w:hint="eastAsia" w:asciiTheme="minorEastAsia" w:hAnsiTheme="minorEastAsia" w:eastAsiaTheme="minorEastAsia"/>
                <w:color w:val="auto"/>
                <w:sz w:val="18"/>
                <w:lang w:val="en-US" w:eastAsia="zh-CN"/>
              </w:rPr>
            </w:pPr>
          </w:p>
        </w:tc>
        <w:tc>
          <w:tcPr>
            <w:tcW w:w="1410" w:type="dxa"/>
            <w:tcBorders>
              <w:top w:val="single" w:color="auto" w:sz="6" w:space="0"/>
              <w:left w:val="single" w:color="auto" w:sz="6" w:space="0"/>
              <w:bottom w:val="single" w:color="auto" w:sz="6" w:space="0"/>
              <w:right w:val="single" w:color="auto" w:sz="6" w:space="0"/>
            </w:tcBorders>
            <w:shd w:val="clear" w:color="auto" w:fill="auto"/>
            <w:vAlign w:val="center"/>
          </w:tcPr>
          <w:p w14:paraId="65E95C8A">
            <w:pPr>
              <w:pStyle w:val="18"/>
              <w:spacing w:line="240" w:lineRule="auto"/>
              <w:ind w:firstLine="0" w:firstLineChars="0"/>
              <w:jc w:val="center"/>
              <w:rPr>
                <w:rFonts w:hint="eastAsia" w:asciiTheme="minorEastAsia" w:hAnsiTheme="minorEastAsia" w:eastAsiaTheme="minorEastAsia" w:cstheme="minorBidi"/>
                <w:color w:val="auto"/>
                <w:kern w:val="2"/>
                <w:sz w:val="18"/>
                <w:szCs w:val="22"/>
                <w:lang w:val="en-US" w:eastAsia="zh-CN" w:bidi="ar-SA"/>
              </w:rPr>
            </w:pPr>
          </w:p>
        </w:tc>
        <w:tc>
          <w:tcPr>
            <w:tcW w:w="1349" w:type="dxa"/>
            <w:tcBorders>
              <w:top w:val="single" w:color="auto" w:sz="6" w:space="0"/>
              <w:left w:val="single" w:color="auto" w:sz="6" w:space="0"/>
              <w:bottom w:val="single" w:color="auto" w:sz="6" w:space="0"/>
              <w:right w:val="single" w:color="auto" w:sz="6" w:space="0"/>
            </w:tcBorders>
            <w:shd w:val="clear" w:color="auto" w:fill="auto"/>
            <w:vAlign w:val="center"/>
          </w:tcPr>
          <w:p w14:paraId="66DAF1BB">
            <w:pPr>
              <w:pStyle w:val="18"/>
              <w:spacing w:line="240" w:lineRule="auto"/>
              <w:ind w:firstLine="0" w:firstLineChars="0"/>
              <w:jc w:val="center"/>
              <w:rPr>
                <w:rFonts w:hint="eastAsia" w:asciiTheme="minorEastAsia" w:hAnsiTheme="minorEastAsia" w:eastAsiaTheme="minorEastAsia" w:cstheme="minorBidi"/>
                <w:color w:val="auto"/>
                <w:kern w:val="2"/>
                <w:sz w:val="18"/>
                <w:szCs w:val="22"/>
                <w:lang w:val="en-US" w:eastAsia="zh-CN" w:bidi="ar-SA"/>
              </w:rPr>
            </w:pPr>
          </w:p>
        </w:tc>
        <w:tc>
          <w:tcPr>
            <w:tcW w:w="1316" w:type="dxa"/>
            <w:tcBorders>
              <w:top w:val="single" w:color="auto" w:sz="6" w:space="0"/>
              <w:left w:val="single" w:color="auto" w:sz="6" w:space="0"/>
              <w:bottom w:val="single" w:color="auto" w:sz="6" w:space="0"/>
              <w:right w:val="single" w:color="auto" w:sz="12" w:space="0"/>
            </w:tcBorders>
            <w:vAlign w:val="center"/>
          </w:tcPr>
          <w:p w14:paraId="2BD69C90">
            <w:pPr>
              <w:pStyle w:val="18"/>
              <w:spacing w:line="240" w:lineRule="auto"/>
              <w:rPr>
                <w:rFonts w:asciiTheme="minorEastAsia" w:hAnsiTheme="minorEastAsia"/>
                <w:color w:val="auto"/>
                <w:sz w:val="18"/>
              </w:rPr>
            </w:pPr>
          </w:p>
        </w:tc>
      </w:tr>
      <w:tr w14:paraId="17ECEE8E">
        <w:tblPrEx>
          <w:tblCellMar>
            <w:top w:w="0" w:type="dxa"/>
            <w:left w:w="28" w:type="dxa"/>
            <w:bottom w:w="0" w:type="dxa"/>
            <w:right w:w="28" w:type="dxa"/>
          </w:tblCellMar>
        </w:tblPrEx>
        <w:trPr>
          <w:cantSplit/>
          <w:trHeight w:val="655" w:hRule="atLeast"/>
          <w:jc w:val="center"/>
        </w:trPr>
        <w:tc>
          <w:tcPr>
            <w:tcW w:w="1345" w:type="dxa"/>
            <w:tcBorders>
              <w:top w:val="single" w:color="auto" w:sz="6" w:space="0"/>
              <w:left w:val="single" w:color="auto" w:sz="12" w:space="0"/>
              <w:bottom w:val="single" w:color="auto" w:sz="6" w:space="0"/>
              <w:right w:val="single" w:color="auto" w:sz="6" w:space="0"/>
            </w:tcBorders>
            <w:vAlign w:val="center"/>
          </w:tcPr>
          <w:p w14:paraId="5FE31C4D">
            <w:pPr>
              <w:pStyle w:val="18"/>
              <w:spacing w:line="240" w:lineRule="auto"/>
              <w:jc w:val="center"/>
              <w:rPr>
                <w:rFonts w:asciiTheme="minorEastAsia" w:hAnsiTheme="minorEastAsia"/>
                <w:color w:val="auto"/>
                <w:sz w:val="18"/>
              </w:rPr>
            </w:pPr>
          </w:p>
        </w:tc>
        <w:tc>
          <w:tcPr>
            <w:tcW w:w="1676" w:type="dxa"/>
            <w:tcBorders>
              <w:top w:val="single" w:color="auto" w:sz="6" w:space="0"/>
              <w:left w:val="single" w:color="auto" w:sz="6" w:space="0"/>
              <w:bottom w:val="single" w:color="auto" w:sz="4" w:space="0"/>
              <w:right w:val="single" w:color="auto" w:sz="4" w:space="0"/>
            </w:tcBorders>
            <w:vAlign w:val="center"/>
          </w:tcPr>
          <w:p w14:paraId="5539B457">
            <w:pPr>
              <w:pStyle w:val="18"/>
              <w:spacing w:line="240" w:lineRule="auto"/>
              <w:jc w:val="center"/>
              <w:rPr>
                <w:rFonts w:asciiTheme="minorEastAsia" w:hAnsiTheme="minorEastAsia"/>
                <w:color w:val="auto"/>
                <w:sz w:val="18"/>
              </w:rPr>
            </w:pPr>
          </w:p>
        </w:tc>
        <w:tc>
          <w:tcPr>
            <w:tcW w:w="2031" w:type="dxa"/>
            <w:tcBorders>
              <w:top w:val="single" w:color="auto" w:sz="6" w:space="0"/>
              <w:left w:val="single" w:color="auto" w:sz="4" w:space="0"/>
              <w:bottom w:val="single" w:color="auto" w:sz="4" w:space="0"/>
              <w:right w:val="single" w:color="auto" w:sz="6" w:space="0"/>
            </w:tcBorders>
            <w:vAlign w:val="center"/>
          </w:tcPr>
          <w:p w14:paraId="1388FAD8">
            <w:pPr>
              <w:pStyle w:val="18"/>
              <w:spacing w:line="240" w:lineRule="auto"/>
              <w:jc w:val="center"/>
              <w:rPr>
                <w:rFonts w:asciiTheme="minorEastAsia" w:hAnsiTheme="minorEastAsia"/>
                <w:color w:val="auto"/>
                <w:sz w:val="18"/>
              </w:rPr>
            </w:pPr>
          </w:p>
        </w:tc>
        <w:tc>
          <w:tcPr>
            <w:tcW w:w="1410" w:type="dxa"/>
            <w:tcBorders>
              <w:top w:val="single" w:color="auto" w:sz="6" w:space="0"/>
              <w:left w:val="single" w:color="auto" w:sz="6" w:space="0"/>
              <w:bottom w:val="single" w:color="auto" w:sz="6" w:space="0"/>
              <w:right w:val="single" w:color="auto" w:sz="6" w:space="0"/>
            </w:tcBorders>
            <w:vAlign w:val="center"/>
          </w:tcPr>
          <w:p w14:paraId="52E823AB">
            <w:pPr>
              <w:pStyle w:val="18"/>
              <w:spacing w:line="240" w:lineRule="auto"/>
              <w:jc w:val="center"/>
              <w:rPr>
                <w:rFonts w:asciiTheme="minorEastAsia" w:hAnsiTheme="minorEastAsia"/>
                <w:color w:val="auto"/>
                <w:sz w:val="18"/>
              </w:rPr>
            </w:pPr>
          </w:p>
        </w:tc>
        <w:tc>
          <w:tcPr>
            <w:tcW w:w="1349" w:type="dxa"/>
            <w:tcBorders>
              <w:top w:val="single" w:color="auto" w:sz="6" w:space="0"/>
              <w:left w:val="single" w:color="auto" w:sz="6" w:space="0"/>
              <w:bottom w:val="single" w:color="auto" w:sz="6" w:space="0"/>
              <w:right w:val="single" w:color="auto" w:sz="6" w:space="0"/>
            </w:tcBorders>
            <w:vAlign w:val="center"/>
          </w:tcPr>
          <w:p w14:paraId="75A620F5">
            <w:pPr>
              <w:pStyle w:val="18"/>
              <w:spacing w:line="240" w:lineRule="auto"/>
              <w:jc w:val="center"/>
              <w:rPr>
                <w:rFonts w:asciiTheme="minorEastAsia" w:hAnsiTheme="minorEastAsia"/>
                <w:color w:val="auto"/>
                <w:sz w:val="18"/>
              </w:rPr>
            </w:pPr>
          </w:p>
        </w:tc>
        <w:tc>
          <w:tcPr>
            <w:tcW w:w="1316" w:type="dxa"/>
            <w:tcBorders>
              <w:top w:val="single" w:color="auto" w:sz="6" w:space="0"/>
              <w:left w:val="single" w:color="auto" w:sz="6" w:space="0"/>
              <w:bottom w:val="single" w:color="auto" w:sz="6" w:space="0"/>
              <w:right w:val="single" w:color="auto" w:sz="12" w:space="0"/>
            </w:tcBorders>
            <w:vAlign w:val="center"/>
          </w:tcPr>
          <w:p w14:paraId="3AAF6FC7">
            <w:pPr>
              <w:pStyle w:val="18"/>
              <w:spacing w:line="240" w:lineRule="auto"/>
              <w:rPr>
                <w:rFonts w:asciiTheme="minorEastAsia" w:hAnsiTheme="minorEastAsia"/>
                <w:color w:val="auto"/>
                <w:sz w:val="18"/>
              </w:rPr>
            </w:pPr>
          </w:p>
        </w:tc>
      </w:tr>
      <w:tr w14:paraId="09AC54A6">
        <w:tblPrEx>
          <w:tblCellMar>
            <w:top w:w="0" w:type="dxa"/>
            <w:left w:w="28" w:type="dxa"/>
            <w:bottom w:w="0" w:type="dxa"/>
            <w:right w:w="28" w:type="dxa"/>
          </w:tblCellMar>
        </w:tblPrEx>
        <w:trPr>
          <w:cantSplit/>
          <w:trHeight w:val="655" w:hRule="atLeast"/>
          <w:jc w:val="center"/>
        </w:trPr>
        <w:tc>
          <w:tcPr>
            <w:tcW w:w="1345" w:type="dxa"/>
            <w:tcBorders>
              <w:top w:val="single" w:color="auto" w:sz="6" w:space="0"/>
              <w:left w:val="single" w:color="auto" w:sz="12" w:space="0"/>
              <w:bottom w:val="single" w:color="auto" w:sz="6" w:space="0"/>
              <w:right w:val="single" w:color="auto" w:sz="6" w:space="0"/>
            </w:tcBorders>
            <w:vAlign w:val="center"/>
          </w:tcPr>
          <w:p w14:paraId="4F477F9E">
            <w:pPr>
              <w:pStyle w:val="18"/>
              <w:spacing w:line="240" w:lineRule="auto"/>
              <w:jc w:val="center"/>
              <w:rPr>
                <w:rFonts w:asciiTheme="minorEastAsia" w:hAnsiTheme="minorEastAsia"/>
                <w:color w:val="auto"/>
                <w:sz w:val="18"/>
              </w:rPr>
            </w:pPr>
          </w:p>
        </w:tc>
        <w:tc>
          <w:tcPr>
            <w:tcW w:w="1676" w:type="dxa"/>
            <w:tcBorders>
              <w:top w:val="single" w:color="auto" w:sz="6" w:space="0"/>
              <w:left w:val="single" w:color="auto" w:sz="6" w:space="0"/>
              <w:bottom w:val="single" w:color="auto" w:sz="4" w:space="0"/>
              <w:right w:val="single" w:color="auto" w:sz="4" w:space="0"/>
            </w:tcBorders>
            <w:vAlign w:val="center"/>
          </w:tcPr>
          <w:p w14:paraId="54A280BF">
            <w:pPr>
              <w:pStyle w:val="18"/>
              <w:spacing w:line="240" w:lineRule="auto"/>
              <w:jc w:val="center"/>
              <w:rPr>
                <w:rFonts w:asciiTheme="minorEastAsia" w:hAnsiTheme="minorEastAsia"/>
                <w:color w:val="auto"/>
                <w:sz w:val="18"/>
              </w:rPr>
            </w:pPr>
          </w:p>
        </w:tc>
        <w:tc>
          <w:tcPr>
            <w:tcW w:w="2031" w:type="dxa"/>
            <w:tcBorders>
              <w:top w:val="single" w:color="auto" w:sz="6" w:space="0"/>
              <w:left w:val="single" w:color="auto" w:sz="4" w:space="0"/>
              <w:bottom w:val="single" w:color="auto" w:sz="4" w:space="0"/>
              <w:right w:val="single" w:color="auto" w:sz="6" w:space="0"/>
            </w:tcBorders>
            <w:vAlign w:val="center"/>
          </w:tcPr>
          <w:p w14:paraId="1CBBF6F4">
            <w:pPr>
              <w:pStyle w:val="18"/>
              <w:spacing w:line="240" w:lineRule="auto"/>
              <w:jc w:val="center"/>
              <w:rPr>
                <w:rFonts w:asciiTheme="minorEastAsia" w:hAnsiTheme="minorEastAsia"/>
                <w:color w:val="auto"/>
                <w:sz w:val="18"/>
              </w:rPr>
            </w:pPr>
          </w:p>
        </w:tc>
        <w:tc>
          <w:tcPr>
            <w:tcW w:w="1410" w:type="dxa"/>
            <w:tcBorders>
              <w:top w:val="single" w:color="auto" w:sz="6" w:space="0"/>
              <w:left w:val="single" w:color="auto" w:sz="6" w:space="0"/>
              <w:bottom w:val="single" w:color="auto" w:sz="6" w:space="0"/>
              <w:right w:val="single" w:color="auto" w:sz="6" w:space="0"/>
            </w:tcBorders>
            <w:vAlign w:val="center"/>
          </w:tcPr>
          <w:p w14:paraId="64CFD5BE">
            <w:pPr>
              <w:pStyle w:val="18"/>
              <w:spacing w:line="240" w:lineRule="auto"/>
              <w:jc w:val="center"/>
              <w:rPr>
                <w:rFonts w:asciiTheme="minorEastAsia" w:hAnsiTheme="minorEastAsia"/>
                <w:color w:val="auto"/>
                <w:sz w:val="18"/>
              </w:rPr>
            </w:pPr>
          </w:p>
        </w:tc>
        <w:tc>
          <w:tcPr>
            <w:tcW w:w="1349" w:type="dxa"/>
            <w:tcBorders>
              <w:top w:val="single" w:color="auto" w:sz="6" w:space="0"/>
              <w:left w:val="single" w:color="auto" w:sz="6" w:space="0"/>
              <w:bottom w:val="single" w:color="auto" w:sz="6" w:space="0"/>
              <w:right w:val="single" w:color="auto" w:sz="6" w:space="0"/>
            </w:tcBorders>
            <w:vAlign w:val="center"/>
          </w:tcPr>
          <w:p w14:paraId="636A29BD">
            <w:pPr>
              <w:pStyle w:val="18"/>
              <w:spacing w:line="240" w:lineRule="auto"/>
              <w:jc w:val="center"/>
              <w:rPr>
                <w:rFonts w:asciiTheme="minorEastAsia" w:hAnsiTheme="minorEastAsia"/>
                <w:color w:val="auto"/>
                <w:sz w:val="18"/>
              </w:rPr>
            </w:pPr>
          </w:p>
        </w:tc>
        <w:tc>
          <w:tcPr>
            <w:tcW w:w="1316" w:type="dxa"/>
            <w:tcBorders>
              <w:top w:val="single" w:color="auto" w:sz="6" w:space="0"/>
              <w:left w:val="single" w:color="auto" w:sz="6" w:space="0"/>
              <w:bottom w:val="single" w:color="auto" w:sz="6" w:space="0"/>
              <w:right w:val="single" w:color="auto" w:sz="12" w:space="0"/>
            </w:tcBorders>
            <w:vAlign w:val="center"/>
          </w:tcPr>
          <w:p w14:paraId="0CE961A0">
            <w:pPr>
              <w:pStyle w:val="18"/>
              <w:spacing w:line="240" w:lineRule="auto"/>
              <w:rPr>
                <w:rFonts w:asciiTheme="minorEastAsia" w:hAnsiTheme="minorEastAsia"/>
                <w:color w:val="auto"/>
                <w:sz w:val="18"/>
              </w:rPr>
            </w:pPr>
          </w:p>
        </w:tc>
      </w:tr>
      <w:tr w14:paraId="14D10E9C">
        <w:tblPrEx>
          <w:tblCellMar>
            <w:top w:w="0" w:type="dxa"/>
            <w:left w:w="28" w:type="dxa"/>
            <w:bottom w:w="0" w:type="dxa"/>
            <w:right w:w="28" w:type="dxa"/>
          </w:tblCellMar>
        </w:tblPrEx>
        <w:trPr>
          <w:cantSplit/>
          <w:trHeight w:val="655" w:hRule="atLeast"/>
          <w:jc w:val="center"/>
        </w:trPr>
        <w:tc>
          <w:tcPr>
            <w:tcW w:w="1345" w:type="dxa"/>
            <w:tcBorders>
              <w:top w:val="single" w:color="auto" w:sz="6" w:space="0"/>
              <w:left w:val="single" w:color="auto" w:sz="12" w:space="0"/>
              <w:bottom w:val="single" w:color="auto" w:sz="6" w:space="0"/>
              <w:right w:val="single" w:color="auto" w:sz="6" w:space="0"/>
            </w:tcBorders>
            <w:vAlign w:val="center"/>
          </w:tcPr>
          <w:p w14:paraId="75830C97">
            <w:pPr>
              <w:pStyle w:val="18"/>
              <w:spacing w:line="240" w:lineRule="auto"/>
              <w:jc w:val="center"/>
              <w:rPr>
                <w:rFonts w:asciiTheme="minorEastAsia" w:hAnsiTheme="minorEastAsia"/>
                <w:color w:val="auto"/>
                <w:sz w:val="18"/>
              </w:rPr>
            </w:pPr>
          </w:p>
        </w:tc>
        <w:tc>
          <w:tcPr>
            <w:tcW w:w="1676" w:type="dxa"/>
            <w:tcBorders>
              <w:top w:val="single" w:color="auto" w:sz="6" w:space="0"/>
              <w:left w:val="single" w:color="auto" w:sz="6" w:space="0"/>
              <w:bottom w:val="single" w:color="auto" w:sz="4" w:space="0"/>
              <w:right w:val="single" w:color="auto" w:sz="4" w:space="0"/>
            </w:tcBorders>
            <w:vAlign w:val="center"/>
          </w:tcPr>
          <w:p w14:paraId="30DE5649">
            <w:pPr>
              <w:pStyle w:val="18"/>
              <w:spacing w:line="240" w:lineRule="auto"/>
              <w:jc w:val="center"/>
              <w:rPr>
                <w:rFonts w:asciiTheme="minorEastAsia" w:hAnsiTheme="minorEastAsia"/>
                <w:color w:val="auto"/>
                <w:sz w:val="18"/>
              </w:rPr>
            </w:pPr>
          </w:p>
        </w:tc>
        <w:tc>
          <w:tcPr>
            <w:tcW w:w="2031" w:type="dxa"/>
            <w:tcBorders>
              <w:top w:val="single" w:color="auto" w:sz="6" w:space="0"/>
              <w:left w:val="single" w:color="auto" w:sz="4" w:space="0"/>
              <w:bottom w:val="single" w:color="auto" w:sz="4" w:space="0"/>
              <w:right w:val="single" w:color="auto" w:sz="6" w:space="0"/>
            </w:tcBorders>
            <w:vAlign w:val="center"/>
          </w:tcPr>
          <w:p w14:paraId="5CF6EA3A">
            <w:pPr>
              <w:pStyle w:val="18"/>
              <w:spacing w:line="240" w:lineRule="auto"/>
              <w:jc w:val="center"/>
              <w:rPr>
                <w:rFonts w:asciiTheme="minorEastAsia" w:hAnsiTheme="minorEastAsia"/>
                <w:color w:val="auto"/>
                <w:sz w:val="18"/>
              </w:rPr>
            </w:pPr>
          </w:p>
        </w:tc>
        <w:tc>
          <w:tcPr>
            <w:tcW w:w="1410" w:type="dxa"/>
            <w:tcBorders>
              <w:top w:val="single" w:color="auto" w:sz="6" w:space="0"/>
              <w:left w:val="single" w:color="auto" w:sz="6" w:space="0"/>
              <w:bottom w:val="single" w:color="auto" w:sz="6" w:space="0"/>
              <w:right w:val="single" w:color="auto" w:sz="6" w:space="0"/>
            </w:tcBorders>
            <w:vAlign w:val="center"/>
          </w:tcPr>
          <w:p w14:paraId="30520688">
            <w:pPr>
              <w:pStyle w:val="18"/>
              <w:spacing w:line="240" w:lineRule="auto"/>
              <w:jc w:val="center"/>
              <w:rPr>
                <w:rFonts w:asciiTheme="minorEastAsia" w:hAnsiTheme="minorEastAsia"/>
                <w:color w:val="auto"/>
                <w:sz w:val="18"/>
              </w:rPr>
            </w:pPr>
          </w:p>
        </w:tc>
        <w:tc>
          <w:tcPr>
            <w:tcW w:w="1349" w:type="dxa"/>
            <w:tcBorders>
              <w:top w:val="single" w:color="auto" w:sz="6" w:space="0"/>
              <w:left w:val="single" w:color="auto" w:sz="6" w:space="0"/>
              <w:bottom w:val="single" w:color="auto" w:sz="6" w:space="0"/>
              <w:right w:val="single" w:color="auto" w:sz="6" w:space="0"/>
            </w:tcBorders>
            <w:vAlign w:val="center"/>
          </w:tcPr>
          <w:p w14:paraId="26132800">
            <w:pPr>
              <w:pStyle w:val="18"/>
              <w:spacing w:line="240" w:lineRule="auto"/>
              <w:jc w:val="center"/>
              <w:rPr>
                <w:rFonts w:asciiTheme="minorEastAsia" w:hAnsiTheme="minorEastAsia"/>
                <w:color w:val="auto"/>
                <w:sz w:val="18"/>
              </w:rPr>
            </w:pPr>
          </w:p>
        </w:tc>
        <w:tc>
          <w:tcPr>
            <w:tcW w:w="1316" w:type="dxa"/>
            <w:tcBorders>
              <w:top w:val="single" w:color="auto" w:sz="6" w:space="0"/>
              <w:left w:val="single" w:color="auto" w:sz="6" w:space="0"/>
              <w:bottom w:val="single" w:color="auto" w:sz="6" w:space="0"/>
              <w:right w:val="single" w:color="auto" w:sz="12" w:space="0"/>
            </w:tcBorders>
            <w:vAlign w:val="center"/>
          </w:tcPr>
          <w:p w14:paraId="0ADC8D4C">
            <w:pPr>
              <w:pStyle w:val="18"/>
              <w:spacing w:line="240" w:lineRule="auto"/>
              <w:rPr>
                <w:rFonts w:asciiTheme="minorEastAsia" w:hAnsiTheme="minorEastAsia"/>
                <w:color w:val="auto"/>
                <w:sz w:val="18"/>
              </w:rPr>
            </w:pPr>
          </w:p>
        </w:tc>
      </w:tr>
      <w:tr w14:paraId="7BD55C86">
        <w:tblPrEx>
          <w:tblCellMar>
            <w:top w:w="0" w:type="dxa"/>
            <w:left w:w="28" w:type="dxa"/>
            <w:bottom w:w="0" w:type="dxa"/>
            <w:right w:w="28" w:type="dxa"/>
          </w:tblCellMar>
        </w:tblPrEx>
        <w:trPr>
          <w:cantSplit/>
          <w:trHeight w:val="655" w:hRule="atLeast"/>
          <w:jc w:val="center"/>
        </w:trPr>
        <w:tc>
          <w:tcPr>
            <w:tcW w:w="1345" w:type="dxa"/>
            <w:tcBorders>
              <w:top w:val="single" w:color="auto" w:sz="6" w:space="0"/>
              <w:left w:val="single" w:color="auto" w:sz="12" w:space="0"/>
              <w:bottom w:val="single" w:color="auto" w:sz="6" w:space="0"/>
              <w:right w:val="single" w:color="auto" w:sz="6" w:space="0"/>
            </w:tcBorders>
            <w:vAlign w:val="center"/>
          </w:tcPr>
          <w:p w14:paraId="38A82B67">
            <w:pPr>
              <w:pStyle w:val="18"/>
              <w:spacing w:line="240" w:lineRule="auto"/>
              <w:jc w:val="center"/>
              <w:rPr>
                <w:rFonts w:asciiTheme="minorEastAsia" w:hAnsiTheme="minorEastAsia"/>
                <w:color w:val="auto"/>
                <w:sz w:val="18"/>
              </w:rPr>
            </w:pPr>
          </w:p>
        </w:tc>
        <w:tc>
          <w:tcPr>
            <w:tcW w:w="1676" w:type="dxa"/>
            <w:tcBorders>
              <w:top w:val="single" w:color="auto" w:sz="6" w:space="0"/>
              <w:left w:val="single" w:color="auto" w:sz="6" w:space="0"/>
              <w:bottom w:val="single" w:color="auto" w:sz="4" w:space="0"/>
              <w:right w:val="single" w:color="auto" w:sz="4" w:space="0"/>
            </w:tcBorders>
            <w:vAlign w:val="center"/>
          </w:tcPr>
          <w:p w14:paraId="4BA7CB72">
            <w:pPr>
              <w:pStyle w:val="18"/>
              <w:spacing w:line="240" w:lineRule="auto"/>
              <w:jc w:val="center"/>
              <w:rPr>
                <w:rFonts w:asciiTheme="minorEastAsia" w:hAnsiTheme="minorEastAsia"/>
                <w:color w:val="auto"/>
                <w:sz w:val="18"/>
              </w:rPr>
            </w:pPr>
          </w:p>
        </w:tc>
        <w:tc>
          <w:tcPr>
            <w:tcW w:w="2031" w:type="dxa"/>
            <w:tcBorders>
              <w:top w:val="single" w:color="auto" w:sz="6" w:space="0"/>
              <w:left w:val="single" w:color="auto" w:sz="4" w:space="0"/>
              <w:bottom w:val="single" w:color="auto" w:sz="4" w:space="0"/>
              <w:right w:val="single" w:color="auto" w:sz="6" w:space="0"/>
            </w:tcBorders>
            <w:vAlign w:val="center"/>
          </w:tcPr>
          <w:p w14:paraId="481CC81A">
            <w:pPr>
              <w:pStyle w:val="18"/>
              <w:spacing w:line="240" w:lineRule="auto"/>
              <w:jc w:val="center"/>
              <w:rPr>
                <w:rFonts w:asciiTheme="minorEastAsia" w:hAnsiTheme="minorEastAsia"/>
                <w:color w:val="auto"/>
                <w:sz w:val="18"/>
              </w:rPr>
            </w:pPr>
          </w:p>
        </w:tc>
        <w:tc>
          <w:tcPr>
            <w:tcW w:w="1410" w:type="dxa"/>
            <w:tcBorders>
              <w:top w:val="single" w:color="auto" w:sz="6" w:space="0"/>
              <w:left w:val="single" w:color="auto" w:sz="6" w:space="0"/>
              <w:bottom w:val="single" w:color="auto" w:sz="6" w:space="0"/>
              <w:right w:val="single" w:color="auto" w:sz="6" w:space="0"/>
            </w:tcBorders>
            <w:vAlign w:val="center"/>
          </w:tcPr>
          <w:p w14:paraId="0E27D317">
            <w:pPr>
              <w:pStyle w:val="18"/>
              <w:spacing w:line="240" w:lineRule="auto"/>
              <w:jc w:val="center"/>
              <w:rPr>
                <w:rFonts w:asciiTheme="minorEastAsia" w:hAnsiTheme="minorEastAsia"/>
                <w:color w:val="auto"/>
                <w:sz w:val="18"/>
              </w:rPr>
            </w:pPr>
          </w:p>
        </w:tc>
        <w:tc>
          <w:tcPr>
            <w:tcW w:w="1349" w:type="dxa"/>
            <w:tcBorders>
              <w:top w:val="single" w:color="auto" w:sz="6" w:space="0"/>
              <w:left w:val="single" w:color="auto" w:sz="6" w:space="0"/>
              <w:bottom w:val="single" w:color="auto" w:sz="6" w:space="0"/>
              <w:right w:val="single" w:color="auto" w:sz="6" w:space="0"/>
            </w:tcBorders>
            <w:vAlign w:val="center"/>
          </w:tcPr>
          <w:p w14:paraId="3E9B12B6">
            <w:pPr>
              <w:pStyle w:val="18"/>
              <w:spacing w:line="240" w:lineRule="auto"/>
              <w:jc w:val="center"/>
              <w:rPr>
                <w:rFonts w:asciiTheme="minorEastAsia" w:hAnsiTheme="minorEastAsia"/>
                <w:color w:val="auto"/>
                <w:sz w:val="18"/>
              </w:rPr>
            </w:pPr>
          </w:p>
        </w:tc>
        <w:tc>
          <w:tcPr>
            <w:tcW w:w="1316" w:type="dxa"/>
            <w:tcBorders>
              <w:top w:val="single" w:color="auto" w:sz="6" w:space="0"/>
              <w:left w:val="single" w:color="auto" w:sz="6" w:space="0"/>
              <w:bottom w:val="single" w:color="auto" w:sz="6" w:space="0"/>
              <w:right w:val="single" w:color="auto" w:sz="12" w:space="0"/>
            </w:tcBorders>
            <w:vAlign w:val="center"/>
          </w:tcPr>
          <w:p w14:paraId="6957FB65">
            <w:pPr>
              <w:pStyle w:val="18"/>
              <w:spacing w:line="240" w:lineRule="auto"/>
              <w:jc w:val="center"/>
              <w:rPr>
                <w:rFonts w:asciiTheme="minorEastAsia" w:hAnsiTheme="minorEastAsia"/>
                <w:color w:val="auto"/>
                <w:sz w:val="18"/>
              </w:rPr>
            </w:pPr>
          </w:p>
        </w:tc>
      </w:tr>
      <w:tr w14:paraId="61EE000C">
        <w:tblPrEx>
          <w:tblCellMar>
            <w:top w:w="0" w:type="dxa"/>
            <w:left w:w="28" w:type="dxa"/>
            <w:bottom w:w="0" w:type="dxa"/>
            <w:right w:w="28" w:type="dxa"/>
          </w:tblCellMar>
        </w:tblPrEx>
        <w:trPr>
          <w:cantSplit/>
          <w:trHeight w:val="655" w:hRule="atLeast"/>
          <w:jc w:val="center"/>
        </w:trPr>
        <w:tc>
          <w:tcPr>
            <w:tcW w:w="1345" w:type="dxa"/>
            <w:tcBorders>
              <w:top w:val="single" w:color="auto" w:sz="6" w:space="0"/>
              <w:left w:val="single" w:color="auto" w:sz="12" w:space="0"/>
              <w:bottom w:val="single" w:color="auto" w:sz="6" w:space="0"/>
              <w:right w:val="single" w:color="auto" w:sz="6" w:space="0"/>
            </w:tcBorders>
            <w:vAlign w:val="center"/>
          </w:tcPr>
          <w:p w14:paraId="6B07B488">
            <w:pPr>
              <w:pStyle w:val="18"/>
              <w:spacing w:line="240" w:lineRule="auto"/>
              <w:jc w:val="center"/>
              <w:rPr>
                <w:rFonts w:asciiTheme="minorEastAsia" w:hAnsiTheme="minorEastAsia"/>
                <w:color w:val="auto"/>
                <w:sz w:val="18"/>
              </w:rPr>
            </w:pPr>
          </w:p>
        </w:tc>
        <w:tc>
          <w:tcPr>
            <w:tcW w:w="1676" w:type="dxa"/>
            <w:tcBorders>
              <w:top w:val="single" w:color="auto" w:sz="6" w:space="0"/>
              <w:left w:val="single" w:color="auto" w:sz="6" w:space="0"/>
              <w:bottom w:val="single" w:color="auto" w:sz="4" w:space="0"/>
              <w:right w:val="single" w:color="auto" w:sz="4" w:space="0"/>
            </w:tcBorders>
            <w:vAlign w:val="center"/>
          </w:tcPr>
          <w:p w14:paraId="553DC559">
            <w:pPr>
              <w:pStyle w:val="18"/>
              <w:spacing w:line="240" w:lineRule="auto"/>
              <w:jc w:val="center"/>
              <w:rPr>
                <w:rFonts w:asciiTheme="minorEastAsia" w:hAnsiTheme="minorEastAsia"/>
                <w:color w:val="auto"/>
                <w:sz w:val="18"/>
              </w:rPr>
            </w:pPr>
          </w:p>
        </w:tc>
        <w:tc>
          <w:tcPr>
            <w:tcW w:w="2031" w:type="dxa"/>
            <w:tcBorders>
              <w:top w:val="single" w:color="auto" w:sz="6" w:space="0"/>
              <w:left w:val="single" w:color="auto" w:sz="4" w:space="0"/>
              <w:bottom w:val="single" w:color="auto" w:sz="4" w:space="0"/>
              <w:right w:val="single" w:color="auto" w:sz="6" w:space="0"/>
            </w:tcBorders>
            <w:vAlign w:val="center"/>
          </w:tcPr>
          <w:p w14:paraId="10F0917D">
            <w:pPr>
              <w:pStyle w:val="18"/>
              <w:spacing w:line="240" w:lineRule="auto"/>
              <w:jc w:val="center"/>
              <w:rPr>
                <w:rFonts w:asciiTheme="minorEastAsia" w:hAnsiTheme="minorEastAsia"/>
                <w:color w:val="auto"/>
                <w:sz w:val="18"/>
              </w:rPr>
            </w:pPr>
          </w:p>
        </w:tc>
        <w:tc>
          <w:tcPr>
            <w:tcW w:w="1410" w:type="dxa"/>
            <w:tcBorders>
              <w:top w:val="single" w:color="auto" w:sz="6" w:space="0"/>
              <w:left w:val="single" w:color="auto" w:sz="6" w:space="0"/>
              <w:bottom w:val="single" w:color="auto" w:sz="6" w:space="0"/>
              <w:right w:val="single" w:color="auto" w:sz="6" w:space="0"/>
            </w:tcBorders>
            <w:vAlign w:val="center"/>
          </w:tcPr>
          <w:p w14:paraId="25E35A90">
            <w:pPr>
              <w:pStyle w:val="18"/>
              <w:spacing w:line="240" w:lineRule="auto"/>
              <w:jc w:val="center"/>
              <w:rPr>
                <w:rFonts w:asciiTheme="minorEastAsia" w:hAnsiTheme="minorEastAsia"/>
                <w:color w:val="auto"/>
                <w:sz w:val="18"/>
              </w:rPr>
            </w:pPr>
          </w:p>
        </w:tc>
        <w:tc>
          <w:tcPr>
            <w:tcW w:w="1349" w:type="dxa"/>
            <w:tcBorders>
              <w:top w:val="single" w:color="auto" w:sz="6" w:space="0"/>
              <w:left w:val="single" w:color="auto" w:sz="6" w:space="0"/>
              <w:bottom w:val="single" w:color="auto" w:sz="6" w:space="0"/>
              <w:right w:val="single" w:color="auto" w:sz="6" w:space="0"/>
            </w:tcBorders>
            <w:vAlign w:val="center"/>
          </w:tcPr>
          <w:p w14:paraId="62340ED0">
            <w:pPr>
              <w:pStyle w:val="18"/>
              <w:spacing w:line="240" w:lineRule="auto"/>
              <w:jc w:val="center"/>
              <w:rPr>
                <w:rFonts w:asciiTheme="minorEastAsia" w:hAnsiTheme="minorEastAsia"/>
                <w:color w:val="auto"/>
                <w:sz w:val="18"/>
              </w:rPr>
            </w:pPr>
          </w:p>
        </w:tc>
        <w:tc>
          <w:tcPr>
            <w:tcW w:w="1316" w:type="dxa"/>
            <w:tcBorders>
              <w:top w:val="single" w:color="auto" w:sz="6" w:space="0"/>
              <w:left w:val="single" w:color="auto" w:sz="6" w:space="0"/>
              <w:bottom w:val="single" w:color="auto" w:sz="6" w:space="0"/>
              <w:right w:val="single" w:color="auto" w:sz="12" w:space="0"/>
            </w:tcBorders>
            <w:vAlign w:val="center"/>
          </w:tcPr>
          <w:p w14:paraId="0D4AE534">
            <w:pPr>
              <w:pStyle w:val="18"/>
              <w:spacing w:line="240" w:lineRule="auto"/>
              <w:rPr>
                <w:rFonts w:asciiTheme="minorEastAsia" w:hAnsiTheme="minorEastAsia"/>
                <w:color w:val="auto"/>
                <w:sz w:val="18"/>
              </w:rPr>
            </w:pPr>
          </w:p>
        </w:tc>
      </w:tr>
      <w:tr w14:paraId="6CE3379B">
        <w:tblPrEx>
          <w:tblCellMar>
            <w:top w:w="0" w:type="dxa"/>
            <w:left w:w="28" w:type="dxa"/>
            <w:bottom w:w="0" w:type="dxa"/>
            <w:right w:w="28" w:type="dxa"/>
          </w:tblCellMar>
        </w:tblPrEx>
        <w:trPr>
          <w:cantSplit/>
          <w:trHeight w:val="655" w:hRule="atLeast"/>
          <w:jc w:val="center"/>
        </w:trPr>
        <w:tc>
          <w:tcPr>
            <w:tcW w:w="1345" w:type="dxa"/>
            <w:tcBorders>
              <w:top w:val="single" w:color="auto" w:sz="6" w:space="0"/>
              <w:left w:val="single" w:color="auto" w:sz="12" w:space="0"/>
              <w:bottom w:val="single" w:color="auto" w:sz="6" w:space="0"/>
              <w:right w:val="single" w:color="auto" w:sz="6" w:space="0"/>
            </w:tcBorders>
            <w:vAlign w:val="center"/>
          </w:tcPr>
          <w:p w14:paraId="7FF7D53D">
            <w:pPr>
              <w:pStyle w:val="18"/>
              <w:spacing w:line="240" w:lineRule="auto"/>
              <w:jc w:val="center"/>
              <w:rPr>
                <w:rFonts w:asciiTheme="minorEastAsia" w:hAnsiTheme="minorEastAsia"/>
                <w:color w:val="auto"/>
                <w:sz w:val="18"/>
              </w:rPr>
            </w:pPr>
          </w:p>
        </w:tc>
        <w:tc>
          <w:tcPr>
            <w:tcW w:w="1676" w:type="dxa"/>
            <w:tcBorders>
              <w:top w:val="single" w:color="auto" w:sz="6" w:space="0"/>
              <w:left w:val="single" w:color="auto" w:sz="6" w:space="0"/>
              <w:bottom w:val="single" w:color="auto" w:sz="4" w:space="0"/>
              <w:right w:val="single" w:color="auto" w:sz="4" w:space="0"/>
            </w:tcBorders>
            <w:vAlign w:val="center"/>
          </w:tcPr>
          <w:p w14:paraId="5B5EEB22">
            <w:pPr>
              <w:pStyle w:val="18"/>
              <w:spacing w:line="240" w:lineRule="auto"/>
              <w:jc w:val="center"/>
              <w:rPr>
                <w:rFonts w:asciiTheme="minorEastAsia" w:hAnsiTheme="minorEastAsia"/>
                <w:color w:val="auto"/>
                <w:sz w:val="18"/>
              </w:rPr>
            </w:pPr>
          </w:p>
        </w:tc>
        <w:tc>
          <w:tcPr>
            <w:tcW w:w="2031" w:type="dxa"/>
            <w:tcBorders>
              <w:top w:val="single" w:color="auto" w:sz="6" w:space="0"/>
              <w:left w:val="single" w:color="auto" w:sz="4" w:space="0"/>
              <w:bottom w:val="single" w:color="auto" w:sz="4" w:space="0"/>
              <w:right w:val="single" w:color="auto" w:sz="6" w:space="0"/>
            </w:tcBorders>
            <w:vAlign w:val="center"/>
          </w:tcPr>
          <w:p w14:paraId="4A566EC7">
            <w:pPr>
              <w:pStyle w:val="18"/>
              <w:spacing w:line="240" w:lineRule="auto"/>
              <w:jc w:val="center"/>
              <w:rPr>
                <w:rFonts w:asciiTheme="minorEastAsia" w:hAnsiTheme="minorEastAsia"/>
                <w:color w:val="auto"/>
                <w:sz w:val="18"/>
              </w:rPr>
            </w:pPr>
          </w:p>
        </w:tc>
        <w:tc>
          <w:tcPr>
            <w:tcW w:w="1410" w:type="dxa"/>
            <w:tcBorders>
              <w:top w:val="single" w:color="auto" w:sz="6" w:space="0"/>
              <w:left w:val="single" w:color="auto" w:sz="6" w:space="0"/>
              <w:bottom w:val="single" w:color="auto" w:sz="6" w:space="0"/>
              <w:right w:val="single" w:color="auto" w:sz="6" w:space="0"/>
            </w:tcBorders>
            <w:vAlign w:val="center"/>
          </w:tcPr>
          <w:p w14:paraId="75B3B287">
            <w:pPr>
              <w:pStyle w:val="18"/>
              <w:spacing w:line="240" w:lineRule="auto"/>
              <w:jc w:val="center"/>
              <w:rPr>
                <w:rFonts w:asciiTheme="minorEastAsia" w:hAnsiTheme="minorEastAsia"/>
                <w:color w:val="auto"/>
                <w:sz w:val="18"/>
              </w:rPr>
            </w:pPr>
          </w:p>
        </w:tc>
        <w:tc>
          <w:tcPr>
            <w:tcW w:w="1349" w:type="dxa"/>
            <w:tcBorders>
              <w:top w:val="single" w:color="auto" w:sz="6" w:space="0"/>
              <w:left w:val="single" w:color="auto" w:sz="6" w:space="0"/>
              <w:bottom w:val="single" w:color="auto" w:sz="6" w:space="0"/>
              <w:right w:val="single" w:color="auto" w:sz="6" w:space="0"/>
            </w:tcBorders>
            <w:vAlign w:val="center"/>
          </w:tcPr>
          <w:p w14:paraId="274E53D8">
            <w:pPr>
              <w:pStyle w:val="18"/>
              <w:spacing w:line="240" w:lineRule="auto"/>
              <w:jc w:val="center"/>
              <w:rPr>
                <w:rFonts w:asciiTheme="minorEastAsia" w:hAnsiTheme="minorEastAsia"/>
                <w:color w:val="auto"/>
                <w:sz w:val="18"/>
              </w:rPr>
            </w:pPr>
          </w:p>
        </w:tc>
        <w:tc>
          <w:tcPr>
            <w:tcW w:w="1316" w:type="dxa"/>
            <w:tcBorders>
              <w:top w:val="single" w:color="auto" w:sz="6" w:space="0"/>
              <w:left w:val="single" w:color="auto" w:sz="6" w:space="0"/>
              <w:bottom w:val="single" w:color="auto" w:sz="6" w:space="0"/>
              <w:right w:val="single" w:color="auto" w:sz="12" w:space="0"/>
            </w:tcBorders>
            <w:vAlign w:val="center"/>
          </w:tcPr>
          <w:p w14:paraId="17AC0E0B">
            <w:pPr>
              <w:pStyle w:val="18"/>
              <w:spacing w:line="240" w:lineRule="auto"/>
              <w:rPr>
                <w:rFonts w:asciiTheme="minorEastAsia" w:hAnsiTheme="minorEastAsia"/>
                <w:color w:val="auto"/>
                <w:sz w:val="18"/>
              </w:rPr>
            </w:pPr>
          </w:p>
        </w:tc>
      </w:tr>
      <w:tr w14:paraId="7BFC7EB6">
        <w:tblPrEx>
          <w:tblCellMar>
            <w:top w:w="0" w:type="dxa"/>
            <w:left w:w="28" w:type="dxa"/>
            <w:bottom w:w="0" w:type="dxa"/>
            <w:right w:w="28" w:type="dxa"/>
          </w:tblCellMar>
        </w:tblPrEx>
        <w:trPr>
          <w:cantSplit/>
          <w:trHeight w:val="655" w:hRule="atLeast"/>
          <w:jc w:val="center"/>
        </w:trPr>
        <w:tc>
          <w:tcPr>
            <w:tcW w:w="1345" w:type="dxa"/>
            <w:tcBorders>
              <w:top w:val="single" w:color="auto" w:sz="6" w:space="0"/>
              <w:left w:val="single" w:color="auto" w:sz="12" w:space="0"/>
              <w:bottom w:val="single" w:color="auto" w:sz="6" w:space="0"/>
              <w:right w:val="single" w:color="auto" w:sz="6" w:space="0"/>
            </w:tcBorders>
            <w:vAlign w:val="center"/>
          </w:tcPr>
          <w:p w14:paraId="1AD82BAD">
            <w:pPr>
              <w:pStyle w:val="18"/>
              <w:spacing w:line="240" w:lineRule="auto"/>
              <w:jc w:val="center"/>
              <w:rPr>
                <w:rFonts w:asciiTheme="minorEastAsia" w:hAnsiTheme="minorEastAsia"/>
                <w:color w:val="auto"/>
                <w:sz w:val="18"/>
              </w:rPr>
            </w:pPr>
          </w:p>
        </w:tc>
        <w:tc>
          <w:tcPr>
            <w:tcW w:w="1676" w:type="dxa"/>
            <w:tcBorders>
              <w:top w:val="single" w:color="auto" w:sz="6" w:space="0"/>
              <w:left w:val="single" w:color="auto" w:sz="6" w:space="0"/>
              <w:bottom w:val="single" w:color="auto" w:sz="4" w:space="0"/>
              <w:right w:val="single" w:color="auto" w:sz="4" w:space="0"/>
            </w:tcBorders>
            <w:vAlign w:val="center"/>
          </w:tcPr>
          <w:p w14:paraId="332BC9DD">
            <w:pPr>
              <w:pStyle w:val="18"/>
              <w:spacing w:line="240" w:lineRule="auto"/>
              <w:jc w:val="center"/>
              <w:rPr>
                <w:rFonts w:asciiTheme="minorEastAsia" w:hAnsiTheme="minorEastAsia"/>
                <w:color w:val="auto"/>
                <w:sz w:val="18"/>
              </w:rPr>
            </w:pPr>
          </w:p>
        </w:tc>
        <w:tc>
          <w:tcPr>
            <w:tcW w:w="2031" w:type="dxa"/>
            <w:tcBorders>
              <w:top w:val="single" w:color="auto" w:sz="6" w:space="0"/>
              <w:left w:val="single" w:color="auto" w:sz="4" w:space="0"/>
              <w:bottom w:val="single" w:color="auto" w:sz="4" w:space="0"/>
              <w:right w:val="single" w:color="auto" w:sz="6" w:space="0"/>
            </w:tcBorders>
            <w:vAlign w:val="center"/>
          </w:tcPr>
          <w:p w14:paraId="4F1A2BF2">
            <w:pPr>
              <w:pStyle w:val="18"/>
              <w:spacing w:line="240" w:lineRule="auto"/>
              <w:jc w:val="center"/>
              <w:rPr>
                <w:rFonts w:asciiTheme="minorEastAsia" w:hAnsiTheme="minorEastAsia"/>
                <w:color w:val="auto"/>
                <w:sz w:val="18"/>
              </w:rPr>
            </w:pPr>
          </w:p>
        </w:tc>
        <w:tc>
          <w:tcPr>
            <w:tcW w:w="1410" w:type="dxa"/>
            <w:tcBorders>
              <w:top w:val="single" w:color="auto" w:sz="6" w:space="0"/>
              <w:left w:val="single" w:color="auto" w:sz="6" w:space="0"/>
              <w:bottom w:val="single" w:color="auto" w:sz="6" w:space="0"/>
              <w:right w:val="single" w:color="auto" w:sz="6" w:space="0"/>
            </w:tcBorders>
            <w:vAlign w:val="center"/>
          </w:tcPr>
          <w:p w14:paraId="0F0E8D07">
            <w:pPr>
              <w:pStyle w:val="18"/>
              <w:spacing w:line="240" w:lineRule="auto"/>
              <w:jc w:val="center"/>
              <w:rPr>
                <w:rFonts w:asciiTheme="minorEastAsia" w:hAnsiTheme="minorEastAsia"/>
                <w:color w:val="auto"/>
                <w:sz w:val="18"/>
              </w:rPr>
            </w:pPr>
          </w:p>
        </w:tc>
        <w:tc>
          <w:tcPr>
            <w:tcW w:w="1349" w:type="dxa"/>
            <w:tcBorders>
              <w:top w:val="single" w:color="auto" w:sz="6" w:space="0"/>
              <w:left w:val="single" w:color="auto" w:sz="6" w:space="0"/>
              <w:bottom w:val="single" w:color="auto" w:sz="6" w:space="0"/>
              <w:right w:val="single" w:color="auto" w:sz="6" w:space="0"/>
            </w:tcBorders>
            <w:vAlign w:val="center"/>
          </w:tcPr>
          <w:p w14:paraId="4D38B559">
            <w:pPr>
              <w:pStyle w:val="18"/>
              <w:spacing w:line="240" w:lineRule="auto"/>
              <w:jc w:val="center"/>
              <w:rPr>
                <w:rFonts w:asciiTheme="minorEastAsia" w:hAnsiTheme="minorEastAsia"/>
                <w:color w:val="auto"/>
                <w:sz w:val="18"/>
              </w:rPr>
            </w:pPr>
          </w:p>
        </w:tc>
        <w:tc>
          <w:tcPr>
            <w:tcW w:w="1316" w:type="dxa"/>
            <w:tcBorders>
              <w:top w:val="single" w:color="auto" w:sz="6" w:space="0"/>
              <w:left w:val="single" w:color="auto" w:sz="6" w:space="0"/>
              <w:bottom w:val="single" w:color="auto" w:sz="6" w:space="0"/>
              <w:right w:val="single" w:color="auto" w:sz="12" w:space="0"/>
            </w:tcBorders>
            <w:vAlign w:val="center"/>
          </w:tcPr>
          <w:p w14:paraId="75A9EF94">
            <w:pPr>
              <w:pStyle w:val="18"/>
              <w:spacing w:line="240" w:lineRule="auto"/>
              <w:jc w:val="center"/>
              <w:rPr>
                <w:rFonts w:asciiTheme="minorEastAsia" w:hAnsiTheme="minorEastAsia"/>
                <w:color w:val="auto"/>
                <w:sz w:val="18"/>
              </w:rPr>
            </w:pPr>
          </w:p>
        </w:tc>
      </w:tr>
      <w:tr w14:paraId="23A0F9D1">
        <w:tblPrEx>
          <w:tblCellMar>
            <w:top w:w="0" w:type="dxa"/>
            <w:left w:w="28" w:type="dxa"/>
            <w:bottom w:w="0" w:type="dxa"/>
            <w:right w:w="28" w:type="dxa"/>
          </w:tblCellMar>
        </w:tblPrEx>
        <w:trPr>
          <w:cantSplit/>
          <w:trHeight w:val="655" w:hRule="atLeast"/>
          <w:jc w:val="center"/>
        </w:trPr>
        <w:tc>
          <w:tcPr>
            <w:tcW w:w="1345" w:type="dxa"/>
            <w:tcBorders>
              <w:top w:val="single" w:color="auto" w:sz="6" w:space="0"/>
              <w:left w:val="single" w:color="auto" w:sz="12" w:space="0"/>
              <w:bottom w:val="single" w:color="auto" w:sz="6" w:space="0"/>
              <w:right w:val="single" w:color="auto" w:sz="6" w:space="0"/>
            </w:tcBorders>
            <w:vAlign w:val="center"/>
          </w:tcPr>
          <w:p w14:paraId="769FC013">
            <w:pPr>
              <w:pStyle w:val="18"/>
              <w:spacing w:line="240" w:lineRule="auto"/>
              <w:jc w:val="center"/>
              <w:rPr>
                <w:rFonts w:asciiTheme="minorEastAsia" w:hAnsiTheme="minorEastAsia"/>
                <w:color w:val="auto"/>
                <w:sz w:val="18"/>
              </w:rPr>
            </w:pPr>
          </w:p>
        </w:tc>
        <w:tc>
          <w:tcPr>
            <w:tcW w:w="1676" w:type="dxa"/>
            <w:tcBorders>
              <w:top w:val="single" w:color="auto" w:sz="6" w:space="0"/>
              <w:left w:val="single" w:color="auto" w:sz="6" w:space="0"/>
              <w:bottom w:val="single" w:color="auto" w:sz="4" w:space="0"/>
              <w:right w:val="single" w:color="auto" w:sz="4" w:space="0"/>
            </w:tcBorders>
            <w:vAlign w:val="center"/>
          </w:tcPr>
          <w:p w14:paraId="42440820">
            <w:pPr>
              <w:pStyle w:val="18"/>
              <w:spacing w:line="240" w:lineRule="auto"/>
              <w:jc w:val="center"/>
              <w:rPr>
                <w:rFonts w:asciiTheme="minorEastAsia" w:hAnsiTheme="minorEastAsia"/>
                <w:color w:val="auto"/>
                <w:sz w:val="18"/>
              </w:rPr>
            </w:pPr>
          </w:p>
        </w:tc>
        <w:tc>
          <w:tcPr>
            <w:tcW w:w="2031" w:type="dxa"/>
            <w:tcBorders>
              <w:top w:val="single" w:color="auto" w:sz="6" w:space="0"/>
              <w:left w:val="single" w:color="auto" w:sz="4" w:space="0"/>
              <w:bottom w:val="single" w:color="auto" w:sz="4" w:space="0"/>
              <w:right w:val="single" w:color="auto" w:sz="6" w:space="0"/>
            </w:tcBorders>
            <w:vAlign w:val="center"/>
          </w:tcPr>
          <w:p w14:paraId="33D885EB">
            <w:pPr>
              <w:pStyle w:val="18"/>
              <w:spacing w:line="240" w:lineRule="auto"/>
              <w:jc w:val="center"/>
              <w:rPr>
                <w:rFonts w:asciiTheme="minorEastAsia" w:hAnsiTheme="minorEastAsia"/>
                <w:color w:val="auto"/>
                <w:sz w:val="18"/>
              </w:rPr>
            </w:pPr>
          </w:p>
        </w:tc>
        <w:tc>
          <w:tcPr>
            <w:tcW w:w="1410" w:type="dxa"/>
            <w:tcBorders>
              <w:top w:val="single" w:color="auto" w:sz="6" w:space="0"/>
              <w:left w:val="single" w:color="auto" w:sz="6" w:space="0"/>
              <w:bottom w:val="single" w:color="auto" w:sz="6" w:space="0"/>
              <w:right w:val="single" w:color="auto" w:sz="6" w:space="0"/>
            </w:tcBorders>
            <w:vAlign w:val="center"/>
          </w:tcPr>
          <w:p w14:paraId="39E306D9">
            <w:pPr>
              <w:pStyle w:val="18"/>
              <w:spacing w:line="240" w:lineRule="auto"/>
              <w:jc w:val="center"/>
              <w:rPr>
                <w:rFonts w:asciiTheme="minorEastAsia" w:hAnsiTheme="minorEastAsia"/>
                <w:color w:val="auto"/>
                <w:sz w:val="18"/>
              </w:rPr>
            </w:pPr>
          </w:p>
        </w:tc>
        <w:tc>
          <w:tcPr>
            <w:tcW w:w="1349" w:type="dxa"/>
            <w:tcBorders>
              <w:top w:val="single" w:color="auto" w:sz="6" w:space="0"/>
              <w:left w:val="single" w:color="auto" w:sz="6" w:space="0"/>
              <w:bottom w:val="single" w:color="auto" w:sz="6" w:space="0"/>
              <w:right w:val="single" w:color="auto" w:sz="6" w:space="0"/>
            </w:tcBorders>
            <w:vAlign w:val="center"/>
          </w:tcPr>
          <w:p w14:paraId="3CF8456E">
            <w:pPr>
              <w:pStyle w:val="18"/>
              <w:spacing w:line="240" w:lineRule="auto"/>
              <w:jc w:val="center"/>
              <w:rPr>
                <w:rFonts w:asciiTheme="minorEastAsia" w:hAnsiTheme="minorEastAsia"/>
                <w:color w:val="auto"/>
                <w:sz w:val="18"/>
              </w:rPr>
            </w:pPr>
          </w:p>
        </w:tc>
        <w:tc>
          <w:tcPr>
            <w:tcW w:w="1316" w:type="dxa"/>
            <w:tcBorders>
              <w:top w:val="single" w:color="auto" w:sz="6" w:space="0"/>
              <w:left w:val="single" w:color="auto" w:sz="6" w:space="0"/>
              <w:bottom w:val="single" w:color="auto" w:sz="6" w:space="0"/>
              <w:right w:val="single" w:color="auto" w:sz="12" w:space="0"/>
            </w:tcBorders>
            <w:vAlign w:val="center"/>
          </w:tcPr>
          <w:p w14:paraId="5F5C26C4">
            <w:pPr>
              <w:pStyle w:val="18"/>
              <w:spacing w:line="240" w:lineRule="auto"/>
              <w:rPr>
                <w:rFonts w:asciiTheme="minorEastAsia" w:hAnsiTheme="minorEastAsia"/>
                <w:color w:val="auto"/>
                <w:sz w:val="18"/>
              </w:rPr>
            </w:pPr>
          </w:p>
        </w:tc>
      </w:tr>
      <w:tr w14:paraId="006C735C">
        <w:tblPrEx>
          <w:tblCellMar>
            <w:top w:w="0" w:type="dxa"/>
            <w:left w:w="28" w:type="dxa"/>
            <w:bottom w:w="0" w:type="dxa"/>
            <w:right w:w="28" w:type="dxa"/>
          </w:tblCellMar>
        </w:tblPrEx>
        <w:trPr>
          <w:cantSplit/>
          <w:trHeight w:val="655" w:hRule="atLeast"/>
          <w:jc w:val="center"/>
        </w:trPr>
        <w:tc>
          <w:tcPr>
            <w:tcW w:w="1345" w:type="dxa"/>
            <w:tcBorders>
              <w:top w:val="single" w:color="auto" w:sz="6" w:space="0"/>
              <w:left w:val="single" w:color="auto" w:sz="12" w:space="0"/>
              <w:bottom w:val="single" w:color="auto" w:sz="6" w:space="0"/>
              <w:right w:val="single" w:color="auto" w:sz="6" w:space="0"/>
            </w:tcBorders>
            <w:vAlign w:val="center"/>
          </w:tcPr>
          <w:p w14:paraId="4ACA1F55">
            <w:pPr>
              <w:pStyle w:val="18"/>
              <w:spacing w:line="240" w:lineRule="auto"/>
              <w:jc w:val="center"/>
              <w:rPr>
                <w:rFonts w:asciiTheme="minorEastAsia" w:hAnsiTheme="minorEastAsia"/>
                <w:color w:val="auto"/>
                <w:sz w:val="18"/>
              </w:rPr>
            </w:pPr>
          </w:p>
        </w:tc>
        <w:tc>
          <w:tcPr>
            <w:tcW w:w="1676" w:type="dxa"/>
            <w:tcBorders>
              <w:top w:val="single" w:color="auto" w:sz="6" w:space="0"/>
              <w:left w:val="single" w:color="auto" w:sz="6" w:space="0"/>
              <w:bottom w:val="single" w:color="auto" w:sz="4" w:space="0"/>
              <w:right w:val="single" w:color="auto" w:sz="4" w:space="0"/>
            </w:tcBorders>
            <w:vAlign w:val="center"/>
          </w:tcPr>
          <w:p w14:paraId="4BA82ACF">
            <w:pPr>
              <w:pStyle w:val="18"/>
              <w:spacing w:line="240" w:lineRule="auto"/>
              <w:jc w:val="center"/>
              <w:rPr>
                <w:rFonts w:asciiTheme="minorEastAsia" w:hAnsiTheme="minorEastAsia"/>
                <w:color w:val="auto"/>
                <w:sz w:val="18"/>
              </w:rPr>
            </w:pPr>
          </w:p>
        </w:tc>
        <w:tc>
          <w:tcPr>
            <w:tcW w:w="2031" w:type="dxa"/>
            <w:tcBorders>
              <w:top w:val="single" w:color="auto" w:sz="6" w:space="0"/>
              <w:left w:val="single" w:color="auto" w:sz="4" w:space="0"/>
              <w:bottom w:val="single" w:color="auto" w:sz="4" w:space="0"/>
              <w:right w:val="single" w:color="auto" w:sz="6" w:space="0"/>
            </w:tcBorders>
            <w:vAlign w:val="center"/>
          </w:tcPr>
          <w:p w14:paraId="69E2FA32">
            <w:pPr>
              <w:pStyle w:val="18"/>
              <w:spacing w:line="240" w:lineRule="auto"/>
              <w:jc w:val="center"/>
              <w:rPr>
                <w:rFonts w:asciiTheme="minorEastAsia" w:hAnsiTheme="minorEastAsia"/>
                <w:color w:val="auto"/>
                <w:sz w:val="18"/>
              </w:rPr>
            </w:pPr>
          </w:p>
        </w:tc>
        <w:tc>
          <w:tcPr>
            <w:tcW w:w="1410" w:type="dxa"/>
            <w:tcBorders>
              <w:top w:val="single" w:color="auto" w:sz="6" w:space="0"/>
              <w:left w:val="single" w:color="auto" w:sz="6" w:space="0"/>
              <w:bottom w:val="single" w:color="auto" w:sz="6" w:space="0"/>
              <w:right w:val="single" w:color="auto" w:sz="6" w:space="0"/>
            </w:tcBorders>
            <w:vAlign w:val="center"/>
          </w:tcPr>
          <w:p w14:paraId="3835B11F">
            <w:pPr>
              <w:pStyle w:val="18"/>
              <w:spacing w:line="240" w:lineRule="auto"/>
              <w:jc w:val="center"/>
              <w:rPr>
                <w:rFonts w:asciiTheme="minorEastAsia" w:hAnsiTheme="minorEastAsia"/>
                <w:color w:val="auto"/>
                <w:sz w:val="18"/>
              </w:rPr>
            </w:pPr>
          </w:p>
        </w:tc>
        <w:tc>
          <w:tcPr>
            <w:tcW w:w="1349" w:type="dxa"/>
            <w:tcBorders>
              <w:top w:val="single" w:color="auto" w:sz="6" w:space="0"/>
              <w:left w:val="single" w:color="auto" w:sz="6" w:space="0"/>
              <w:bottom w:val="single" w:color="auto" w:sz="6" w:space="0"/>
              <w:right w:val="single" w:color="auto" w:sz="6" w:space="0"/>
            </w:tcBorders>
            <w:vAlign w:val="center"/>
          </w:tcPr>
          <w:p w14:paraId="48F99EA4">
            <w:pPr>
              <w:pStyle w:val="18"/>
              <w:spacing w:line="240" w:lineRule="auto"/>
              <w:jc w:val="center"/>
              <w:rPr>
                <w:rFonts w:asciiTheme="minorEastAsia" w:hAnsiTheme="minorEastAsia"/>
                <w:color w:val="auto"/>
                <w:sz w:val="18"/>
              </w:rPr>
            </w:pPr>
          </w:p>
        </w:tc>
        <w:tc>
          <w:tcPr>
            <w:tcW w:w="1316" w:type="dxa"/>
            <w:tcBorders>
              <w:top w:val="single" w:color="auto" w:sz="6" w:space="0"/>
              <w:left w:val="single" w:color="auto" w:sz="6" w:space="0"/>
              <w:bottom w:val="single" w:color="auto" w:sz="6" w:space="0"/>
              <w:right w:val="single" w:color="auto" w:sz="12" w:space="0"/>
            </w:tcBorders>
            <w:vAlign w:val="center"/>
          </w:tcPr>
          <w:p w14:paraId="47785FD4">
            <w:pPr>
              <w:pStyle w:val="18"/>
              <w:spacing w:line="240" w:lineRule="auto"/>
              <w:rPr>
                <w:rFonts w:asciiTheme="minorEastAsia" w:hAnsiTheme="minorEastAsia"/>
                <w:color w:val="auto"/>
                <w:sz w:val="18"/>
              </w:rPr>
            </w:pPr>
          </w:p>
        </w:tc>
      </w:tr>
      <w:tr w14:paraId="13139D15">
        <w:tblPrEx>
          <w:tblCellMar>
            <w:top w:w="0" w:type="dxa"/>
            <w:left w:w="28" w:type="dxa"/>
            <w:bottom w:w="0" w:type="dxa"/>
            <w:right w:w="28" w:type="dxa"/>
          </w:tblCellMar>
        </w:tblPrEx>
        <w:trPr>
          <w:cantSplit/>
          <w:trHeight w:val="655" w:hRule="atLeast"/>
          <w:jc w:val="center"/>
        </w:trPr>
        <w:tc>
          <w:tcPr>
            <w:tcW w:w="1345" w:type="dxa"/>
            <w:tcBorders>
              <w:top w:val="single" w:color="auto" w:sz="6" w:space="0"/>
              <w:left w:val="single" w:color="auto" w:sz="12" w:space="0"/>
              <w:bottom w:val="single" w:color="auto" w:sz="6" w:space="0"/>
              <w:right w:val="single" w:color="auto" w:sz="6" w:space="0"/>
            </w:tcBorders>
            <w:vAlign w:val="center"/>
          </w:tcPr>
          <w:p w14:paraId="030FA3C3">
            <w:pPr>
              <w:pStyle w:val="18"/>
              <w:spacing w:line="240" w:lineRule="auto"/>
              <w:jc w:val="center"/>
              <w:rPr>
                <w:rFonts w:asciiTheme="minorEastAsia" w:hAnsiTheme="minorEastAsia"/>
                <w:color w:val="auto"/>
                <w:sz w:val="18"/>
              </w:rPr>
            </w:pPr>
          </w:p>
        </w:tc>
        <w:tc>
          <w:tcPr>
            <w:tcW w:w="1676" w:type="dxa"/>
            <w:tcBorders>
              <w:top w:val="single" w:color="auto" w:sz="6" w:space="0"/>
              <w:left w:val="single" w:color="auto" w:sz="6" w:space="0"/>
              <w:bottom w:val="single" w:color="auto" w:sz="4" w:space="0"/>
              <w:right w:val="single" w:color="auto" w:sz="4" w:space="0"/>
            </w:tcBorders>
            <w:vAlign w:val="center"/>
          </w:tcPr>
          <w:p w14:paraId="09C00CE9">
            <w:pPr>
              <w:pStyle w:val="18"/>
              <w:spacing w:line="240" w:lineRule="auto"/>
              <w:jc w:val="center"/>
              <w:rPr>
                <w:rFonts w:asciiTheme="minorEastAsia" w:hAnsiTheme="minorEastAsia"/>
                <w:color w:val="auto"/>
                <w:sz w:val="18"/>
              </w:rPr>
            </w:pPr>
          </w:p>
        </w:tc>
        <w:tc>
          <w:tcPr>
            <w:tcW w:w="2031" w:type="dxa"/>
            <w:tcBorders>
              <w:top w:val="single" w:color="auto" w:sz="6" w:space="0"/>
              <w:left w:val="single" w:color="auto" w:sz="4" w:space="0"/>
              <w:bottom w:val="single" w:color="auto" w:sz="4" w:space="0"/>
              <w:right w:val="single" w:color="auto" w:sz="6" w:space="0"/>
            </w:tcBorders>
            <w:vAlign w:val="center"/>
          </w:tcPr>
          <w:p w14:paraId="43381D89">
            <w:pPr>
              <w:pStyle w:val="18"/>
              <w:spacing w:line="240" w:lineRule="auto"/>
              <w:jc w:val="center"/>
              <w:rPr>
                <w:rFonts w:asciiTheme="minorEastAsia" w:hAnsiTheme="minorEastAsia"/>
                <w:color w:val="auto"/>
                <w:sz w:val="18"/>
              </w:rPr>
            </w:pPr>
          </w:p>
        </w:tc>
        <w:tc>
          <w:tcPr>
            <w:tcW w:w="1410" w:type="dxa"/>
            <w:tcBorders>
              <w:top w:val="single" w:color="auto" w:sz="6" w:space="0"/>
              <w:left w:val="single" w:color="auto" w:sz="6" w:space="0"/>
              <w:bottom w:val="single" w:color="auto" w:sz="6" w:space="0"/>
              <w:right w:val="single" w:color="auto" w:sz="6" w:space="0"/>
            </w:tcBorders>
            <w:vAlign w:val="center"/>
          </w:tcPr>
          <w:p w14:paraId="7043E51E">
            <w:pPr>
              <w:pStyle w:val="18"/>
              <w:spacing w:line="240" w:lineRule="auto"/>
              <w:jc w:val="center"/>
              <w:rPr>
                <w:rFonts w:asciiTheme="minorEastAsia" w:hAnsiTheme="minorEastAsia"/>
                <w:color w:val="auto"/>
                <w:sz w:val="18"/>
              </w:rPr>
            </w:pPr>
          </w:p>
        </w:tc>
        <w:tc>
          <w:tcPr>
            <w:tcW w:w="1349" w:type="dxa"/>
            <w:tcBorders>
              <w:top w:val="single" w:color="auto" w:sz="6" w:space="0"/>
              <w:left w:val="single" w:color="auto" w:sz="6" w:space="0"/>
              <w:bottom w:val="single" w:color="auto" w:sz="6" w:space="0"/>
              <w:right w:val="single" w:color="auto" w:sz="6" w:space="0"/>
            </w:tcBorders>
            <w:vAlign w:val="center"/>
          </w:tcPr>
          <w:p w14:paraId="5F8E4510">
            <w:pPr>
              <w:pStyle w:val="18"/>
              <w:spacing w:line="240" w:lineRule="auto"/>
              <w:jc w:val="center"/>
              <w:rPr>
                <w:rFonts w:asciiTheme="minorEastAsia" w:hAnsiTheme="minorEastAsia"/>
                <w:color w:val="auto"/>
                <w:sz w:val="18"/>
              </w:rPr>
            </w:pPr>
          </w:p>
        </w:tc>
        <w:tc>
          <w:tcPr>
            <w:tcW w:w="1316" w:type="dxa"/>
            <w:tcBorders>
              <w:top w:val="single" w:color="auto" w:sz="6" w:space="0"/>
              <w:left w:val="single" w:color="auto" w:sz="6" w:space="0"/>
              <w:bottom w:val="single" w:color="auto" w:sz="6" w:space="0"/>
              <w:right w:val="single" w:color="auto" w:sz="12" w:space="0"/>
            </w:tcBorders>
            <w:vAlign w:val="center"/>
          </w:tcPr>
          <w:p w14:paraId="5B119727">
            <w:pPr>
              <w:pStyle w:val="18"/>
              <w:spacing w:line="240" w:lineRule="auto"/>
              <w:jc w:val="center"/>
              <w:rPr>
                <w:rFonts w:asciiTheme="minorEastAsia" w:hAnsiTheme="minorEastAsia"/>
                <w:color w:val="auto"/>
                <w:sz w:val="18"/>
              </w:rPr>
            </w:pPr>
          </w:p>
        </w:tc>
      </w:tr>
      <w:tr w14:paraId="7DCD995B">
        <w:tblPrEx>
          <w:tblCellMar>
            <w:top w:w="0" w:type="dxa"/>
            <w:left w:w="28" w:type="dxa"/>
            <w:bottom w:w="0" w:type="dxa"/>
            <w:right w:w="28" w:type="dxa"/>
          </w:tblCellMar>
        </w:tblPrEx>
        <w:trPr>
          <w:cantSplit/>
          <w:trHeight w:val="655" w:hRule="atLeast"/>
          <w:jc w:val="center"/>
        </w:trPr>
        <w:tc>
          <w:tcPr>
            <w:tcW w:w="1345" w:type="dxa"/>
            <w:tcBorders>
              <w:top w:val="single" w:color="auto" w:sz="6" w:space="0"/>
              <w:left w:val="single" w:color="auto" w:sz="12" w:space="0"/>
              <w:bottom w:val="single" w:color="auto" w:sz="6" w:space="0"/>
              <w:right w:val="single" w:color="auto" w:sz="6" w:space="0"/>
            </w:tcBorders>
            <w:vAlign w:val="center"/>
          </w:tcPr>
          <w:p w14:paraId="58374EE1">
            <w:pPr>
              <w:pStyle w:val="18"/>
              <w:spacing w:line="240" w:lineRule="auto"/>
              <w:jc w:val="center"/>
              <w:rPr>
                <w:rFonts w:asciiTheme="minorEastAsia" w:hAnsiTheme="minorEastAsia"/>
                <w:color w:val="auto"/>
                <w:sz w:val="18"/>
              </w:rPr>
            </w:pPr>
          </w:p>
        </w:tc>
        <w:tc>
          <w:tcPr>
            <w:tcW w:w="1676" w:type="dxa"/>
            <w:tcBorders>
              <w:top w:val="single" w:color="auto" w:sz="4" w:space="0"/>
              <w:left w:val="single" w:color="auto" w:sz="6" w:space="0"/>
              <w:bottom w:val="single" w:color="auto" w:sz="4" w:space="0"/>
              <w:right w:val="single" w:color="auto" w:sz="4" w:space="0"/>
            </w:tcBorders>
            <w:vAlign w:val="center"/>
          </w:tcPr>
          <w:p w14:paraId="1FF1ED9B">
            <w:pPr>
              <w:pStyle w:val="18"/>
              <w:spacing w:line="240" w:lineRule="auto"/>
              <w:jc w:val="center"/>
              <w:rPr>
                <w:rFonts w:asciiTheme="minorEastAsia" w:hAnsiTheme="minorEastAsia"/>
                <w:color w:val="auto"/>
                <w:sz w:val="18"/>
              </w:rPr>
            </w:pPr>
          </w:p>
        </w:tc>
        <w:tc>
          <w:tcPr>
            <w:tcW w:w="2031" w:type="dxa"/>
            <w:tcBorders>
              <w:top w:val="single" w:color="auto" w:sz="4" w:space="0"/>
              <w:left w:val="single" w:color="auto" w:sz="4" w:space="0"/>
              <w:bottom w:val="single" w:color="auto" w:sz="4" w:space="0"/>
              <w:right w:val="single" w:color="auto" w:sz="6" w:space="0"/>
            </w:tcBorders>
            <w:vAlign w:val="center"/>
          </w:tcPr>
          <w:p w14:paraId="5481B633">
            <w:pPr>
              <w:pStyle w:val="18"/>
              <w:spacing w:line="240" w:lineRule="auto"/>
              <w:jc w:val="center"/>
              <w:rPr>
                <w:rFonts w:asciiTheme="minorEastAsia" w:hAnsiTheme="minorEastAsia"/>
                <w:color w:val="auto"/>
                <w:sz w:val="18"/>
              </w:rPr>
            </w:pPr>
          </w:p>
        </w:tc>
        <w:tc>
          <w:tcPr>
            <w:tcW w:w="1410" w:type="dxa"/>
            <w:tcBorders>
              <w:top w:val="single" w:color="auto" w:sz="6" w:space="0"/>
              <w:left w:val="single" w:color="auto" w:sz="6" w:space="0"/>
              <w:bottom w:val="single" w:color="auto" w:sz="6" w:space="0"/>
              <w:right w:val="single" w:color="auto" w:sz="6" w:space="0"/>
            </w:tcBorders>
            <w:vAlign w:val="center"/>
          </w:tcPr>
          <w:p w14:paraId="41AE7353">
            <w:pPr>
              <w:pStyle w:val="18"/>
              <w:spacing w:line="240" w:lineRule="auto"/>
              <w:jc w:val="center"/>
              <w:rPr>
                <w:rFonts w:asciiTheme="minorEastAsia" w:hAnsiTheme="minorEastAsia"/>
                <w:color w:val="auto"/>
                <w:sz w:val="18"/>
              </w:rPr>
            </w:pPr>
          </w:p>
        </w:tc>
        <w:tc>
          <w:tcPr>
            <w:tcW w:w="1349" w:type="dxa"/>
            <w:tcBorders>
              <w:top w:val="single" w:color="auto" w:sz="6" w:space="0"/>
              <w:left w:val="single" w:color="auto" w:sz="6" w:space="0"/>
              <w:bottom w:val="single" w:color="auto" w:sz="6" w:space="0"/>
              <w:right w:val="single" w:color="auto" w:sz="6" w:space="0"/>
            </w:tcBorders>
            <w:vAlign w:val="center"/>
          </w:tcPr>
          <w:p w14:paraId="43CDBCDF">
            <w:pPr>
              <w:pStyle w:val="18"/>
              <w:spacing w:line="240" w:lineRule="auto"/>
              <w:jc w:val="center"/>
              <w:rPr>
                <w:rFonts w:asciiTheme="minorEastAsia" w:hAnsiTheme="minorEastAsia"/>
                <w:color w:val="auto"/>
                <w:sz w:val="18"/>
              </w:rPr>
            </w:pPr>
          </w:p>
        </w:tc>
        <w:tc>
          <w:tcPr>
            <w:tcW w:w="1316" w:type="dxa"/>
            <w:tcBorders>
              <w:top w:val="single" w:color="auto" w:sz="6" w:space="0"/>
              <w:left w:val="single" w:color="auto" w:sz="6" w:space="0"/>
              <w:bottom w:val="single" w:color="auto" w:sz="6" w:space="0"/>
              <w:right w:val="single" w:color="auto" w:sz="12" w:space="0"/>
            </w:tcBorders>
            <w:vAlign w:val="center"/>
          </w:tcPr>
          <w:p w14:paraId="517AF64B">
            <w:pPr>
              <w:pStyle w:val="18"/>
              <w:spacing w:line="240" w:lineRule="auto"/>
              <w:jc w:val="center"/>
              <w:rPr>
                <w:rFonts w:asciiTheme="minorEastAsia" w:hAnsiTheme="minorEastAsia"/>
                <w:color w:val="auto"/>
                <w:sz w:val="18"/>
              </w:rPr>
            </w:pPr>
          </w:p>
        </w:tc>
      </w:tr>
      <w:tr w14:paraId="582083DE">
        <w:tblPrEx>
          <w:tblCellMar>
            <w:top w:w="0" w:type="dxa"/>
            <w:left w:w="28" w:type="dxa"/>
            <w:bottom w:w="0" w:type="dxa"/>
            <w:right w:w="28" w:type="dxa"/>
          </w:tblCellMar>
        </w:tblPrEx>
        <w:trPr>
          <w:cantSplit/>
          <w:trHeight w:val="655" w:hRule="atLeast"/>
          <w:jc w:val="center"/>
        </w:trPr>
        <w:tc>
          <w:tcPr>
            <w:tcW w:w="1345" w:type="dxa"/>
            <w:tcBorders>
              <w:top w:val="single" w:color="auto" w:sz="6" w:space="0"/>
              <w:left w:val="single" w:color="auto" w:sz="12" w:space="0"/>
              <w:bottom w:val="single" w:color="auto" w:sz="6" w:space="0"/>
              <w:right w:val="single" w:color="auto" w:sz="6" w:space="0"/>
            </w:tcBorders>
            <w:vAlign w:val="center"/>
          </w:tcPr>
          <w:p w14:paraId="5590A72C">
            <w:pPr>
              <w:pStyle w:val="18"/>
              <w:spacing w:line="240" w:lineRule="auto"/>
              <w:jc w:val="center"/>
              <w:rPr>
                <w:rFonts w:asciiTheme="minorEastAsia" w:hAnsiTheme="minorEastAsia"/>
                <w:color w:val="auto"/>
                <w:sz w:val="18"/>
              </w:rPr>
            </w:pPr>
          </w:p>
        </w:tc>
        <w:tc>
          <w:tcPr>
            <w:tcW w:w="1676" w:type="dxa"/>
            <w:tcBorders>
              <w:top w:val="single" w:color="auto" w:sz="4" w:space="0"/>
              <w:left w:val="single" w:color="auto" w:sz="6" w:space="0"/>
              <w:bottom w:val="single" w:color="auto" w:sz="4" w:space="0"/>
              <w:right w:val="single" w:color="auto" w:sz="4" w:space="0"/>
            </w:tcBorders>
            <w:vAlign w:val="center"/>
          </w:tcPr>
          <w:p w14:paraId="421A3D24">
            <w:pPr>
              <w:pStyle w:val="18"/>
              <w:spacing w:line="240" w:lineRule="auto"/>
              <w:jc w:val="center"/>
              <w:rPr>
                <w:rFonts w:asciiTheme="minorEastAsia" w:hAnsiTheme="minorEastAsia"/>
                <w:color w:val="auto"/>
                <w:sz w:val="18"/>
              </w:rPr>
            </w:pPr>
          </w:p>
        </w:tc>
        <w:tc>
          <w:tcPr>
            <w:tcW w:w="2031" w:type="dxa"/>
            <w:tcBorders>
              <w:top w:val="single" w:color="auto" w:sz="4" w:space="0"/>
              <w:left w:val="single" w:color="auto" w:sz="4" w:space="0"/>
              <w:bottom w:val="single" w:color="auto" w:sz="4" w:space="0"/>
              <w:right w:val="single" w:color="auto" w:sz="6" w:space="0"/>
            </w:tcBorders>
            <w:vAlign w:val="center"/>
          </w:tcPr>
          <w:p w14:paraId="40CBF427">
            <w:pPr>
              <w:pStyle w:val="18"/>
              <w:spacing w:line="240" w:lineRule="auto"/>
              <w:jc w:val="center"/>
              <w:rPr>
                <w:rFonts w:asciiTheme="minorEastAsia" w:hAnsiTheme="minorEastAsia"/>
                <w:color w:val="auto"/>
                <w:sz w:val="18"/>
              </w:rPr>
            </w:pPr>
          </w:p>
        </w:tc>
        <w:tc>
          <w:tcPr>
            <w:tcW w:w="1410" w:type="dxa"/>
            <w:tcBorders>
              <w:top w:val="single" w:color="auto" w:sz="6" w:space="0"/>
              <w:left w:val="single" w:color="auto" w:sz="6" w:space="0"/>
              <w:bottom w:val="single" w:color="auto" w:sz="6" w:space="0"/>
              <w:right w:val="single" w:color="auto" w:sz="6" w:space="0"/>
            </w:tcBorders>
            <w:vAlign w:val="center"/>
          </w:tcPr>
          <w:p w14:paraId="25A3B74E">
            <w:pPr>
              <w:pStyle w:val="18"/>
              <w:spacing w:line="240" w:lineRule="auto"/>
              <w:jc w:val="center"/>
              <w:rPr>
                <w:rFonts w:asciiTheme="minorEastAsia" w:hAnsiTheme="minorEastAsia"/>
                <w:color w:val="auto"/>
                <w:sz w:val="18"/>
              </w:rPr>
            </w:pPr>
          </w:p>
        </w:tc>
        <w:tc>
          <w:tcPr>
            <w:tcW w:w="1349" w:type="dxa"/>
            <w:tcBorders>
              <w:top w:val="single" w:color="auto" w:sz="6" w:space="0"/>
              <w:left w:val="single" w:color="auto" w:sz="6" w:space="0"/>
              <w:bottom w:val="single" w:color="auto" w:sz="6" w:space="0"/>
              <w:right w:val="single" w:color="auto" w:sz="6" w:space="0"/>
            </w:tcBorders>
            <w:vAlign w:val="center"/>
          </w:tcPr>
          <w:p w14:paraId="3ED76106">
            <w:pPr>
              <w:pStyle w:val="18"/>
              <w:spacing w:line="240" w:lineRule="auto"/>
              <w:jc w:val="center"/>
              <w:rPr>
                <w:rFonts w:asciiTheme="minorEastAsia" w:hAnsiTheme="minorEastAsia"/>
                <w:color w:val="auto"/>
                <w:sz w:val="18"/>
              </w:rPr>
            </w:pPr>
          </w:p>
        </w:tc>
        <w:tc>
          <w:tcPr>
            <w:tcW w:w="1316" w:type="dxa"/>
            <w:tcBorders>
              <w:top w:val="single" w:color="auto" w:sz="6" w:space="0"/>
              <w:left w:val="single" w:color="auto" w:sz="6" w:space="0"/>
              <w:bottom w:val="single" w:color="auto" w:sz="6" w:space="0"/>
              <w:right w:val="single" w:color="auto" w:sz="12" w:space="0"/>
            </w:tcBorders>
            <w:vAlign w:val="center"/>
          </w:tcPr>
          <w:p w14:paraId="347CAB61">
            <w:pPr>
              <w:pStyle w:val="18"/>
              <w:spacing w:line="240" w:lineRule="auto"/>
              <w:jc w:val="center"/>
              <w:rPr>
                <w:rFonts w:asciiTheme="minorEastAsia" w:hAnsiTheme="minorEastAsia"/>
                <w:color w:val="auto"/>
                <w:sz w:val="18"/>
              </w:rPr>
            </w:pPr>
          </w:p>
        </w:tc>
      </w:tr>
      <w:tr w14:paraId="19F43CE5">
        <w:tblPrEx>
          <w:tblCellMar>
            <w:top w:w="0" w:type="dxa"/>
            <w:left w:w="28" w:type="dxa"/>
            <w:bottom w:w="0" w:type="dxa"/>
            <w:right w:w="28" w:type="dxa"/>
          </w:tblCellMar>
        </w:tblPrEx>
        <w:trPr>
          <w:cantSplit/>
          <w:trHeight w:val="655" w:hRule="atLeast"/>
          <w:jc w:val="center"/>
        </w:trPr>
        <w:tc>
          <w:tcPr>
            <w:tcW w:w="1345" w:type="dxa"/>
            <w:tcBorders>
              <w:top w:val="single" w:color="auto" w:sz="6" w:space="0"/>
              <w:left w:val="single" w:color="auto" w:sz="12" w:space="0"/>
              <w:bottom w:val="single" w:color="auto" w:sz="6" w:space="0"/>
              <w:right w:val="single" w:color="auto" w:sz="6" w:space="0"/>
            </w:tcBorders>
            <w:vAlign w:val="center"/>
          </w:tcPr>
          <w:p w14:paraId="75B95904">
            <w:pPr>
              <w:pStyle w:val="18"/>
              <w:spacing w:line="240" w:lineRule="auto"/>
              <w:jc w:val="center"/>
              <w:rPr>
                <w:rFonts w:asciiTheme="minorEastAsia" w:hAnsiTheme="minorEastAsia"/>
                <w:color w:val="auto"/>
                <w:sz w:val="18"/>
              </w:rPr>
            </w:pPr>
          </w:p>
        </w:tc>
        <w:tc>
          <w:tcPr>
            <w:tcW w:w="1676" w:type="dxa"/>
            <w:tcBorders>
              <w:top w:val="single" w:color="auto" w:sz="4" w:space="0"/>
              <w:left w:val="single" w:color="auto" w:sz="6" w:space="0"/>
              <w:bottom w:val="single" w:color="auto" w:sz="4" w:space="0"/>
              <w:right w:val="single" w:color="auto" w:sz="4" w:space="0"/>
            </w:tcBorders>
            <w:vAlign w:val="center"/>
          </w:tcPr>
          <w:p w14:paraId="06F10D49">
            <w:pPr>
              <w:pStyle w:val="18"/>
              <w:spacing w:line="240" w:lineRule="auto"/>
              <w:jc w:val="center"/>
              <w:rPr>
                <w:rFonts w:asciiTheme="minorEastAsia" w:hAnsiTheme="minorEastAsia"/>
                <w:color w:val="auto"/>
                <w:sz w:val="18"/>
              </w:rPr>
            </w:pPr>
          </w:p>
        </w:tc>
        <w:tc>
          <w:tcPr>
            <w:tcW w:w="2031" w:type="dxa"/>
            <w:tcBorders>
              <w:top w:val="single" w:color="auto" w:sz="4" w:space="0"/>
              <w:left w:val="single" w:color="auto" w:sz="4" w:space="0"/>
              <w:bottom w:val="single" w:color="auto" w:sz="4" w:space="0"/>
              <w:right w:val="single" w:color="auto" w:sz="6" w:space="0"/>
            </w:tcBorders>
            <w:vAlign w:val="center"/>
          </w:tcPr>
          <w:p w14:paraId="64299082">
            <w:pPr>
              <w:pStyle w:val="18"/>
              <w:spacing w:line="240" w:lineRule="auto"/>
              <w:jc w:val="center"/>
              <w:rPr>
                <w:rFonts w:asciiTheme="minorEastAsia" w:hAnsiTheme="minorEastAsia"/>
                <w:color w:val="auto"/>
                <w:sz w:val="18"/>
              </w:rPr>
            </w:pPr>
          </w:p>
        </w:tc>
        <w:tc>
          <w:tcPr>
            <w:tcW w:w="1410" w:type="dxa"/>
            <w:tcBorders>
              <w:top w:val="single" w:color="auto" w:sz="6" w:space="0"/>
              <w:left w:val="single" w:color="auto" w:sz="6" w:space="0"/>
              <w:bottom w:val="single" w:color="auto" w:sz="6" w:space="0"/>
              <w:right w:val="single" w:color="auto" w:sz="6" w:space="0"/>
            </w:tcBorders>
            <w:vAlign w:val="center"/>
          </w:tcPr>
          <w:p w14:paraId="4DADDED2">
            <w:pPr>
              <w:pStyle w:val="18"/>
              <w:spacing w:line="240" w:lineRule="auto"/>
              <w:jc w:val="center"/>
              <w:rPr>
                <w:rFonts w:asciiTheme="minorEastAsia" w:hAnsiTheme="minorEastAsia"/>
                <w:color w:val="auto"/>
                <w:sz w:val="18"/>
              </w:rPr>
            </w:pPr>
          </w:p>
        </w:tc>
        <w:tc>
          <w:tcPr>
            <w:tcW w:w="1349" w:type="dxa"/>
            <w:tcBorders>
              <w:top w:val="single" w:color="auto" w:sz="6" w:space="0"/>
              <w:left w:val="single" w:color="auto" w:sz="6" w:space="0"/>
              <w:bottom w:val="single" w:color="auto" w:sz="6" w:space="0"/>
              <w:right w:val="single" w:color="auto" w:sz="6" w:space="0"/>
            </w:tcBorders>
            <w:vAlign w:val="center"/>
          </w:tcPr>
          <w:p w14:paraId="2CE7755E">
            <w:pPr>
              <w:pStyle w:val="18"/>
              <w:spacing w:line="240" w:lineRule="auto"/>
              <w:jc w:val="center"/>
              <w:rPr>
                <w:rFonts w:asciiTheme="minorEastAsia" w:hAnsiTheme="minorEastAsia"/>
                <w:color w:val="auto"/>
                <w:sz w:val="18"/>
              </w:rPr>
            </w:pPr>
          </w:p>
        </w:tc>
        <w:tc>
          <w:tcPr>
            <w:tcW w:w="1316" w:type="dxa"/>
            <w:tcBorders>
              <w:top w:val="single" w:color="auto" w:sz="6" w:space="0"/>
              <w:left w:val="single" w:color="auto" w:sz="6" w:space="0"/>
              <w:bottom w:val="single" w:color="auto" w:sz="6" w:space="0"/>
              <w:right w:val="single" w:color="auto" w:sz="12" w:space="0"/>
            </w:tcBorders>
            <w:vAlign w:val="center"/>
          </w:tcPr>
          <w:p w14:paraId="59C6E7EE">
            <w:pPr>
              <w:pStyle w:val="18"/>
              <w:spacing w:line="240" w:lineRule="auto"/>
              <w:jc w:val="center"/>
              <w:rPr>
                <w:rFonts w:asciiTheme="minorEastAsia" w:hAnsiTheme="minorEastAsia"/>
                <w:color w:val="auto"/>
                <w:sz w:val="18"/>
              </w:rPr>
            </w:pPr>
          </w:p>
        </w:tc>
      </w:tr>
      <w:tr w14:paraId="3B72EED1">
        <w:tblPrEx>
          <w:tblCellMar>
            <w:top w:w="0" w:type="dxa"/>
            <w:left w:w="28" w:type="dxa"/>
            <w:bottom w:w="0" w:type="dxa"/>
            <w:right w:w="28" w:type="dxa"/>
          </w:tblCellMar>
        </w:tblPrEx>
        <w:trPr>
          <w:cantSplit/>
          <w:trHeight w:val="655" w:hRule="atLeast"/>
          <w:jc w:val="center"/>
        </w:trPr>
        <w:tc>
          <w:tcPr>
            <w:tcW w:w="1345" w:type="dxa"/>
            <w:tcBorders>
              <w:top w:val="single" w:color="auto" w:sz="6" w:space="0"/>
              <w:left w:val="single" w:color="auto" w:sz="12" w:space="0"/>
              <w:bottom w:val="single" w:color="auto" w:sz="6" w:space="0"/>
              <w:right w:val="single" w:color="auto" w:sz="6" w:space="0"/>
            </w:tcBorders>
            <w:vAlign w:val="center"/>
          </w:tcPr>
          <w:p w14:paraId="4EBC505E">
            <w:pPr>
              <w:pStyle w:val="18"/>
              <w:spacing w:line="240" w:lineRule="auto"/>
              <w:jc w:val="center"/>
              <w:rPr>
                <w:rFonts w:asciiTheme="minorEastAsia" w:hAnsiTheme="minorEastAsia"/>
                <w:color w:val="auto"/>
                <w:sz w:val="18"/>
              </w:rPr>
            </w:pPr>
          </w:p>
        </w:tc>
        <w:tc>
          <w:tcPr>
            <w:tcW w:w="1676" w:type="dxa"/>
            <w:tcBorders>
              <w:top w:val="single" w:color="auto" w:sz="4" w:space="0"/>
              <w:left w:val="single" w:color="auto" w:sz="6" w:space="0"/>
              <w:bottom w:val="single" w:color="auto" w:sz="4" w:space="0"/>
              <w:right w:val="single" w:color="auto" w:sz="4" w:space="0"/>
            </w:tcBorders>
            <w:vAlign w:val="center"/>
          </w:tcPr>
          <w:p w14:paraId="00EBAB7A">
            <w:pPr>
              <w:pStyle w:val="18"/>
              <w:spacing w:line="240" w:lineRule="auto"/>
              <w:jc w:val="center"/>
              <w:rPr>
                <w:rFonts w:asciiTheme="minorEastAsia" w:hAnsiTheme="minorEastAsia"/>
                <w:color w:val="auto"/>
                <w:sz w:val="18"/>
              </w:rPr>
            </w:pPr>
          </w:p>
        </w:tc>
        <w:tc>
          <w:tcPr>
            <w:tcW w:w="2031" w:type="dxa"/>
            <w:tcBorders>
              <w:top w:val="single" w:color="auto" w:sz="4" w:space="0"/>
              <w:left w:val="single" w:color="auto" w:sz="4" w:space="0"/>
              <w:bottom w:val="single" w:color="auto" w:sz="4" w:space="0"/>
              <w:right w:val="single" w:color="auto" w:sz="6" w:space="0"/>
            </w:tcBorders>
            <w:vAlign w:val="center"/>
          </w:tcPr>
          <w:p w14:paraId="733A5ECE">
            <w:pPr>
              <w:pStyle w:val="18"/>
              <w:spacing w:line="240" w:lineRule="auto"/>
              <w:jc w:val="center"/>
              <w:rPr>
                <w:rFonts w:asciiTheme="minorEastAsia" w:hAnsiTheme="minorEastAsia"/>
                <w:color w:val="auto"/>
                <w:sz w:val="18"/>
              </w:rPr>
            </w:pPr>
          </w:p>
        </w:tc>
        <w:tc>
          <w:tcPr>
            <w:tcW w:w="1410" w:type="dxa"/>
            <w:tcBorders>
              <w:top w:val="single" w:color="auto" w:sz="6" w:space="0"/>
              <w:left w:val="single" w:color="auto" w:sz="6" w:space="0"/>
              <w:bottom w:val="single" w:color="auto" w:sz="6" w:space="0"/>
              <w:right w:val="single" w:color="auto" w:sz="6" w:space="0"/>
            </w:tcBorders>
            <w:vAlign w:val="center"/>
          </w:tcPr>
          <w:p w14:paraId="274DED9E">
            <w:pPr>
              <w:pStyle w:val="18"/>
              <w:spacing w:line="240" w:lineRule="auto"/>
              <w:jc w:val="center"/>
              <w:rPr>
                <w:rFonts w:asciiTheme="minorEastAsia" w:hAnsiTheme="minorEastAsia"/>
                <w:color w:val="auto"/>
                <w:sz w:val="18"/>
              </w:rPr>
            </w:pPr>
          </w:p>
        </w:tc>
        <w:tc>
          <w:tcPr>
            <w:tcW w:w="1349" w:type="dxa"/>
            <w:tcBorders>
              <w:top w:val="single" w:color="auto" w:sz="6" w:space="0"/>
              <w:left w:val="single" w:color="auto" w:sz="6" w:space="0"/>
              <w:bottom w:val="single" w:color="auto" w:sz="6" w:space="0"/>
              <w:right w:val="single" w:color="auto" w:sz="6" w:space="0"/>
            </w:tcBorders>
            <w:vAlign w:val="center"/>
          </w:tcPr>
          <w:p w14:paraId="59E706CA">
            <w:pPr>
              <w:pStyle w:val="18"/>
              <w:spacing w:line="240" w:lineRule="auto"/>
              <w:jc w:val="center"/>
              <w:rPr>
                <w:rFonts w:asciiTheme="minorEastAsia" w:hAnsiTheme="minorEastAsia"/>
                <w:color w:val="auto"/>
                <w:sz w:val="18"/>
              </w:rPr>
            </w:pPr>
          </w:p>
        </w:tc>
        <w:tc>
          <w:tcPr>
            <w:tcW w:w="1316" w:type="dxa"/>
            <w:tcBorders>
              <w:top w:val="single" w:color="auto" w:sz="6" w:space="0"/>
              <w:left w:val="single" w:color="auto" w:sz="6" w:space="0"/>
              <w:bottom w:val="single" w:color="auto" w:sz="6" w:space="0"/>
              <w:right w:val="single" w:color="auto" w:sz="12" w:space="0"/>
            </w:tcBorders>
            <w:vAlign w:val="center"/>
          </w:tcPr>
          <w:p w14:paraId="0DA40E1F">
            <w:pPr>
              <w:pStyle w:val="18"/>
              <w:spacing w:line="240" w:lineRule="auto"/>
              <w:jc w:val="center"/>
              <w:rPr>
                <w:rFonts w:asciiTheme="minorEastAsia" w:hAnsiTheme="minorEastAsia"/>
                <w:color w:val="auto"/>
                <w:sz w:val="18"/>
              </w:rPr>
            </w:pPr>
          </w:p>
        </w:tc>
      </w:tr>
    </w:tbl>
    <w:p w14:paraId="45F555EF">
      <w:pPr>
        <w:rPr>
          <w:rFonts w:asciiTheme="minorEastAsia" w:hAnsiTheme="minorEastAsia"/>
        </w:rPr>
      </w:pPr>
    </w:p>
    <w:p w14:paraId="354CE104">
      <w:pPr>
        <w:rPr>
          <w:rFonts w:asciiTheme="minorEastAsia" w:hAnsiTheme="minorEastAsia"/>
        </w:rPr>
      </w:pPr>
    </w:p>
    <w:p w14:paraId="4F875832">
      <w:pPr>
        <w:rPr>
          <w:rFonts w:asciiTheme="minorEastAsia" w:hAnsiTheme="minorEastAsia"/>
        </w:rPr>
      </w:pPr>
    </w:p>
    <w:p w14:paraId="179A70A3">
      <w:pPr>
        <w:pStyle w:val="11"/>
        <w:tabs>
          <w:tab w:val="right" w:leader="dot" w:pos="9345"/>
        </w:tabs>
        <w:spacing w:line="560" w:lineRule="exact"/>
        <w:rPr>
          <w:rFonts w:asciiTheme="minorEastAsia" w:hAnsiTheme="minorEastAsia"/>
          <w:sz w:val="32"/>
          <w:szCs w:val="32"/>
        </w:rPr>
      </w:pPr>
    </w:p>
    <w:p w14:paraId="6378148B">
      <w:pPr>
        <w:pStyle w:val="11"/>
        <w:tabs>
          <w:tab w:val="right" w:leader="dot" w:pos="9345"/>
        </w:tabs>
        <w:spacing w:line="560" w:lineRule="exact"/>
        <w:rPr>
          <w:rFonts w:asciiTheme="minorEastAsia" w:hAnsiTheme="minorEastAsia"/>
          <w:sz w:val="32"/>
          <w:szCs w:val="32"/>
        </w:rPr>
      </w:pPr>
      <w:r>
        <w:rPr>
          <w:rFonts w:hint="eastAsia" w:asciiTheme="minorEastAsia" w:hAnsiTheme="minorEastAsia"/>
          <w:sz w:val="32"/>
          <w:szCs w:val="32"/>
        </w:rPr>
        <w:t>目    录</w:t>
      </w:r>
    </w:p>
    <w:p w14:paraId="222EFFFB"/>
    <w:p w14:paraId="7EE3EA16">
      <w:pPr>
        <w:pStyle w:val="11"/>
        <w:tabs>
          <w:tab w:val="right" w:leader="dot" w:pos="9345"/>
        </w:tabs>
        <w:spacing w:line="560" w:lineRule="exact"/>
        <w:rPr>
          <w:rFonts w:asciiTheme="minorEastAsia" w:hAnsiTheme="minorEastAsia"/>
          <w:sz w:val="24"/>
          <w:szCs w:val="24"/>
        </w:rPr>
      </w:pPr>
      <w:r>
        <w:rPr>
          <w:rFonts w:hint="eastAsia" w:asciiTheme="minorEastAsia" w:hAnsiTheme="minorEastAsia"/>
          <w:sz w:val="24"/>
          <w:szCs w:val="24"/>
        </w:rPr>
        <w:t xml:space="preserve">0.1  实施令  </w:t>
      </w:r>
      <w:r>
        <w:rPr>
          <w:rFonts w:hint="eastAsia" w:asciiTheme="minorEastAsia" w:hAnsiTheme="minorEastAsia"/>
          <w:sz w:val="24"/>
          <w:szCs w:val="24"/>
        </w:rPr>
        <w:tab/>
      </w:r>
      <w:r>
        <w:rPr>
          <w:rFonts w:hint="eastAsia" w:asciiTheme="minorEastAsia" w:hAnsiTheme="minorEastAsia"/>
          <w:sz w:val="24"/>
          <w:szCs w:val="24"/>
        </w:rPr>
        <w:t>1</w:t>
      </w:r>
    </w:p>
    <w:p w14:paraId="592D203F">
      <w:pPr>
        <w:pStyle w:val="11"/>
        <w:tabs>
          <w:tab w:val="right" w:leader="dot" w:pos="9345"/>
        </w:tabs>
        <w:spacing w:line="560" w:lineRule="exact"/>
        <w:rPr>
          <w:rFonts w:asciiTheme="minorEastAsia" w:hAnsiTheme="minorEastAsia"/>
          <w:sz w:val="24"/>
          <w:szCs w:val="24"/>
        </w:rPr>
      </w:pPr>
      <w:r>
        <w:rPr>
          <w:rFonts w:hint="eastAsia" w:asciiTheme="minorEastAsia" w:hAnsiTheme="minorEastAsia"/>
          <w:sz w:val="24"/>
          <w:szCs w:val="24"/>
        </w:rPr>
        <w:t xml:space="preserve">0.2  任命书  </w:t>
      </w:r>
      <w:r>
        <w:rPr>
          <w:rFonts w:hint="eastAsia" w:asciiTheme="minorEastAsia" w:hAnsiTheme="minorEastAsia"/>
          <w:sz w:val="24"/>
          <w:szCs w:val="24"/>
        </w:rPr>
        <w:tab/>
      </w:r>
      <w:r>
        <w:rPr>
          <w:rFonts w:hint="eastAsia" w:asciiTheme="minorEastAsia" w:hAnsiTheme="minorEastAsia"/>
          <w:sz w:val="24"/>
          <w:szCs w:val="24"/>
        </w:rPr>
        <w:t>2</w:t>
      </w:r>
    </w:p>
    <w:p w14:paraId="7C72B98B">
      <w:pPr>
        <w:pStyle w:val="11"/>
        <w:tabs>
          <w:tab w:val="right" w:leader="dot" w:pos="9345"/>
        </w:tabs>
        <w:spacing w:line="560" w:lineRule="exact"/>
        <w:rPr>
          <w:rFonts w:asciiTheme="minorEastAsia" w:hAnsiTheme="minorEastAsia"/>
          <w:sz w:val="24"/>
          <w:szCs w:val="24"/>
        </w:rPr>
      </w:pPr>
      <w:r>
        <w:rPr>
          <w:rFonts w:hint="eastAsia" w:asciiTheme="minorEastAsia" w:hAnsiTheme="minorEastAsia"/>
          <w:sz w:val="24"/>
          <w:szCs w:val="24"/>
        </w:rPr>
        <w:t>0.3  公司简介</w:t>
      </w:r>
      <w:r>
        <w:rPr>
          <w:rFonts w:hint="eastAsia" w:asciiTheme="minorEastAsia" w:hAnsiTheme="minorEastAsia"/>
          <w:sz w:val="24"/>
          <w:szCs w:val="24"/>
        </w:rPr>
        <w:tab/>
      </w:r>
      <w:r>
        <w:rPr>
          <w:rFonts w:hint="eastAsia" w:asciiTheme="minorEastAsia" w:hAnsiTheme="minorEastAsia"/>
          <w:sz w:val="24"/>
          <w:szCs w:val="24"/>
        </w:rPr>
        <w:t>3</w:t>
      </w:r>
    </w:p>
    <w:p w14:paraId="0CB33406">
      <w:pPr>
        <w:pStyle w:val="11"/>
        <w:tabs>
          <w:tab w:val="right" w:leader="dot" w:pos="9345"/>
        </w:tabs>
        <w:spacing w:line="560" w:lineRule="exact"/>
        <w:rPr>
          <w:rFonts w:asciiTheme="minorEastAsia" w:hAnsiTheme="minorEastAsia"/>
          <w:sz w:val="24"/>
          <w:szCs w:val="24"/>
        </w:rPr>
      </w:pPr>
      <w:r>
        <w:rPr>
          <w:rFonts w:hint="eastAsia" w:asciiTheme="minorEastAsia" w:hAnsiTheme="minorEastAsia"/>
          <w:sz w:val="24"/>
          <w:szCs w:val="24"/>
        </w:rPr>
        <w:t>0.4  质量环境职业健康安全方针</w:t>
      </w:r>
      <w:r>
        <w:rPr>
          <w:rFonts w:hint="eastAsia" w:asciiTheme="minorEastAsia" w:hAnsiTheme="minorEastAsia"/>
          <w:sz w:val="24"/>
          <w:szCs w:val="24"/>
        </w:rPr>
        <w:tab/>
      </w:r>
      <w:r>
        <w:rPr>
          <w:rFonts w:hint="eastAsia" w:asciiTheme="minorEastAsia" w:hAnsiTheme="minorEastAsia"/>
          <w:sz w:val="24"/>
          <w:szCs w:val="24"/>
        </w:rPr>
        <w:t>4</w:t>
      </w:r>
    </w:p>
    <w:p w14:paraId="4ADCD601">
      <w:pPr>
        <w:pStyle w:val="11"/>
        <w:tabs>
          <w:tab w:val="right" w:leader="dot" w:pos="9345"/>
        </w:tabs>
        <w:spacing w:line="560" w:lineRule="exact"/>
        <w:rPr>
          <w:rFonts w:asciiTheme="minorEastAsia" w:hAnsiTheme="minorEastAsia"/>
          <w:sz w:val="24"/>
          <w:szCs w:val="24"/>
        </w:rPr>
      </w:pPr>
      <w:r>
        <w:rPr>
          <w:rFonts w:hint="eastAsia" w:asciiTheme="minorEastAsia" w:hAnsiTheme="minorEastAsia"/>
          <w:sz w:val="24"/>
          <w:szCs w:val="24"/>
        </w:rPr>
        <w:t>0.5  质量环境职业健康安全目标</w:t>
      </w:r>
      <w:r>
        <w:rPr>
          <w:rFonts w:hint="eastAsia" w:asciiTheme="minorEastAsia" w:hAnsiTheme="minorEastAsia"/>
          <w:sz w:val="24"/>
          <w:szCs w:val="24"/>
        </w:rPr>
        <w:tab/>
      </w:r>
      <w:r>
        <w:rPr>
          <w:rFonts w:hint="eastAsia" w:asciiTheme="minorEastAsia" w:hAnsiTheme="minorEastAsia"/>
          <w:sz w:val="24"/>
          <w:szCs w:val="24"/>
        </w:rPr>
        <w:t>5</w:t>
      </w:r>
    </w:p>
    <w:p w14:paraId="04F3C634">
      <w:pPr>
        <w:pStyle w:val="11"/>
        <w:tabs>
          <w:tab w:val="right" w:leader="dot" w:pos="9345"/>
        </w:tabs>
        <w:spacing w:line="560" w:lineRule="exact"/>
        <w:rPr>
          <w:rFonts w:asciiTheme="minorEastAsia" w:hAnsiTheme="minorEastAsia"/>
          <w:sz w:val="24"/>
          <w:szCs w:val="24"/>
        </w:rPr>
      </w:pPr>
      <w:r>
        <w:rPr>
          <w:rFonts w:hint="eastAsia" w:asciiTheme="minorEastAsia" w:hAnsiTheme="minorEastAsia"/>
          <w:sz w:val="24"/>
          <w:szCs w:val="24"/>
        </w:rPr>
        <w:t>0.6 公司组织结构</w:t>
      </w:r>
      <w:r>
        <w:rPr>
          <w:rFonts w:hint="eastAsia" w:asciiTheme="minorEastAsia" w:hAnsiTheme="minorEastAsia"/>
          <w:sz w:val="24"/>
          <w:szCs w:val="24"/>
        </w:rPr>
        <w:tab/>
      </w:r>
      <w:r>
        <w:rPr>
          <w:rFonts w:hint="eastAsia" w:asciiTheme="minorEastAsia" w:hAnsiTheme="minorEastAsia"/>
          <w:sz w:val="24"/>
          <w:szCs w:val="24"/>
        </w:rPr>
        <w:t>6</w:t>
      </w:r>
    </w:p>
    <w:p w14:paraId="76D607D3">
      <w:pPr>
        <w:pStyle w:val="11"/>
        <w:tabs>
          <w:tab w:val="right" w:leader="dot" w:pos="9345"/>
        </w:tabs>
        <w:spacing w:line="560" w:lineRule="exact"/>
        <w:rPr>
          <w:rFonts w:asciiTheme="minorEastAsia" w:hAnsiTheme="minorEastAsia"/>
          <w:sz w:val="24"/>
          <w:szCs w:val="24"/>
        </w:rPr>
      </w:pPr>
      <w:r>
        <w:rPr>
          <w:rFonts w:hint="eastAsia" w:asciiTheme="minorEastAsia" w:hAnsiTheme="minorEastAsia"/>
          <w:sz w:val="24"/>
          <w:szCs w:val="24"/>
        </w:rPr>
        <w:t>0.7 公司质量/环境/职业健康安全管理体系职能分配表</w:t>
      </w:r>
      <w:r>
        <w:rPr>
          <w:rFonts w:hint="eastAsia" w:asciiTheme="minorEastAsia" w:hAnsiTheme="minorEastAsia"/>
          <w:sz w:val="24"/>
          <w:szCs w:val="24"/>
        </w:rPr>
        <w:tab/>
      </w:r>
      <w:r>
        <w:rPr>
          <w:rFonts w:hint="eastAsia" w:asciiTheme="minorEastAsia" w:hAnsiTheme="minorEastAsia"/>
          <w:sz w:val="24"/>
          <w:szCs w:val="24"/>
        </w:rPr>
        <w:t>7</w:t>
      </w:r>
    </w:p>
    <w:p w14:paraId="505BDD08">
      <w:pPr>
        <w:pStyle w:val="11"/>
        <w:tabs>
          <w:tab w:val="right" w:leader="dot" w:pos="9345"/>
        </w:tabs>
        <w:spacing w:line="560" w:lineRule="exact"/>
        <w:rPr>
          <w:rFonts w:asciiTheme="minorEastAsia" w:hAnsiTheme="minorEastAsia"/>
          <w:sz w:val="24"/>
          <w:szCs w:val="24"/>
        </w:rPr>
      </w:pPr>
      <w:r>
        <w:rPr>
          <w:rFonts w:hint="eastAsia" w:asciiTheme="minorEastAsia" w:hAnsiTheme="minorEastAsia"/>
          <w:sz w:val="24"/>
          <w:szCs w:val="24"/>
        </w:rPr>
        <w:t>1.0  目的、适用范围、</w:t>
      </w:r>
      <w:r>
        <w:rPr>
          <w:rFonts w:hint="eastAsia" w:cs="宋体" w:asciiTheme="minorEastAsia" w:hAnsiTheme="minorEastAsia"/>
          <w:bCs/>
          <w:sz w:val="24"/>
          <w:szCs w:val="24"/>
        </w:rPr>
        <w:t>手册管理</w:t>
      </w:r>
      <w:r>
        <w:rPr>
          <w:rFonts w:hint="eastAsia" w:asciiTheme="minorEastAsia" w:hAnsiTheme="minorEastAsia"/>
          <w:sz w:val="24"/>
          <w:szCs w:val="24"/>
        </w:rPr>
        <w:tab/>
      </w:r>
      <w:r>
        <w:rPr>
          <w:rFonts w:hint="eastAsia" w:asciiTheme="minorEastAsia" w:hAnsiTheme="minorEastAsia"/>
          <w:sz w:val="24"/>
          <w:szCs w:val="24"/>
        </w:rPr>
        <w:t>9</w:t>
      </w:r>
    </w:p>
    <w:p w14:paraId="08B28626">
      <w:pPr>
        <w:pStyle w:val="11"/>
        <w:tabs>
          <w:tab w:val="right" w:leader="dot" w:pos="9345"/>
        </w:tabs>
        <w:spacing w:line="560" w:lineRule="exact"/>
        <w:rPr>
          <w:rFonts w:asciiTheme="minorEastAsia" w:hAnsiTheme="minorEastAsia"/>
          <w:sz w:val="24"/>
          <w:szCs w:val="24"/>
        </w:rPr>
      </w:pPr>
      <w:r>
        <w:rPr>
          <w:rFonts w:hint="eastAsia" w:asciiTheme="minorEastAsia" w:hAnsiTheme="minorEastAsia"/>
          <w:sz w:val="24"/>
          <w:szCs w:val="24"/>
        </w:rPr>
        <w:t xml:space="preserve">2.0  </w:t>
      </w:r>
      <w:r>
        <w:rPr>
          <w:rFonts w:hint="eastAsia" w:cs="宋体" w:asciiTheme="minorEastAsia" w:hAnsiTheme="minorEastAsia"/>
          <w:sz w:val="24"/>
          <w:szCs w:val="24"/>
        </w:rPr>
        <w:t>引用标准</w:t>
      </w:r>
      <w:r>
        <w:rPr>
          <w:rFonts w:hint="eastAsia" w:asciiTheme="minorEastAsia" w:hAnsiTheme="minorEastAsia"/>
          <w:sz w:val="24"/>
          <w:szCs w:val="24"/>
        </w:rPr>
        <w:tab/>
      </w:r>
      <w:r>
        <w:rPr>
          <w:rFonts w:hint="eastAsia" w:asciiTheme="minorEastAsia" w:hAnsiTheme="minorEastAsia"/>
          <w:sz w:val="24"/>
          <w:szCs w:val="24"/>
        </w:rPr>
        <w:t>10</w:t>
      </w:r>
    </w:p>
    <w:p w14:paraId="44A66537">
      <w:pPr>
        <w:pStyle w:val="11"/>
        <w:tabs>
          <w:tab w:val="right" w:leader="dot" w:pos="9345"/>
        </w:tabs>
        <w:spacing w:line="560" w:lineRule="exact"/>
        <w:rPr>
          <w:rFonts w:asciiTheme="minorEastAsia" w:hAnsiTheme="minorEastAsia"/>
          <w:sz w:val="24"/>
          <w:szCs w:val="24"/>
        </w:rPr>
      </w:pPr>
      <w:r>
        <w:rPr>
          <w:rFonts w:hint="eastAsia" w:asciiTheme="minorEastAsia" w:hAnsiTheme="minorEastAsia"/>
          <w:sz w:val="24"/>
          <w:szCs w:val="24"/>
        </w:rPr>
        <w:t>3.0  引用标准、名词及术语定义</w:t>
      </w:r>
      <w:r>
        <w:rPr>
          <w:rFonts w:hint="eastAsia" w:asciiTheme="minorEastAsia" w:hAnsiTheme="minorEastAsia"/>
          <w:sz w:val="24"/>
          <w:szCs w:val="24"/>
        </w:rPr>
        <w:tab/>
      </w:r>
      <w:r>
        <w:rPr>
          <w:rFonts w:hint="eastAsia" w:asciiTheme="minorEastAsia" w:hAnsiTheme="minorEastAsia"/>
          <w:sz w:val="24"/>
          <w:szCs w:val="24"/>
        </w:rPr>
        <w:t>10</w:t>
      </w:r>
    </w:p>
    <w:p w14:paraId="0E65D0C7">
      <w:pPr>
        <w:pStyle w:val="11"/>
        <w:tabs>
          <w:tab w:val="right" w:leader="dot" w:pos="9345"/>
        </w:tabs>
        <w:spacing w:line="560" w:lineRule="exact"/>
        <w:rPr>
          <w:rFonts w:asciiTheme="minorEastAsia" w:hAnsiTheme="minorEastAsia"/>
          <w:sz w:val="24"/>
          <w:szCs w:val="24"/>
        </w:rPr>
      </w:pPr>
      <w:r>
        <w:rPr>
          <w:rFonts w:hint="eastAsia" w:asciiTheme="minorEastAsia" w:hAnsiTheme="minorEastAsia"/>
          <w:sz w:val="24"/>
          <w:szCs w:val="24"/>
        </w:rPr>
        <w:t>4.1  理解组织及其所处的环境</w:t>
      </w:r>
      <w:r>
        <w:rPr>
          <w:rFonts w:hint="eastAsia" w:asciiTheme="minorEastAsia" w:hAnsiTheme="minorEastAsia"/>
          <w:sz w:val="24"/>
          <w:szCs w:val="24"/>
        </w:rPr>
        <w:tab/>
      </w:r>
      <w:r>
        <w:rPr>
          <w:rFonts w:hint="eastAsia" w:asciiTheme="minorEastAsia" w:hAnsiTheme="minorEastAsia"/>
          <w:sz w:val="24"/>
          <w:szCs w:val="24"/>
        </w:rPr>
        <w:t>11</w:t>
      </w:r>
    </w:p>
    <w:p w14:paraId="73F5FA6B">
      <w:pPr>
        <w:pStyle w:val="11"/>
        <w:tabs>
          <w:tab w:val="right" w:leader="dot" w:pos="9345"/>
        </w:tabs>
        <w:spacing w:line="560" w:lineRule="exact"/>
        <w:rPr>
          <w:rFonts w:asciiTheme="minorEastAsia" w:hAnsiTheme="minorEastAsia"/>
          <w:sz w:val="24"/>
          <w:szCs w:val="24"/>
        </w:rPr>
      </w:pPr>
      <w:r>
        <w:rPr>
          <w:rFonts w:hint="eastAsia" w:asciiTheme="minorEastAsia" w:hAnsiTheme="minorEastAsia"/>
          <w:sz w:val="24"/>
          <w:szCs w:val="24"/>
        </w:rPr>
        <w:t>4.2  理解工作人员和相关方的需求和期望</w:t>
      </w:r>
      <w:r>
        <w:rPr>
          <w:rFonts w:hint="eastAsia" w:asciiTheme="minorEastAsia" w:hAnsiTheme="minorEastAsia"/>
          <w:sz w:val="24"/>
          <w:szCs w:val="24"/>
        </w:rPr>
        <w:tab/>
      </w:r>
      <w:r>
        <w:rPr>
          <w:rFonts w:hint="eastAsia" w:asciiTheme="minorEastAsia" w:hAnsiTheme="minorEastAsia"/>
          <w:sz w:val="24"/>
          <w:szCs w:val="24"/>
        </w:rPr>
        <w:t>11</w:t>
      </w:r>
    </w:p>
    <w:p w14:paraId="526B7204">
      <w:pPr>
        <w:pStyle w:val="11"/>
        <w:tabs>
          <w:tab w:val="right" w:leader="dot" w:pos="9345"/>
        </w:tabs>
        <w:spacing w:line="560" w:lineRule="exact"/>
        <w:rPr>
          <w:rFonts w:asciiTheme="minorEastAsia" w:hAnsiTheme="minorEastAsia"/>
          <w:sz w:val="24"/>
          <w:szCs w:val="24"/>
        </w:rPr>
      </w:pPr>
      <w:r>
        <w:rPr>
          <w:rFonts w:hint="eastAsia" w:asciiTheme="minorEastAsia" w:hAnsiTheme="minorEastAsia"/>
          <w:sz w:val="24"/>
          <w:szCs w:val="24"/>
        </w:rPr>
        <w:t>4.3  确定管理体系的范围</w:t>
      </w:r>
      <w:r>
        <w:rPr>
          <w:rFonts w:hint="eastAsia" w:asciiTheme="minorEastAsia" w:hAnsiTheme="minorEastAsia"/>
          <w:sz w:val="24"/>
          <w:szCs w:val="24"/>
        </w:rPr>
        <w:tab/>
      </w:r>
      <w:r>
        <w:rPr>
          <w:rFonts w:hint="eastAsia" w:asciiTheme="minorEastAsia" w:hAnsiTheme="minorEastAsia"/>
          <w:sz w:val="24"/>
          <w:szCs w:val="24"/>
        </w:rPr>
        <w:t>12</w:t>
      </w:r>
    </w:p>
    <w:p w14:paraId="56764816">
      <w:pPr>
        <w:pStyle w:val="11"/>
        <w:tabs>
          <w:tab w:val="right" w:leader="dot" w:pos="9345"/>
        </w:tabs>
        <w:spacing w:line="560" w:lineRule="exact"/>
        <w:rPr>
          <w:rFonts w:asciiTheme="minorEastAsia" w:hAnsiTheme="minorEastAsia"/>
          <w:sz w:val="24"/>
          <w:szCs w:val="24"/>
        </w:rPr>
      </w:pPr>
      <w:r>
        <w:rPr>
          <w:rFonts w:hint="eastAsia" w:asciiTheme="minorEastAsia" w:hAnsiTheme="minorEastAsia"/>
          <w:sz w:val="24"/>
          <w:szCs w:val="24"/>
        </w:rPr>
        <w:t>4.4  管理体系及其过程</w:t>
      </w:r>
      <w:r>
        <w:rPr>
          <w:rFonts w:hint="eastAsia" w:asciiTheme="minorEastAsia" w:hAnsiTheme="minorEastAsia"/>
          <w:sz w:val="24"/>
          <w:szCs w:val="24"/>
        </w:rPr>
        <w:tab/>
      </w:r>
      <w:r>
        <w:rPr>
          <w:rFonts w:hint="eastAsia" w:asciiTheme="minorEastAsia" w:hAnsiTheme="minorEastAsia"/>
          <w:sz w:val="24"/>
          <w:szCs w:val="24"/>
        </w:rPr>
        <w:t>12</w:t>
      </w:r>
    </w:p>
    <w:p w14:paraId="17A91DA6">
      <w:pPr>
        <w:pStyle w:val="11"/>
        <w:tabs>
          <w:tab w:val="right" w:leader="dot" w:pos="9345"/>
        </w:tabs>
        <w:spacing w:line="560" w:lineRule="exact"/>
        <w:rPr>
          <w:rFonts w:asciiTheme="minorEastAsia" w:hAnsiTheme="minorEastAsia"/>
          <w:sz w:val="24"/>
          <w:szCs w:val="24"/>
        </w:rPr>
      </w:pPr>
      <w:r>
        <w:rPr>
          <w:rFonts w:hint="eastAsia" w:asciiTheme="minorEastAsia" w:hAnsiTheme="minorEastAsia"/>
          <w:sz w:val="24"/>
          <w:szCs w:val="24"/>
        </w:rPr>
        <w:t>5.1  领导作用、承诺和工作人员参与</w:t>
      </w:r>
      <w:r>
        <w:rPr>
          <w:rFonts w:hint="eastAsia" w:asciiTheme="minorEastAsia" w:hAnsiTheme="minorEastAsia"/>
          <w:sz w:val="24"/>
          <w:szCs w:val="24"/>
        </w:rPr>
        <w:tab/>
      </w:r>
      <w:r>
        <w:rPr>
          <w:rFonts w:hint="eastAsia" w:asciiTheme="minorEastAsia" w:hAnsiTheme="minorEastAsia"/>
          <w:sz w:val="24"/>
          <w:szCs w:val="24"/>
        </w:rPr>
        <w:t>15</w:t>
      </w:r>
    </w:p>
    <w:p w14:paraId="7091557F">
      <w:pPr>
        <w:pStyle w:val="11"/>
        <w:tabs>
          <w:tab w:val="right" w:leader="dot" w:pos="9345"/>
        </w:tabs>
        <w:spacing w:line="560" w:lineRule="exact"/>
        <w:rPr>
          <w:rFonts w:asciiTheme="minorEastAsia" w:hAnsiTheme="minorEastAsia"/>
          <w:sz w:val="24"/>
          <w:szCs w:val="24"/>
        </w:rPr>
      </w:pPr>
      <w:r>
        <w:rPr>
          <w:rFonts w:hint="eastAsia" w:asciiTheme="minorEastAsia" w:hAnsiTheme="minorEastAsia"/>
          <w:sz w:val="24"/>
          <w:szCs w:val="24"/>
        </w:rPr>
        <w:t>5.2  质量/环境/职业健康安全方针</w:t>
      </w:r>
      <w:r>
        <w:rPr>
          <w:rFonts w:hint="eastAsia" w:asciiTheme="minorEastAsia" w:hAnsiTheme="minorEastAsia"/>
          <w:sz w:val="24"/>
          <w:szCs w:val="24"/>
        </w:rPr>
        <w:tab/>
      </w:r>
      <w:r>
        <w:rPr>
          <w:rFonts w:hint="eastAsia" w:asciiTheme="minorEastAsia" w:hAnsiTheme="minorEastAsia"/>
          <w:sz w:val="24"/>
          <w:szCs w:val="24"/>
        </w:rPr>
        <w:t>17</w:t>
      </w:r>
    </w:p>
    <w:p w14:paraId="365C763E">
      <w:pPr>
        <w:pStyle w:val="11"/>
        <w:tabs>
          <w:tab w:val="right" w:leader="dot" w:pos="9345"/>
        </w:tabs>
        <w:spacing w:line="560" w:lineRule="exact"/>
        <w:rPr>
          <w:rFonts w:asciiTheme="minorEastAsia" w:hAnsiTheme="minorEastAsia"/>
          <w:sz w:val="24"/>
          <w:szCs w:val="24"/>
        </w:rPr>
      </w:pPr>
      <w:r>
        <w:rPr>
          <w:rFonts w:hint="eastAsia" w:asciiTheme="minorEastAsia" w:hAnsiTheme="minorEastAsia"/>
          <w:sz w:val="24"/>
          <w:szCs w:val="24"/>
        </w:rPr>
        <w:t>5.3  组织的岗位、职责和权限</w:t>
      </w:r>
      <w:r>
        <w:rPr>
          <w:rFonts w:hint="eastAsia" w:asciiTheme="minorEastAsia" w:hAnsiTheme="minorEastAsia"/>
          <w:sz w:val="24"/>
          <w:szCs w:val="24"/>
        </w:rPr>
        <w:tab/>
      </w:r>
      <w:r>
        <w:rPr>
          <w:rFonts w:hint="eastAsia" w:asciiTheme="minorEastAsia" w:hAnsiTheme="minorEastAsia"/>
          <w:sz w:val="24"/>
          <w:szCs w:val="24"/>
        </w:rPr>
        <w:t>18</w:t>
      </w:r>
    </w:p>
    <w:p w14:paraId="4DEA5F81">
      <w:pPr>
        <w:pStyle w:val="11"/>
        <w:tabs>
          <w:tab w:val="right" w:leader="dot" w:pos="9345"/>
        </w:tabs>
        <w:spacing w:line="560" w:lineRule="exact"/>
        <w:rPr>
          <w:rFonts w:asciiTheme="minorEastAsia" w:hAnsiTheme="minorEastAsia"/>
          <w:sz w:val="24"/>
          <w:szCs w:val="24"/>
        </w:rPr>
      </w:pPr>
      <w:r>
        <w:rPr>
          <w:rFonts w:hint="eastAsia" w:asciiTheme="minorEastAsia" w:hAnsiTheme="minorEastAsia"/>
          <w:sz w:val="24"/>
          <w:szCs w:val="24"/>
        </w:rPr>
        <w:t>5</w:t>
      </w:r>
      <w:r>
        <w:rPr>
          <w:rFonts w:asciiTheme="minorEastAsia" w:hAnsiTheme="minorEastAsia"/>
          <w:sz w:val="24"/>
          <w:szCs w:val="24"/>
        </w:rPr>
        <w:t>.4  工作人员的协商和参与</w:t>
      </w:r>
      <w:r>
        <w:rPr>
          <w:rFonts w:hint="eastAsia" w:asciiTheme="minorEastAsia" w:hAnsiTheme="minorEastAsia"/>
          <w:sz w:val="24"/>
          <w:szCs w:val="24"/>
        </w:rPr>
        <w:tab/>
      </w:r>
      <w:r>
        <w:rPr>
          <w:rFonts w:asciiTheme="minorEastAsia" w:hAnsiTheme="minorEastAsia"/>
          <w:sz w:val="24"/>
          <w:szCs w:val="24"/>
        </w:rPr>
        <w:t>20</w:t>
      </w:r>
    </w:p>
    <w:p w14:paraId="52623925">
      <w:pPr>
        <w:pStyle w:val="11"/>
        <w:tabs>
          <w:tab w:val="right" w:leader="dot" w:pos="9345"/>
        </w:tabs>
        <w:spacing w:line="560" w:lineRule="exact"/>
        <w:rPr>
          <w:rFonts w:asciiTheme="minorEastAsia" w:hAnsiTheme="minorEastAsia"/>
          <w:sz w:val="24"/>
          <w:szCs w:val="24"/>
        </w:rPr>
      </w:pPr>
      <w:r>
        <w:rPr>
          <w:rFonts w:hint="eastAsia" w:asciiTheme="minorEastAsia" w:hAnsiTheme="minorEastAsia"/>
          <w:sz w:val="24"/>
          <w:szCs w:val="24"/>
        </w:rPr>
        <w:t>6.1  应对风险和机遇的措施</w:t>
      </w:r>
      <w:r>
        <w:rPr>
          <w:rFonts w:hint="eastAsia" w:asciiTheme="minorEastAsia" w:hAnsiTheme="minorEastAsia"/>
          <w:sz w:val="24"/>
          <w:szCs w:val="24"/>
        </w:rPr>
        <w:tab/>
      </w:r>
      <w:r>
        <w:rPr>
          <w:rFonts w:hint="eastAsia" w:asciiTheme="minorEastAsia" w:hAnsiTheme="minorEastAsia"/>
          <w:sz w:val="24"/>
          <w:szCs w:val="24"/>
        </w:rPr>
        <w:t>20</w:t>
      </w:r>
    </w:p>
    <w:p w14:paraId="09EDE48E">
      <w:pPr>
        <w:pStyle w:val="11"/>
        <w:tabs>
          <w:tab w:val="right" w:leader="dot" w:pos="9345"/>
        </w:tabs>
        <w:spacing w:line="560" w:lineRule="exact"/>
        <w:rPr>
          <w:rFonts w:asciiTheme="minorEastAsia" w:hAnsiTheme="minorEastAsia"/>
          <w:sz w:val="24"/>
          <w:szCs w:val="24"/>
        </w:rPr>
      </w:pPr>
      <w:r>
        <w:rPr>
          <w:rFonts w:hint="eastAsia" w:asciiTheme="minorEastAsia" w:hAnsiTheme="minorEastAsia"/>
          <w:sz w:val="24"/>
          <w:szCs w:val="24"/>
        </w:rPr>
        <w:t>6.2  管理目标及其实现的策划</w:t>
      </w:r>
      <w:r>
        <w:rPr>
          <w:rFonts w:hint="eastAsia" w:asciiTheme="minorEastAsia" w:hAnsiTheme="minorEastAsia"/>
          <w:sz w:val="24"/>
          <w:szCs w:val="24"/>
        </w:rPr>
        <w:tab/>
      </w:r>
      <w:r>
        <w:rPr>
          <w:rFonts w:hint="eastAsia" w:asciiTheme="minorEastAsia" w:hAnsiTheme="minorEastAsia"/>
          <w:sz w:val="24"/>
          <w:szCs w:val="24"/>
        </w:rPr>
        <w:t>26</w:t>
      </w:r>
    </w:p>
    <w:p w14:paraId="491A3147">
      <w:pPr>
        <w:pStyle w:val="11"/>
        <w:tabs>
          <w:tab w:val="right" w:leader="dot" w:pos="9345"/>
        </w:tabs>
        <w:spacing w:line="560" w:lineRule="exact"/>
        <w:rPr>
          <w:rFonts w:asciiTheme="minorEastAsia" w:hAnsiTheme="minorEastAsia"/>
          <w:sz w:val="24"/>
          <w:szCs w:val="24"/>
        </w:rPr>
      </w:pPr>
      <w:r>
        <w:rPr>
          <w:rFonts w:hint="eastAsia" w:asciiTheme="minorEastAsia" w:hAnsiTheme="minorEastAsia"/>
          <w:sz w:val="24"/>
          <w:szCs w:val="24"/>
        </w:rPr>
        <w:t>6.3  管理体系变更的策划</w:t>
      </w:r>
      <w:r>
        <w:rPr>
          <w:rFonts w:hint="eastAsia" w:asciiTheme="minorEastAsia" w:hAnsiTheme="minorEastAsia"/>
          <w:sz w:val="24"/>
          <w:szCs w:val="24"/>
        </w:rPr>
        <w:tab/>
      </w:r>
      <w:r>
        <w:rPr>
          <w:rFonts w:hint="eastAsia" w:asciiTheme="minorEastAsia" w:hAnsiTheme="minorEastAsia"/>
          <w:sz w:val="24"/>
          <w:szCs w:val="24"/>
        </w:rPr>
        <w:t>27</w:t>
      </w:r>
    </w:p>
    <w:p w14:paraId="6BB7B1C1">
      <w:pPr>
        <w:pStyle w:val="11"/>
        <w:tabs>
          <w:tab w:val="right" w:leader="dot" w:pos="9345"/>
        </w:tabs>
        <w:spacing w:line="560" w:lineRule="exact"/>
        <w:rPr>
          <w:rFonts w:asciiTheme="minorEastAsia" w:hAnsiTheme="minorEastAsia"/>
          <w:sz w:val="24"/>
          <w:szCs w:val="24"/>
        </w:rPr>
      </w:pPr>
      <w:r>
        <w:rPr>
          <w:rFonts w:hint="eastAsia" w:asciiTheme="minorEastAsia" w:hAnsiTheme="minorEastAsia"/>
          <w:sz w:val="24"/>
          <w:szCs w:val="24"/>
        </w:rPr>
        <w:t>7.1  资源</w:t>
      </w:r>
      <w:r>
        <w:rPr>
          <w:rFonts w:hint="eastAsia" w:asciiTheme="minorEastAsia" w:hAnsiTheme="minorEastAsia"/>
          <w:sz w:val="24"/>
          <w:szCs w:val="24"/>
        </w:rPr>
        <w:tab/>
      </w:r>
      <w:r>
        <w:rPr>
          <w:rFonts w:hint="eastAsia" w:asciiTheme="minorEastAsia" w:hAnsiTheme="minorEastAsia"/>
          <w:sz w:val="24"/>
          <w:szCs w:val="24"/>
        </w:rPr>
        <w:t>28</w:t>
      </w:r>
    </w:p>
    <w:p w14:paraId="2AEACF78">
      <w:pPr>
        <w:pStyle w:val="11"/>
        <w:tabs>
          <w:tab w:val="right" w:leader="dot" w:pos="9345"/>
        </w:tabs>
        <w:spacing w:line="560" w:lineRule="exact"/>
        <w:rPr>
          <w:rFonts w:asciiTheme="minorEastAsia" w:hAnsiTheme="minorEastAsia"/>
          <w:sz w:val="24"/>
          <w:szCs w:val="24"/>
        </w:rPr>
      </w:pPr>
      <w:r>
        <w:rPr>
          <w:rFonts w:hint="eastAsia" w:asciiTheme="minorEastAsia" w:hAnsiTheme="minorEastAsia"/>
          <w:sz w:val="24"/>
          <w:szCs w:val="24"/>
        </w:rPr>
        <w:t>7.2  能力</w:t>
      </w:r>
      <w:r>
        <w:rPr>
          <w:rFonts w:hint="eastAsia" w:asciiTheme="minorEastAsia" w:hAnsiTheme="minorEastAsia"/>
          <w:sz w:val="24"/>
          <w:szCs w:val="24"/>
        </w:rPr>
        <w:tab/>
      </w:r>
      <w:r>
        <w:rPr>
          <w:rFonts w:hint="eastAsia" w:asciiTheme="minorEastAsia" w:hAnsiTheme="minorEastAsia"/>
          <w:sz w:val="24"/>
          <w:szCs w:val="24"/>
        </w:rPr>
        <w:t>31</w:t>
      </w:r>
    </w:p>
    <w:p w14:paraId="2C3D881A">
      <w:pPr>
        <w:pStyle w:val="11"/>
        <w:tabs>
          <w:tab w:val="right" w:leader="dot" w:pos="9345"/>
        </w:tabs>
        <w:spacing w:line="560" w:lineRule="exact"/>
        <w:rPr>
          <w:rFonts w:asciiTheme="minorEastAsia" w:hAnsiTheme="minorEastAsia"/>
          <w:sz w:val="24"/>
          <w:szCs w:val="24"/>
        </w:rPr>
      </w:pPr>
      <w:r>
        <w:rPr>
          <w:rFonts w:hint="eastAsia" w:asciiTheme="minorEastAsia" w:hAnsiTheme="minorEastAsia"/>
          <w:sz w:val="24"/>
          <w:szCs w:val="24"/>
        </w:rPr>
        <w:t>7.3  意识</w:t>
      </w:r>
      <w:r>
        <w:rPr>
          <w:rFonts w:hint="eastAsia" w:asciiTheme="minorEastAsia" w:hAnsiTheme="minorEastAsia"/>
          <w:sz w:val="24"/>
          <w:szCs w:val="24"/>
        </w:rPr>
        <w:tab/>
      </w:r>
      <w:r>
        <w:rPr>
          <w:rFonts w:hint="eastAsia" w:asciiTheme="minorEastAsia" w:hAnsiTheme="minorEastAsia"/>
          <w:sz w:val="24"/>
          <w:szCs w:val="24"/>
        </w:rPr>
        <w:t>31</w:t>
      </w:r>
    </w:p>
    <w:p w14:paraId="1CB3C924">
      <w:pPr>
        <w:pStyle w:val="11"/>
        <w:tabs>
          <w:tab w:val="right" w:leader="dot" w:pos="9345"/>
        </w:tabs>
        <w:spacing w:line="560" w:lineRule="exact"/>
        <w:rPr>
          <w:rFonts w:asciiTheme="minorEastAsia" w:hAnsiTheme="minorEastAsia"/>
          <w:sz w:val="24"/>
          <w:szCs w:val="24"/>
        </w:rPr>
      </w:pPr>
      <w:r>
        <w:rPr>
          <w:rFonts w:hint="eastAsia" w:asciiTheme="minorEastAsia" w:hAnsiTheme="minorEastAsia"/>
          <w:sz w:val="24"/>
          <w:szCs w:val="24"/>
        </w:rPr>
        <w:t>7.4  沟通及信息交流</w:t>
      </w:r>
      <w:r>
        <w:rPr>
          <w:rFonts w:hint="eastAsia" w:asciiTheme="minorEastAsia" w:hAnsiTheme="minorEastAsia"/>
          <w:sz w:val="24"/>
          <w:szCs w:val="24"/>
        </w:rPr>
        <w:tab/>
      </w:r>
      <w:r>
        <w:rPr>
          <w:rFonts w:hint="eastAsia" w:asciiTheme="minorEastAsia" w:hAnsiTheme="minorEastAsia"/>
          <w:sz w:val="24"/>
          <w:szCs w:val="24"/>
        </w:rPr>
        <w:t>32</w:t>
      </w:r>
    </w:p>
    <w:p w14:paraId="45178FA6">
      <w:pPr>
        <w:pStyle w:val="11"/>
        <w:tabs>
          <w:tab w:val="right" w:leader="dot" w:pos="9345"/>
        </w:tabs>
        <w:spacing w:line="560" w:lineRule="exact"/>
        <w:rPr>
          <w:rFonts w:asciiTheme="minorEastAsia" w:hAnsiTheme="minorEastAsia"/>
          <w:sz w:val="24"/>
          <w:szCs w:val="24"/>
        </w:rPr>
      </w:pPr>
      <w:r>
        <w:rPr>
          <w:rFonts w:hint="eastAsia" w:asciiTheme="minorEastAsia" w:hAnsiTheme="minorEastAsia"/>
          <w:sz w:val="24"/>
          <w:szCs w:val="24"/>
        </w:rPr>
        <w:t>7.5  形成文件的信息</w:t>
      </w:r>
      <w:r>
        <w:rPr>
          <w:rFonts w:hint="eastAsia" w:asciiTheme="minorEastAsia" w:hAnsiTheme="minorEastAsia"/>
          <w:sz w:val="24"/>
          <w:szCs w:val="24"/>
        </w:rPr>
        <w:tab/>
      </w:r>
      <w:r>
        <w:rPr>
          <w:rFonts w:hint="eastAsia" w:asciiTheme="minorEastAsia" w:hAnsiTheme="minorEastAsia"/>
          <w:sz w:val="24"/>
          <w:szCs w:val="24"/>
        </w:rPr>
        <w:t>33</w:t>
      </w:r>
    </w:p>
    <w:p w14:paraId="55EFFFB1">
      <w:pPr>
        <w:pStyle w:val="11"/>
        <w:tabs>
          <w:tab w:val="right" w:leader="dot" w:pos="9345"/>
        </w:tabs>
        <w:spacing w:line="560" w:lineRule="exact"/>
        <w:rPr>
          <w:rFonts w:asciiTheme="minorEastAsia" w:hAnsiTheme="minorEastAsia"/>
          <w:sz w:val="24"/>
          <w:szCs w:val="24"/>
        </w:rPr>
      </w:pPr>
      <w:r>
        <w:rPr>
          <w:rFonts w:hint="eastAsia" w:asciiTheme="minorEastAsia" w:hAnsiTheme="minorEastAsia"/>
          <w:sz w:val="24"/>
          <w:szCs w:val="24"/>
        </w:rPr>
        <w:t>8.1  运行策划和控制</w:t>
      </w:r>
      <w:r>
        <w:rPr>
          <w:rFonts w:hint="eastAsia" w:asciiTheme="minorEastAsia" w:hAnsiTheme="minorEastAsia"/>
          <w:sz w:val="24"/>
          <w:szCs w:val="24"/>
        </w:rPr>
        <w:tab/>
      </w:r>
      <w:r>
        <w:rPr>
          <w:rFonts w:hint="eastAsia" w:asciiTheme="minorEastAsia" w:hAnsiTheme="minorEastAsia"/>
          <w:sz w:val="24"/>
          <w:szCs w:val="24"/>
        </w:rPr>
        <w:t>36</w:t>
      </w:r>
    </w:p>
    <w:p w14:paraId="4034375F">
      <w:pPr>
        <w:pStyle w:val="11"/>
        <w:tabs>
          <w:tab w:val="right" w:leader="dot" w:pos="9345"/>
        </w:tabs>
        <w:spacing w:line="560" w:lineRule="exact"/>
        <w:rPr>
          <w:rFonts w:asciiTheme="minorEastAsia" w:hAnsiTheme="minorEastAsia"/>
          <w:sz w:val="24"/>
          <w:szCs w:val="24"/>
        </w:rPr>
      </w:pPr>
      <w:r>
        <w:rPr>
          <w:rFonts w:hint="eastAsia" w:asciiTheme="minorEastAsia" w:hAnsiTheme="minorEastAsia"/>
          <w:sz w:val="24"/>
          <w:szCs w:val="24"/>
        </w:rPr>
        <w:t>8.2  产品和服务的要求</w:t>
      </w:r>
      <w:r>
        <w:rPr>
          <w:rFonts w:hint="eastAsia" w:asciiTheme="minorEastAsia" w:hAnsiTheme="minorEastAsia"/>
          <w:sz w:val="24"/>
          <w:szCs w:val="24"/>
        </w:rPr>
        <w:tab/>
      </w:r>
      <w:r>
        <w:rPr>
          <w:rFonts w:hint="eastAsia" w:asciiTheme="minorEastAsia" w:hAnsiTheme="minorEastAsia"/>
          <w:sz w:val="24"/>
          <w:szCs w:val="24"/>
        </w:rPr>
        <w:t>37</w:t>
      </w:r>
    </w:p>
    <w:p w14:paraId="7494185A">
      <w:pPr>
        <w:pStyle w:val="11"/>
        <w:tabs>
          <w:tab w:val="right" w:leader="dot" w:pos="9345"/>
        </w:tabs>
        <w:spacing w:line="560" w:lineRule="exact"/>
        <w:rPr>
          <w:rFonts w:asciiTheme="minorEastAsia" w:hAnsiTheme="minorEastAsia"/>
          <w:sz w:val="24"/>
          <w:szCs w:val="24"/>
        </w:rPr>
      </w:pPr>
      <w:r>
        <w:rPr>
          <w:rFonts w:hint="eastAsia" w:asciiTheme="minorEastAsia" w:hAnsiTheme="minorEastAsia"/>
          <w:sz w:val="24"/>
          <w:szCs w:val="24"/>
        </w:rPr>
        <w:t>8.3  产品和服务的设计和开发</w:t>
      </w:r>
      <w:r>
        <w:rPr>
          <w:rFonts w:hint="eastAsia" w:asciiTheme="minorEastAsia" w:hAnsiTheme="minorEastAsia"/>
          <w:sz w:val="24"/>
          <w:szCs w:val="24"/>
        </w:rPr>
        <w:tab/>
      </w:r>
      <w:r>
        <w:rPr>
          <w:rFonts w:hint="eastAsia" w:asciiTheme="minorEastAsia" w:hAnsiTheme="minorEastAsia"/>
          <w:sz w:val="24"/>
          <w:szCs w:val="24"/>
        </w:rPr>
        <w:t>39</w:t>
      </w:r>
    </w:p>
    <w:p w14:paraId="73F8125D">
      <w:pPr>
        <w:pStyle w:val="11"/>
        <w:tabs>
          <w:tab w:val="right" w:leader="dot" w:pos="9345"/>
        </w:tabs>
        <w:spacing w:line="560" w:lineRule="exact"/>
        <w:rPr>
          <w:rFonts w:asciiTheme="minorEastAsia" w:hAnsiTheme="minorEastAsia"/>
          <w:sz w:val="24"/>
          <w:szCs w:val="24"/>
        </w:rPr>
      </w:pPr>
      <w:r>
        <w:rPr>
          <w:rFonts w:hint="eastAsia" w:asciiTheme="minorEastAsia" w:hAnsiTheme="minorEastAsia"/>
          <w:sz w:val="24"/>
          <w:szCs w:val="24"/>
        </w:rPr>
        <w:t>8.4  外部提供过程、产品和服务的控制</w:t>
      </w:r>
      <w:r>
        <w:rPr>
          <w:rFonts w:hint="eastAsia" w:asciiTheme="minorEastAsia" w:hAnsiTheme="minorEastAsia"/>
          <w:sz w:val="24"/>
          <w:szCs w:val="24"/>
        </w:rPr>
        <w:tab/>
      </w:r>
      <w:r>
        <w:rPr>
          <w:rFonts w:hint="eastAsia" w:asciiTheme="minorEastAsia" w:hAnsiTheme="minorEastAsia"/>
          <w:sz w:val="24"/>
          <w:szCs w:val="24"/>
        </w:rPr>
        <w:t>39</w:t>
      </w:r>
    </w:p>
    <w:p w14:paraId="6F9AA7E7">
      <w:pPr>
        <w:pStyle w:val="11"/>
        <w:tabs>
          <w:tab w:val="right" w:leader="dot" w:pos="9345"/>
        </w:tabs>
        <w:spacing w:line="560" w:lineRule="exact"/>
        <w:rPr>
          <w:rFonts w:asciiTheme="minorEastAsia" w:hAnsiTheme="minorEastAsia"/>
          <w:sz w:val="24"/>
          <w:szCs w:val="24"/>
        </w:rPr>
      </w:pPr>
      <w:r>
        <w:rPr>
          <w:rFonts w:hint="eastAsia" w:asciiTheme="minorEastAsia" w:hAnsiTheme="minorEastAsia"/>
          <w:sz w:val="24"/>
          <w:szCs w:val="24"/>
        </w:rPr>
        <w:t>8.5  生产和服务提供</w:t>
      </w:r>
      <w:r>
        <w:rPr>
          <w:rFonts w:hint="eastAsia" w:asciiTheme="minorEastAsia" w:hAnsiTheme="minorEastAsia"/>
          <w:sz w:val="24"/>
          <w:szCs w:val="24"/>
        </w:rPr>
        <w:tab/>
      </w:r>
      <w:r>
        <w:rPr>
          <w:rFonts w:hint="eastAsia" w:asciiTheme="minorEastAsia" w:hAnsiTheme="minorEastAsia"/>
          <w:sz w:val="24"/>
          <w:szCs w:val="24"/>
        </w:rPr>
        <w:t>40</w:t>
      </w:r>
    </w:p>
    <w:p w14:paraId="2696CB60">
      <w:pPr>
        <w:pStyle w:val="11"/>
        <w:tabs>
          <w:tab w:val="right" w:leader="dot" w:pos="9345"/>
        </w:tabs>
        <w:spacing w:line="560" w:lineRule="exact"/>
        <w:rPr>
          <w:rFonts w:asciiTheme="minorEastAsia" w:hAnsiTheme="minorEastAsia"/>
          <w:sz w:val="24"/>
          <w:szCs w:val="24"/>
        </w:rPr>
      </w:pPr>
      <w:r>
        <w:rPr>
          <w:rFonts w:hint="eastAsia" w:asciiTheme="minorEastAsia" w:hAnsiTheme="minorEastAsia"/>
          <w:sz w:val="24"/>
          <w:szCs w:val="24"/>
        </w:rPr>
        <w:t>8.6  产品和服务的放行</w:t>
      </w:r>
      <w:r>
        <w:rPr>
          <w:rFonts w:hint="eastAsia" w:asciiTheme="minorEastAsia" w:hAnsiTheme="minorEastAsia"/>
          <w:sz w:val="24"/>
          <w:szCs w:val="24"/>
        </w:rPr>
        <w:tab/>
      </w:r>
      <w:r>
        <w:rPr>
          <w:rFonts w:hint="eastAsia" w:asciiTheme="minorEastAsia" w:hAnsiTheme="minorEastAsia"/>
          <w:sz w:val="24"/>
          <w:szCs w:val="24"/>
        </w:rPr>
        <w:t>42</w:t>
      </w:r>
    </w:p>
    <w:p w14:paraId="1F19707F">
      <w:pPr>
        <w:pStyle w:val="11"/>
        <w:tabs>
          <w:tab w:val="right" w:leader="dot" w:pos="9345"/>
        </w:tabs>
        <w:spacing w:line="560" w:lineRule="exact"/>
        <w:rPr>
          <w:rFonts w:asciiTheme="minorEastAsia" w:hAnsiTheme="minorEastAsia"/>
          <w:sz w:val="24"/>
          <w:szCs w:val="24"/>
        </w:rPr>
      </w:pPr>
      <w:r>
        <w:rPr>
          <w:rFonts w:hint="eastAsia" w:asciiTheme="minorEastAsia" w:hAnsiTheme="minorEastAsia"/>
          <w:sz w:val="24"/>
          <w:szCs w:val="24"/>
        </w:rPr>
        <w:t>8.7  不合格输出的控制</w:t>
      </w:r>
      <w:r>
        <w:rPr>
          <w:rFonts w:hint="eastAsia" w:asciiTheme="minorEastAsia" w:hAnsiTheme="minorEastAsia"/>
          <w:sz w:val="24"/>
          <w:szCs w:val="24"/>
        </w:rPr>
        <w:tab/>
      </w:r>
      <w:r>
        <w:rPr>
          <w:rFonts w:hint="eastAsia" w:asciiTheme="minorEastAsia" w:hAnsiTheme="minorEastAsia"/>
          <w:sz w:val="24"/>
          <w:szCs w:val="24"/>
        </w:rPr>
        <w:t>42</w:t>
      </w:r>
    </w:p>
    <w:p w14:paraId="73F816C4">
      <w:pPr>
        <w:pStyle w:val="11"/>
        <w:tabs>
          <w:tab w:val="right" w:leader="dot" w:pos="9345"/>
        </w:tabs>
        <w:spacing w:line="560" w:lineRule="exact"/>
        <w:rPr>
          <w:rFonts w:asciiTheme="minorEastAsia" w:hAnsiTheme="minorEastAsia"/>
          <w:sz w:val="24"/>
          <w:szCs w:val="24"/>
        </w:rPr>
      </w:pPr>
      <w:r>
        <w:rPr>
          <w:rFonts w:hint="eastAsia" w:asciiTheme="minorEastAsia" w:hAnsiTheme="minorEastAsia"/>
          <w:sz w:val="24"/>
          <w:szCs w:val="24"/>
        </w:rPr>
        <w:t>8.8  环境和职业健康的运行控制</w:t>
      </w:r>
      <w:r>
        <w:rPr>
          <w:rFonts w:hint="eastAsia" w:asciiTheme="minorEastAsia" w:hAnsiTheme="minorEastAsia"/>
          <w:sz w:val="24"/>
          <w:szCs w:val="24"/>
        </w:rPr>
        <w:tab/>
      </w:r>
      <w:r>
        <w:rPr>
          <w:rFonts w:hint="eastAsia" w:asciiTheme="minorEastAsia" w:hAnsiTheme="minorEastAsia"/>
          <w:sz w:val="24"/>
          <w:szCs w:val="24"/>
        </w:rPr>
        <w:t>43</w:t>
      </w:r>
    </w:p>
    <w:p w14:paraId="771034B6">
      <w:pPr>
        <w:pStyle w:val="11"/>
        <w:tabs>
          <w:tab w:val="right" w:leader="dot" w:pos="9345"/>
        </w:tabs>
        <w:spacing w:line="560" w:lineRule="exact"/>
        <w:rPr>
          <w:rFonts w:asciiTheme="minorEastAsia" w:hAnsiTheme="minorEastAsia"/>
          <w:sz w:val="24"/>
          <w:szCs w:val="24"/>
        </w:rPr>
      </w:pPr>
      <w:r>
        <w:rPr>
          <w:rFonts w:hint="eastAsia" w:asciiTheme="minorEastAsia" w:hAnsiTheme="minorEastAsia"/>
          <w:sz w:val="24"/>
          <w:szCs w:val="24"/>
        </w:rPr>
        <w:t>8.9  应急准备和响应</w:t>
      </w:r>
      <w:r>
        <w:rPr>
          <w:rFonts w:hint="eastAsia" w:asciiTheme="minorEastAsia" w:hAnsiTheme="minorEastAsia"/>
          <w:sz w:val="24"/>
          <w:szCs w:val="24"/>
        </w:rPr>
        <w:tab/>
      </w:r>
      <w:r>
        <w:rPr>
          <w:rFonts w:hint="eastAsia" w:asciiTheme="minorEastAsia" w:hAnsiTheme="minorEastAsia"/>
          <w:sz w:val="24"/>
          <w:szCs w:val="24"/>
        </w:rPr>
        <w:t>44</w:t>
      </w:r>
    </w:p>
    <w:p w14:paraId="146036AB">
      <w:pPr>
        <w:pStyle w:val="11"/>
        <w:tabs>
          <w:tab w:val="right" w:leader="dot" w:pos="9345"/>
        </w:tabs>
        <w:spacing w:line="560" w:lineRule="exact"/>
        <w:rPr>
          <w:rFonts w:asciiTheme="minorEastAsia" w:hAnsiTheme="minorEastAsia"/>
          <w:sz w:val="24"/>
          <w:szCs w:val="24"/>
        </w:rPr>
      </w:pPr>
      <w:r>
        <w:rPr>
          <w:rFonts w:hint="eastAsia" w:asciiTheme="minorEastAsia" w:hAnsiTheme="minorEastAsia"/>
          <w:sz w:val="24"/>
          <w:szCs w:val="24"/>
        </w:rPr>
        <w:t>9.1  监视、测量、分析和评价</w:t>
      </w:r>
      <w:r>
        <w:rPr>
          <w:rFonts w:hint="eastAsia" w:asciiTheme="minorEastAsia" w:hAnsiTheme="minorEastAsia"/>
          <w:sz w:val="24"/>
          <w:szCs w:val="24"/>
        </w:rPr>
        <w:tab/>
      </w:r>
      <w:r>
        <w:rPr>
          <w:rFonts w:hint="eastAsia" w:asciiTheme="minorEastAsia" w:hAnsiTheme="minorEastAsia"/>
          <w:sz w:val="24"/>
          <w:szCs w:val="24"/>
        </w:rPr>
        <w:t>46</w:t>
      </w:r>
    </w:p>
    <w:p w14:paraId="47392F47">
      <w:pPr>
        <w:pStyle w:val="11"/>
        <w:tabs>
          <w:tab w:val="right" w:leader="dot" w:pos="9345"/>
        </w:tabs>
        <w:spacing w:line="560" w:lineRule="exact"/>
        <w:rPr>
          <w:rFonts w:asciiTheme="minorEastAsia" w:hAnsiTheme="minorEastAsia"/>
          <w:sz w:val="24"/>
          <w:szCs w:val="24"/>
        </w:rPr>
      </w:pPr>
      <w:r>
        <w:rPr>
          <w:rFonts w:hint="eastAsia" w:asciiTheme="minorEastAsia" w:hAnsiTheme="minorEastAsia"/>
          <w:sz w:val="24"/>
          <w:szCs w:val="24"/>
        </w:rPr>
        <w:t>9.2  内部审核</w:t>
      </w:r>
      <w:r>
        <w:rPr>
          <w:rFonts w:hint="eastAsia" w:asciiTheme="minorEastAsia" w:hAnsiTheme="minorEastAsia"/>
          <w:sz w:val="24"/>
          <w:szCs w:val="24"/>
        </w:rPr>
        <w:tab/>
      </w:r>
      <w:r>
        <w:rPr>
          <w:rFonts w:hint="eastAsia" w:asciiTheme="minorEastAsia" w:hAnsiTheme="minorEastAsia"/>
          <w:sz w:val="24"/>
          <w:szCs w:val="24"/>
        </w:rPr>
        <w:t>48</w:t>
      </w:r>
    </w:p>
    <w:p w14:paraId="253D3EAE">
      <w:pPr>
        <w:pStyle w:val="11"/>
        <w:tabs>
          <w:tab w:val="right" w:leader="dot" w:pos="9345"/>
        </w:tabs>
        <w:spacing w:line="560" w:lineRule="exact"/>
        <w:rPr>
          <w:rFonts w:asciiTheme="minorEastAsia" w:hAnsiTheme="minorEastAsia"/>
          <w:sz w:val="24"/>
          <w:szCs w:val="24"/>
        </w:rPr>
      </w:pPr>
      <w:r>
        <w:rPr>
          <w:rFonts w:hint="eastAsia" w:asciiTheme="minorEastAsia" w:hAnsiTheme="minorEastAsia"/>
          <w:sz w:val="24"/>
          <w:szCs w:val="24"/>
        </w:rPr>
        <w:t>9.3  管理评审</w:t>
      </w:r>
      <w:r>
        <w:rPr>
          <w:rFonts w:hint="eastAsia" w:asciiTheme="minorEastAsia" w:hAnsiTheme="minorEastAsia"/>
          <w:sz w:val="24"/>
          <w:szCs w:val="24"/>
        </w:rPr>
        <w:tab/>
      </w:r>
      <w:r>
        <w:rPr>
          <w:rFonts w:hint="eastAsia" w:asciiTheme="minorEastAsia" w:hAnsiTheme="minorEastAsia"/>
          <w:sz w:val="24"/>
          <w:szCs w:val="24"/>
        </w:rPr>
        <w:t>49</w:t>
      </w:r>
    </w:p>
    <w:p w14:paraId="70026803">
      <w:pPr>
        <w:pStyle w:val="11"/>
        <w:tabs>
          <w:tab w:val="right" w:leader="dot" w:pos="9345"/>
        </w:tabs>
        <w:spacing w:line="560" w:lineRule="exact"/>
        <w:rPr>
          <w:rFonts w:asciiTheme="minorEastAsia" w:hAnsiTheme="minorEastAsia"/>
          <w:sz w:val="24"/>
          <w:szCs w:val="24"/>
        </w:rPr>
      </w:pPr>
      <w:r>
        <w:rPr>
          <w:rFonts w:hint="eastAsia" w:asciiTheme="minorEastAsia" w:hAnsiTheme="minorEastAsia"/>
          <w:sz w:val="24"/>
          <w:szCs w:val="24"/>
        </w:rPr>
        <w:t>10.1  总则</w:t>
      </w:r>
      <w:r>
        <w:rPr>
          <w:rFonts w:hint="eastAsia" w:asciiTheme="minorEastAsia" w:hAnsiTheme="minorEastAsia"/>
          <w:sz w:val="24"/>
          <w:szCs w:val="24"/>
        </w:rPr>
        <w:tab/>
      </w:r>
      <w:r>
        <w:rPr>
          <w:rFonts w:hint="eastAsia" w:asciiTheme="minorEastAsia" w:hAnsiTheme="minorEastAsia"/>
          <w:sz w:val="24"/>
          <w:szCs w:val="24"/>
        </w:rPr>
        <w:t>51</w:t>
      </w:r>
    </w:p>
    <w:p w14:paraId="35440044">
      <w:pPr>
        <w:pStyle w:val="11"/>
        <w:tabs>
          <w:tab w:val="right" w:leader="dot" w:pos="9345"/>
        </w:tabs>
        <w:spacing w:line="560" w:lineRule="exact"/>
        <w:rPr>
          <w:rFonts w:asciiTheme="minorEastAsia" w:hAnsiTheme="minorEastAsia"/>
          <w:sz w:val="24"/>
          <w:szCs w:val="24"/>
        </w:rPr>
      </w:pPr>
      <w:r>
        <w:rPr>
          <w:rFonts w:hint="eastAsia" w:asciiTheme="minorEastAsia" w:hAnsiTheme="minorEastAsia"/>
          <w:sz w:val="24"/>
          <w:szCs w:val="24"/>
        </w:rPr>
        <w:t xml:space="preserve">10.2  合格和纠正措施 </w:t>
      </w:r>
      <w:r>
        <w:rPr>
          <w:rFonts w:hint="eastAsia" w:asciiTheme="minorEastAsia" w:hAnsiTheme="minorEastAsia"/>
          <w:sz w:val="24"/>
          <w:szCs w:val="24"/>
        </w:rPr>
        <w:tab/>
      </w:r>
      <w:r>
        <w:rPr>
          <w:rFonts w:hint="eastAsia" w:asciiTheme="minorEastAsia" w:hAnsiTheme="minorEastAsia"/>
          <w:sz w:val="24"/>
          <w:szCs w:val="24"/>
        </w:rPr>
        <w:t>51</w:t>
      </w:r>
    </w:p>
    <w:p w14:paraId="61A92B86">
      <w:pPr>
        <w:pStyle w:val="11"/>
        <w:tabs>
          <w:tab w:val="right" w:leader="dot" w:pos="9345"/>
        </w:tabs>
        <w:spacing w:line="560" w:lineRule="exact"/>
        <w:rPr>
          <w:rFonts w:asciiTheme="minorEastAsia" w:hAnsiTheme="minorEastAsia"/>
          <w:sz w:val="24"/>
          <w:szCs w:val="24"/>
        </w:rPr>
      </w:pPr>
      <w:r>
        <w:rPr>
          <w:rFonts w:hint="eastAsia" w:asciiTheme="minorEastAsia" w:hAnsiTheme="minorEastAsia"/>
          <w:sz w:val="24"/>
          <w:szCs w:val="24"/>
        </w:rPr>
        <w:t>10.3  持续改进</w:t>
      </w:r>
      <w:r>
        <w:rPr>
          <w:rFonts w:hint="eastAsia" w:asciiTheme="minorEastAsia" w:hAnsiTheme="minorEastAsia"/>
          <w:sz w:val="24"/>
          <w:szCs w:val="24"/>
        </w:rPr>
        <w:tab/>
      </w:r>
      <w:r>
        <w:rPr>
          <w:rFonts w:hint="eastAsia" w:asciiTheme="minorEastAsia" w:hAnsiTheme="minorEastAsia"/>
          <w:sz w:val="24"/>
          <w:szCs w:val="24"/>
        </w:rPr>
        <w:t>51</w:t>
      </w:r>
    </w:p>
    <w:bookmarkEnd w:id="0"/>
    <w:p w14:paraId="6CCE7AC7">
      <w:pPr>
        <w:pStyle w:val="11"/>
        <w:tabs>
          <w:tab w:val="right" w:leader="dot" w:pos="9345"/>
        </w:tabs>
        <w:spacing w:line="560" w:lineRule="exact"/>
        <w:rPr>
          <w:rFonts w:asciiTheme="minorEastAsia" w:hAnsiTheme="minorEastAsia"/>
          <w:sz w:val="24"/>
          <w:szCs w:val="24"/>
        </w:rPr>
      </w:pPr>
      <w:r>
        <w:rPr>
          <w:rFonts w:hint="eastAsia" w:asciiTheme="minorEastAsia" w:hAnsiTheme="minorEastAsia"/>
          <w:sz w:val="24"/>
          <w:szCs w:val="24"/>
        </w:rPr>
        <w:t>附件：生产流程</w:t>
      </w:r>
    </w:p>
    <w:p w14:paraId="5377185B">
      <w:pPr>
        <w:spacing w:line="560" w:lineRule="exact"/>
        <w:rPr>
          <w:rFonts w:asciiTheme="minorEastAsia" w:hAnsiTheme="minorEastAsia"/>
          <w:sz w:val="24"/>
          <w:szCs w:val="24"/>
        </w:rPr>
      </w:pPr>
    </w:p>
    <w:p w14:paraId="2B4332AE">
      <w:pPr>
        <w:spacing w:line="560" w:lineRule="exact"/>
        <w:rPr>
          <w:rFonts w:asciiTheme="minorEastAsia" w:hAnsiTheme="minorEastAsia"/>
          <w:sz w:val="24"/>
          <w:szCs w:val="24"/>
        </w:rPr>
      </w:pPr>
    </w:p>
    <w:bookmarkEnd w:id="1"/>
    <w:p w14:paraId="5A68EA9C">
      <w:pPr>
        <w:spacing w:line="560" w:lineRule="exact"/>
      </w:pPr>
    </w:p>
    <w:p w14:paraId="4E6B1E39">
      <w:pPr>
        <w:pStyle w:val="2"/>
        <w:spacing w:line="360" w:lineRule="auto"/>
        <w:rPr>
          <w:rFonts w:asciiTheme="minorEastAsia" w:hAnsiTheme="minorEastAsia"/>
          <w:sz w:val="32"/>
          <w:szCs w:val="18"/>
        </w:rPr>
      </w:pPr>
    </w:p>
    <w:p w14:paraId="07D681B2">
      <w:pPr>
        <w:pStyle w:val="2"/>
        <w:spacing w:line="360" w:lineRule="auto"/>
        <w:rPr>
          <w:rFonts w:asciiTheme="minorEastAsia" w:hAnsiTheme="minorEastAsia"/>
          <w:sz w:val="32"/>
          <w:szCs w:val="18"/>
        </w:rPr>
      </w:pPr>
      <w:r>
        <w:rPr>
          <w:rFonts w:hint="eastAsia" w:asciiTheme="minorEastAsia" w:hAnsiTheme="minorEastAsia"/>
          <w:sz w:val="32"/>
          <w:szCs w:val="18"/>
        </w:rPr>
        <w:t>0.1《管理手册》实施令</w:t>
      </w:r>
    </w:p>
    <w:p w14:paraId="0E5760A7">
      <w:pPr>
        <w:spacing w:before="156" w:beforeLines="50" w:after="156" w:afterLines="50" w:line="700" w:lineRule="exact"/>
        <w:jc w:val="center"/>
        <w:rPr>
          <w:rFonts w:asciiTheme="minorEastAsia" w:hAnsiTheme="minorEastAsia"/>
          <w:sz w:val="36"/>
        </w:rPr>
      </w:pPr>
      <w:r>
        <w:rPr>
          <w:rFonts w:hint="eastAsia" w:asciiTheme="minorEastAsia" w:hAnsiTheme="minorEastAsia"/>
          <w:b/>
          <w:bCs/>
          <w:sz w:val="52"/>
        </w:rPr>
        <w:t>颁  布  令</w:t>
      </w:r>
    </w:p>
    <w:p w14:paraId="3691C8ED">
      <w:pPr>
        <w:spacing w:line="700" w:lineRule="exact"/>
        <w:ind w:firstLine="573"/>
        <w:rPr>
          <w:rFonts w:asciiTheme="minorEastAsia" w:hAnsiTheme="minorEastAsia"/>
          <w:sz w:val="28"/>
          <w:szCs w:val="28"/>
        </w:rPr>
      </w:pPr>
      <w:r>
        <w:rPr>
          <w:rFonts w:hint="eastAsia" w:asciiTheme="minorEastAsia" w:hAnsiTheme="minorEastAsia"/>
          <w:sz w:val="28"/>
          <w:szCs w:val="28"/>
        </w:rPr>
        <w:t>本公司《管理手册》依据</w:t>
      </w:r>
      <w:r>
        <w:rPr>
          <w:rFonts w:hint="eastAsia" w:ascii="宋体" w:hAnsi="宋体" w:eastAsia="宋体" w:cs="宋体"/>
          <w:sz w:val="28"/>
          <w:szCs w:val="28"/>
          <w:lang w:val="de-DE"/>
        </w:rPr>
        <w:t>GB/T19001-2016</w:t>
      </w:r>
      <w:r>
        <w:rPr>
          <w:rFonts w:hint="eastAsia" w:ascii="宋体" w:hAnsi="宋体" w:eastAsia="宋体" w:cs="宋体"/>
          <w:sz w:val="28"/>
          <w:szCs w:val="28"/>
        </w:rPr>
        <w:t>、</w:t>
      </w:r>
      <w:r>
        <w:rPr>
          <w:rFonts w:hint="eastAsia" w:ascii="宋体" w:hAnsi="宋体" w:eastAsia="宋体" w:cs="宋体"/>
          <w:sz w:val="28"/>
          <w:szCs w:val="28"/>
          <w:lang w:val="de-DE"/>
        </w:rPr>
        <w:t>GB/T24001-2016</w:t>
      </w:r>
      <w:r>
        <w:rPr>
          <w:rFonts w:hint="eastAsia" w:ascii="宋体" w:hAnsi="宋体" w:eastAsia="宋体" w:cs="宋体"/>
          <w:sz w:val="28"/>
          <w:szCs w:val="28"/>
        </w:rPr>
        <w:t>、</w:t>
      </w:r>
      <w:r>
        <w:rPr>
          <w:rFonts w:hint="eastAsia" w:ascii="宋体" w:hAnsi="宋体" w:eastAsia="宋体" w:cs="宋体"/>
          <w:sz w:val="28"/>
          <w:szCs w:val="28"/>
          <w:lang w:val="de-DE"/>
        </w:rPr>
        <w:t>GB/T45001-2020</w:t>
      </w:r>
      <w:r>
        <w:rPr>
          <w:rFonts w:hint="eastAsia" w:asciiTheme="minorEastAsia" w:hAnsiTheme="minorEastAsia"/>
          <w:sz w:val="28"/>
          <w:szCs w:val="28"/>
        </w:rPr>
        <w:t>标准，结合企业实际情况，编制规定了公司的质量/环境/职业健康安全方针和质量/环境/职业健康安全目标，描述和阐明了公司质量/环境/职业健康安全管理体系的内容和要求，是为满足顾客及相关方的需求和期望，实施质量/环境/职业健康安全管理，开展质量/环境/职业健康安全控制和质量/环境/职业健康安全改进活动的法规性、纲领性文件。现编制公司《管理手册》，现予以颁布，并于颁布之日起实施。</w:t>
      </w:r>
    </w:p>
    <w:p w14:paraId="55086AD0">
      <w:pPr>
        <w:spacing w:line="700" w:lineRule="exact"/>
        <w:ind w:firstLine="573"/>
        <w:rPr>
          <w:rFonts w:asciiTheme="minorEastAsia" w:hAnsiTheme="minorEastAsia"/>
          <w:sz w:val="28"/>
          <w:szCs w:val="28"/>
        </w:rPr>
      </w:pPr>
    </w:p>
    <w:p w14:paraId="5609540D">
      <w:pPr>
        <w:spacing w:line="700" w:lineRule="exact"/>
        <w:ind w:firstLine="570"/>
        <w:rPr>
          <w:rFonts w:asciiTheme="minorEastAsia" w:hAnsiTheme="minorEastAsia"/>
          <w:sz w:val="28"/>
          <w:szCs w:val="28"/>
        </w:rPr>
      </w:pPr>
      <w:r>
        <w:rPr>
          <w:rFonts w:hint="eastAsia" w:asciiTheme="minorEastAsia" w:hAnsiTheme="minorEastAsia"/>
          <w:sz w:val="28"/>
          <w:szCs w:val="28"/>
        </w:rPr>
        <w:t>此令</w:t>
      </w:r>
    </w:p>
    <w:p w14:paraId="5B0CB44B">
      <w:pPr>
        <w:pStyle w:val="6"/>
        <w:spacing w:line="700" w:lineRule="exact"/>
        <w:ind w:left="5250"/>
        <w:rPr>
          <w:rFonts w:asciiTheme="minorEastAsia" w:hAnsiTheme="minorEastAsia"/>
          <w:sz w:val="32"/>
        </w:rPr>
      </w:pPr>
    </w:p>
    <w:p w14:paraId="7BD01536">
      <w:pPr>
        <w:spacing w:line="700" w:lineRule="exact"/>
        <w:ind w:firstLine="5320" w:firstLineChars="1900"/>
        <w:rPr>
          <w:rFonts w:asciiTheme="minorEastAsia" w:hAnsiTheme="minorEastAsia"/>
          <w:sz w:val="28"/>
          <w:szCs w:val="28"/>
        </w:rPr>
      </w:pPr>
      <w:r>
        <w:rPr>
          <w:rFonts w:hint="eastAsia" w:asciiTheme="minorEastAsia" w:hAnsiTheme="minorEastAsia"/>
          <w:sz w:val="28"/>
          <w:szCs w:val="28"/>
          <w:lang w:val="en-US" w:eastAsia="zh-CN"/>
        </w:rPr>
        <w:t>霸州市煜森家具有限公司</w:t>
      </w:r>
    </w:p>
    <w:p w14:paraId="5B8D9B34">
      <w:pPr>
        <w:spacing w:line="700" w:lineRule="exact"/>
        <w:rPr>
          <w:rFonts w:hint="eastAsia" w:asciiTheme="minorEastAsia" w:hAnsiTheme="minorEastAsia" w:eastAsiaTheme="minorEastAsia"/>
          <w:sz w:val="28"/>
          <w:szCs w:val="28"/>
          <w:lang w:eastAsia="zh-CN"/>
        </w:rPr>
      </w:pPr>
      <w:r>
        <w:rPr>
          <w:rFonts w:hint="eastAsia" w:asciiTheme="minorEastAsia" w:hAnsiTheme="minorEastAsia"/>
          <w:sz w:val="28"/>
          <w:szCs w:val="28"/>
        </w:rPr>
        <w:t xml:space="preserve">                                         总经理：</w:t>
      </w:r>
      <w:r>
        <w:rPr>
          <w:rFonts w:hint="eastAsia" w:asciiTheme="minorEastAsia" w:hAnsiTheme="minorEastAsia"/>
          <w:sz w:val="28"/>
          <w:szCs w:val="28"/>
          <w:lang w:eastAsia="zh-CN"/>
        </w:rPr>
        <w:t>郑瑞寻</w:t>
      </w:r>
    </w:p>
    <w:p w14:paraId="0DA9B135">
      <w:pPr>
        <w:pStyle w:val="6"/>
        <w:spacing w:line="700" w:lineRule="exact"/>
        <w:ind w:left="5250" w:firstLine="445" w:firstLineChars="159"/>
        <w:rPr>
          <w:rFonts w:hint="eastAsia" w:asciiTheme="minorEastAsia" w:hAnsiTheme="minorEastAsia" w:eastAsiaTheme="minorEastAsia"/>
          <w:sz w:val="28"/>
          <w:szCs w:val="28"/>
          <w:lang w:eastAsia="zh-CN"/>
        </w:rPr>
      </w:pPr>
      <w:r>
        <w:rPr>
          <w:rFonts w:hint="eastAsia" w:asciiTheme="minorEastAsia" w:hAnsiTheme="minorEastAsia"/>
          <w:sz w:val="28"/>
          <w:szCs w:val="28"/>
          <w:lang w:eastAsia="zh-CN"/>
        </w:rPr>
        <w:t>2025年4月25日</w:t>
      </w:r>
    </w:p>
    <w:p w14:paraId="13ECCDDE">
      <w:pPr>
        <w:rPr>
          <w:rFonts w:asciiTheme="minorEastAsia" w:hAnsiTheme="minorEastAsia"/>
        </w:rPr>
      </w:pPr>
      <w:r>
        <w:rPr>
          <w:rFonts w:hint="eastAsia" w:asciiTheme="minorEastAsia" w:hAnsiTheme="minorEastAsia"/>
        </w:rPr>
        <w:br w:type="page"/>
      </w:r>
    </w:p>
    <w:p w14:paraId="54A6543C">
      <w:pPr>
        <w:pStyle w:val="2"/>
        <w:spacing w:line="360" w:lineRule="auto"/>
        <w:rPr>
          <w:rFonts w:asciiTheme="minorEastAsia" w:hAnsiTheme="minorEastAsia"/>
          <w:sz w:val="32"/>
          <w:szCs w:val="18"/>
        </w:rPr>
      </w:pPr>
      <w:r>
        <w:rPr>
          <w:rFonts w:hint="eastAsia" w:asciiTheme="minorEastAsia" w:hAnsiTheme="minorEastAsia"/>
          <w:sz w:val="32"/>
          <w:szCs w:val="18"/>
        </w:rPr>
        <w:t>0.2管理者代表、职业健康安全事务代表任命书</w:t>
      </w:r>
    </w:p>
    <w:p w14:paraId="35B76FEB">
      <w:pPr>
        <w:spacing w:before="156" w:beforeLines="50" w:after="156" w:afterLines="50" w:line="500" w:lineRule="exact"/>
        <w:jc w:val="center"/>
        <w:rPr>
          <w:rFonts w:asciiTheme="minorEastAsia" w:hAnsiTheme="minorEastAsia"/>
          <w:sz w:val="28"/>
          <w:szCs w:val="28"/>
        </w:rPr>
      </w:pPr>
      <w:r>
        <w:rPr>
          <w:rFonts w:hint="eastAsia" w:asciiTheme="minorEastAsia" w:hAnsiTheme="minorEastAsia"/>
          <w:sz w:val="28"/>
          <w:szCs w:val="28"/>
        </w:rPr>
        <w:t>任 命 令</w:t>
      </w:r>
    </w:p>
    <w:p w14:paraId="046BD37C">
      <w:pPr>
        <w:spacing w:line="500" w:lineRule="exact"/>
        <w:ind w:firstLine="420" w:firstLineChars="200"/>
        <w:rPr>
          <w:rFonts w:asciiTheme="minorEastAsia" w:hAnsiTheme="minorEastAsia"/>
          <w:szCs w:val="21"/>
        </w:rPr>
      </w:pPr>
      <w:r>
        <w:rPr>
          <w:rFonts w:hint="eastAsia" w:asciiTheme="minorEastAsia" w:hAnsiTheme="minorEastAsia"/>
          <w:szCs w:val="21"/>
        </w:rPr>
        <w:t>本公司决定依据</w:t>
      </w:r>
      <w:r>
        <w:rPr>
          <w:rFonts w:hint="eastAsia" w:ascii="宋体" w:hAnsi="宋体" w:eastAsia="宋体" w:cs="宋体"/>
          <w:szCs w:val="21"/>
          <w:lang w:val="de-DE"/>
        </w:rPr>
        <w:t>GB/T19001-2016</w:t>
      </w:r>
      <w:r>
        <w:rPr>
          <w:rFonts w:hint="eastAsia" w:ascii="宋体" w:hAnsi="宋体" w:eastAsia="宋体" w:cs="宋体"/>
          <w:szCs w:val="21"/>
        </w:rPr>
        <w:t>、</w:t>
      </w:r>
      <w:r>
        <w:rPr>
          <w:rFonts w:hint="eastAsia" w:ascii="宋体" w:hAnsi="宋体" w:eastAsia="宋体" w:cs="宋体"/>
          <w:szCs w:val="21"/>
          <w:lang w:val="de-DE"/>
        </w:rPr>
        <w:t>GB/T24001-2016</w:t>
      </w:r>
      <w:r>
        <w:rPr>
          <w:rFonts w:hint="eastAsia" w:ascii="宋体" w:hAnsi="宋体" w:eastAsia="宋体" w:cs="宋体"/>
          <w:szCs w:val="21"/>
        </w:rPr>
        <w:t>、</w:t>
      </w:r>
      <w:r>
        <w:rPr>
          <w:rFonts w:hint="eastAsia" w:ascii="宋体" w:hAnsi="宋体" w:eastAsia="宋体" w:cs="宋体"/>
          <w:szCs w:val="21"/>
          <w:lang w:val="de-DE"/>
        </w:rPr>
        <w:t>GB/T45001-2020</w:t>
      </w:r>
      <w:r>
        <w:rPr>
          <w:rFonts w:hint="eastAsia" w:asciiTheme="minorEastAsia" w:hAnsiTheme="minorEastAsia"/>
          <w:szCs w:val="21"/>
        </w:rPr>
        <w:t>标准要求建立了企业的质量/环境/职业健康安全管理体系，现授权</w:t>
      </w:r>
      <w:r>
        <w:rPr>
          <w:rFonts w:hint="eastAsia" w:asciiTheme="minorEastAsia" w:hAnsiTheme="minorEastAsia"/>
          <w:szCs w:val="21"/>
          <w:u w:val="single"/>
        </w:rPr>
        <w:t xml:space="preserve"> </w:t>
      </w:r>
      <w:r>
        <w:rPr>
          <w:rFonts w:hint="eastAsia" w:asciiTheme="minorEastAsia" w:hAnsiTheme="minorEastAsia"/>
          <w:color w:val="FF0000"/>
          <w:szCs w:val="21"/>
          <w:u w:val="single"/>
        </w:rPr>
        <w:t xml:space="preserve"> </w:t>
      </w:r>
      <w:r>
        <w:rPr>
          <w:rFonts w:hint="eastAsia" w:asciiTheme="minorEastAsia" w:hAnsiTheme="minorEastAsia"/>
          <w:color w:val="FF0000"/>
          <w:szCs w:val="21"/>
          <w:u w:val="single"/>
          <w:lang w:eastAsia="zh-CN"/>
        </w:rPr>
        <w:t>蔡妹</w:t>
      </w:r>
      <w:r>
        <w:rPr>
          <w:rFonts w:hint="eastAsia" w:asciiTheme="minorEastAsia" w:hAnsiTheme="minorEastAsia"/>
          <w:color w:val="FF0000"/>
          <w:szCs w:val="21"/>
          <w:u w:val="single"/>
        </w:rPr>
        <w:t xml:space="preserve"> </w:t>
      </w:r>
      <w:r>
        <w:rPr>
          <w:rFonts w:hint="eastAsia" w:asciiTheme="minorEastAsia" w:hAnsiTheme="minorEastAsia"/>
          <w:szCs w:val="21"/>
          <w:u w:val="single"/>
        </w:rPr>
        <w:t xml:space="preserve"> </w:t>
      </w:r>
      <w:r>
        <w:rPr>
          <w:rFonts w:hint="eastAsia" w:asciiTheme="minorEastAsia" w:hAnsiTheme="minorEastAsia"/>
          <w:szCs w:val="21"/>
        </w:rPr>
        <w:t>同志为管理者代表，全面负责公司的质量、环境、职业健康安全管理体系工作，全权负责：</w:t>
      </w:r>
    </w:p>
    <w:p w14:paraId="4B64DF2F">
      <w:pPr>
        <w:spacing w:line="500" w:lineRule="exact"/>
        <w:ind w:firstLine="420" w:firstLineChars="200"/>
        <w:rPr>
          <w:rFonts w:asciiTheme="minorEastAsia" w:hAnsiTheme="minorEastAsia"/>
          <w:szCs w:val="21"/>
        </w:rPr>
      </w:pPr>
      <w:r>
        <w:rPr>
          <w:rFonts w:hint="eastAsia" w:asciiTheme="minorEastAsia" w:hAnsiTheme="minorEastAsia"/>
          <w:szCs w:val="21"/>
        </w:rPr>
        <w:t>a）在公司范围内组织建立、实施并保持质量、环境、职业健康安全管理体系；</w:t>
      </w:r>
    </w:p>
    <w:p w14:paraId="712DAB21">
      <w:pPr>
        <w:spacing w:line="500" w:lineRule="exact"/>
        <w:ind w:firstLine="420" w:firstLineChars="200"/>
        <w:rPr>
          <w:rFonts w:asciiTheme="minorEastAsia" w:hAnsiTheme="minorEastAsia"/>
          <w:szCs w:val="21"/>
        </w:rPr>
      </w:pPr>
      <w:r>
        <w:rPr>
          <w:rFonts w:hint="eastAsia" w:asciiTheme="minorEastAsia" w:hAnsiTheme="minorEastAsia"/>
          <w:szCs w:val="21"/>
        </w:rPr>
        <w:t xml:space="preserve">b）向公司总经理汇报管理体系运行情况，包括改进的需求；  </w:t>
      </w:r>
    </w:p>
    <w:p w14:paraId="7EBD6823">
      <w:pPr>
        <w:spacing w:line="500" w:lineRule="exact"/>
        <w:ind w:firstLine="420" w:firstLineChars="200"/>
        <w:rPr>
          <w:rFonts w:asciiTheme="minorEastAsia" w:hAnsiTheme="minorEastAsia"/>
          <w:szCs w:val="21"/>
        </w:rPr>
      </w:pPr>
      <w:r>
        <w:rPr>
          <w:rFonts w:hint="eastAsia" w:asciiTheme="minorEastAsia" w:hAnsiTheme="minorEastAsia"/>
          <w:szCs w:val="21"/>
        </w:rPr>
        <w:t>c）确保在公司内提高满足顾客要求的意识和环保、职业健康安全意识；</w:t>
      </w:r>
    </w:p>
    <w:p w14:paraId="2673A6EC">
      <w:pPr>
        <w:spacing w:line="500" w:lineRule="exact"/>
        <w:ind w:firstLine="420" w:firstLineChars="200"/>
        <w:rPr>
          <w:rFonts w:asciiTheme="minorEastAsia" w:hAnsiTheme="minorEastAsia"/>
          <w:szCs w:val="21"/>
        </w:rPr>
      </w:pPr>
      <w:r>
        <w:rPr>
          <w:rFonts w:hint="eastAsia" w:asciiTheme="minorEastAsia" w:hAnsiTheme="minorEastAsia"/>
          <w:szCs w:val="21"/>
        </w:rPr>
        <w:t xml:space="preserve">d）就管理体系的有关事宜与外部沟通联络；  </w:t>
      </w:r>
    </w:p>
    <w:p w14:paraId="70B867D0">
      <w:pPr>
        <w:spacing w:line="500" w:lineRule="exact"/>
        <w:ind w:firstLine="420" w:firstLineChars="200"/>
        <w:rPr>
          <w:rFonts w:asciiTheme="minorEastAsia" w:hAnsiTheme="minorEastAsia"/>
          <w:szCs w:val="21"/>
        </w:rPr>
      </w:pPr>
      <w:r>
        <w:rPr>
          <w:rFonts w:hint="eastAsia" w:asciiTheme="minorEastAsia" w:hAnsiTheme="minorEastAsia"/>
          <w:szCs w:val="21"/>
        </w:rPr>
        <w:t xml:space="preserve">e) 负责内部质量/ 环境/职业健康安全管理体系审核计划的审批，主持内部质量/环境/职业健康安全管理体系内部审核，对质量/环境/职业健康安全管理体系持续有效地运行负责；  </w:t>
      </w:r>
    </w:p>
    <w:p w14:paraId="0CB14634">
      <w:pPr>
        <w:spacing w:line="500" w:lineRule="exact"/>
        <w:ind w:firstLine="420" w:firstLineChars="200"/>
        <w:rPr>
          <w:rFonts w:asciiTheme="minorEastAsia" w:hAnsiTheme="minorEastAsia"/>
          <w:szCs w:val="21"/>
        </w:rPr>
      </w:pPr>
      <w:r>
        <w:rPr>
          <w:rFonts w:hint="eastAsia" w:asciiTheme="minorEastAsia" w:hAnsiTheme="minorEastAsia"/>
          <w:szCs w:val="21"/>
        </w:rPr>
        <w:t xml:space="preserve">f) 负责与顾客、相关方、认证机构等就质量/环境/职业健康安全管理体系有关事宜进行协调；  </w:t>
      </w:r>
    </w:p>
    <w:p w14:paraId="5BFEE714">
      <w:pPr>
        <w:spacing w:line="500" w:lineRule="exact"/>
        <w:ind w:firstLine="420" w:firstLineChars="200"/>
        <w:rPr>
          <w:rFonts w:asciiTheme="minorEastAsia" w:hAnsiTheme="minorEastAsia"/>
          <w:szCs w:val="21"/>
        </w:rPr>
      </w:pPr>
      <w:r>
        <w:rPr>
          <w:rFonts w:hint="eastAsia" w:asciiTheme="minorEastAsia" w:hAnsiTheme="minorEastAsia"/>
          <w:szCs w:val="21"/>
        </w:rPr>
        <w:t>g) 协助总经理贯彻实施管理方针和目标，负责对全体员工进行质量/环境/职业健康安全意识和能力的培训工作。</w:t>
      </w:r>
    </w:p>
    <w:p w14:paraId="313992B8">
      <w:pPr>
        <w:spacing w:line="500" w:lineRule="exact"/>
        <w:ind w:firstLine="235" w:firstLineChars="112"/>
        <w:jc w:val="left"/>
        <w:rPr>
          <w:rFonts w:hint="eastAsia" w:asciiTheme="minorEastAsia" w:hAnsiTheme="minorEastAsia" w:eastAsiaTheme="minorEastAsia"/>
          <w:szCs w:val="21"/>
          <w:lang w:eastAsia="zh-CN"/>
        </w:rPr>
      </w:pPr>
      <w:r>
        <w:rPr>
          <w:rFonts w:hint="eastAsia" w:asciiTheme="minorEastAsia" w:hAnsiTheme="minorEastAsia"/>
          <w:szCs w:val="21"/>
        </w:rPr>
        <w:t xml:space="preserve">                                                                       总经理：</w:t>
      </w:r>
      <w:r>
        <w:rPr>
          <w:rFonts w:hint="eastAsia" w:asciiTheme="minorEastAsia" w:hAnsiTheme="minorEastAsia"/>
          <w:szCs w:val="21"/>
          <w:lang w:eastAsia="zh-CN"/>
        </w:rPr>
        <w:t>郑瑞寻</w:t>
      </w:r>
    </w:p>
    <w:p w14:paraId="54128A2A">
      <w:pPr>
        <w:wordWrap w:val="0"/>
        <w:spacing w:line="500" w:lineRule="exact"/>
        <w:ind w:firstLine="235" w:firstLineChars="112"/>
        <w:jc w:val="right"/>
        <w:rPr>
          <w:rFonts w:hint="eastAsia" w:asciiTheme="minorEastAsia" w:hAnsiTheme="minorEastAsia" w:eastAsiaTheme="minorEastAsia"/>
          <w:szCs w:val="21"/>
          <w:lang w:eastAsia="zh-CN"/>
        </w:rPr>
      </w:pPr>
      <w:r>
        <w:rPr>
          <w:rFonts w:hint="eastAsia" w:asciiTheme="minorEastAsia" w:hAnsiTheme="minorEastAsia"/>
          <w:szCs w:val="21"/>
        </w:rPr>
        <w:t xml:space="preserve">  </w:t>
      </w:r>
      <w:r>
        <w:rPr>
          <w:rFonts w:hint="eastAsia" w:asciiTheme="minorEastAsia" w:hAnsiTheme="minorEastAsia"/>
          <w:szCs w:val="21"/>
          <w:lang w:eastAsia="zh-CN"/>
        </w:rPr>
        <w:t>2025年4月25日</w:t>
      </w:r>
    </w:p>
    <w:p w14:paraId="5D3715CF">
      <w:pPr>
        <w:rPr>
          <w:rFonts w:asciiTheme="minorEastAsia" w:hAnsiTheme="minorEastAsia"/>
          <w:sz w:val="28"/>
          <w:szCs w:val="28"/>
        </w:rPr>
      </w:pPr>
    </w:p>
    <w:p w14:paraId="5C4FBDFC">
      <w:pPr>
        <w:rPr>
          <w:rFonts w:asciiTheme="minorEastAsia" w:hAnsiTheme="minorEastAsia"/>
          <w:sz w:val="28"/>
          <w:szCs w:val="28"/>
        </w:rPr>
      </w:pPr>
    </w:p>
    <w:p w14:paraId="7B1D06E4">
      <w:pPr>
        <w:spacing w:line="360" w:lineRule="auto"/>
        <w:ind w:firstLine="420" w:firstLineChars="200"/>
        <w:jc w:val="left"/>
        <w:rPr>
          <w:rFonts w:asciiTheme="minorEastAsia" w:hAnsiTheme="minorEastAsia"/>
          <w:szCs w:val="21"/>
        </w:rPr>
      </w:pPr>
      <w:r>
        <w:rPr>
          <w:rFonts w:hint="eastAsia" w:asciiTheme="minorEastAsia" w:hAnsiTheme="minorEastAsia"/>
          <w:szCs w:val="21"/>
        </w:rPr>
        <w:t xml:space="preserve">为更好地维护公司全体员工的合法权益，经公司选举，任命 </w:t>
      </w:r>
      <w:r>
        <w:rPr>
          <w:rFonts w:hint="eastAsia" w:asciiTheme="minorEastAsia" w:hAnsiTheme="minorEastAsia"/>
          <w:color w:val="FF0000"/>
          <w:szCs w:val="21"/>
          <w:lang w:val="en-US" w:eastAsia="zh-CN"/>
        </w:rPr>
        <w:t>许红伟</w:t>
      </w:r>
      <w:r>
        <w:rPr>
          <w:rFonts w:hint="eastAsia" w:asciiTheme="minorEastAsia" w:hAnsiTheme="minorEastAsia"/>
          <w:szCs w:val="21"/>
        </w:rPr>
        <w:t xml:space="preserve"> 为我公司员工代表，其具体职责和权限如下： </w:t>
      </w:r>
    </w:p>
    <w:p w14:paraId="3354A8A0">
      <w:pPr>
        <w:spacing w:line="360" w:lineRule="auto"/>
        <w:ind w:firstLine="420" w:firstLineChars="200"/>
        <w:jc w:val="left"/>
        <w:rPr>
          <w:rFonts w:asciiTheme="minorEastAsia" w:hAnsiTheme="minorEastAsia"/>
          <w:szCs w:val="21"/>
        </w:rPr>
      </w:pPr>
      <w:r>
        <w:rPr>
          <w:rFonts w:hint="eastAsia" w:asciiTheme="minorEastAsia" w:hAnsiTheme="minorEastAsia"/>
          <w:szCs w:val="21"/>
        </w:rPr>
        <w:t xml:space="preserve">1、参与职业健康安全管理体系的建立、实施和改进； </w:t>
      </w:r>
    </w:p>
    <w:p w14:paraId="56A0C6EE">
      <w:pPr>
        <w:spacing w:line="360" w:lineRule="auto"/>
        <w:ind w:firstLine="420" w:firstLineChars="200"/>
        <w:jc w:val="left"/>
        <w:rPr>
          <w:rFonts w:asciiTheme="minorEastAsia" w:hAnsiTheme="minorEastAsia"/>
          <w:szCs w:val="21"/>
        </w:rPr>
      </w:pPr>
      <w:r>
        <w:rPr>
          <w:rFonts w:hint="eastAsia" w:asciiTheme="minorEastAsia" w:hAnsiTheme="minorEastAsia"/>
          <w:szCs w:val="21"/>
        </w:rPr>
        <w:t xml:space="preserve">2、代表员工对涉及员工职业健康安全的有关事宜与相应主管领导、部门进行协商； </w:t>
      </w:r>
    </w:p>
    <w:p w14:paraId="46B046DD">
      <w:pPr>
        <w:spacing w:line="360" w:lineRule="auto"/>
        <w:ind w:firstLine="420" w:firstLineChars="200"/>
        <w:jc w:val="left"/>
        <w:rPr>
          <w:rFonts w:asciiTheme="minorEastAsia" w:hAnsiTheme="minorEastAsia"/>
          <w:szCs w:val="21"/>
        </w:rPr>
      </w:pPr>
      <w:r>
        <w:rPr>
          <w:rFonts w:hint="eastAsia" w:asciiTheme="minorEastAsia" w:hAnsiTheme="minorEastAsia"/>
          <w:szCs w:val="21"/>
        </w:rPr>
        <w:t xml:space="preserve">3、参与职业健康安全监督管理和参与事故调查处理。 </w:t>
      </w:r>
    </w:p>
    <w:p w14:paraId="29C33686">
      <w:pPr>
        <w:spacing w:line="360" w:lineRule="auto"/>
        <w:jc w:val="left"/>
        <w:rPr>
          <w:rFonts w:asciiTheme="minorEastAsia" w:hAnsiTheme="minorEastAsia"/>
          <w:szCs w:val="21"/>
        </w:rPr>
      </w:pPr>
    </w:p>
    <w:p w14:paraId="18E17DD8">
      <w:pPr>
        <w:jc w:val="left"/>
        <w:rPr>
          <w:rFonts w:hint="eastAsia" w:asciiTheme="minorEastAsia" w:hAnsiTheme="minorEastAsia" w:eastAsiaTheme="minorEastAsia"/>
          <w:szCs w:val="21"/>
          <w:lang w:eastAsia="zh-CN"/>
        </w:rPr>
      </w:pPr>
      <w:r>
        <w:rPr>
          <w:rFonts w:hint="eastAsia" w:asciiTheme="minorEastAsia" w:hAnsiTheme="minorEastAsia"/>
          <w:szCs w:val="21"/>
        </w:rPr>
        <w:t xml:space="preserve">                                                                          总经理：</w:t>
      </w:r>
      <w:r>
        <w:rPr>
          <w:rFonts w:hint="eastAsia" w:asciiTheme="minorEastAsia" w:hAnsiTheme="minorEastAsia"/>
          <w:szCs w:val="21"/>
          <w:lang w:eastAsia="zh-CN"/>
        </w:rPr>
        <w:t>郑瑞寻</w:t>
      </w:r>
    </w:p>
    <w:p w14:paraId="64C246E4">
      <w:pPr>
        <w:jc w:val="right"/>
        <w:rPr>
          <w:rFonts w:asciiTheme="minorEastAsia" w:hAnsiTheme="minorEastAsia"/>
          <w:szCs w:val="21"/>
        </w:rPr>
      </w:pPr>
    </w:p>
    <w:p w14:paraId="3D45C3C5">
      <w:pPr>
        <w:jc w:val="right"/>
        <w:rPr>
          <w:rFonts w:asciiTheme="minorEastAsia" w:hAnsiTheme="minorEastAsia"/>
          <w:sz w:val="28"/>
          <w:szCs w:val="28"/>
        </w:rPr>
      </w:pPr>
      <w:r>
        <w:rPr>
          <w:rFonts w:hint="eastAsia" w:asciiTheme="minorEastAsia" w:hAnsiTheme="minorEastAsia"/>
          <w:szCs w:val="21"/>
        </w:rPr>
        <w:t xml:space="preserve"> </w:t>
      </w:r>
      <w:r>
        <w:rPr>
          <w:rFonts w:hint="eastAsia" w:asciiTheme="minorEastAsia" w:hAnsiTheme="minorEastAsia"/>
          <w:szCs w:val="21"/>
          <w:lang w:eastAsia="zh-CN"/>
        </w:rPr>
        <w:t>2025年4月25日</w:t>
      </w:r>
    </w:p>
    <w:p w14:paraId="4A4057DC">
      <w:pPr>
        <w:pStyle w:val="2"/>
        <w:spacing w:line="360" w:lineRule="auto"/>
        <w:rPr>
          <w:rFonts w:asciiTheme="minorEastAsia" w:hAnsiTheme="minorEastAsia"/>
          <w:sz w:val="32"/>
          <w:szCs w:val="18"/>
        </w:rPr>
      </w:pPr>
      <w:r>
        <w:rPr>
          <w:rFonts w:hint="eastAsia" w:asciiTheme="minorEastAsia" w:hAnsiTheme="minorEastAsia"/>
          <w:sz w:val="32"/>
          <w:szCs w:val="18"/>
        </w:rPr>
        <w:t>0.3 公司概况</w:t>
      </w:r>
    </w:p>
    <w:p w14:paraId="27DFE97F">
      <w:pPr>
        <w:pStyle w:val="2"/>
        <w:spacing w:line="360" w:lineRule="auto"/>
        <w:ind w:firstLine="2720" w:firstLineChars="850"/>
        <w:rPr>
          <w:rFonts w:asciiTheme="minorEastAsia" w:hAnsiTheme="minorEastAsia"/>
          <w:b w:val="0"/>
          <w:sz w:val="32"/>
          <w:szCs w:val="32"/>
        </w:rPr>
      </w:pPr>
      <w:r>
        <w:rPr>
          <w:rFonts w:hint="eastAsia" w:asciiTheme="minorEastAsia" w:hAnsiTheme="minorEastAsia"/>
          <w:b w:val="0"/>
          <w:sz w:val="32"/>
          <w:szCs w:val="32"/>
        </w:rPr>
        <w:t>公  司  简  介</w:t>
      </w:r>
    </w:p>
    <w:p w14:paraId="1E11960B">
      <w:pPr>
        <w:spacing w:line="400" w:lineRule="exact"/>
        <w:ind w:firstLine="411" w:firstLineChars="187"/>
        <w:rPr>
          <w:sz w:val="22"/>
          <w:szCs w:val="22"/>
          <w:lang w:val="en-US" w:eastAsia="en-US"/>
        </w:rPr>
      </w:pPr>
      <w:r>
        <w:rPr>
          <w:rFonts w:hint="eastAsia"/>
          <w:sz w:val="22"/>
          <w:szCs w:val="22"/>
          <w:lang w:val="en-US" w:eastAsia="zh-CN"/>
        </w:rPr>
        <w:t>霸州市煜森家具有限公司</w:t>
      </w:r>
      <w:r>
        <w:rPr>
          <w:sz w:val="22"/>
          <w:szCs w:val="22"/>
          <w:lang w:val="en-US" w:eastAsia="en-US"/>
        </w:rPr>
        <w:t>，是一家专业从事自主研发</w:t>
      </w:r>
      <w:r>
        <w:rPr>
          <w:rFonts w:hint="eastAsia"/>
          <w:sz w:val="22"/>
          <w:szCs w:val="22"/>
          <w:lang w:val="en-US" w:eastAsia="zh-CN"/>
        </w:rPr>
        <w:t>、</w:t>
      </w:r>
      <w:r>
        <w:rPr>
          <w:sz w:val="22"/>
          <w:szCs w:val="22"/>
          <w:lang w:val="en-US" w:eastAsia="en-US"/>
        </w:rPr>
        <w:t>设计</w:t>
      </w:r>
      <w:r>
        <w:rPr>
          <w:rFonts w:hint="eastAsia"/>
          <w:sz w:val="22"/>
          <w:szCs w:val="22"/>
          <w:lang w:val="en-US" w:eastAsia="zh-CN"/>
        </w:rPr>
        <w:t>、</w:t>
      </w:r>
      <w:r>
        <w:rPr>
          <w:sz w:val="22"/>
          <w:szCs w:val="22"/>
          <w:lang w:val="en-US" w:eastAsia="en-US"/>
        </w:rPr>
        <w:t>生产制造、销售服务为一体的</w:t>
      </w:r>
      <w:r>
        <w:rPr>
          <w:rFonts w:hint="eastAsia"/>
          <w:sz w:val="22"/>
          <w:szCs w:val="22"/>
          <w:lang w:val="en-US" w:eastAsia="zh-CN"/>
        </w:rPr>
        <w:t>企业</w:t>
      </w:r>
      <w:r>
        <w:rPr>
          <w:sz w:val="22"/>
          <w:szCs w:val="22"/>
          <w:lang w:val="en-US" w:eastAsia="en-US"/>
        </w:rPr>
        <w:t>。</w:t>
      </w:r>
    </w:p>
    <w:p w14:paraId="70283DA8">
      <w:pPr>
        <w:spacing w:line="400" w:lineRule="exact"/>
        <w:ind w:firstLine="411" w:firstLineChars="187"/>
        <w:rPr>
          <w:rFonts w:hint="eastAsia"/>
          <w:sz w:val="22"/>
          <w:szCs w:val="22"/>
          <w:lang w:val="en-US" w:eastAsia="en-US"/>
        </w:rPr>
      </w:pPr>
      <w:r>
        <w:rPr>
          <w:rFonts w:hint="eastAsia"/>
          <w:sz w:val="22"/>
          <w:szCs w:val="22"/>
          <w:lang w:val="en-US" w:eastAsia="en-US"/>
        </w:rPr>
        <w:t>公司注册资金</w:t>
      </w:r>
      <w:r>
        <w:rPr>
          <w:rFonts w:hint="eastAsia"/>
          <w:sz w:val="22"/>
          <w:szCs w:val="22"/>
          <w:lang w:val="en-US" w:eastAsia="zh-CN"/>
        </w:rPr>
        <w:t>壹佰万元</w:t>
      </w:r>
      <w:r>
        <w:rPr>
          <w:rFonts w:hint="eastAsia"/>
          <w:sz w:val="22"/>
          <w:szCs w:val="22"/>
          <w:lang w:val="en-US" w:eastAsia="en-US"/>
        </w:rPr>
        <w:t>，位于河北省廊坊市霸州市胜芳镇霸杨路鑫胜隆西侧。</w:t>
      </w:r>
    </w:p>
    <w:p w14:paraId="277D64D7">
      <w:pPr>
        <w:spacing w:line="400" w:lineRule="exact"/>
        <w:ind w:firstLine="411" w:firstLineChars="187"/>
        <w:rPr>
          <w:rFonts w:hint="eastAsia"/>
          <w:sz w:val="22"/>
          <w:szCs w:val="22"/>
          <w:lang w:val="en-US" w:eastAsia="en-US"/>
        </w:rPr>
      </w:pPr>
      <w:r>
        <w:rPr>
          <w:rFonts w:hint="eastAsia"/>
          <w:sz w:val="22"/>
          <w:szCs w:val="22"/>
          <w:lang w:val="en-US" w:eastAsia="en-US"/>
        </w:rPr>
        <w:t>公司设备先进</w:t>
      </w:r>
      <w:r>
        <w:rPr>
          <w:rFonts w:hint="eastAsia"/>
          <w:sz w:val="22"/>
          <w:szCs w:val="22"/>
          <w:lang w:val="en-US" w:eastAsia="zh-CN"/>
        </w:rPr>
        <w:t>，</w:t>
      </w:r>
      <w:r>
        <w:rPr>
          <w:rFonts w:hint="eastAsia"/>
          <w:sz w:val="22"/>
          <w:szCs w:val="22"/>
          <w:lang w:val="en-US" w:eastAsia="en-US"/>
        </w:rPr>
        <w:t>技术力量雄厚，拥有一批专业的设计、制作、生产精英，始终站在技术革新的前沿。产品涵盖</w:t>
      </w:r>
      <w:r>
        <w:rPr>
          <w:rFonts w:hint="eastAsia"/>
          <w:sz w:val="22"/>
          <w:szCs w:val="22"/>
          <w:lang w:val="en-US" w:eastAsia="zh-CN"/>
        </w:rPr>
        <w:t>金属家具、钢木家具、其他家具</w:t>
      </w:r>
      <w:r>
        <w:rPr>
          <w:rFonts w:hint="eastAsia"/>
          <w:sz w:val="22"/>
          <w:szCs w:val="22"/>
          <w:lang w:val="en-US" w:eastAsia="en-US"/>
        </w:rPr>
        <w:t>系列多个品种的生产和销售。</w:t>
      </w:r>
    </w:p>
    <w:p w14:paraId="5A0B5CB8">
      <w:pPr>
        <w:spacing w:line="400" w:lineRule="exact"/>
        <w:ind w:firstLine="411" w:firstLineChars="187"/>
        <w:rPr>
          <w:szCs w:val="21"/>
          <w:lang w:val="en-US" w:eastAsia="en-US"/>
        </w:rPr>
      </w:pPr>
      <w:r>
        <w:rPr>
          <w:sz w:val="22"/>
          <w:szCs w:val="22"/>
          <w:lang w:val="en-US" w:eastAsia="en-US"/>
        </w:rPr>
        <w:t>公司拥有完善的管理体系，产品畅销世界各地。公司一贯坚持“质量第一，客户满意为宗旨”</w:t>
      </w:r>
      <w:r>
        <w:rPr>
          <w:rFonts w:hint="eastAsia"/>
          <w:sz w:val="22"/>
          <w:szCs w:val="22"/>
          <w:lang w:val="en-US" w:eastAsia="zh-CN"/>
        </w:rPr>
        <w:t>，</w:t>
      </w:r>
      <w:r>
        <w:rPr>
          <w:sz w:val="22"/>
          <w:szCs w:val="22"/>
          <w:lang w:val="en-US" w:eastAsia="en-US"/>
        </w:rPr>
        <w:t>专业的配送渠道和完善的售后服务，锐意进取的精神，不断努力、不断超越，向专业化、精品化，阔步迈进。</w:t>
      </w:r>
    </w:p>
    <w:p w14:paraId="161FC428">
      <w:pPr>
        <w:keepNext w:val="0"/>
        <w:keepLines w:val="0"/>
        <w:pageBreakBefore w:val="0"/>
        <w:widowControl/>
        <w:kinsoku/>
        <w:wordWrap/>
        <w:overflowPunct/>
        <w:topLinePunct w:val="0"/>
        <w:autoSpaceDE/>
        <w:autoSpaceDN/>
        <w:bidi w:val="0"/>
        <w:adjustRightInd/>
        <w:snapToGrid/>
        <w:spacing w:before="218" w:line="250" w:lineRule="exact"/>
        <w:ind w:firstLine="420" w:firstLineChars="200"/>
        <w:textAlignment w:val="auto"/>
        <w:rPr>
          <w:rFonts w:ascii="宋体" w:hAnsi="宋体" w:cs="宋体"/>
          <w:color w:val="auto"/>
          <w:szCs w:val="22"/>
          <w:lang w:val="en-US" w:eastAsia="en-US" w:bidi="ar-SA"/>
        </w:rPr>
      </w:pPr>
    </w:p>
    <w:p w14:paraId="41B0357F">
      <w:pPr>
        <w:rPr>
          <w:szCs w:val="21"/>
        </w:rPr>
      </w:pPr>
      <w:bookmarkStart w:id="20" w:name="_GoBack"/>
      <w:bookmarkEnd w:id="20"/>
    </w:p>
    <w:p w14:paraId="7E17D5E5">
      <w:pPr>
        <w:rPr>
          <w:szCs w:val="21"/>
        </w:rPr>
      </w:pPr>
    </w:p>
    <w:p w14:paraId="28B3B295">
      <w:pPr>
        <w:rPr>
          <w:szCs w:val="21"/>
        </w:rPr>
      </w:pPr>
    </w:p>
    <w:p w14:paraId="56C3A796">
      <w:pPr>
        <w:rPr>
          <w:szCs w:val="21"/>
        </w:rPr>
      </w:pPr>
    </w:p>
    <w:p w14:paraId="6C801C61">
      <w:pPr>
        <w:rPr>
          <w:szCs w:val="21"/>
        </w:rPr>
      </w:pPr>
    </w:p>
    <w:p w14:paraId="49D45DCD">
      <w:pPr>
        <w:spacing w:before="210" w:line="265" w:lineRule="exact"/>
        <w:ind w:firstLine="840" w:firstLineChars="400"/>
        <w:jc w:val="left"/>
        <w:rPr>
          <w:rFonts w:hint="eastAsia" w:ascii="宋体" w:hAnsi="宋体" w:eastAsia="宋体" w:cs="宋体"/>
          <w:color w:val="FF0000"/>
          <w:sz w:val="21"/>
          <w:szCs w:val="21"/>
          <w:lang w:val="en-US" w:eastAsia="zh-CN" w:bidi="ar-SA"/>
        </w:rPr>
      </w:pPr>
      <w:r>
        <w:rPr>
          <w:rFonts w:hint="eastAsia" w:ascii="宋体" w:hAnsi="宋体" w:eastAsia="宋体" w:cs="宋体"/>
          <w:color w:val="000000"/>
          <w:sz w:val="21"/>
          <w:szCs w:val="21"/>
          <w:lang w:val="en-US" w:eastAsia="en-US" w:bidi="ar-SA"/>
        </w:rPr>
        <w:t>地</w:t>
      </w:r>
      <w:r>
        <w:rPr>
          <w:rFonts w:hint="eastAsia" w:ascii="宋体" w:hAnsi="宋体" w:eastAsia="宋体" w:cs="宋体"/>
          <w:color w:val="000000"/>
          <w:spacing w:val="366"/>
          <w:sz w:val="21"/>
          <w:szCs w:val="21"/>
          <w:lang w:val="en-US" w:eastAsia="en-US" w:bidi="ar-SA"/>
        </w:rPr>
        <w:t xml:space="preserve"> </w:t>
      </w:r>
      <w:r>
        <w:rPr>
          <w:rFonts w:hint="eastAsia" w:ascii="宋体" w:hAnsi="宋体" w:eastAsia="宋体" w:cs="宋体"/>
          <w:color w:val="000000"/>
          <w:spacing w:val="1"/>
          <w:sz w:val="21"/>
          <w:szCs w:val="21"/>
          <w:lang w:val="en-US" w:eastAsia="en-US" w:bidi="ar-SA"/>
        </w:rPr>
        <w:t>址:</w:t>
      </w:r>
      <w:r>
        <w:rPr>
          <w:rFonts w:hint="eastAsia" w:ascii="宋体" w:hAnsi="宋体" w:eastAsia="宋体" w:cs="宋体"/>
          <w:sz w:val="21"/>
          <w:szCs w:val="21"/>
          <w:highlight w:val="none"/>
          <w:u w:val="none"/>
          <w:lang w:val="en-US" w:eastAsia="zh-CN"/>
        </w:rPr>
        <w:t>河北省廊坊市霸州市胜芳镇霸杨路鑫胜隆西侧</w:t>
      </w:r>
    </w:p>
    <w:p w14:paraId="1830F31C">
      <w:pPr>
        <w:spacing w:before="93" w:line="219" w:lineRule="exact"/>
        <w:ind w:left="840"/>
        <w:rPr>
          <w:rFonts w:hint="default" w:ascii="宋体" w:hAnsi="宋体" w:eastAsia="宋体" w:cs="宋体"/>
          <w:color w:val="000000"/>
          <w:spacing w:val="-3"/>
          <w:sz w:val="21"/>
          <w:szCs w:val="21"/>
          <w:lang w:val="en-US" w:eastAsia="zh-CN" w:bidi="ar-SA"/>
        </w:rPr>
      </w:pPr>
      <w:r>
        <w:rPr>
          <w:rFonts w:hint="eastAsia" w:ascii="宋体" w:hAnsi="宋体" w:eastAsia="宋体" w:cs="宋体"/>
          <w:color w:val="000000"/>
          <w:sz w:val="21"/>
          <w:szCs w:val="21"/>
          <w:lang w:val="en-US" w:eastAsia="en-US" w:bidi="ar-SA"/>
        </w:rPr>
        <w:t>电</w:t>
      </w:r>
      <w:r>
        <w:rPr>
          <w:rFonts w:hint="eastAsia" w:ascii="宋体" w:hAnsi="宋体" w:eastAsia="宋体" w:cs="宋体"/>
          <w:color w:val="000000"/>
          <w:spacing w:val="366"/>
          <w:sz w:val="21"/>
          <w:szCs w:val="21"/>
          <w:lang w:val="en-US" w:eastAsia="en-US" w:bidi="ar-SA"/>
        </w:rPr>
        <w:t xml:space="preserve"> </w:t>
      </w:r>
      <w:r>
        <w:rPr>
          <w:rFonts w:hint="eastAsia" w:ascii="宋体" w:hAnsi="宋体" w:eastAsia="宋体" w:cs="宋体"/>
          <w:color w:val="000000"/>
          <w:spacing w:val="-1"/>
          <w:sz w:val="21"/>
          <w:szCs w:val="21"/>
          <w:lang w:val="en-US" w:eastAsia="en-US" w:bidi="ar-SA"/>
        </w:rPr>
        <w:t>话：</w:t>
      </w:r>
    </w:p>
    <w:p w14:paraId="6F0C54ED">
      <w:pPr>
        <w:spacing w:before="93" w:line="219" w:lineRule="exact"/>
        <w:ind w:left="840"/>
        <w:rPr>
          <w:rFonts w:hint="eastAsia"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en-US" w:bidi="ar-SA"/>
        </w:rPr>
        <w:t>传</w:t>
      </w:r>
      <w:r>
        <w:rPr>
          <w:rFonts w:hint="eastAsia" w:ascii="宋体" w:hAnsi="宋体" w:eastAsia="宋体" w:cs="宋体"/>
          <w:color w:val="000000"/>
          <w:spacing w:val="366"/>
          <w:sz w:val="21"/>
          <w:szCs w:val="21"/>
          <w:lang w:val="en-US" w:eastAsia="en-US" w:bidi="ar-SA"/>
        </w:rPr>
        <w:t xml:space="preserve"> </w:t>
      </w:r>
      <w:r>
        <w:rPr>
          <w:rFonts w:hint="eastAsia" w:ascii="宋体" w:hAnsi="宋体" w:eastAsia="宋体" w:cs="宋体"/>
          <w:color w:val="000000"/>
          <w:spacing w:val="-1"/>
          <w:sz w:val="21"/>
          <w:szCs w:val="21"/>
          <w:lang w:val="en-US" w:eastAsia="en-US" w:bidi="ar-SA"/>
        </w:rPr>
        <w:t>真：</w:t>
      </w:r>
      <w:r>
        <w:rPr>
          <w:rFonts w:hint="eastAsia" w:ascii="宋体" w:hAnsi="宋体" w:eastAsia="宋体" w:cs="宋体"/>
          <w:color w:val="000000"/>
          <w:spacing w:val="-1"/>
          <w:sz w:val="21"/>
          <w:szCs w:val="21"/>
          <w:lang w:val="en-US" w:eastAsia="zh-CN" w:bidi="ar-SA"/>
        </w:rPr>
        <w:t>----</w:t>
      </w:r>
    </w:p>
    <w:p w14:paraId="7ABE7522">
      <w:pPr>
        <w:spacing w:before="93" w:line="219" w:lineRule="exact"/>
        <w:ind w:left="840"/>
        <w:rPr>
          <w:rFonts w:hint="default" w:ascii="宋体" w:hAnsi="宋体" w:eastAsia="宋体" w:cs="宋体"/>
          <w:color w:val="FF0000"/>
          <w:spacing w:val="-3"/>
          <w:sz w:val="21"/>
          <w:szCs w:val="21"/>
          <w:lang w:val="en-US" w:eastAsia="zh-CN" w:bidi="ar-SA"/>
        </w:rPr>
      </w:pPr>
      <w:r>
        <w:rPr>
          <w:rFonts w:hint="eastAsia" w:ascii="宋体" w:hAnsi="宋体" w:eastAsia="宋体" w:cs="宋体"/>
          <w:color w:val="000000"/>
          <w:sz w:val="21"/>
          <w:szCs w:val="21"/>
          <w:lang w:val="en-US" w:eastAsia="en-US" w:bidi="ar-SA"/>
        </w:rPr>
        <w:t>邮</w:t>
      </w:r>
      <w:r>
        <w:rPr>
          <w:rFonts w:hint="eastAsia" w:ascii="宋体" w:hAnsi="宋体" w:eastAsia="宋体" w:cs="宋体"/>
          <w:color w:val="000000"/>
          <w:spacing w:val="366"/>
          <w:sz w:val="21"/>
          <w:szCs w:val="21"/>
          <w:lang w:val="en-US" w:eastAsia="en-US" w:bidi="ar-SA"/>
        </w:rPr>
        <w:t xml:space="preserve"> </w:t>
      </w:r>
      <w:r>
        <w:rPr>
          <w:rFonts w:hint="eastAsia" w:ascii="宋体" w:hAnsi="宋体" w:eastAsia="宋体" w:cs="宋体"/>
          <w:color w:val="000000"/>
          <w:spacing w:val="-1"/>
          <w:sz w:val="21"/>
          <w:szCs w:val="21"/>
          <w:lang w:val="en-US" w:eastAsia="en-US" w:bidi="ar-SA"/>
        </w:rPr>
        <w:t>编：</w:t>
      </w:r>
      <w:r>
        <w:rPr>
          <w:rFonts w:hint="eastAsia" w:ascii="宋体" w:hAnsi="宋体" w:eastAsia="宋体" w:cs="宋体"/>
          <w:sz w:val="21"/>
          <w:szCs w:val="21"/>
          <w:highlight w:val="none"/>
          <w:u w:val="none"/>
          <w:lang w:val="en-US" w:eastAsia="zh-CN"/>
        </w:rPr>
        <w:t>065702</w:t>
      </w:r>
    </w:p>
    <w:p w14:paraId="66AF0AFC">
      <w:pPr>
        <w:rPr>
          <w:szCs w:val="21"/>
        </w:rPr>
      </w:pPr>
    </w:p>
    <w:p w14:paraId="5FF52E5F">
      <w:pPr>
        <w:rPr>
          <w:szCs w:val="21"/>
        </w:rPr>
      </w:pPr>
    </w:p>
    <w:p w14:paraId="06EB6C6F">
      <w:pPr>
        <w:rPr>
          <w:szCs w:val="21"/>
        </w:rPr>
      </w:pPr>
    </w:p>
    <w:p w14:paraId="1EBCFFA4">
      <w:pPr>
        <w:rPr>
          <w:szCs w:val="21"/>
        </w:rPr>
      </w:pPr>
    </w:p>
    <w:p w14:paraId="221028D5">
      <w:pPr>
        <w:rPr>
          <w:szCs w:val="21"/>
        </w:rPr>
      </w:pPr>
    </w:p>
    <w:p w14:paraId="0F62B7AD">
      <w:pPr>
        <w:rPr>
          <w:szCs w:val="21"/>
        </w:rPr>
      </w:pPr>
    </w:p>
    <w:p w14:paraId="5A96EAEE">
      <w:pPr>
        <w:rPr>
          <w:szCs w:val="21"/>
        </w:rPr>
      </w:pPr>
    </w:p>
    <w:p w14:paraId="3868123E">
      <w:pPr>
        <w:rPr>
          <w:szCs w:val="21"/>
        </w:rPr>
      </w:pPr>
    </w:p>
    <w:p w14:paraId="3BFC60EC">
      <w:pPr>
        <w:rPr>
          <w:szCs w:val="21"/>
        </w:rPr>
      </w:pPr>
    </w:p>
    <w:p w14:paraId="3DE0FD23"/>
    <w:p w14:paraId="7FBF3B3A"/>
    <w:p w14:paraId="0A33EAB0">
      <w:pPr>
        <w:pStyle w:val="2"/>
        <w:spacing w:line="360" w:lineRule="auto"/>
        <w:rPr>
          <w:rFonts w:asciiTheme="minorEastAsia" w:hAnsiTheme="minorEastAsia"/>
          <w:sz w:val="32"/>
          <w:szCs w:val="18"/>
        </w:rPr>
      </w:pPr>
    </w:p>
    <w:p w14:paraId="3593C6F1">
      <w:pPr>
        <w:pStyle w:val="2"/>
        <w:spacing w:line="360" w:lineRule="auto"/>
        <w:rPr>
          <w:rFonts w:asciiTheme="minorEastAsia" w:hAnsiTheme="minorEastAsia"/>
          <w:sz w:val="32"/>
          <w:szCs w:val="18"/>
        </w:rPr>
      </w:pPr>
    </w:p>
    <w:p w14:paraId="7C370EEB">
      <w:pPr>
        <w:pStyle w:val="2"/>
        <w:spacing w:line="360" w:lineRule="auto"/>
        <w:rPr>
          <w:rFonts w:asciiTheme="minorEastAsia" w:hAnsiTheme="minorEastAsia"/>
          <w:sz w:val="32"/>
          <w:szCs w:val="18"/>
        </w:rPr>
      </w:pPr>
      <w:r>
        <w:rPr>
          <w:rFonts w:asciiTheme="minorEastAsia" w:hAnsiTheme="minorEastAsia"/>
          <w:sz w:val="32"/>
          <w:szCs w:val="18"/>
        </w:rPr>
        <w:t>0.</w:t>
      </w:r>
      <w:r>
        <w:rPr>
          <w:rFonts w:hint="eastAsia" w:asciiTheme="minorEastAsia" w:hAnsiTheme="minorEastAsia"/>
          <w:sz w:val="32"/>
          <w:szCs w:val="18"/>
        </w:rPr>
        <w:t>4质量方针、</w:t>
      </w:r>
      <w:r>
        <w:rPr>
          <w:rFonts w:asciiTheme="minorEastAsia" w:hAnsiTheme="minorEastAsia"/>
          <w:sz w:val="32"/>
          <w:szCs w:val="18"/>
        </w:rPr>
        <w:t>环</w:t>
      </w:r>
      <w:r>
        <w:rPr>
          <w:rFonts w:hint="eastAsia" w:asciiTheme="minorEastAsia" w:hAnsiTheme="minorEastAsia"/>
          <w:sz w:val="32"/>
          <w:szCs w:val="18"/>
        </w:rPr>
        <w:t>境方</w:t>
      </w:r>
      <w:r>
        <w:rPr>
          <w:rFonts w:asciiTheme="minorEastAsia" w:hAnsiTheme="minorEastAsia"/>
          <w:sz w:val="32"/>
          <w:szCs w:val="18"/>
        </w:rPr>
        <w:t>针</w:t>
      </w:r>
      <w:r>
        <w:rPr>
          <w:rFonts w:hint="eastAsia" w:asciiTheme="minorEastAsia" w:hAnsiTheme="minorEastAsia"/>
          <w:sz w:val="32"/>
          <w:szCs w:val="18"/>
        </w:rPr>
        <w:t>、职业健康安全管理方针</w:t>
      </w:r>
    </w:p>
    <w:p w14:paraId="598A8FA5">
      <w:pPr>
        <w:spacing w:line="400" w:lineRule="exact"/>
        <w:jc w:val="left"/>
        <w:rPr>
          <w:rFonts w:asciiTheme="minorEastAsia" w:hAnsiTheme="minorEastAsia"/>
          <w:b/>
          <w:sz w:val="30"/>
        </w:rPr>
      </w:pPr>
    </w:p>
    <w:p w14:paraId="2F9093C0">
      <w:pPr>
        <w:spacing w:line="360" w:lineRule="auto"/>
        <w:ind w:firstLine="630" w:firstLineChars="300"/>
        <w:rPr>
          <w:szCs w:val="21"/>
        </w:rPr>
      </w:pPr>
      <w:r>
        <w:rPr>
          <w:rFonts w:hint="eastAsia"/>
          <w:szCs w:val="21"/>
        </w:rPr>
        <w:t>质量:顾客满意，质量第一。</w:t>
      </w:r>
    </w:p>
    <w:p w14:paraId="436DB8EC">
      <w:pPr>
        <w:spacing w:line="360" w:lineRule="auto"/>
        <w:ind w:firstLine="630" w:firstLineChars="300"/>
        <w:rPr>
          <w:szCs w:val="21"/>
        </w:rPr>
      </w:pPr>
      <w:r>
        <w:rPr>
          <w:rFonts w:hint="eastAsia"/>
          <w:szCs w:val="21"/>
        </w:rPr>
        <w:t>环境:遵守法规，预防污染。</w:t>
      </w:r>
    </w:p>
    <w:p w14:paraId="41A441D6">
      <w:pPr>
        <w:spacing w:line="360" w:lineRule="auto"/>
        <w:ind w:firstLine="630" w:firstLineChars="300"/>
        <w:rPr>
          <w:szCs w:val="21"/>
        </w:rPr>
      </w:pPr>
      <w:r>
        <w:rPr>
          <w:rFonts w:hint="eastAsia"/>
          <w:szCs w:val="21"/>
        </w:rPr>
        <w:t>安全:遵守法规，安全第一。</w:t>
      </w:r>
    </w:p>
    <w:p w14:paraId="118A50AA">
      <w:pPr>
        <w:spacing w:line="400" w:lineRule="exact"/>
        <w:ind w:firstLine="570"/>
        <w:rPr>
          <w:rFonts w:asciiTheme="minorEastAsia" w:hAnsiTheme="minorEastAsia"/>
          <w:sz w:val="48"/>
        </w:rPr>
      </w:pPr>
    </w:p>
    <w:p w14:paraId="3952BB84">
      <w:pPr>
        <w:spacing w:line="400" w:lineRule="exact"/>
        <w:rPr>
          <w:rFonts w:asciiTheme="minorEastAsia" w:hAnsiTheme="minorEastAsia"/>
          <w:sz w:val="28"/>
        </w:rPr>
      </w:pPr>
    </w:p>
    <w:p w14:paraId="09E20B75">
      <w:pPr>
        <w:spacing w:line="400" w:lineRule="exact"/>
        <w:rPr>
          <w:rFonts w:asciiTheme="minorEastAsia" w:hAnsiTheme="minorEastAsia"/>
          <w:sz w:val="28"/>
        </w:rPr>
      </w:pPr>
    </w:p>
    <w:p w14:paraId="1BB4042F">
      <w:pPr>
        <w:spacing w:line="400" w:lineRule="exact"/>
        <w:rPr>
          <w:rFonts w:asciiTheme="minorEastAsia" w:hAnsiTheme="minorEastAsia"/>
          <w:sz w:val="28"/>
        </w:rPr>
      </w:pPr>
    </w:p>
    <w:p w14:paraId="170E49DD">
      <w:pPr>
        <w:spacing w:line="400" w:lineRule="exact"/>
        <w:rPr>
          <w:rFonts w:asciiTheme="minorEastAsia" w:hAnsiTheme="minorEastAsia"/>
          <w:sz w:val="28"/>
        </w:rPr>
      </w:pPr>
    </w:p>
    <w:p w14:paraId="654E50C7">
      <w:pPr>
        <w:spacing w:line="400" w:lineRule="exact"/>
        <w:rPr>
          <w:rFonts w:asciiTheme="minorEastAsia" w:hAnsiTheme="minorEastAsia"/>
          <w:sz w:val="28"/>
        </w:rPr>
      </w:pPr>
    </w:p>
    <w:p w14:paraId="24945375">
      <w:pPr>
        <w:spacing w:line="400" w:lineRule="exact"/>
        <w:rPr>
          <w:rFonts w:asciiTheme="minorEastAsia" w:hAnsiTheme="minorEastAsia"/>
          <w:sz w:val="28"/>
        </w:rPr>
      </w:pPr>
    </w:p>
    <w:p w14:paraId="5AFD5740">
      <w:pPr>
        <w:spacing w:line="400" w:lineRule="exact"/>
        <w:rPr>
          <w:rFonts w:asciiTheme="minorEastAsia" w:hAnsiTheme="minorEastAsia"/>
          <w:sz w:val="28"/>
        </w:rPr>
      </w:pPr>
    </w:p>
    <w:p w14:paraId="238999DE">
      <w:pPr>
        <w:spacing w:line="400" w:lineRule="exact"/>
        <w:rPr>
          <w:rFonts w:asciiTheme="minorEastAsia" w:hAnsiTheme="minorEastAsia"/>
          <w:sz w:val="28"/>
        </w:rPr>
      </w:pPr>
    </w:p>
    <w:p w14:paraId="7194FD24">
      <w:pPr>
        <w:spacing w:line="400" w:lineRule="exact"/>
        <w:rPr>
          <w:rFonts w:asciiTheme="minorEastAsia" w:hAnsiTheme="minorEastAsia"/>
          <w:sz w:val="28"/>
        </w:rPr>
      </w:pPr>
    </w:p>
    <w:p w14:paraId="789A7AD8">
      <w:pPr>
        <w:spacing w:line="360" w:lineRule="auto"/>
        <w:ind w:firstLine="5670" w:firstLineChars="2700"/>
        <w:rPr>
          <w:szCs w:val="21"/>
        </w:rPr>
      </w:pPr>
      <w:r>
        <w:rPr>
          <w:rFonts w:hint="eastAsia"/>
          <w:szCs w:val="21"/>
          <w:lang w:val="en-US" w:eastAsia="zh-CN"/>
        </w:rPr>
        <w:t>霸州市煜森家具有限公司</w:t>
      </w:r>
    </w:p>
    <w:p w14:paraId="39CC99DF">
      <w:pPr>
        <w:spacing w:line="360" w:lineRule="auto"/>
        <w:ind w:firstLine="630" w:firstLineChars="300"/>
        <w:rPr>
          <w:rFonts w:hint="eastAsia" w:asciiTheme="minorEastAsia" w:hAnsiTheme="minorEastAsia" w:eastAsiaTheme="minorEastAsia"/>
          <w:szCs w:val="21"/>
          <w:lang w:eastAsia="zh-CN"/>
        </w:rPr>
      </w:pPr>
      <w:r>
        <w:rPr>
          <w:rFonts w:hint="eastAsia"/>
          <w:szCs w:val="21"/>
        </w:rPr>
        <w:t xml:space="preserve">                                                    总经理：</w:t>
      </w:r>
      <w:r>
        <w:rPr>
          <w:rFonts w:hint="eastAsia"/>
          <w:szCs w:val="21"/>
          <w:lang w:eastAsia="zh-CN"/>
        </w:rPr>
        <w:t>郑瑞寻</w:t>
      </w:r>
    </w:p>
    <w:p w14:paraId="32FF81E0">
      <w:pPr>
        <w:spacing w:line="360" w:lineRule="auto"/>
        <w:ind w:firstLine="5670" w:firstLineChars="2700"/>
        <w:rPr>
          <w:rFonts w:hint="eastAsia" w:eastAsiaTheme="minorEastAsia"/>
          <w:szCs w:val="21"/>
          <w:lang w:eastAsia="zh-CN"/>
        </w:rPr>
      </w:pPr>
      <w:r>
        <w:rPr>
          <w:rFonts w:hint="eastAsia"/>
          <w:szCs w:val="21"/>
        </w:rPr>
        <w:t xml:space="preserve">  </w:t>
      </w:r>
      <w:r>
        <w:rPr>
          <w:rFonts w:hint="eastAsia"/>
          <w:szCs w:val="21"/>
          <w:lang w:eastAsia="zh-CN"/>
        </w:rPr>
        <w:t>2025年4月25日</w:t>
      </w:r>
    </w:p>
    <w:p w14:paraId="0AFB4D36">
      <w:pPr>
        <w:spacing w:line="400" w:lineRule="exact"/>
        <w:rPr>
          <w:rFonts w:asciiTheme="minorEastAsia" w:hAnsiTheme="minorEastAsia"/>
          <w:sz w:val="28"/>
        </w:rPr>
      </w:pPr>
      <w:r>
        <w:rPr>
          <w:rFonts w:hint="eastAsia" w:asciiTheme="minorEastAsia" w:hAnsiTheme="minorEastAsia"/>
          <w:sz w:val="28"/>
        </w:rPr>
        <w:br w:type="page"/>
      </w:r>
    </w:p>
    <w:p w14:paraId="03A4F328">
      <w:pPr>
        <w:pStyle w:val="2"/>
        <w:spacing w:line="360" w:lineRule="auto"/>
        <w:rPr>
          <w:rFonts w:asciiTheme="minorEastAsia" w:hAnsiTheme="minorEastAsia"/>
          <w:sz w:val="32"/>
          <w:szCs w:val="18"/>
        </w:rPr>
      </w:pPr>
      <w:r>
        <w:rPr>
          <w:rFonts w:hint="eastAsia" w:asciiTheme="minorEastAsia" w:hAnsiTheme="minorEastAsia"/>
          <w:sz w:val="32"/>
          <w:szCs w:val="18"/>
        </w:rPr>
        <w:t>0.5  质量环境职业健康安全目标</w:t>
      </w:r>
      <w:r>
        <w:rPr>
          <w:rFonts w:hint="eastAsia" w:asciiTheme="minorEastAsia" w:hAnsiTheme="minorEastAsia"/>
          <w:sz w:val="32"/>
          <w:szCs w:val="18"/>
        </w:rPr>
        <w:tab/>
      </w:r>
    </w:p>
    <w:p w14:paraId="6A61B7AC">
      <w:pPr>
        <w:pStyle w:val="19"/>
        <w:spacing w:line="360" w:lineRule="auto"/>
        <w:ind w:firstLine="420"/>
        <w:rPr>
          <w:color w:val="auto"/>
          <w:sz w:val="21"/>
          <w:szCs w:val="21"/>
        </w:rPr>
      </w:pPr>
      <w:r>
        <w:rPr>
          <w:rFonts w:hint="eastAsia"/>
          <w:color w:val="auto"/>
          <w:sz w:val="21"/>
          <w:szCs w:val="21"/>
        </w:rPr>
        <w:t>管</w:t>
      </w:r>
      <w:r>
        <w:rPr>
          <w:color w:val="auto"/>
          <w:sz w:val="21"/>
          <w:szCs w:val="21"/>
        </w:rPr>
        <w:t>理者代表</w:t>
      </w:r>
      <w:r>
        <w:rPr>
          <w:rFonts w:hint="eastAsia"/>
          <w:color w:val="auto"/>
          <w:sz w:val="21"/>
          <w:szCs w:val="21"/>
        </w:rPr>
        <w:t>组织制定本</w:t>
      </w:r>
      <w:r>
        <w:rPr>
          <w:color w:val="auto"/>
          <w:sz w:val="21"/>
          <w:szCs w:val="21"/>
        </w:rPr>
        <w:t>公司的</w:t>
      </w:r>
      <w:r>
        <w:rPr>
          <w:rFonts w:hint="eastAsia"/>
          <w:color w:val="auto"/>
          <w:sz w:val="21"/>
          <w:szCs w:val="21"/>
        </w:rPr>
        <w:t>质量、环境及职业健康安全目标，目标应包括满足公司经营服务要求所需的内容，应先进、具体、可测量、可检查、可实现，并与管理方针保持一致，本公司</w:t>
      </w:r>
      <w:r>
        <w:rPr>
          <w:color w:val="auto"/>
          <w:sz w:val="21"/>
          <w:szCs w:val="21"/>
        </w:rPr>
        <w:t>的</w:t>
      </w:r>
      <w:r>
        <w:rPr>
          <w:rFonts w:hint="eastAsia"/>
          <w:color w:val="auto"/>
          <w:sz w:val="21"/>
          <w:szCs w:val="21"/>
        </w:rPr>
        <w:t>目标如下：</w:t>
      </w:r>
    </w:p>
    <w:p w14:paraId="35381CCA">
      <w:pPr>
        <w:spacing w:line="360" w:lineRule="auto"/>
        <w:rPr>
          <w:szCs w:val="21"/>
        </w:rPr>
      </w:pPr>
      <w:r>
        <w:rPr>
          <w:rFonts w:hint="eastAsia"/>
          <w:szCs w:val="21"/>
        </w:rPr>
        <w:t>本公司质量管理、安全、环境目标为：</w:t>
      </w:r>
    </w:p>
    <w:p w14:paraId="0BE5F4B5">
      <w:pPr>
        <w:spacing w:line="360" w:lineRule="auto"/>
        <w:ind w:firstLine="420" w:firstLineChars="200"/>
        <w:rPr>
          <w:szCs w:val="21"/>
        </w:rPr>
      </w:pPr>
      <w:r>
        <w:rPr>
          <w:rFonts w:hint="eastAsia"/>
          <w:szCs w:val="21"/>
        </w:rPr>
        <w:t>1、顾客满意度≥90分；</w:t>
      </w:r>
    </w:p>
    <w:p w14:paraId="3E19F1FF">
      <w:pPr>
        <w:spacing w:line="360" w:lineRule="auto"/>
        <w:ind w:firstLine="420" w:firstLineChars="200"/>
        <w:rPr>
          <w:szCs w:val="21"/>
        </w:rPr>
      </w:pPr>
      <w:r>
        <w:rPr>
          <w:rFonts w:hint="eastAsia"/>
          <w:szCs w:val="21"/>
        </w:rPr>
        <w:t>2、成品一次交验合格率≥98%</w:t>
      </w:r>
    </w:p>
    <w:p w14:paraId="1219E666">
      <w:pPr>
        <w:spacing w:line="360" w:lineRule="auto"/>
        <w:ind w:firstLine="420" w:firstLineChars="200"/>
        <w:rPr>
          <w:szCs w:val="21"/>
        </w:rPr>
      </w:pPr>
      <w:r>
        <w:rPr>
          <w:rFonts w:hint="eastAsia"/>
          <w:szCs w:val="21"/>
        </w:rPr>
        <w:t>3、及时交付率100%；</w:t>
      </w:r>
    </w:p>
    <w:p w14:paraId="14265AF9">
      <w:pPr>
        <w:spacing w:line="360" w:lineRule="auto"/>
        <w:ind w:firstLine="420" w:firstLineChars="200"/>
        <w:rPr>
          <w:szCs w:val="21"/>
        </w:rPr>
      </w:pPr>
      <w:r>
        <w:rPr>
          <w:rFonts w:hint="eastAsia"/>
          <w:szCs w:val="21"/>
        </w:rPr>
        <w:t>4、火灾事故为0；</w:t>
      </w:r>
    </w:p>
    <w:p w14:paraId="55C434BE">
      <w:pPr>
        <w:spacing w:line="360" w:lineRule="auto"/>
        <w:ind w:firstLine="420" w:firstLineChars="200"/>
        <w:rPr>
          <w:szCs w:val="21"/>
        </w:rPr>
      </w:pPr>
      <w:r>
        <w:rPr>
          <w:rFonts w:hint="eastAsia"/>
          <w:szCs w:val="21"/>
        </w:rPr>
        <w:t>5、固废分类回收率100%；</w:t>
      </w:r>
    </w:p>
    <w:p w14:paraId="788E88B1">
      <w:pPr>
        <w:spacing w:line="360" w:lineRule="auto"/>
        <w:ind w:firstLine="420" w:firstLineChars="200"/>
        <w:rPr>
          <w:szCs w:val="21"/>
        </w:rPr>
      </w:pPr>
      <w:r>
        <w:rPr>
          <w:rFonts w:hint="eastAsia"/>
          <w:szCs w:val="21"/>
        </w:rPr>
        <w:t>6、噪声、废气达标排放</w:t>
      </w:r>
    </w:p>
    <w:p w14:paraId="61701CFF">
      <w:pPr>
        <w:spacing w:line="360" w:lineRule="auto"/>
        <w:ind w:firstLine="420" w:firstLineChars="200"/>
        <w:rPr>
          <w:szCs w:val="21"/>
        </w:rPr>
      </w:pPr>
      <w:r>
        <w:rPr>
          <w:rFonts w:hint="eastAsia"/>
          <w:szCs w:val="21"/>
        </w:rPr>
        <w:t>7、人身伤害事故为0</w:t>
      </w:r>
    </w:p>
    <w:p w14:paraId="189B22A7">
      <w:pPr>
        <w:spacing w:line="400" w:lineRule="exact"/>
        <w:ind w:firstLine="392" w:firstLineChars="187"/>
        <w:rPr>
          <w:szCs w:val="21"/>
        </w:rPr>
      </w:pPr>
      <w:r>
        <w:rPr>
          <w:szCs w:val="21"/>
        </w:rPr>
        <w:t>---各部门在职责范围内，通过各种形式对管理目标和指标进行宣传；</w:t>
      </w:r>
    </w:p>
    <w:p w14:paraId="609533DC">
      <w:pPr>
        <w:spacing w:line="400" w:lineRule="exact"/>
        <w:ind w:firstLine="392" w:firstLineChars="187"/>
        <w:rPr>
          <w:szCs w:val="21"/>
        </w:rPr>
      </w:pPr>
      <w:r>
        <w:rPr>
          <w:rFonts w:hint="eastAsia"/>
          <w:szCs w:val="21"/>
        </w:rPr>
        <w:t>---管理目标、指标要在部门进行分解、展开,制定相应的管理方案,确保总目标的实现；</w:t>
      </w:r>
    </w:p>
    <w:p w14:paraId="4DDED4B3">
      <w:pPr>
        <w:spacing w:line="400" w:lineRule="exact"/>
        <w:ind w:firstLine="392" w:firstLineChars="187"/>
        <w:rPr>
          <w:szCs w:val="21"/>
        </w:rPr>
      </w:pPr>
      <w:r>
        <w:rPr>
          <w:szCs w:val="21"/>
        </w:rPr>
        <w:t>---在管理评审做出决策时或管理体系运行发生变化时，由总经理组织有关部门对管理方针、目标进行修订，以满足顾客、法律法规的要求。</w:t>
      </w:r>
    </w:p>
    <w:p w14:paraId="53D0D4BF">
      <w:pPr>
        <w:spacing w:line="400" w:lineRule="exact"/>
        <w:rPr>
          <w:szCs w:val="21"/>
        </w:rPr>
      </w:pPr>
    </w:p>
    <w:p w14:paraId="0C77A7EE">
      <w:pPr>
        <w:spacing w:line="360" w:lineRule="auto"/>
        <w:jc w:val="right"/>
        <w:rPr>
          <w:szCs w:val="21"/>
        </w:rPr>
      </w:pPr>
      <w:r>
        <w:rPr>
          <w:rFonts w:hint="eastAsia"/>
          <w:szCs w:val="21"/>
          <w:lang w:val="en-US" w:eastAsia="zh-CN"/>
        </w:rPr>
        <w:t>霸州市煜森家具有限公司</w:t>
      </w:r>
    </w:p>
    <w:p w14:paraId="037F8C4D">
      <w:pPr>
        <w:spacing w:line="360" w:lineRule="auto"/>
        <w:ind w:firstLine="630" w:firstLineChars="300"/>
        <w:rPr>
          <w:rFonts w:hint="eastAsia" w:asciiTheme="minorEastAsia" w:hAnsiTheme="minorEastAsia" w:eastAsiaTheme="minorEastAsia"/>
          <w:szCs w:val="21"/>
          <w:lang w:eastAsia="zh-CN"/>
        </w:rPr>
      </w:pPr>
      <w:r>
        <w:rPr>
          <w:rFonts w:hint="eastAsia"/>
          <w:szCs w:val="21"/>
        </w:rPr>
        <w:t xml:space="preserve">                                                                   总经理：</w:t>
      </w:r>
      <w:r>
        <w:rPr>
          <w:rFonts w:hint="eastAsia" w:asciiTheme="minorEastAsia" w:hAnsiTheme="minorEastAsia"/>
          <w:szCs w:val="21"/>
          <w:lang w:eastAsia="zh-CN"/>
        </w:rPr>
        <w:t>郑瑞寻</w:t>
      </w:r>
    </w:p>
    <w:p w14:paraId="07802FD6">
      <w:pPr>
        <w:spacing w:line="400" w:lineRule="exact"/>
        <w:ind w:firstLine="392" w:firstLineChars="187"/>
        <w:jc w:val="right"/>
        <w:rPr>
          <w:rFonts w:hint="eastAsia" w:eastAsiaTheme="minorEastAsia"/>
          <w:szCs w:val="21"/>
          <w:lang w:eastAsia="zh-CN"/>
        </w:rPr>
      </w:pPr>
      <w:r>
        <w:rPr>
          <w:rFonts w:hint="eastAsia"/>
          <w:szCs w:val="21"/>
        </w:rPr>
        <w:t xml:space="preserve">  </w:t>
      </w:r>
      <w:r>
        <w:rPr>
          <w:rFonts w:hint="eastAsia"/>
          <w:szCs w:val="21"/>
          <w:lang w:eastAsia="zh-CN"/>
        </w:rPr>
        <w:t>2025年4月25日</w:t>
      </w:r>
    </w:p>
    <w:p w14:paraId="55C97843">
      <w:pPr>
        <w:spacing w:line="600" w:lineRule="exact"/>
        <w:ind w:firstLine="5880" w:firstLineChars="2100"/>
        <w:rPr>
          <w:rFonts w:asciiTheme="minorEastAsia" w:hAnsiTheme="minorEastAsia"/>
          <w:sz w:val="28"/>
          <w:szCs w:val="28"/>
        </w:rPr>
      </w:pPr>
      <w:r>
        <w:rPr>
          <w:rFonts w:hint="eastAsia" w:asciiTheme="minorEastAsia" w:hAnsiTheme="minorEastAsia"/>
          <w:sz w:val="28"/>
          <w:szCs w:val="28"/>
        </w:rPr>
        <w:br w:type="page"/>
      </w:r>
    </w:p>
    <w:p w14:paraId="67763318">
      <w:pPr>
        <w:pStyle w:val="2"/>
        <w:spacing w:line="360" w:lineRule="auto"/>
        <w:rPr>
          <w:rFonts w:asciiTheme="minorEastAsia" w:hAnsiTheme="minorEastAsia"/>
          <w:sz w:val="32"/>
          <w:szCs w:val="18"/>
        </w:rPr>
      </w:pPr>
      <w:r>
        <w:rPr>
          <w:rFonts w:hint="eastAsia" w:asciiTheme="minorEastAsia" w:hAnsiTheme="minorEastAsia"/>
          <w:sz w:val="32"/>
          <w:szCs w:val="18"/>
        </w:rPr>
        <w:t>0.6  公司组织结构</w:t>
      </w:r>
    </w:p>
    <w:p w14:paraId="7DC7FE11">
      <w:pPr>
        <w:jc w:val="center"/>
        <w:rPr>
          <w:rFonts w:asciiTheme="minorEastAsia" w:hAnsiTheme="minorEastAsia"/>
          <w:b/>
          <w:sz w:val="32"/>
          <w:szCs w:val="32"/>
        </w:rPr>
      </w:pPr>
      <w:r>
        <w:rPr>
          <w:rFonts w:hint="eastAsia" w:asciiTheme="minorEastAsia" w:hAnsiTheme="minorEastAsia"/>
          <w:b/>
          <w:sz w:val="32"/>
          <w:szCs w:val="32"/>
        </w:rPr>
        <w:t>公司质量/环境/职业健康安全管理体系机构图</w:t>
      </w:r>
    </w:p>
    <w:p w14:paraId="7B09EDFB">
      <w:pPr>
        <w:jc w:val="center"/>
        <w:rPr>
          <w:rFonts w:asciiTheme="minorEastAsia" w:hAnsiTheme="minorEastAsia"/>
          <w:b/>
          <w:sz w:val="32"/>
          <w:szCs w:val="32"/>
        </w:rPr>
      </w:pPr>
    </w:p>
    <w:p w14:paraId="51DC6105">
      <w:pPr>
        <w:spacing w:line="400" w:lineRule="exact"/>
        <w:rPr>
          <w:rFonts w:asciiTheme="minorEastAsia" w:hAnsiTheme="minorEastAsia"/>
          <w:sz w:val="28"/>
          <w:szCs w:val="28"/>
        </w:rPr>
      </w:pPr>
    </w:p>
    <w:p w14:paraId="6830A1A8">
      <w:pPr>
        <w:pStyle w:val="3"/>
        <w:spacing w:line="276" w:lineRule="auto"/>
      </w:pPr>
      <w:r>
        <w:rPr>
          <w:sz w:val="20"/>
        </w:rPr>
        <w:pict>
          <v:shape id="_x0000_s1032" o:spid="_x0000_s1032" o:spt="202" type="#_x0000_t202" style="position:absolute;left:0pt;margin-left:208.9pt;margin-top:47.85pt;height:23.75pt;width:89.6pt;z-index:251667456;mso-width-relative:page;mso-height-relative:page;" coordsize="21600,21600">
            <v:path/>
            <v:fill focussize="0,0"/>
            <v:stroke joinstyle="miter"/>
            <v:imagedata o:title=""/>
            <o:lock v:ext="edit"/>
            <v:textbox>
              <w:txbxContent>
                <w:p w14:paraId="2B3736F3">
                  <w:pPr>
                    <w:jc w:val="center"/>
                    <w:rPr>
                      <w:sz w:val="24"/>
                    </w:rPr>
                  </w:pPr>
                  <w:r>
                    <w:rPr>
                      <w:rFonts w:hint="eastAsia"/>
                      <w:sz w:val="24"/>
                    </w:rPr>
                    <w:t>总经理</w:t>
                  </w:r>
                </w:p>
              </w:txbxContent>
            </v:textbox>
          </v:shape>
        </w:pict>
      </w:r>
    </w:p>
    <w:p w14:paraId="4D199BA8">
      <w:pPr>
        <w:spacing w:line="360" w:lineRule="auto"/>
        <w:rPr>
          <w:rFonts w:ascii="宋体" w:hAnsi="宋体"/>
          <w:sz w:val="24"/>
        </w:rPr>
      </w:pPr>
      <w:r>
        <w:rPr>
          <w:rFonts w:ascii="宋体" w:hAnsi="宋体"/>
          <w:sz w:val="20"/>
        </w:rPr>
        <w:pict>
          <v:line id="_x0000_s1033" o:spid="_x0000_s1033" o:spt="20" style="position:absolute;left:0pt;margin-left:252.75pt;margin-top:16.35pt;height:81.2pt;width:0.05pt;z-index:251664384;mso-width-relative:page;mso-height-relative:page;" coordsize="21600,21600">
            <v:path arrowok="t"/>
            <v:fill focussize="0,0"/>
            <v:stroke/>
            <v:imagedata o:title=""/>
            <o:lock v:ext="edit"/>
          </v:line>
        </w:pict>
      </w:r>
    </w:p>
    <w:p w14:paraId="134D8387">
      <w:pPr>
        <w:spacing w:line="360" w:lineRule="auto"/>
        <w:rPr>
          <w:rFonts w:ascii="宋体" w:hAnsi="宋体"/>
          <w:sz w:val="24"/>
        </w:rPr>
      </w:pPr>
      <w:r>
        <w:rPr>
          <w:rFonts w:ascii="宋体" w:hAnsi="宋体"/>
          <w:sz w:val="24"/>
        </w:rPr>
        <w:pict>
          <v:shape id="_x0000_s1035" o:spid="_x0000_s1035" style="position:absolute;left:0pt;flip:y;margin-left:253.5pt;margin-top:20.2pt;height:7.8pt;width:45pt;z-index:251663360;mso-width-relative:page;mso-height-relative:page;" filled="f" coordsize="6450,1" path="m0,0l6450,0e">
            <v:path arrowok="t"/>
            <v:fill on="f" focussize="0,0"/>
            <v:stroke/>
            <v:imagedata o:title=""/>
            <o:lock v:ext="edit"/>
          </v:shape>
        </w:pict>
      </w:r>
      <w:r>
        <w:rPr>
          <w:rFonts w:ascii="宋体" w:hAnsi="宋体"/>
          <w:sz w:val="24"/>
        </w:rPr>
        <w:pict>
          <v:shape id="_x0000_s1034" o:spid="_x0000_s1034" o:spt="202" type="#_x0000_t202" style="position:absolute;left:0pt;margin-left:301.9pt;margin-top:17.25pt;height:23.7pt;width:83.55pt;z-index:251662336;mso-width-relative:page;mso-height-relative:page;" coordsize="21600,21600">
            <v:path/>
            <v:fill focussize="0,0"/>
            <v:stroke joinstyle="miter"/>
            <v:imagedata o:title=""/>
            <o:lock v:ext="edit"/>
            <v:textbox>
              <w:txbxContent>
                <w:p w14:paraId="29F67514">
                  <w:pPr>
                    <w:rPr>
                      <w:sz w:val="24"/>
                    </w:rPr>
                  </w:pPr>
                  <w:r>
                    <w:rPr>
                      <w:rFonts w:hint="eastAsia"/>
                      <w:sz w:val="24"/>
                    </w:rPr>
                    <w:t>管理者代表</w:t>
                  </w:r>
                </w:p>
              </w:txbxContent>
            </v:textbox>
          </v:shape>
        </w:pict>
      </w:r>
    </w:p>
    <w:p w14:paraId="61945C1B">
      <w:pPr>
        <w:spacing w:line="360" w:lineRule="auto"/>
        <w:rPr>
          <w:rFonts w:ascii="宋体" w:hAnsi="宋体"/>
          <w:sz w:val="24"/>
        </w:rPr>
      </w:pPr>
    </w:p>
    <w:p w14:paraId="18C3D167">
      <w:pPr>
        <w:spacing w:line="360" w:lineRule="auto"/>
        <w:rPr>
          <w:rFonts w:ascii="宋体" w:hAnsi="宋体"/>
          <w:sz w:val="24"/>
        </w:rPr>
      </w:pPr>
      <w:r>
        <w:rPr>
          <w:rFonts w:ascii="宋体" w:hAnsi="宋体"/>
          <w:sz w:val="24"/>
        </w:rPr>
        <w:pict>
          <v:shape id="未知" o:spid="_x0000_s1036" style="position:absolute;left:0pt;flip:y;margin-left:99pt;margin-top:11pt;height:14.75pt;width:320.95pt;z-index:251661312;mso-width-relative:page;mso-height-relative:page;" filled="f" coordsize="6450,1" path="m0,0l6450,0e">
            <v:path arrowok="t"/>
            <v:fill on="f" focussize="0,0"/>
            <v:stroke/>
            <v:imagedata o:title=""/>
            <o:lock v:ext="edit"/>
          </v:shape>
        </w:pict>
      </w:r>
    </w:p>
    <w:p w14:paraId="7D735386">
      <w:pPr>
        <w:spacing w:line="360" w:lineRule="auto"/>
        <w:rPr>
          <w:rFonts w:ascii="宋体" w:hAnsi="宋体"/>
          <w:sz w:val="24"/>
        </w:rPr>
      </w:pPr>
      <w:r>
        <w:rPr>
          <w:rFonts w:ascii="宋体" w:hAnsi="宋体"/>
          <w:sz w:val="20"/>
        </w:rPr>
        <w:pict>
          <v:line id="_x0000_s1050" o:spid="_x0000_s1050" o:spt="20" style="position:absolute;left:0pt;flip:x;margin-left:171.35pt;margin-top:2.35pt;height:62.15pt;width:0.05pt;mso-wrap-distance-bottom:0pt;mso-wrap-distance-left:9pt;mso-wrap-distance-right:9pt;mso-wrap-distance-top:0pt;z-index:251672576;mso-width-relative:page;mso-height-relative:page;" coordsize="21600,21600">
            <v:path arrowok="t"/>
            <v:fill focussize="0,0"/>
            <v:stroke/>
            <v:imagedata o:title=""/>
            <o:lock v:ext="edit"/>
            <w10:wrap type="square"/>
          </v:line>
        </w:pict>
      </w:r>
      <w:r>
        <w:rPr>
          <w:rFonts w:ascii="宋体" w:hAnsi="宋体"/>
          <w:sz w:val="24"/>
        </w:rPr>
        <w:pict>
          <v:line id="_x0000_s1053" o:spid="_x0000_s1053" o:spt="20" style="position:absolute;left:0pt;flip:x;margin-left:252.7pt;margin-top:4.5pt;height:62.15pt;width:0.05pt;mso-wrap-distance-bottom:0pt;mso-wrap-distance-left:9pt;mso-wrap-distance-right:9pt;mso-wrap-distance-top:0pt;z-index:251675648;mso-width-relative:page;mso-height-relative:page;" coordsize="21600,21600">
            <v:path arrowok="t"/>
            <v:fill focussize="0,0"/>
            <v:stroke/>
            <v:imagedata o:title=""/>
            <o:lock v:ext="edit"/>
            <w10:wrap type="square"/>
          </v:line>
        </w:pict>
      </w:r>
      <w:r>
        <w:rPr>
          <w:rFonts w:ascii="宋体" w:hAnsi="宋体"/>
          <w:sz w:val="24"/>
        </w:rPr>
        <w:pict>
          <v:line id="_x0000_s1061" o:spid="_x0000_s1061" o:spt="20" style="position:absolute;left:0pt;flip:x;margin-left:324.15pt;margin-top:3.95pt;height:62.15pt;width:0.05pt;mso-wrap-distance-bottom:0pt;mso-wrap-distance-left:9pt;mso-wrap-distance-right:9pt;mso-wrap-distance-top:0pt;z-index:251678720;mso-width-relative:page;mso-height-relative:page;" coordsize="21600,21600">
            <v:path arrowok="t"/>
            <v:fill focussize="0,0"/>
            <v:stroke/>
            <v:imagedata o:title=""/>
            <o:lock v:ext="edit"/>
            <w10:wrap type="square"/>
          </v:line>
        </w:pict>
      </w:r>
      <w:r>
        <w:rPr>
          <w:rFonts w:ascii="宋体" w:hAnsi="宋体"/>
          <w:sz w:val="20"/>
        </w:rPr>
        <w:pict>
          <v:line id="_x0000_s1059" o:spid="_x0000_s1059" o:spt="20" style="position:absolute;left:0pt;flip:x;margin-left:99pt;margin-top:2.35pt;height:62.15pt;width:0.05pt;mso-wrap-distance-bottom:0pt;mso-wrap-distance-left:9pt;mso-wrap-distance-right:9pt;mso-wrap-distance-top:0pt;z-index:251676672;mso-width-relative:page;mso-height-relative:page;" coordsize="21600,21600">
            <v:path arrowok="t"/>
            <v:fill focussize="0,0"/>
            <v:stroke/>
            <v:imagedata o:title=""/>
            <o:lock v:ext="edit"/>
            <w10:wrap type="square"/>
          </v:line>
        </w:pict>
      </w:r>
      <w:r>
        <w:rPr>
          <w:rFonts w:ascii="宋体" w:hAnsi="宋体"/>
          <w:sz w:val="20"/>
        </w:rPr>
        <w:pict>
          <v:line id="_x0000_s1046" o:spid="_x0000_s1046" o:spt="20" style="position:absolute;left:0pt;flip:x;margin-left:419.25pt;margin-top:1.75pt;height:62.15pt;width:0.05pt;mso-wrap-distance-bottom:0pt;mso-wrap-distance-left:9pt;mso-wrap-distance-right:9pt;mso-wrap-distance-top:0pt;z-index:251671552;mso-width-relative:page;mso-height-relative:page;" coordsize="21600,21600">
            <v:path arrowok="t"/>
            <v:fill focussize="0,0"/>
            <v:stroke/>
            <v:imagedata o:title=""/>
            <o:lock v:ext="edit"/>
            <w10:wrap type="square"/>
          </v:line>
        </w:pict>
      </w:r>
    </w:p>
    <w:p w14:paraId="2E0EEC63">
      <w:pPr>
        <w:spacing w:line="360" w:lineRule="auto"/>
        <w:rPr>
          <w:rFonts w:ascii="宋体" w:hAnsi="宋体"/>
          <w:sz w:val="24"/>
        </w:rPr>
      </w:pPr>
    </w:p>
    <w:p w14:paraId="4EE57859">
      <w:pPr>
        <w:spacing w:line="360" w:lineRule="auto"/>
        <w:rPr>
          <w:rFonts w:ascii="宋体" w:hAnsi="宋体"/>
          <w:sz w:val="24"/>
        </w:rPr>
      </w:pPr>
      <w:r>
        <w:rPr>
          <w:rFonts w:ascii="宋体" w:hAnsi="宋体"/>
          <w:sz w:val="20"/>
        </w:rPr>
        <w:pict>
          <v:shape id="_x0000_s1051" o:spid="_x0000_s1051" o:spt="202" type="#_x0000_t202" style="position:absolute;left:0pt;margin-left:154.55pt;margin-top:17.1pt;height:88pt;width:33.75pt;z-index:251673600;mso-width-relative:page;mso-height-relative:page;" coordsize="21600,21600">
            <v:path/>
            <v:fill focussize="0,0"/>
            <v:stroke joinstyle="miter"/>
            <v:imagedata o:title=""/>
            <o:lock v:ext="edit"/>
            <v:textbox style="layout-flow:vertical-ideographic;">
              <w:txbxContent>
                <w:p w14:paraId="37AEC3B0">
                  <w:pPr>
                    <w:spacing w:line="400" w:lineRule="exact"/>
                    <w:jc w:val="center"/>
                    <w:rPr>
                      <w:sz w:val="24"/>
                    </w:rPr>
                  </w:pPr>
                  <w:r>
                    <w:rPr>
                      <w:rFonts w:hint="eastAsia"/>
                      <w:sz w:val="24"/>
                    </w:rPr>
                    <w:t>质检部</w:t>
                  </w:r>
                </w:p>
              </w:txbxContent>
            </v:textbox>
          </v:shape>
        </w:pict>
      </w:r>
      <w:r>
        <w:rPr>
          <w:rFonts w:ascii="宋体" w:hAnsi="宋体"/>
          <w:sz w:val="24"/>
        </w:rPr>
        <w:pict>
          <v:shape id="_x0000_s1052" o:spid="_x0000_s1052" o:spt="202" type="#_x0000_t202" style="position:absolute;left:0pt;margin-left:237.15pt;margin-top:17.7pt;height:88pt;width:33.75pt;z-index:251674624;mso-width-relative:page;mso-height-relative:page;" coordsize="21600,21600">
            <v:path/>
            <v:fill focussize="0,0"/>
            <v:stroke joinstyle="miter"/>
            <v:imagedata o:title=""/>
            <o:lock v:ext="edit"/>
            <v:textbox style="layout-flow:vertical-ideographic;">
              <w:txbxContent>
                <w:p w14:paraId="0B6EB3B1">
                  <w:pPr>
                    <w:spacing w:line="400" w:lineRule="exact"/>
                    <w:jc w:val="center"/>
                    <w:rPr>
                      <w:sz w:val="24"/>
                    </w:rPr>
                  </w:pPr>
                  <w:r>
                    <w:rPr>
                      <w:rFonts w:hint="eastAsia"/>
                      <w:sz w:val="24"/>
                    </w:rPr>
                    <w:t>业务部</w:t>
                  </w:r>
                </w:p>
              </w:txbxContent>
            </v:textbox>
          </v:shape>
        </w:pict>
      </w:r>
      <w:r>
        <w:rPr>
          <w:rFonts w:ascii="宋体" w:hAnsi="宋体"/>
          <w:sz w:val="24"/>
        </w:rPr>
        <w:pict>
          <v:shape id="_x0000_s1060" o:spid="_x0000_s1060" o:spt="202" type="#_x0000_t202" style="position:absolute;left:0pt;margin-left:308.55pt;margin-top:18.7pt;height:86.4pt;width:33.75pt;z-index:251677696;mso-width-relative:page;mso-height-relative:page;" coordsize="21600,21600">
            <v:path/>
            <v:fill focussize="0,0"/>
            <v:stroke joinstyle="miter"/>
            <v:imagedata o:title=""/>
            <o:lock v:ext="edit"/>
            <v:textbox style="layout-flow:vertical-ideographic;">
              <w:txbxContent>
                <w:p w14:paraId="176AF979">
                  <w:pPr>
                    <w:spacing w:line="400" w:lineRule="exact"/>
                    <w:jc w:val="center"/>
                    <w:rPr>
                      <w:sz w:val="24"/>
                    </w:rPr>
                  </w:pPr>
                  <w:r>
                    <w:rPr>
                      <w:rFonts w:hint="eastAsia"/>
                      <w:sz w:val="24"/>
                    </w:rPr>
                    <w:t>生产部</w:t>
                  </w:r>
                </w:p>
              </w:txbxContent>
            </v:textbox>
          </v:shape>
        </w:pict>
      </w:r>
      <w:r>
        <w:rPr>
          <w:rFonts w:ascii="宋体" w:hAnsi="宋体"/>
          <w:sz w:val="20"/>
        </w:rPr>
        <w:pict>
          <v:shape id="_x0000_s1044" o:spid="_x0000_s1044" o:spt="202" type="#_x0000_t202" style="position:absolute;left:0pt;margin-left:80.25pt;margin-top:17.7pt;height:85.8pt;width:36pt;z-index:251665408;mso-width-relative:page;mso-height-relative:page;" coordsize="21600,21600">
            <v:path/>
            <v:fill focussize="0,0"/>
            <v:stroke joinstyle="miter"/>
            <v:imagedata o:title=""/>
            <o:lock v:ext="edit"/>
            <v:textbox style="layout-flow:vertical-ideographic;">
              <w:txbxContent>
                <w:p w14:paraId="2DD9634E">
                  <w:pPr>
                    <w:spacing w:line="400" w:lineRule="exact"/>
                    <w:jc w:val="center"/>
                    <w:rPr>
                      <w:spacing w:val="20"/>
                      <w:sz w:val="24"/>
                    </w:rPr>
                  </w:pPr>
                  <w:r>
                    <w:rPr>
                      <w:rFonts w:hint="eastAsia"/>
                      <w:spacing w:val="20"/>
                      <w:sz w:val="24"/>
                    </w:rPr>
                    <w:t>办公室</w:t>
                  </w:r>
                </w:p>
              </w:txbxContent>
            </v:textbox>
          </v:shape>
        </w:pict>
      </w:r>
      <w:r>
        <w:rPr>
          <w:rFonts w:ascii="宋体" w:hAnsi="宋体"/>
          <w:sz w:val="20"/>
        </w:rPr>
        <w:pict>
          <v:shape id="_x0000_s1041" o:spid="_x0000_s1041" o:spt="202" type="#_x0000_t202" style="position:absolute;left:0pt;margin-left:401.25pt;margin-top:19.85pt;height:89.45pt;width:33.35pt;z-index:251668480;mso-width-relative:page;mso-height-relative:page;" coordsize="21600,21600">
            <v:path/>
            <v:fill focussize="0,0"/>
            <v:stroke joinstyle="miter"/>
            <v:imagedata o:title=""/>
            <o:lock v:ext="edit"/>
            <v:textbox style="layout-flow:vertical-ideographic;">
              <w:txbxContent>
                <w:p w14:paraId="28DBAF83">
                  <w:pPr>
                    <w:spacing w:line="400" w:lineRule="exact"/>
                    <w:jc w:val="center"/>
                    <w:rPr>
                      <w:sz w:val="24"/>
                    </w:rPr>
                  </w:pPr>
                  <w:r>
                    <w:rPr>
                      <w:rFonts w:hint="eastAsia"/>
                      <w:sz w:val="24"/>
                    </w:rPr>
                    <w:t>财务部</w:t>
                  </w:r>
                </w:p>
              </w:txbxContent>
            </v:textbox>
          </v:shape>
        </w:pict>
      </w:r>
    </w:p>
    <w:p w14:paraId="32D500BE">
      <w:pPr>
        <w:spacing w:line="360" w:lineRule="auto"/>
        <w:rPr>
          <w:rFonts w:ascii="宋体" w:hAnsi="宋体"/>
          <w:sz w:val="24"/>
        </w:rPr>
      </w:pPr>
    </w:p>
    <w:p w14:paraId="4CE6BA7E">
      <w:pPr>
        <w:spacing w:line="360" w:lineRule="auto"/>
        <w:rPr>
          <w:rFonts w:ascii="宋体" w:hAnsi="宋体"/>
          <w:sz w:val="24"/>
        </w:rPr>
      </w:pPr>
    </w:p>
    <w:p w14:paraId="2F44E4AA">
      <w:pPr>
        <w:spacing w:line="360" w:lineRule="auto"/>
        <w:rPr>
          <w:rFonts w:ascii="宋体" w:hAnsi="宋体"/>
          <w:sz w:val="24"/>
        </w:rPr>
      </w:pPr>
    </w:p>
    <w:p w14:paraId="2D5DA3BF">
      <w:pPr>
        <w:spacing w:line="360" w:lineRule="auto"/>
        <w:rPr>
          <w:rFonts w:ascii="宋体" w:hAnsi="宋体"/>
          <w:sz w:val="24"/>
        </w:rPr>
      </w:pPr>
      <w:r>
        <w:rPr>
          <w:rFonts w:ascii="宋体" w:hAnsi="宋体"/>
          <w:b/>
          <w:bCs/>
          <w:sz w:val="20"/>
        </w:rPr>
        <w:pict>
          <v:line id="_x0000_s1045" o:spid="_x0000_s1045" o:spt="20" style="position:absolute;left:0pt;margin-left:-181.65pt;margin-top:18.45pt;height:39pt;width:0.05pt;z-index:251666432;mso-width-relative:page;mso-height-relative:page;" coordsize="21600,21600">
            <v:path arrowok="t"/>
            <v:fill focussize="0,0"/>
            <v:stroke/>
            <v:imagedata o:title=""/>
            <o:lock v:ext="edit"/>
          </v:line>
        </w:pict>
      </w:r>
    </w:p>
    <w:p w14:paraId="55EE50DB"/>
    <w:p w14:paraId="659FEFF2"/>
    <w:p w14:paraId="3C6246A0"/>
    <w:p w14:paraId="0956F09F"/>
    <w:p w14:paraId="3451E7AA"/>
    <w:p w14:paraId="20EC860E"/>
    <w:p w14:paraId="7162B5D6"/>
    <w:p w14:paraId="334D63A0"/>
    <w:p w14:paraId="2F99B164"/>
    <w:p w14:paraId="1A8464AA"/>
    <w:p w14:paraId="0E287F38"/>
    <w:p w14:paraId="02AA2456"/>
    <w:p w14:paraId="44374496"/>
    <w:p w14:paraId="0585F322"/>
    <w:p w14:paraId="2CF0FBEA"/>
    <w:p w14:paraId="0D0DE5C6">
      <w:pPr>
        <w:spacing w:line="400" w:lineRule="exact"/>
        <w:rPr>
          <w:rFonts w:asciiTheme="minorEastAsia" w:hAnsiTheme="minorEastAsia"/>
          <w:sz w:val="28"/>
          <w:szCs w:val="28"/>
        </w:rPr>
        <w:sectPr>
          <w:footerReference r:id="rId12" w:type="first"/>
          <w:headerReference r:id="rId8" w:type="default"/>
          <w:footerReference r:id="rId10" w:type="default"/>
          <w:headerReference r:id="rId9" w:type="even"/>
          <w:footerReference r:id="rId11" w:type="even"/>
          <w:pgSz w:w="11907" w:h="16839"/>
          <w:pgMar w:top="1417" w:right="1134" w:bottom="1134" w:left="1418" w:header="1418" w:footer="850" w:gutter="0"/>
          <w:cols w:space="0" w:num="1"/>
          <w:docGrid w:type="lines" w:linePitch="312" w:charSpace="0"/>
        </w:sectPr>
      </w:pPr>
    </w:p>
    <w:p w14:paraId="1EA77EF4">
      <w:pPr>
        <w:pStyle w:val="2"/>
        <w:spacing w:before="0" w:after="0" w:line="240" w:lineRule="auto"/>
        <w:rPr>
          <w:rFonts w:asciiTheme="minorEastAsia" w:hAnsiTheme="minorEastAsia"/>
          <w:sz w:val="28"/>
          <w:szCs w:val="16"/>
        </w:rPr>
      </w:pPr>
      <w:r>
        <w:rPr>
          <w:rFonts w:hint="eastAsia" w:asciiTheme="minorEastAsia" w:hAnsiTheme="minorEastAsia"/>
          <w:sz w:val="28"/>
          <w:szCs w:val="16"/>
        </w:rPr>
        <w:t>0.7  公司质量/环境/职业健康安全</w:t>
      </w:r>
      <w:r>
        <w:rPr>
          <w:rFonts w:asciiTheme="minorEastAsia" w:hAnsiTheme="minorEastAsia"/>
          <w:sz w:val="28"/>
          <w:szCs w:val="16"/>
        </w:rPr>
        <w:t>管理体系职能分配表</w:t>
      </w:r>
    </w:p>
    <w:tbl>
      <w:tblPr>
        <w:tblStyle w:val="13"/>
        <w:tblW w:w="13414" w:type="dxa"/>
        <w:tblInd w:w="-10" w:type="dxa"/>
        <w:tblLayout w:type="fixed"/>
        <w:tblCellMar>
          <w:top w:w="0" w:type="dxa"/>
          <w:left w:w="0" w:type="dxa"/>
          <w:bottom w:w="0" w:type="dxa"/>
          <w:right w:w="0" w:type="dxa"/>
        </w:tblCellMar>
      </w:tblPr>
      <w:tblGrid>
        <w:gridCol w:w="2490"/>
        <w:gridCol w:w="2714"/>
        <w:gridCol w:w="3275"/>
        <w:gridCol w:w="705"/>
        <w:gridCol w:w="705"/>
        <w:gridCol w:w="705"/>
        <w:gridCol w:w="705"/>
        <w:gridCol w:w="705"/>
        <w:gridCol w:w="705"/>
        <w:gridCol w:w="705"/>
      </w:tblGrid>
      <w:tr w14:paraId="462F4211">
        <w:tblPrEx>
          <w:tblCellMar>
            <w:top w:w="0" w:type="dxa"/>
            <w:left w:w="0" w:type="dxa"/>
            <w:bottom w:w="0" w:type="dxa"/>
            <w:right w:w="0" w:type="dxa"/>
          </w:tblCellMar>
        </w:tblPrEx>
        <w:trPr>
          <w:trHeight w:val="1083" w:hRule="exact"/>
        </w:trPr>
        <w:tc>
          <w:tcPr>
            <w:tcW w:w="2490" w:type="dxa"/>
            <w:tcBorders>
              <w:top w:val="single" w:color="000000" w:sz="4" w:space="0"/>
              <w:left w:val="single" w:color="000000" w:sz="4" w:space="0"/>
              <w:bottom w:val="single" w:color="000000" w:sz="4" w:space="0"/>
              <w:right w:val="single" w:color="000000" w:sz="4" w:space="0"/>
            </w:tcBorders>
            <w:vAlign w:val="center"/>
          </w:tcPr>
          <w:p w14:paraId="0CB4F209">
            <w:pPr>
              <w:spacing w:line="360" w:lineRule="auto"/>
              <w:jc w:val="center"/>
              <w:rPr>
                <w:rFonts w:ascii="宋体" w:hAnsi="宋体" w:cs="宋体"/>
                <w:b/>
                <w:sz w:val="18"/>
                <w:szCs w:val="18"/>
              </w:rPr>
            </w:pPr>
            <w:r>
              <w:rPr>
                <w:rFonts w:hint="eastAsia" w:ascii="宋体" w:hAnsi="宋体" w:cs="宋体"/>
                <w:b/>
                <w:sz w:val="18"/>
                <w:szCs w:val="18"/>
              </w:rPr>
              <w:t>GB/T 19001-2016</w:t>
            </w:r>
          </w:p>
        </w:tc>
        <w:tc>
          <w:tcPr>
            <w:tcW w:w="2714" w:type="dxa"/>
            <w:tcBorders>
              <w:top w:val="single" w:color="000000" w:sz="4" w:space="0"/>
              <w:left w:val="single" w:color="000000" w:sz="4" w:space="0"/>
              <w:bottom w:val="single" w:color="000000" w:sz="4" w:space="0"/>
              <w:right w:val="single" w:color="auto" w:sz="4" w:space="0"/>
            </w:tcBorders>
            <w:vAlign w:val="center"/>
          </w:tcPr>
          <w:p w14:paraId="09D62C05">
            <w:pPr>
              <w:spacing w:line="360" w:lineRule="auto"/>
              <w:ind w:right="-252" w:rightChars="-120"/>
              <w:jc w:val="center"/>
              <w:rPr>
                <w:rFonts w:ascii="宋体" w:hAnsi="宋体" w:cs="宋体"/>
                <w:b/>
                <w:sz w:val="18"/>
                <w:szCs w:val="18"/>
              </w:rPr>
            </w:pPr>
            <w:r>
              <w:rPr>
                <w:rFonts w:hint="eastAsia" w:ascii="宋体" w:hAnsi="宋体" w:cs="宋体"/>
                <w:b/>
                <w:sz w:val="18"/>
                <w:szCs w:val="18"/>
              </w:rPr>
              <w:t>GB/T 24001-2016</w:t>
            </w:r>
          </w:p>
        </w:tc>
        <w:tc>
          <w:tcPr>
            <w:tcW w:w="3275" w:type="dxa"/>
            <w:tcBorders>
              <w:top w:val="single" w:color="000000" w:sz="4" w:space="0"/>
              <w:left w:val="single" w:color="auto" w:sz="4" w:space="0"/>
              <w:bottom w:val="single" w:color="000000" w:sz="4" w:space="0"/>
              <w:right w:val="single" w:color="000000" w:sz="4" w:space="0"/>
            </w:tcBorders>
            <w:vAlign w:val="center"/>
          </w:tcPr>
          <w:p w14:paraId="3A3EB7B2">
            <w:pPr>
              <w:spacing w:line="360" w:lineRule="auto"/>
              <w:jc w:val="center"/>
              <w:rPr>
                <w:rFonts w:ascii="宋体" w:hAnsi="宋体" w:cs="宋体"/>
                <w:b/>
                <w:sz w:val="18"/>
                <w:szCs w:val="18"/>
              </w:rPr>
            </w:pPr>
            <w:r>
              <w:rPr>
                <w:rFonts w:hint="eastAsia" w:ascii="宋体" w:hAnsi="宋体" w:eastAsia="宋体" w:cs="宋体"/>
                <w:b/>
                <w:bCs/>
                <w:sz w:val="18"/>
                <w:szCs w:val="18"/>
                <w:lang w:val="de-DE"/>
              </w:rPr>
              <w:t>GB/T45001-2020</w:t>
            </w:r>
          </w:p>
        </w:tc>
        <w:tc>
          <w:tcPr>
            <w:tcW w:w="705" w:type="dxa"/>
            <w:tcBorders>
              <w:top w:val="single" w:color="000000" w:sz="4" w:space="0"/>
              <w:left w:val="single" w:color="000000" w:sz="4" w:space="0"/>
              <w:bottom w:val="single" w:color="000000" w:sz="4" w:space="0"/>
              <w:right w:val="single" w:color="000000" w:sz="4" w:space="0"/>
            </w:tcBorders>
            <w:vAlign w:val="center"/>
          </w:tcPr>
          <w:p w14:paraId="279A4894">
            <w:pPr>
              <w:autoSpaceDE w:val="0"/>
              <w:autoSpaceDN w:val="0"/>
              <w:adjustRightInd w:val="0"/>
              <w:ind w:left="102" w:right="-23"/>
              <w:rPr>
                <w:rFonts w:ascii="宋体" w:hAnsi="宋体" w:cs="宋体"/>
                <w:kern w:val="0"/>
                <w:position w:val="-2"/>
                <w:sz w:val="18"/>
                <w:szCs w:val="18"/>
              </w:rPr>
            </w:pPr>
            <w:r>
              <w:rPr>
                <w:rFonts w:hint="eastAsia" w:ascii="宋体" w:hAnsi="宋体" w:cs="宋体"/>
                <w:kern w:val="0"/>
                <w:position w:val="-2"/>
                <w:sz w:val="18"/>
                <w:szCs w:val="18"/>
              </w:rPr>
              <w:t>最高管</w:t>
            </w:r>
          </w:p>
          <w:p w14:paraId="4905EAC9">
            <w:pPr>
              <w:autoSpaceDE w:val="0"/>
              <w:autoSpaceDN w:val="0"/>
              <w:adjustRightInd w:val="0"/>
              <w:ind w:left="102" w:right="-23"/>
              <w:rPr>
                <w:rFonts w:ascii="宋体" w:hAnsi="宋体" w:cs="宋体"/>
                <w:kern w:val="0"/>
                <w:position w:val="-2"/>
                <w:sz w:val="18"/>
                <w:szCs w:val="18"/>
              </w:rPr>
            </w:pPr>
            <w:r>
              <w:rPr>
                <w:rFonts w:hint="eastAsia" w:ascii="宋体" w:hAnsi="宋体" w:cs="宋体"/>
                <w:kern w:val="0"/>
                <w:position w:val="-2"/>
                <w:sz w:val="18"/>
                <w:szCs w:val="18"/>
              </w:rPr>
              <w:t>理层</w:t>
            </w:r>
          </w:p>
        </w:tc>
        <w:tc>
          <w:tcPr>
            <w:tcW w:w="705" w:type="dxa"/>
            <w:tcBorders>
              <w:top w:val="single" w:color="000000" w:sz="4" w:space="0"/>
              <w:left w:val="single" w:color="000000" w:sz="4" w:space="0"/>
              <w:bottom w:val="single" w:color="000000" w:sz="4" w:space="0"/>
              <w:right w:val="single" w:color="000000" w:sz="4" w:space="0"/>
            </w:tcBorders>
            <w:vAlign w:val="center"/>
          </w:tcPr>
          <w:p w14:paraId="2945CD66">
            <w:pPr>
              <w:autoSpaceDE w:val="0"/>
              <w:autoSpaceDN w:val="0"/>
              <w:adjustRightInd w:val="0"/>
              <w:ind w:left="102" w:right="-23"/>
              <w:jc w:val="center"/>
              <w:rPr>
                <w:rFonts w:ascii="宋体" w:hAnsi="宋体" w:cs="宋体"/>
                <w:kern w:val="0"/>
                <w:position w:val="-2"/>
                <w:sz w:val="18"/>
                <w:szCs w:val="18"/>
              </w:rPr>
            </w:pPr>
            <w:r>
              <w:rPr>
                <w:rFonts w:hint="eastAsia" w:ascii="宋体" w:hAnsi="宋体" w:cs="宋体"/>
                <w:kern w:val="0"/>
                <w:position w:val="-2"/>
                <w:sz w:val="18"/>
                <w:szCs w:val="18"/>
              </w:rPr>
              <w:t>管理者</w:t>
            </w:r>
          </w:p>
          <w:p w14:paraId="7608E7D1">
            <w:pPr>
              <w:autoSpaceDE w:val="0"/>
              <w:autoSpaceDN w:val="0"/>
              <w:adjustRightInd w:val="0"/>
              <w:ind w:left="102" w:right="-23"/>
              <w:jc w:val="center"/>
              <w:rPr>
                <w:rFonts w:ascii="宋体" w:hAnsi="宋体" w:cs="宋体"/>
                <w:kern w:val="0"/>
                <w:position w:val="-2"/>
                <w:sz w:val="18"/>
                <w:szCs w:val="18"/>
              </w:rPr>
            </w:pPr>
            <w:r>
              <w:rPr>
                <w:rFonts w:hint="eastAsia" w:ascii="宋体" w:hAnsi="宋体" w:cs="宋体"/>
                <w:kern w:val="0"/>
                <w:position w:val="-2"/>
                <w:sz w:val="18"/>
                <w:szCs w:val="18"/>
              </w:rPr>
              <w:t>代表</w:t>
            </w:r>
          </w:p>
        </w:tc>
        <w:tc>
          <w:tcPr>
            <w:tcW w:w="705" w:type="dxa"/>
            <w:tcBorders>
              <w:top w:val="single" w:color="000000" w:sz="4" w:space="0"/>
              <w:left w:val="single" w:color="000000" w:sz="4" w:space="0"/>
              <w:bottom w:val="single" w:color="000000" w:sz="4" w:space="0"/>
              <w:right w:val="single" w:color="000000" w:sz="4" w:space="0"/>
            </w:tcBorders>
            <w:vAlign w:val="center"/>
          </w:tcPr>
          <w:p w14:paraId="07333883">
            <w:pPr>
              <w:autoSpaceDE w:val="0"/>
              <w:autoSpaceDN w:val="0"/>
              <w:adjustRightInd w:val="0"/>
              <w:ind w:left="102" w:right="-23"/>
              <w:jc w:val="center"/>
              <w:rPr>
                <w:rFonts w:ascii="宋体" w:hAnsi="宋体" w:cs="宋体"/>
                <w:kern w:val="0"/>
                <w:position w:val="-2"/>
                <w:sz w:val="18"/>
                <w:szCs w:val="18"/>
              </w:rPr>
            </w:pPr>
            <w:r>
              <w:rPr>
                <w:rFonts w:hint="eastAsia" w:ascii="宋体" w:hAnsi="宋体" w:cs="宋体"/>
                <w:kern w:val="0"/>
                <w:position w:val="-2"/>
                <w:sz w:val="18"/>
                <w:szCs w:val="18"/>
              </w:rPr>
              <w:t>办公室</w:t>
            </w:r>
          </w:p>
        </w:tc>
        <w:tc>
          <w:tcPr>
            <w:tcW w:w="705" w:type="dxa"/>
            <w:tcBorders>
              <w:top w:val="single" w:color="000000" w:sz="4" w:space="0"/>
              <w:left w:val="single" w:color="000000" w:sz="4" w:space="0"/>
              <w:bottom w:val="single" w:color="000000" w:sz="4" w:space="0"/>
              <w:right w:val="single" w:color="auto" w:sz="4" w:space="0"/>
            </w:tcBorders>
            <w:vAlign w:val="center"/>
          </w:tcPr>
          <w:p w14:paraId="0F4E20C9">
            <w:pPr>
              <w:autoSpaceDE w:val="0"/>
              <w:autoSpaceDN w:val="0"/>
              <w:adjustRightInd w:val="0"/>
              <w:ind w:right="-23"/>
              <w:jc w:val="center"/>
              <w:rPr>
                <w:rFonts w:ascii="宋体" w:hAnsi="宋体" w:cs="宋体"/>
                <w:kern w:val="0"/>
                <w:position w:val="-2"/>
                <w:sz w:val="18"/>
                <w:szCs w:val="18"/>
              </w:rPr>
            </w:pPr>
            <w:r>
              <w:rPr>
                <w:rFonts w:hint="eastAsia" w:ascii="宋体" w:hAnsi="宋体" w:cs="宋体"/>
                <w:kern w:val="0"/>
                <w:position w:val="-2"/>
                <w:sz w:val="18"/>
                <w:szCs w:val="18"/>
              </w:rPr>
              <w:t>生产部</w:t>
            </w:r>
          </w:p>
        </w:tc>
        <w:tc>
          <w:tcPr>
            <w:tcW w:w="705" w:type="dxa"/>
            <w:tcBorders>
              <w:top w:val="single" w:color="000000" w:sz="4" w:space="0"/>
              <w:left w:val="single" w:color="000000" w:sz="4" w:space="0"/>
              <w:bottom w:val="single" w:color="000000" w:sz="4" w:space="0"/>
              <w:right w:val="single" w:color="auto" w:sz="6" w:space="0"/>
            </w:tcBorders>
            <w:vAlign w:val="center"/>
          </w:tcPr>
          <w:p w14:paraId="364E4088">
            <w:pPr>
              <w:autoSpaceDE w:val="0"/>
              <w:autoSpaceDN w:val="0"/>
              <w:adjustRightInd w:val="0"/>
              <w:ind w:right="-23"/>
              <w:jc w:val="center"/>
              <w:rPr>
                <w:rFonts w:ascii="宋体" w:hAnsi="宋体" w:cs="宋体"/>
                <w:kern w:val="0"/>
                <w:position w:val="-2"/>
                <w:sz w:val="18"/>
                <w:szCs w:val="18"/>
              </w:rPr>
            </w:pPr>
            <w:r>
              <w:rPr>
                <w:rFonts w:hint="eastAsia" w:ascii="宋体" w:hAnsi="宋体" w:cs="宋体"/>
                <w:kern w:val="0"/>
                <w:position w:val="-2"/>
                <w:sz w:val="18"/>
                <w:szCs w:val="18"/>
              </w:rPr>
              <w:t>业务部</w:t>
            </w:r>
          </w:p>
        </w:tc>
        <w:tc>
          <w:tcPr>
            <w:tcW w:w="705" w:type="dxa"/>
            <w:tcBorders>
              <w:top w:val="single" w:color="000000" w:sz="4" w:space="0"/>
              <w:left w:val="single" w:color="auto" w:sz="6" w:space="0"/>
              <w:bottom w:val="single" w:color="000000" w:sz="4" w:space="0"/>
              <w:right w:val="single" w:color="auto" w:sz="4" w:space="0"/>
            </w:tcBorders>
            <w:vAlign w:val="center"/>
          </w:tcPr>
          <w:p w14:paraId="14E67BB5">
            <w:pPr>
              <w:autoSpaceDE w:val="0"/>
              <w:autoSpaceDN w:val="0"/>
              <w:adjustRightInd w:val="0"/>
              <w:ind w:right="-23"/>
              <w:jc w:val="center"/>
              <w:rPr>
                <w:rFonts w:ascii="宋体" w:hAnsi="宋体" w:cs="宋体"/>
                <w:kern w:val="0"/>
                <w:position w:val="-2"/>
                <w:sz w:val="18"/>
                <w:szCs w:val="18"/>
              </w:rPr>
            </w:pPr>
            <w:r>
              <w:rPr>
                <w:rFonts w:hint="eastAsia" w:ascii="宋体" w:hAnsi="宋体" w:cs="宋体"/>
                <w:kern w:val="0"/>
                <w:position w:val="-2"/>
                <w:sz w:val="18"/>
                <w:szCs w:val="18"/>
              </w:rPr>
              <w:t>质检部</w:t>
            </w:r>
          </w:p>
        </w:tc>
        <w:tc>
          <w:tcPr>
            <w:tcW w:w="705" w:type="dxa"/>
            <w:tcBorders>
              <w:top w:val="single" w:color="000000" w:sz="4" w:space="0"/>
              <w:left w:val="single" w:color="auto" w:sz="6" w:space="0"/>
              <w:bottom w:val="single" w:color="000000" w:sz="4" w:space="0"/>
              <w:right w:val="single" w:color="auto" w:sz="4" w:space="0"/>
            </w:tcBorders>
            <w:vAlign w:val="center"/>
          </w:tcPr>
          <w:p w14:paraId="5440FA6A">
            <w:pPr>
              <w:autoSpaceDE w:val="0"/>
              <w:autoSpaceDN w:val="0"/>
              <w:adjustRightInd w:val="0"/>
              <w:ind w:right="-23"/>
              <w:jc w:val="center"/>
              <w:rPr>
                <w:rFonts w:ascii="宋体" w:hAnsi="宋体" w:cs="宋体"/>
                <w:kern w:val="0"/>
                <w:position w:val="-2"/>
                <w:sz w:val="18"/>
                <w:szCs w:val="18"/>
              </w:rPr>
            </w:pPr>
            <w:r>
              <w:rPr>
                <w:rFonts w:hint="eastAsia" w:ascii="宋体" w:hAnsi="宋体" w:cs="宋体"/>
                <w:kern w:val="0"/>
                <w:position w:val="-2"/>
                <w:sz w:val="18"/>
                <w:szCs w:val="18"/>
              </w:rPr>
              <w:t>财务部</w:t>
            </w:r>
          </w:p>
        </w:tc>
      </w:tr>
      <w:tr w14:paraId="5B04092D">
        <w:tblPrEx>
          <w:tblCellMar>
            <w:top w:w="0" w:type="dxa"/>
            <w:left w:w="0" w:type="dxa"/>
            <w:bottom w:w="0" w:type="dxa"/>
            <w:right w:w="0" w:type="dxa"/>
          </w:tblCellMar>
        </w:tblPrEx>
        <w:trPr>
          <w:trHeight w:val="504" w:hRule="exact"/>
        </w:trPr>
        <w:tc>
          <w:tcPr>
            <w:tcW w:w="2490" w:type="dxa"/>
            <w:tcBorders>
              <w:top w:val="single" w:color="000000" w:sz="4" w:space="0"/>
              <w:left w:val="single" w:color="000000" w:sz="4" w:space="0"/>
              <w:bottom w:val="single" w:color="000000" w:sz="4" w:space="0"/>
              <w:right w:val="single" w:color="000000" w:sz="4" w:space="0"/>
            </w:tcBorders>
            <w:vAlign w:val="center"/>
          </w:tcPr>
          <w:p w14:paraId="4F1892DC">
            <w:pPr>
              <w:spacing w:line="360" w:lineRule="auto"/>
              <w:rPr>
                <w:rFonts w:ascii="宋体" w:hAnsi="宋体" w:cs="宋体"/>
                <w:sz w:val="18"/>
                <w:szCs w:val="18"/>
              </w:rPr>
            </w:pPr>
            <w:r>
              <w:rPr>
                <w:rFonts w:hint="eastAsia" w:ascii="宋体" w:hAnsi="宋体" w:cs="宋体"/>
                <w:sz w:val="18"/>
                <w:szCs w:val="18"/>
              </w:rPr>
              <w:t>4.1理解组织及其背景环境</w:t>
            </w:r>
          </w:p>
        </w:tc>
        <w:tc>
          <w:tcPr>
            <w:tcW w:w="2714" w:type="dxa"/>
            <w:tcBorders>
              <w:top w:val="single" w:color="000000" w:sz="4" w:space="0"/>
              <w:left w:val="single" w:color="000000" w:sz="4" w:space="0"/>
              <w:bottom w:val="single" w:color="000000" w:sz="4" w:space="0"/>
              <w:right w:val="single" w:color="auto" w:sz="4" w:space="0"/>
            </w:tcBorders>
            <w:vAlign w:val="center"/>
          </w:tcPr>
          <w:p w14:paraId="7DC85A00">
            <w:pPr>
              <w:spacing w:line="360" w:lineRule="auto"/>
              <w:rPr>
                <w:rFonts w:ascii="宋体" w:hAnsi="宋体" w:cs="宋体"/>
                <w:sz w:val="18"/>
                <w:szCs w:val="18"/>
              </w:rPr>
            </w:pPr>
            <w:r>
              <w:rPr>
                <w:rFonts w:hint="eastAsia" w:ascii="宋体" w:hAnsi="宋体" w:cs="宋体"/>
                <w:sz w:val="18"/>
                <w:szCs w:val="18"/>
              </w:rPr>
              <w:t>4.1理解组织及其所处环境</w:t>
            </w:r>
          </w:p>
        </w:tc>
        <w:tc>
          <w:tcPr>
            <w:tcW w:w="3275" w:type="dxa"/>
            <w:tcBorders>
              <w:top w:val="single" w:color="000000" w:sz="4" w:space="0"/>
              <w:left w:val="single" w:color="000000" w:sz="4" w:space="0"/>
              <w:bottom w:val="single" w:color="000000" w:sz="4" w:space="0"/>
              <w:right w:val="single" w:color="auto" w:sz="4" w:space="0"/>
            </w:tcBorders>
            <w:vAlign w:val="center"/>
          </w:tcPr>
          <w:p w14:paraId="1443AA16">
            <w:pPr>
              <w:spacing w:line="360" w:lineRule="auto"/>
              <w:rPr>
                <w:rFonts w:ascii="宋体" w:hAnsi="宋体" w:cs="宋体"/>
                <w:sz w:val="18"/>
                <w:szCs w:val="18"/>
              </w:rPr>
            </w:pPr>
            <w:r>
              <w:rPr>
                <w:rFonts w:hint="eastAsia" w:ascii="宋体" w:hAnsi="宋体" w:cs="宋体"/>
                <w:sz w:val="18"/>
                <w:szCs w:val="18"/>
              </w:rPr>
              <w:t>4.1理解组织及其所处环境</w:t>
            </w:r>
          </w:p>
        </w:tc>
        <w:tc>
          <w:tcPr>
            <w:tcW w:w="705" w:type="dxa"/>
            <w:tcBorders>
              <w:top w:val="single" w:color="000000" w:sz="4" w:space="0"/>
              <w:left w:val="single" w:color="000000" w:sz="4" w:space="0"/>
              <w:bottom w:val="single" w:color="000000" w:sz="4" w:space="0"/>
              <w:right w:val="single" w:color="000000" w:sz="4" w:space="0"/>
            </w:tcBorders>
            <w:vAlign w:val="center"/>
          </w:tcPr>
          <w:p w14:paraId="6B885287">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000000" w:sz="4" w:space="0"/>
            </w:tcBorders>
            <w:vAlign w:val="center"/>
          </w:tcPr>
          <w:p w14:paraId="60D7C83E">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000000" w:sz="4" w:space="0"/>
            </w:tcBorders>
            <w:vAlign w:val="center"/>
          </w:tcPr>
          <w:p w14:paraId="6F3D2B60">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auto" w:sz="4" w:space="0"/>
            </w:tcBorders>
            <w:vAlign w:val="center"/>
          </w:tcPr>
          <w:p w14:paraId="07947020">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auto" w:sz="6" w:space="0"/>
            </w:tcBorders>
            <w:vAlign w:val="center"/>
          </w:tcPr>
          <w:p w14:paraId="1EAB4725">
            <w:pPr>
              <w:jc w:val="center"/>
            </w:pPr>
            <w:r>
              <w:rPr>
                <w:rFonts w:hint="eastAsia" w:ascii="宋体" w:hAnsi="宋体" w:cs="宋体"/>
                <w:sz w:val="18"/>
                <w:szCs w:val="18"/>
              </w:rPr>
              <w:t>△</w:t>
            </w:r>
          </w:p>
        </w:tc>
        <w:tc>
          <w:tcPr>
            <w:tcW w:w="705" w:type="dxa"/>
            <w:tcBorders>
              <w:top w:val="single" w:color="000000" w:sz="4" w:space="0"/>
              <w:left w:val="single" w:color="auto" w:sz="6" w:space="0"/>
              <w:bottom w:val="single" w:color="000000" w:sz="4" w:space="0"/>
              <w:right w:val="single" w:color="000000" w:sz="4" w:space="0"/>
            </w:tcBorders>
            <w:vAlign w:val="center"/>
          </w:tcPr>
          <w:p w14:paraId="4846B8B8">
            <w:pPr>
              <w:jc w:val="center"/>
            </w:pPr>
            <w:r>
              <w:rPr>
                <w:rFonts w:hint="eastAsia" w:ascii="宋体" w:hAnsi="宋体" w:cs="宋体"/>
                <w:sz w:val="18"/>
                <w:szCs w:val="18"/>
              </w:rPr>
              <w:t>△</w:t>
            </w:r>
          </w:p>
        </w:tc>
        <w:tc>
          <w:tcPr>
            <w:tcW w:w="705" w:type="dxa"/>
            <w:tcBorders>
              <w:top w:val="single" w:color="000000" w:sz="4" w:space="0"/>
              <w:left w:val="single" w:color="auto" w:sz="6" w:space="0"/>
              <w:bottom w:val="single" w:color="000000" w:sz="4" w:space="0"/>
              <w:right w:val="single" w:color="000000" w:sz="4" w:space="0"/>
            </w:tcBorders>
            <w:vAlign w:val="center"/>
          </w:tcPr>
          <w:p w14:paraId="1147F3C3">
            <w:pPr>
              <w:spacing w:line="360" w:lineRule="auto"/>
              <w:jc w:val="center"/>
              <w:rPr>
                <w:rFonts w:ascii="宋体" w:hAnsi="宋体" w:cs="宋体"/>
                <w:sz w:val="18"/>
                <w:szCs w:val="18"/>
              </w:rPr>
            </w:pPr>
            <w:r>
              <w:rPr>
                <w:rFonts w:hint="eastAsia" w:ascii="宋体" w:hAnsi="宋体" w:cs="宋体"/>
                <w:sz w:val="18"/>
                <w:szCs w:val="18"/>
              </w:rPr>
              <w:t>△</w:t>
            </w:r>
          </w:p>
        </w:tc>
      </w:tr>
      <w:tr w14:paraId="3D28E695">
        <w:tblPrEx>
          <w:tblCellMar>
            <w:top w:w="0" w:type="dxa"/>
            <w:left w:w="0" w:type="dxa"/>
            <w:bottom w:w="0" w:type="dxa"/>
            <w:right w:w="0" w:type="dxa"/>
          </w:tblCellMar>
        </w:tblPrEx>
        <w:trPr>
          <w:trHeight w:val="504" w:hRule="exact"/>
        </w:trPr>
        <w:tc>
          <w:tcPr>
            <w:tcW w:w="2490" w:type="dxa"/>
            <w:tcBorders>
              <w:top w:val="single" w:color="000000" w:sz="4" w:space="0"/>
              <w:left w:val="single" w:color="000000" w:sz="4" w:space="0"/>
              <w:bottom w:val="single" w:color="000000" w:sz="4" w:space="0"/>
              <w:right w:val="single" w:color="000000" w:sz="4" w:space="0"/>
            </w:tcBorders>
            <w:vAlign w:val="center"/>
          </w:tcPr>
          <w:p w14:paraId="7F96225B">
            <w:pPr>
              <w:spacing w:line="360" w:lineRule="auto"/>
              <w:rPr>
                <w:rFonts w:ascii="宋体" w:hAnsi="宋体" w:cs="宋体"/>
                <w:sz w:val="18"/>
                <w:szCs w:val="18"/>
              </w:rPr>
            </w:pPr>
            <w:r>
              <w:rPr>
                <w:rFonts w:hint="eastAsia" w:ascii="宋体" w:hAnsi="宋体" w:cs="宋体"/>
                <w:sz w:val="18"/>
                <w:szCs w:val="18"/>
              </w:rPr>
              <w:t>4.2理解相关方的需求和期望</w:t>
            </w:r>
          </w:p>
        </w:tc>
        <w:tc>
          <w:tcPr>
            <w:tcW w:w="2714" w:type="dxa"/>
            <w:tcBorders>
              <w:top w:val="single" w:color="000000" w:sz="4" w:space="0"/>
              <w:left w:val="single" w:color="000000" w:sz="4" w:space="0"/>
              <w:bottom w:val="single" w:color="000000" w:sz="4" w:space="0"/>
              <w:right w:val="single" w:color="auto" w:sz="4" w:space="0"/>
            </w:tcBorders>
            <w:vAlign w:val="center"/>
          </w:tcPr>
          <w:p w14:paraId="14791AF1">
            <w:pPr>
              <w:spacing w:line="360" w:lineRule="auto"/>
              <w:rPr>
                <w:rFonts w:ascii="宋体" w:hAnsi="宋体" w:cs="宋体"/>
                <w:sz w:val="18"/>
                <w:szCs w:val="18"/>
              </w:rPr>
            </w:pPr>
            <w:r>
              <w:rPr>
                <w:rFonts w:hint="eastAsia" w:ascii="宋体" w:hAnsi="宋体" w:cs="宋体"/>
                <w:sz w:val="18"/>
                <w:szCs w:val="18"/>
              </w:rPr>
              <w:t>4.2理解相关方的需求和期望</w:t>
            </w:r>
          </w:p>
        </w:tc>
        <w:tc>
          <w:tcPr>
            <w:tcW w:w="3275" w:type="dxa"/>
            <w:tcBorders>
              <w:top w:val="single" w:color="000000" w:sz="4" w:space="0"/>
              <w:left w:val="single" w:color="000000" w:sz="4" w:space="0"/>
              <w:bottom w:val="single" w:color="000000" w:sz="4" w:space="0"/>
              <w:right w:val="single" w:color="auto" w:sz="4" w:space="0"/>
            </w:tcBorders>
            <w:vAlign w:val="center"/>
          </w:tcPr>
          <w:p w14:paraId="6E978F12">
            <w:pPr>
              <w:spacing w:line="360" w:lineRule="auto"/>
              <w:rPr>
                <w:rFonts w:ascii="宋体" w:hAnsi="宋体" w:cs="宋体"/>
                <w:sz w:val="18"/>
                <w:szCs w:val="18"/>
              </w:rPr>
            </w:pPr>
            <w:r>
              <w:rPr>
                <w:rFonts w:hint="eastAsia" w:ascii="宋体" w:hAnsi="宋体" w:cs="宋体"/>
                <w:sz w:val="18"/>
                <w:szCs w:val="18"/>
              </w:rPr>
              <w:t>4.2理解工作人员和相关方的需求和期望</w:t>
            </w:r>
          </w:p>
        </w:tc>
        <w:tc>
          <w:tcPr>
            <w:tcW w:w="705" w:type="dxa"/>
            <w:tcBorders>
              <w:top w:val="single" w:color="000000" w:sz="4" w:space="0"/>
              <w:left w:val="single" w:color="000000" w:sz="4" w:space="0"/>
              <w:bottom w:val="single" w:color="000000" w:sz="4" w:space="0"/>
              <w:right w:val="single" w:color="000000" w:sz="4" w:space="0"/>
            </w:tcBorders>
            <w:vAlign w:val="center"/>
          </w:tcPr>
          <w:p w14:paraId="25C2C26B">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000000" w:sz="4" w:space="0"/>
            </w:tcBorders>
            <w:vAlign w:val="center"/>
          </w:tcPr>
          <w:p w14:paraId="340EB47D">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000000" w:sz="4" w:space="0"/>
            </w:tcBorders>
            <w:vAlign w:val="center"/>
          </w:tcPr>
          <w:p w14:paraId="17C5230D">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auto" w:sz="4" w:space="0"/>
            </w:tcBorders>
            <w:vAlign w:val="center"/>
          </w:tcPr>
          <w:p w14:paraId="3C36206D">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auto" w:sz="6" w:space="0"/>
            </w:tcBorders>
            <w:vAlign w:val="center"/>
          </w:tcPr>
          <w:p w14:paraId="4E1FF314">
            <w:pPr>
              <w:jc w:val="center"/>
            </w:pPr>
            <w:r>
              <w:rPr>
                <w:rFonts w:hint="eastAsia" w:ascii="宋体" w:hAnsi="宋体" w:cs="宋体"/>
                <w:sz w:val="18"/>
                <w:szCs w:val="18"/>
              </w:rPr>
              <w:t>△</w:t>
            </w:r>
          </w:p>
        </w:tc>
        <w:tc>
          <w:tcPr>
            <w:tcW w:w="705" w:type="dxa"/>
            <w:tcBorders>
              <w:top w:val="single" w:color="000000" w:sz="4" w:space="0"/>
              <w:left w:val="single" w:color="auto" w:sz="6" w:space="0"/>
              <w:bottom w:val="single" w:color="000000" w:sz="4" w:space="0"/>
              <w:right w:val="single" w:color="000000" w:sz="4" w:space="0"/>
            </w:tcBorders>
            <w:vAlign w:val="center"/>
          </w:tcPr>
          <w:p w14:paraId="6830F551">
            <w:pPr>
              <w:jc w:val="center"/>
            </w:pPr>
            <w:r>
              <w:rPr>
                <w:rFonts w:hint="eastAsia" w:ascii="宋体" w:hAnsi="宋体" w:cs="宋体"/>
                <w:sz w:val="18"/>
                <w:szCs w:val="18"/>
              </w:rPr>
              <w:t>△</w:t>
            </w:r>
          </w:p>
        </w:tc>
        <w:tc>
          <w:tcPr>
            <w:tcW w:w="705" w:type="dxa"/>
            <w:tcBorders>
              <w:top w:val="single" w:color="000000" w:sz="4" w:space="0"/>
              <w:left w:val="single" w:color="auto" w:sz="6" w:space="0"/>
              <w:bottom w:val="single" w:color="000000" w:sz="4" w:space="0"/>
              <w:right w:val="single" w:color="000000" w:sz="4" w:space="0"/>
            </w:tcBorders>
            <w:vAlign w:val="center"/>
          </w:tcPr>
          <w:p w14:paraId="324150A2">
            <w:pPr>
              <w:spacing w:line="360" w:lineRule="auto"/>
              <w:jc w:val="center"/>
              <w:rPr>
                <w:rFonts w:ascii="宋体" w:hAnsi="宋体" w:cs="宋体"/>
                <w:sz w:val="18"/>
                <w:szCs w:val="18"/>
              </w:rPr>
            </w:pPr>
            <w:r>
              <w:rPr>
                <w:rFonts w:hint="eastAsia" w:ascii="宋体" w:hAnsi="宋体" w:cs="宋体"/>
                <w:sz w:val="18"/>
                <w:szCs w:val="18"/>
              </w:rPr>
              <w:t>△</w:t>
            </w:r>
          </w:p>
        </w:tc>
      </w:tr>
      <w:tr w14:paraId="6BB6A915">
        <w:tblPrEx>
          <w:tblCellMar>
            <w:top w:w="0" w:type="dxa"/>
            <w:left w:w="0" w:type="dxa"/>
            <w:bottom w:w="0" w:type="dxa"/>
            <w:right w:w="0" w:type="dxa"/>
          </w:tblCellMar>
        </w:tblPrEx>
        <w:trPr>
          <w:trHeight w:val="523" w:hRule="exact"/>
        </w:trPr>
        <w:tc>
          <w:tcPr>
            <w:tcW w:w="2490" w:type="dxa"/>
            <w:tcBorders>
              <w:top w:val="single" w:color="000000" w:sz="4" w:space="0"/>
              <w:left w:val="single" w:color="000000" w:sz="4" w:space="0"/>
              <w:bottom w:val="single" w:color="000000" w:sz="4" w:space="0"/>
              <w:right w:val="single" w:color="000000" w:sz="4" w:space="0"/>
            </w:tcBorders>
            <w:vAlign w:val="center"/>
          </w:tcPr>
          <w:p w14:paraId="35366F22">
            <w:pPr>
              <w:spacing w:line="360" w:lineRule="auto"/>
              <w:rPr>
                <w:rFonts w:ascii="宋体" w:hAnsi="宋体" w:cs="宋体"/>
                <w:sz w:val="18"/>
                <w:szCs w:val="18"/>
              </w:rPr>
            </w:pPr>
            <w:r>
              <w:rPr>
                <w:rFonts w:hint="eastAsia" w:ascii="宋体" w:hAnsi="宋体" w:cs="宋体"/>
                <w:sz w:val="18"/>
                <w:szCs w:val="18"/>
              </w:rPr>
              <w:t>4.3确定质量管理体系的范围</w:t>
            </w:r>
          </w:p>
        </w:tc>
        <w:tc>
          <w:tcPr>
            <w:tcW w:w="2714" w:type="dxa"/>
            <w:tcBorders>
              <w:top w:val="single" w:color="000000" w:sz="4" w:space="0"/>
              <w:left w:val="single" w:color="000000" w:sz="4" w:space="0"/>
              <w:bottom w:val="single" w:color="000000" w:sz="4" w:space="0"/>
              <w:right w:val="single" w:color="auto" w:sz="4" w:space="0"/>
            </w:tcBorders>
            <w:vAlign w:val="center"/>
          </w:tcPr>
          <w:p w14:paraId="7B8FFA25">
            <w:pPr>
              <w:spacing w:line="360" w:lineRule="auto"/>
              <w:rPr>
                <w:rFonts w:ascii="宋体" w:hAnsi="宋体" w:cs="宋体"/>
                <w:sz w:val="18"/>
                <w:szCs w:val="18"/>
              </w:rPr>
            </w:pPr>
            <w:r>
              <w:rPr>
                <w:rFonts w:hint="eastAsia" w:ascii="宋体" w:hAnsi="宋体" w:cs="宋体"/>
                <w:sz w:val="18"/>
                <w:szCs w:val="18"/>
              </w:rPr>
              <w:t>4.3确定环境管理体系的范围</w:t>
            </w:r>
          </w:p>
        </w:tc>
        <w:tc>
          <w:tcPr>
            <w:tcW w:w="3275" w:type="dxa"/>
            <w:tcBorders>
              <w:top w:val="single" w:color="000000" w:sz="4" w:space="0"/>
              <w:left w:val="single" w:color="000000" w:sz="4" w:space="0"/>
              <w:bottom w:val="single" w:color="000000" w:sz="4" w:space="0"/>
              <w:right w:val="single" w:color="auto" w:sz="4" w:space="0"/>
            </w:tcBorders>
            <w:vAlign w:val="center"/>
          </w:tcPr>
          <w:p w14:paraId="53D47AB3">
            <w:pPr>
              <w:rPr>
                <w:rFonts w:ascii="宋体" w:hAnsi="宋体" w:cs="宋体"/>
                <w:sz w:val="18"/>
                <w:szCs w:val="18"/>
              </w:rPr>
            </w:pPr>
            <w:r>
              <w:rPr>
                <w:rFonts w:hint="eastAsia" w:ascii="宋体" w:hAnsi="宋体" w:cs="宋体"/>
                <w:sz w:val="18"/>
                <w:szCs w:val="18"/>
              </w:rPr>
              <w:t>4.3确定职业健康安全管理体系的范围</w:t>
            </w:r>
          </w:p>
        </w:tc>
        <w:tc>
          <w:tcPr>
            <w:tcW w:w="705" w:type="dxa"/>
            <w:tcBorders>
              <w:top w:val="single" w:color="000000" w:sz="4" w:space="0"/>
              <w:left w:val="single" w:color="000000" w:sz="4" w:space="0"/>
              <w:bottom w:val="single" w:color="000000" w:sz="4" w:space="0"/>
              <w:right w:val="single" w:color="000000" w:sz="4" w:space="0"/>
            </w:tcBorders>
            <w:vAlign w:val="center"/>
          </w:tcPr>
          <w:p w14:paraId="0A4A69EF">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000000" w:sz="4" w:space="0"/>
            </w:tcBorders>
            <w:vAlign w:val="center"/>
          </w:tcPr>
          <w:p w14:paraId="595B191E">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000000" w:sz="4" w:space="0"/>
            </w:tcBorders>
            <w:vAlign w:val="center"/>
          </w:tcPr>
          <w:p w14:paraId="5D92D4BB">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auto" w:sz="4" w:space="0"/>
            </w:tcBorders>
            <w:vAlign w:val="center"/>
          </w:tcPr>
          <w:p w14:paraId="525995BF">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auto" w:sz="6" w:space="0"/>
            </w:tcBorders>
            <w:vAlign w:val="center"/>
          </w:tcPr>
          <w:p w14:paraId="70F894A0">
            <w:pPr>
              <w:jc w:val="center"/>
            </w:pPr>
            <w:r>
              <w:rPr>
                <w:rFonts w:hint="eastAsia" w:ascii="宋体" w:hAnsi="宋体" w:cs="宋体"/>
                <w:sz w:val="18"/>
                <w:szCs w:val="18"/>
              </w:rPr>
              <w:t>△</w:t>
            </w:r>
          </w:p>
        </w:tc>
        <w:tc>
          <w:tcPr>
            <w:tcW w:w="705" w:type="dxa"/>
            <w:tcBorders>
              <w:top w:val="single" w:color="000000" w:sz="4" w:space="0"/>
              <w:left w:val="single" w:color="auto" w:sz="6" w:space="0"/>
              <w:bottom w:val="single" w:color="000000" w:sz="4" w:space="0"/>
              <w:right w:val="single" w:color="000000" w:sz="4" w:space="0"/>
            </w:tcBorders>
            <w:vAlign w:val="center"/>
          </w:tcPr>
          <w:p w14:paraId="2E1B4FD1">
            <w:pPr>
              <w:jc w:val="center"/>
            </w:pPr>
            <w:r>
              <w:rPr>
                <w:rFonts w:hint="eastAsia" w:ascii="宋体" w:hAnsi="宋体" w:cs="宋体"/>
                <w:sz w:val="18"/>
                <w:szCs w:val="18"/>
              </w:rPr>
              <w:t>△</w:t>
            </w:r>
          </w:p>
        </w:tc>
        <w:tc>
          <w:tcPr>
            <w:tcW w:w="705" w:type="dxa"/>
            <w:tcBorders>
              <w:top w:val="single" w:color="000000" w:sz="4" w:space="0"/>
              <w:left w:val="single" w:color="auto" w:sz="6" w:space="0"/>
              <w:bottom w:val="single" w:color="000000" w:sz="4" w:space="0"/>
              <w:right w:val="single" w:color="000000" w:sz="4" w:space="0"/>
            </w:tcBorders>
            <w:vAlign w:val="center"/>
          </w:tcPr>
          <w:p w14:paraId="4C6A86B4">
            <w:pPr>
              <w:spacing w:line="360" w:lineRule="auto"/>
              <w:jc w:val="center"/>
              <w:rPr>
                <w:rFonts w:ascii="宋体" w:hAnsi="宋体" w:cs="宋体"/>
                <w:sz w:val="18"/>
                <w:szCs w:val="18"/>
              </w:rPr>
            </w:pPr>
            <w:r>
              <w:rPr>
                <w:rFonts w:hint="eastAsia" w:ascii="宋体" w:hAnsi="宋体" w:cs="宋体"/>
                <w:sz w:val="18"/>
                <w:szCs w:val="18"/>
              </w:rPr>
              <w:t>△</w:t>
            </w:r>
          </w:p>
        </w:tc>
      </w:tr>
      <w:tr w14:paraId="505BE722">
        <w:tblPrEx>
          <w:tblCellMar>
            <w:top w:w="0" w:type="dxa"/>
            <w:left w:w="0" w:type="dxa"/>
            <w:bottom w:w="0" w:type="dxa"/>
            <w:right w:w="0" w:type="dxa"/>
          </w:tblCellMar>
        </w:tblPrEx>
        <w:trPr>
          <w:trHeight w:val="504" w:hRule="exact"/>
        </w:trPr>
        <w:tc>
          <w:tcPr>
            <w:tcW w:w="2490" w:type="dxa"/>
            <w:tcBorders>
              <w:top w:val="single" w:color="000000" w:sz="4" w:space="0"/>
              <w:left w:val="single" w:color="000000" w:sz="4" w:space="0"/>
              <w:bottom w:val="single" w:color="000000" w:sz="4" w:space="0"/>
              <w:right w:val="single" w:color="000000" w:sz="4" w:space="0"/>
            </w:tcBorders>
            <w:vAlign w:val="center"/>
          </w:tcPr>
          <w:p w14:paraId="1FF49C1D">
            <w:pPr>
              <w:spacing w:line="360" w:lineRule="auto"/>
              <w:rPr>
                <w:rFonts w:ascii="宋体" w:hAnsi="宋体" w:cs="宋体"/>
                <w:sz w:val="18"/>
                <w:szCs w:val="18"/>
              </w:rPr>
            </w:pPr>
            <w:r>
              <w:rPr>
                <w:rFonts w:hint="eastAsia" w:ascii="宋体" w:hAnsi="宋体" w:cs="宋体"/>
                <w:sz w:val="18"/>
                <w:szCs w:val="18"/>
              </w:rPr>
              <w:t>4.4质量管理体系</w:t>
            </w:r>
          </w:p>
        </w:tc>
        <w:tc>
          <w:tcPr>
            <w:tcW w:w="2714" w:type="dxa"/>
            <w:tcBorders>
              <w:top w:val="single" w:color="000000" w:sz="4" w:space="0"/>
              <w:left w:val="single" w:color="000000" w:sz="4" w:space="0"/>
              <w:bottom w:val="single" w:color="auto" w:sz="4" w:space="0"/>
              <w:right w:val="single" w:color="auto" w:sz="4" w:space="0"/>
            </w:tcBorders>
            <w:vAlign w:val="center"/>
          </w:tcPr>
          <w:p w14:paraId="33DE8DD4">
            <w:pPr>
              <w:spacing w:line="360" w:lineRule="auto"/>
              <w:rPr>
                <w:rFonts w:ascii="宋体" w:hAnsi="宋体" w:cs="宋体"/>
                <w:sz w:val="18"/>
                <w:szCs w:val="18"/>
              </w:rPr>
            </w:pPr>
            <w:r>
              <w:rPr>
                <w:rFonts w:hint="eastAsia" w:ascii="宋体" w:hAnsi="宋体" w:cs="宋体"/>
                <w:sz w:val="18"/>
                <w:szCs w:val="18"/>
              </w:rPr>
              <w:t>4.4环境管理体系</w:t>
            </w:r>
          </w:p>
        </w:tc>
        <w:tc>
          <w:tcPr>
            <w:tcW w:w="3275" w:type="dxa"/>
            <w:tcBorders>
              <w:top w:val="single" w:color="000000" w:sz="4" w:space="0"/>
              <w:left w:val="single" w:color="000000" w:sz="4" w:space="0"/>
              <w:bottom w:val="single" w:color="auto" w:sz="4" w:space="0"/>
              <w:right w:val="single" w:color="auto" w:sz="4" w:space="0"/>
            </w:tcBorders>
            <w:vAlign w:val="center"/>
          </w:tcPr>
          <w:p w14:paraId="0E322A7B">
            <w:pPr>
              <w:spacing w:line="360" w:lineRule="auto"/>
              <w:rPr>
                <w:rFonts w:ascii="宋体" w:hAnsi="宋体" w:cs="宋体"/>
                <w:sz w:val="18"/>
                <w:szCs w:val="18"/>
              </w:rPr>
            </w:pPr>
            <w:r>
              <w:rPr>
                <w:rFonts w:hint="eastAsia" w:ascii="宋体" w:hAnsi="宋体" w:cs="宋体"/>
                <w:sz w:val="18"/>
                <w:szCs w:val="18"/>
              </w:rPr>
              <w:t>4.4职业健康安全管理体系</w:t>
            </w:r>
          </w:p>
        </w:tc>
        <w:tc>
          <w:tcPr>
            <w:tcW w:w="705" w:type="dxa"/>
            <w:tcBorders>
              <w:top w:val="single" w:color="000000" w:sz="4" w:space="0"/>
              <w:left w:val="single" w:color="000000" w:sz="4" w:space="0"/>
              <w:bottom w:val="single" w:color="000000" w:sz="4" w:space="0"/>
              <w:right w:val="single" w:color="000000" w:sz="4" w:space="0"/>
            </w:tcBorders>
            <w:vAlign w:val="center"/>
          </w:tcPr>
          <w:p w14:paraId="18DF4AD6">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000000" w:sz="4" w:space="0"/>
            </w:tcBorders>
            <w:vAlign w:val="center"/>
          </w:tcPr>
          <w:p w14:paraId="140460AE">
            <w:pPr>
              <w:spacing w:line="360" w:lineRule="auto"/>
              <w:jc w:val="center"/>
              <w:rPr>
                <w:rFonts w:ascii="宋体" w:hAnsi="宋体" w:cs="宋体"/>
                <w:sz w:val="18"/>
                <w:szCs w:val="18"/>
              </w:rPr>
            </w:pPr>
          </w:p>
        </w:tc>
        <w:tc>
          <w:tcPr>
            <w:tcW w:w="705" w:type="dxa"/>
            <w:tcBorders>
              <w:top w:val="single" w:color="000000" w:sz="4" w:space="0"/>
              <w:left w:val="single" w:color="000000" w:sz="4" w:space="0"/>
              <w:bottom w:val="single" w:color="000000" w:sz="4" w:space="0"/>
              <w:right w:val="single" w:color="000000" w:sz="4" w:space="0"/>
            </w:tcBorders>
            <w:vAlign w:val="center"/>
          </w:tcPr>
          <w:p w14:paraId="0E362110">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auto" w:sz="4" w:space="0"/>
            </w:tcBorders>
            <w:vAlign w:val="center"/>
          </w:tcPr>
          <w:p w14:paraId="6628335F">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auto" w:sz="6" w:space="0"/>
            </w:tcBorders>
            <w:vAlign w:val="center"/>
          </w:tcPr>
          <w:p w14:paraId="7ACFCF16">
            <w:pPr>
              <w:jc w:val="center"/>
            </w:pPr>
            <w:r>
              <w:rPr>
                <w:rFonts w:hint="eastAsia" w:ascii="宋体" w:hAnsi="宋体" w:cs="宋体"/>
                <w:sz w:val="18"/>
                <w:szCs w:val="18"/>
              </w:rPr>
              <w:t>△</w:t>
            </w:r>
          </w:p>
        </w:tc>
        <w:tc>
          <w:tcPr>
            <w:tcW w:w="705" w:type="dxa"/>
            <w:tcBorders>
              <w:top w:val="single" w:color="000000" w:sz="4" w:space="0"/>
              <w:left w:val="single" w:color="auto" w:sz="6" w:space="0"/>
              <w:bottom w:val="single" w:color="000000" w:sz="4" w:space="0"/>
              <w:right w:val="single" w:color="000000" w:sz="4" w:space="0"/>
            </w:tcBorders>
            <w:vAlign w:val="center"/>
          </w:tcPr>
          <w:p w14:paraId="278313B5">
            <w:pPr>
              <w:jc w:val="center"/>
            </w:pPr>
            <w:r>
              <w:rPr>
                <w:rFonts w:hint="eastAsia" w:ascii="宋体" w:hAnsi="宋体" w:cs="宋体"/>
                <w:sz w:val="18"/>
                <w:szCs w:val="18"/>
              </w:rPr>
              <w:t>△</w:t>
            </w:r>
          </w:p>
        </w:tc>
        <w:tc>
          <w:tcPr>
            <w:tcW w:w="705" w:type="dxa"/>
            <w:tcBorders>
              <w:top w:val="single" w:color="000000" w:sz="4" w:space="0"/>
              <w:left w:val="single" w:color="auto" w:sz="6" w:space="0"/>
              <w:bottom w:val="single" w:color="000000" w:sz="4" w:space="0"/>
              <w:right w:val="single" w:color="000000" w:sz="4" w:space="0"/>
            </w:tcBorders>
            <w:vAlign w:val="center"/>
          </w:tcPr>
          <w:p w14:paraId="49755BCC">
            <w:pPr>
              <w:spacing w:line="360" w:lineRule="auto"/>
              <w:jc w:val="center"/>
              <w:rPr>
                <w:rFonts w:ascii="宋体" w:hAnsi="宋体" w:cs="宋体"/>
                <w:sz w:val="18"/>
                <w:szCs w:val="18"/>
              </w:rPr>
            </w:pPr>
            <w:r>
              <w:rPr>
                <w:rFonts w:hint="eastAsia" w:ascii="宋体" w:hAnsi="宋体" w:cs="宋体"/>
                <w:sz w:val="18"/>
                <w:szCs w:val="18"/>
              </w:rPr>
              <w:t>△</w:t>
            </w:r>
          </w:p>
        </w:tc>
      </w:tr>
      <w:tr w14:paraId="2A0F4C9C">
        <w:tblPrEx>
          <w:tblCellMar>
            <w:top w:w="0" w:type="dxa"/>
            <w:left w:w="0" w:type="dxa"/>
            <w:bottom w:w="0" w:type="dxa"/>
            <w:right w:w="0" w:type="dxa"/>
          </w:tblCellMar>
        </w:tblPrEx>
        <w:trPr>
          <w:trHeight w:val="504" w:hRule="exact"/>
        </w:trPr>
        <w:tc>
          <w:tcPr>
            <w:tcW w:w="2490" w:type="dxa"/>
            <w:tcBorders>
              <w:top w:val="single" w:color="000000" w:sz="4" w:space="0"/>
              <w:left w:val="single" w:color="000000" w:sz="4" w:space="0"/>
              <w:bottom w:val="single" w:color="000000" w:sz="4" w:space="0"/>
              <w:right w:val="single" w:color="000000" w:sz="4" w:space="0"/>
            </w:tcBorders>
            <w:vAlign w:val="center"/>
          </w:tcPr>
          <w:p w14:paraId="75B7475B">
            <w:pPr>
              <w:spacing w:line="360" w:lineRule="auto"/>
              <w:rPr>
                <w:rFonts w:ascii="宋体" w:hAnsi="宋体" w:cs="宋体"/>
                <w:sz w:val="18"/>
                <w:szCs w:val="18"/>
              </w:rPr>
            </w:pPr>
            <w:r>
              <w:rPr>
                <w:rFonts w:hint="eastAsia" w:ascii="宋体" w:hAnsi="宋体" w:cs="宋体"/>
                <w:sz w:val="18"/>
                <w:szCs w:val="18"/>
              </w:rPr>
              <w:t>5.1领导作用与承诺</w:t>
            </w:r>
          </w:p>
        </w:tc>
        <w:tc>
          <w:tcPr>
            <w:tcW w:w="2714" w:type="dxa"/>
            <w:tcBorders>
              <w:top w:val="single" w:color="auto" w:sz="4" w:space="0"/>
              <w:left w:val="single" w:color="000000" w:sz="4" w:space="0"/>
              <w:bottom w:val="single" w:color="000000" w:sz="4" w:space="0"/>
              <w:right w:val="single" w:color="auto" w:sz="4" w:space="0"/>
            </w:tcBorders>
            <w:vAlign w:val="center"/>
          </w:tcPr>
          <w:p w14:paraId="5385E8DE">
            <w:pPr>
              <w:spacing w:line="360" w:lineRule="auto"/>
              <w:rPr>
                <w:rFonts w:ascii="宋体" w:hAnsi="宋体" w:cs="宋体"/>
                <w:sz w:val="18"/>
                <w:szCs w:val="18"/>
              </w:rPr>
            </w:pPr>
            <w:r>
              <w:rPr>
                <w:rFonts w:hint="eastAsia" w:ascii="宋体" w:hAnsi="宋体" w:cs="宋体"/>
                <w:sz w:val="18"/>
                <w:szCs w:val="18"/>
              </w:rPr>
              <w:t>5.1领导作用与承诺</w:t>
            </w:r>
          </w:p>
        </w:tc>
        <w:tc>
          <w:tcPr>
            <w:tcW w:w="3275" w:type="dxa"/>
            <w:tcBorders>
              <w:top w:val="single" w:color="auto" w:sz="4" w:space="0"/>
              <w:left w:val="single" w:color="000000" w:sz="4" w:space="0"/>
              <w:bottom w:val="single" w:color="000000" w:sz="4" w:space="0"/>
              <w:right w:val="single" w:color="auto" w:sz="4" w:space="0"/>
            </w:tcBorders>
            <w:vAlign w:val="center"/>
          </w:tcPr>
          <w:p w14:paraId="66230A4F">
            <w:pPr>
              <w:spacing w:line="360" w:lineRule="auto"/>
              <w:rPr>
                <w:rFonts w:ascii="宋体" w:hAnsi="宋体" w:cs="宋体"/>
                <w:sz w:val="18"/>
                <w:szCs w:val="18"/>
              </w:rPr>
            </w:pPr>
            <w:r>
              <w:rPr>
                <w:rFonts w:hint="eastAsia" w:ascii="宋体" w:hAnsi="宋体" w:cs="宋体"/>
                <w:sz w:val="18"/>
                <w:szCs w:val="18"/>
              </w:rPr>
              <w:t>5.1领导作用与承诺</w:t>
            </w:r>
          </w:p>
        </w:tc>
        <w:tc>
          <w:tcPr>
            <w:tcW w:w="705" w:type="dxa"/>
            <w:tcBorders>
              <w:top w:val="single" w:color="000000" w:sz="4" w:space="0"/>
              <w:left w:val="single" w:color="000000" w:sz="4" w:space="0"/>
              <w:bottom w:val="single" w:color="000000" w:sz="4" w:space="0"/>
              <w:right w:val="single" w:color="000000" w:sz="4" w:space="0"/>
            </w:tcBorders>
            <w:vAlign w:val="center"/>
          </w:tcPr>
          <w:p w14:paraId="1A737ABA">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000000" w:sz="4" w:space="0"/>
            </w:tcBorders>
            <w:vAlign w:val="center"/>
          </w:tcPr>
          <w:p w14:paraId="05973714">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000000" w:sz="4" w:space="0"/>
            </w:tcBorders>
            <w:vAlign w:val="center"/>
          </w:tcPr>
          <w:p w14:paraId="1205FFE0">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auto" w:sz="4" w:space="0"/>
            </w:tcBorders>
            <w:vAlign w:val="center"/>
          </w:tcPr>
          <w:p w14:paraId="14F3410C">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auto" w:sz="6" w:space="0"/>
            </w:tcBorders>
            <w:vAlign w:val="center"/>
          </w:tcPr>
          <w:p w14:paraId="45E08BB7">
            <w:pPr>
              <w:jc w:val="center"/>
            </w:pPr>
            <w:r>
              <w:rPr>
                <w:rFonts w:hint="eastAsia" w:ascii="宋体" w:hAnsi="宋体" w:cs="宋体"/>
                <w:sz w:val="18"/>
                <w:szCs w:val="18"/>
              </w:rPr>
              <w:t>△</w:t>
            </w:r>
          </w:p>
        </w:tc>
        <w:tc>
          <w:tcPr>
            <w:tcW w:w="705" w:type="dxa"/>
            <w:tcBorders>
              <w:top w:val="single" w:color="000000" w:sz="4" w:space="0"/>
              <w:left w:val="single" w:color="auto" w:sz="6" w:space="0"/>
              <w:bottom w:val="single" w:color="000000" w:sz="4" w:space="0"/>
              <w:right w:val="single" w:color="000000" w:sz="4" w:space="0"/>
            </w:tcBorders>
            <w:vAlign w:val="center"/>
          </w:tcPr>
          <w:p w14:paraId="29DDD250">
            <w:pPr>
              <w:jc w:val="center"/>
            </w:pPr>
            <w:r>
              <w:rPr>
                <w:rFonts w:hint="eastAsia" w:ascii="宋体" w:hAnsi="宋体" w:cs="宋体"/>
                <w:sz w:val="18"/>
                <w:szCs w:val="18"/>
              </w:rPr>
              <w:t>△</w:t>
            </w:r>
          </w:p>
        </w:tc>
        <w:tc>
          <w:tcPr>
            <w:tcW w:w="705" w:type="dxa"/>
            <w:tcBorders>
              <w:top w:val="single" w:color="000000" w:sz="4" w:space="0"/>
              <w:left w:val="single" w:color="auto" w:sz="6" w:space="0"/>
              <w:bottom w:val="single" w:color="000000" w:sz="4" w:space="0"/>
              <w:right w:val="single" w:color="000000" w:sz="4" w:space="0"/>
            </w:tcBorders>
            <w:vAlign w:val="center"/>
          </w:tcPr>
          <w:p w14:paraId="78BB5F72">
            <w:pPr>
              <w:spacing w:line="360" w:lineRule="auto"/>
              <w:jc w:val="center"/>
              <w:rPr>
                <w:rFonts w:ascii="宋体" w:hAnsi="宋体" w:cs="宋体"/>
                <w:sz w:val="18"/>
                <w:szCs w:val="18"/>
              </w:rPr>
            </w:pPr>
            <w:r>
              <w:rPr>
                <w:rFonts w:hint="eastAsia" w:ascii="宋体" w:hAnsi="宋体" w:cs="宋体"/>
                <w:sz w:val="18"/>
                <w:szCs w:val="18"/>
              </w:rPr>
              <w:t>△</w:t>
            </w:r>
          </w:p>
        </w:tc>
      </w:tr>
      <w:tr w14:paraId="015E2B27">
        <w:tblPrEx>
          <w:tblCellMar>
            <w:top w:w="0" w:type="dxa"/>
            <w:left w:w="0" w:type="dxa"/>
            <w:bottom w:w="0" w:type="dxa"/>
            <w:right w:w="0" w:type="dxa"/>
          </w:tblCellMar>
        </w:tblPrEx>
        <w:trPr>
          <w:trHeight w:val="504" w:hRule="exact"/>
        </w:trPr>
        <w:tc>
          <w:tcPr>
            <w:tcW w:w="2490" w:type="dxa"/>
            <w:tcBorders>
              <w:top w:val="single" w:color="000000" w:sz="4" w:space="0"/>
              <w:left w:val="single" w:color="000000" w:sz="4" w:space="0"/>
              <w:bottom w:val="single" w:color="000000" w:sz="4" w:space="0"/>
              <w:right w:val="single" w:color="000000" w:sz="4" w:space="0"/>
            </w:tcBorders>
            <w:vAlign w:val="center"/>
          </w:tcPr>
          <w:p w14:paraId="12FA8AB5">
            <w:pPr>
              <w:spacing w:line="360" w:lineRule="auto"/>
              <w:rPr>
                <w:rFonts w:ascii="宋体" w:hAnsi="宋体" w:cs="宋体"/>
                <w:sz w:val="18"/>
                <w:szCs w:val="18"/>
              </w:rPr>
            </w:pPr>
            <w:r>
              <w:rPr>
                <w:rFonts w:hint="eastAsia" w:ascii="宋体" w:hAnsi="宋体" w:cs="宋体"/>
                <w:sz w:val="18"/>
                <w:szCs w:val="18"/>
              </w:rPr>
              <w:t>5.1.2以顾客为关注焦点</w:t>
            </w:r>
          </w:p>
        </w:tc>
        <w:tc>
          <w:tcPr>
            <w:tcW w:w="2714" w:type="dxa"/>
            <w:tcBorders>
              <w:top w:val="single" w:color="000000" w:sz="4" w:space="0"/>
              <w:left w:val="single" w:color="000000" w:sz="4" w:space="0"/>
              <w:bottom w:val="single" w:color="000000" w:sz="4" w:space="0"/>
              <w:right w:val="single" w:color="auto" w:sz="4" w:space="0"/>
            </w:tcBorders>
            <w:vAlign w:val="center"/>
          </w:tcPr>
          <w:p w14:paraId="505AB309">
            <w:pPr>
              <w:spacing w:line="360" w:lineRule="auto"/>
              <w:rPr>
                <w:rFonts w:ascii="宋体" w:hAnsi="宋体" w:cs="宋体"/>
                <w:sz w:val="18"/>
                <w:szCs w:val="18"/>
              </w:rPr>
            </w:pPr>
          </w:p>
        </w:tc>
        <w:tc>
          <w:tcPr>
            <w:tcW w:w="3275" w:type="dxa"/>
            <w:tcBorders>
              <w:top w:val="single" w:color="000000" w:sz="4" w:space="0"/>
              <w:left w:val="single" w:color="000000" w:sz="4" w:space="0"/>
              <w:bottom w:val="single" w:color="000000" w:sz="4" w:space="0"/>
              <w:right w:val="single" w:color="auto" w:sz="4" w:space="0"/>
            </w:tcBorders>
            <w:vAlign w:val="center"/>
          </w:tcPr>
          <w:p w14:paraId="1FF96FCA">
            <w:pPr>
              <w:spacing w:line="360" w:lineRule="auto"/>
              <w:rPr>
                <w:rFonts w:ascii="宋体" w:hAnsi="宋体" w:cs="宋体"/>
                <w:sz w:val="18"/>
                <w:szCs w:val="18"/>
              </w:rPr>
            </w:pPr>
          </w:p>
        </w:tc>
        <w:tc>
          <w:tcPr>
            <w:tcW w:w="705" w:type="dxa"/>
            <w:tcBorders>
              <w:top w:val="single" w:color="000000" w:sz="4" w:space="0"/>
              <w:left w:val="single" w:color="000000" w:sz="4" w:space="0"/>
              <w:bottom w:val="single" w:color="000000" w:sz="4" w:space="0"/>
              <w:right w:val="single" w:color="000000" w:sz="4" w:space="0"/>
            </w:tcBorders>
            <w:vAlign w:val="center"/>
          </w:tcPr>
          <w:p w14:paraId="2055B5E9">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000000" w:sz="4" w:space="0"/>
            </w:tcBorders>
            <w:vAlign w:val="center"/>
          </w:tcPr>
          <w:p w14:paraId="7FFFF089">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000000" w:sz="4" w:space="0"/>
            </w:tcBorders>
            <w:vAlign w:val="center"/>
          </w:tcPr>
          <w:p w14:paraId="6729B7B7">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auto" w:sz="4" w:space="0"/>
            </w:tcBorders>
            <w:vAlign w:val="center"/>
          </w:tcPr>
          <w:p w14:paraId="6C1F1777">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auto" w:sz="6" w:space="0"/>
            </w:tcBorders>
            <w:vAlign w:val="center"/>
          </w:tcPr>
          <w:p w14:paraId="3CACF17B">
            <w:pPr>
              <w:jc w:val="center"/>
            </w:pPr>
            <w:r>
              <w:rPr>
                <w:rFonts w:hint="eastAsia" w:ascii="宋体" w:hAnsi="宋体" w:cs="宋体"/>
                <w:sz w:val="18"/>
                <w:szCs w:val="18"/>
              </w:rPr>
              <w:t>△</w:t>
            </w:r>
          </w:p>
        </w:tc>
        <w:tc>
          <w:tcPr>
            <w:tcW w:w="705" w:type="dxa"/>
            <w:tcBorders>
              <w:top w:val="single" w:color="000000" w:sz="4" w:space="0"/>
              <w:left w:val="single" w:color="auto" w:sz="6" w:space="0"/>
              <w:bottom w:val="single" w:color="000000" w:sz="4" w:space="0"/>
              <w:right w:val="single" w:color="000000" w:sz="4" w:space="0"/>
            </w:tcBorders>
            <w:vAlign w:val="center"/>
          </w:tcPr>
          <w:p w14:paraId="2D7481A5">
            <w:pPr>
              <w:jc w:val="center"/>
            </w:pPr>
            <w:r>
              <w:rPr>
                <w:rFonts w:hint="eastAsia" w:ascii="宋体" w:hAnsi="宋体" w:cs="宋体"/>
                <w:sz w:val="18"/>
                <w:szCs w:val="18"/>
              </w:rPr>
              <w:t>△</w:t>
            </w:r>
          </w:p>
        </w:tc>
        <w:tc>
          <w:tcPr>
            <w:tcW w:w="705" w:type="dxa"/>
            <w:tcBorders>
              <w:top w:val="single" w:color="000000" w:sz="4" w:space="0"/>
              <w:left w:val="single" w:color="auto" w:sz="6" w:space="0"/>
              <w:bottom w:val="single" w:color="000000" w:sz="4" w:space="0"/>
              <w:right w:val="single" w:color="000000" w:sz="4" w:space="0"/>
            </w:tcBorders>
            <w:vAlign w:val="center"/>
          </w:tcPr>
          <w:p w14:paraId="4ED21B89">
            <w:pPr>
              <w:spacing w:line="360" w:lineRule="auto"/>
              <w:jc w:val="center"/>
              <w:rPr>
                <w:rFonts w:ascii="宋体" w:hAnsi="宋体" w:cs="宋体"/>
                <w:sz w:val="18"/>
                <w:szCs w:val="18"/>
              </w:rPr>
            </w:pPr>
            <w:r>
              <w:rPr>
                <w:rFonts w:hint="eastAsia" w:ascii="宋体" w:hAnsi="宋体" w:cs="宋体"/>
                <w:sz w:val="18"/>
                <w:szCs w:val="18"/>
              </w:rPr>
              <w:t>△</w:t>
            </w:r>
          </w:p>
        </w:tc>
      </w:tr>
      <w:tr w14:paraId="5A11877C">
        <w:tblPrEx>
          <w:tblCellMar>
            <w:top w:w="0" w:type="dxa"/>
            <w:left w:w="0" w:type="dxa"/>
            <w:bottom w:w="0" w:type="dxa"/>
            <w:right w:w="0" w:type="dxa"/>
          </w:tblCellMar>
        </w:tblPrEx>
        <w:trPr>
          <w:trHeight w:val="504" w:hRule="exact"/>
        </w:trPr>
        <w:tc>
          <w:tcPr>
            <w:tcW w:w="2490" w:type="dxa"/>
            <w:tcBorders>
              <w:top w:val="single" w:color="000000" w:sz="4" w:space="0"/>
              <w:left w:val="single" w:color="000000" w:sz="4" w:space="0"/>
              <w:bottom w:val="single" w:color="000000" w:sz="4" w:space="0"/>
              <w:right w:val="single" w:color="000000" w:sz="4" w:space="0"/>
            </w:tcBorders>
            <w:vAlign w:val="center"/>
          </w:tcPr>
          <w:p w14:paraId="13F3FCAD">
            <w:pPr>
              <w:spacing w:line="360" w:lineRule="auto"/>
              <w:rPr>
                <w:rFonts w:ascii="宋体" w:hAnsi="宋体" w:cs="宋体"/>
                <w:sz w:val="18"/>
                <w:szCs w:val="18"/>
              </w:rPr>
            </w:pPr>
            <w:r>
              <w:rPr>
                <w:rFonts w:hint="eastAsia" w:ascii="宋体" w:hAnsi="宋体" w:cs="宋体"/>
                <w:sz w:val="18"/>
                <w:szCs w:val="18"/>
              </w:rPr>
              <w:t>5.2质量方针</w:t>
            </w:r>
          </w:p>
        </w:tc>
        <w:tc>
          <w:tcPr>
            <w:tcW w:w="2714" w:type="dxa"/>
            <w:tcBorders>
              <w:top w:val="single" w:color="000000" w:sz="4" w:space="0"/>
              <w:left w:val="single" w:color="000000" w:sz="4" w:space="0"/>
              <w:bottom w:val="single" w:color="000000" w:sz="4" w:space="0"/>
              <w:right w:val="single" w:color="auto" w:sz="4" w:space="0"/>
            </w:tcBorders>
            <w:vAlign w:val="center"/>
          </w:tcPr>
          <w:p w14:paraId="5F8ED5EC">
            <w:pPr>
              <w:spacing w:line="360" w:lineRule="auto"/>
              <w:rPr>
                <w:rFonts w:ascii="宋体" w:hAnsi="宋体" w:cs="宋体"/>
                <w:sz w:val="18"/>
                <w:szCs w:val="18"/>
              </w:rPr>
            </w:pPr>
            <w:r>
              <w:rPr>
                <w:rFonts w:hint="eastAsia" w:ascii="宋体" w:hAnsi="宋体" w:cs="宋体"/>
                <w:sz w:val="18"/>
                <w:szCs w:val="18"/>
              </w:rPr>
              <w:t>5.2环境方针</w:t>
            </w:r>
          </w:p>
        </w:tc>
        <w:tc>
          <w:tcPr>
            <w:tcW w:w="3275" w:type="dxa"/>
            <w:tcBorders>
              <w:top w:val="single" w:color="000000" w:sz="4" w:space="0"/>
              <w:left w:val="single" w:color="000000" w:sz="4" w:space="0"/>
              <w:bottom w:val="single" w:color="000000" w:sz="4" w:space="0"/>
              <w:right w:val="single" w:color="auto" w:sz="4" w:space="0"/>
            </w:tcBorders>
            <w:vAlign w:val="center"/>
          </w:tcPr>
          <w:p w14:paraId="26FECC8C">
            <w:pPr>
              <w:spacing w:line="360" w:lineRule="auto"/>
              <w:rPr>
                <w:rFonts w:ascii="宋体" w:hAnsi="宋体" w:cs="宋体"/>
                <w:sz w:val="18"/>
                <w:szCs w:val="18"/>
              </w:rPr>
            </w:pPr>
            <w:r>
              <w:rPr>
                <w:rFonts w:hint="eastAsia" w:ascii="宋体" w:hAnsi="宋体" w:cs="宋体"/>
                <w:sz w:val="18"/>
                <w:szCs w:val="18"/>
              </w:rPr>
              <w:t>5.2职业健康安全方针</w:t>
            </w:r>
          </w:p>
        </w:tc>
        <w:tc>
          <w:tcPr>
            <w:tcW w:w="705" w:type="dxa"/>
            <w:tcBorders>
              <w:top w:val="single" w:color="000000" w:sz="4" w:space="0"/>
              <w:left w:val="single" w:color="000000" w:sz="4" w:space="0"/>
              <w:bottom w:val="single" w:color="000000" w:sz="4" w:space="0"/>
              <w:right w:val="single" w:color="000000" w:sz="4" w:space="0"/>
            </w:tcBorders>
            <w:vAlign w:val="center"/>
          </w:tcPr>
          <w:p w14:paraId="34D64FF8">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000000" w:sz="4" w:space="0"/>
            </w:tcBorders>
            <w:vAlign w:val="center"/>
          </w:tcPr>
          <w:p w14:paraId="36C4E7C7">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000000" w:sz="4" w:space="0"/>
            </w:tcBorders>
            <w:vAlign w:val="center"/>
          </w:tcPr>
          <w:p w14:paraId="23CD1977">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auto" w:sz="4" w:space="0"/>
            </w:tcBorders>
            <w:vAlign w:val="center"/>
          </w:tcPr>
          <w:p w14:paraId="6BC0F7B2">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auto" w:sz="6" w:space="0"/>
            </w:tcBorders>
            <w:vAlign w:val="center"/>
          </w:tcPr>
          <w:p w14:paraId="32AEB98E">
            <w:pPr>
              <w:jc w:val="center"/>
            </w:pPr>
            <w:r>
              <w:rPr>
                <w:rFonts w:hint="eastAsia" w:ascii="宋体" w:hAnsi="宋体" w:cs="宋体"/>
                <w:sz w:val="18"/>
                <w:szCs w:val="18"/>
              </w:rPr>
              <w:t>△</w:t>
            </w:r>
          </w:p>
        </w:tc>
        <w:tc>
          <w:tcPr>
            <w:tcW w:w="705" w:type="dxa"/>
            <w:tcBorders>
              <w:top w:val="single" w:color="000000" w:sz="4" w:space="0"/>
              <w:left w:val="single" w:color="auto" w:sz="6" w:space="0"/>
              <w:bottom w:val="single" w:color="000000" w:sz="4" w:space="0"/>
              <w:right w:val="single" w:color="000000" w:sz="4" w:space="0"/>
            </w:tcBorders>
            <w:vAlign w:val="center"/>
          </w:tcPr>
          <w:p w14:paraId="60E04D88">
            <w:pPr>
              <w:jc w:val="center"/>
            </w:pPr>
            <w:r>
              <w:rPr>
                <w:rFonts w:hint="eastAsia" w:ascii="宋体" w:hAnsi="宋体" w:cs="宋体"/>
                <w:sz w:val="18"/>
                <w:szCs w:val="18"/>
              </w:rPr>
              <w:t>△</w:t>
            </w:r>
          </w:p>
        </w:tc>
        <w:tc>
          <w:tcPr>
            <w:tcW w:w="705" w:type="dxa"/>
            <w:tcBorders>
              <w:top w:val="single" w:color="000000" w:sz="4" w:space="0"/>
              <w:left w:val="single" w:color="auto" w:sz="6" w:space="0"/>
              <w:bottom w:val="single" w:color="000000" w:sz="4" w:space="0"/>
              <w:right w:val="single" w:color="000000" w:sz="4" w:space="0"/>
            </w:tcBorders>
            <w:vAlign w:val="center"/>
          </w:tcPr>
          <w:p w14:paraId="54A0CEFE">
            <w:pPr>
              <w:spacing w:line="360" w:lineRule="auto"/>
              <w:jc w:val="center"/>
              <w:rPr>
                <w:rFonts w:ascii="宋体" w:hAnsi="宋体" w:cs="宋体"/>
                <w:sz w:val="18"/>
                <w:szCs w:val="18"/>
              </w:rPr>
            </w:pPr>
            <w:r>
              <w:rPr>
                <w:rFonts w:hint="eastAsia" w:ascii="宋体" w:hAnsi="宋体" w:cs="宋体"/>
                <w:sz w:val="18"/>
                <w:szCs w:val="18"/>
              </w:rPr>
              <w:t>△</w:t>
            </w:r>
          </w:p>
        </w:tc>
      </w:tr>
      <w:tr w14:paraId="4D9E0D5A">
        <w:tblPrEx>
          <w:tblCellMar>
            <w:top w:w="0" w:type="dxa"/>
            <w:left w:w="0" w:type="dxa"/>
            <w:bottom w:w="0" w:type="dxa"/>
            <w:right w:w="0" w:type="dxa"/>
          </w:tblCellMar>
        </w:tblPrEx>
        <w:trPr>
          <w:trHeight w:val="504" w:hRule="exact"/>
        </w:trPr>
        <w:tc>
          <w:tcPr>
            <w:tcW w:w="2490" w:type="dxa"/>
            <w:tcBorders>
              <w:top w:val="single" w:color="000000" w:sz="4" w:space="0"/>
              <w:left w:val="single" w:color="000000" w:sz="4" w:space="0"/>
              <w:bottom w:val="single" w:color="000000" w:sz="4" w:space="0"/>
              <w:right w:val="single" w:color="000000" w:sz="4" w:space="0"/>
            </w:tcBorders>
            <w:vAlign w:val="center"/>
          </w:tcPr>
          <w:p w14:paraId="5FA36B77">
            <w:pPr>
              <w:spacing w:line="360" w:lineRule="auto"/>
              <w:rPr>
                <w:rFonts w:ascii="宋体" w:hAnsi="宋体" w:cs="宋体"/>
                <w:sz w:val="18"/>
                <w:szCs w:val="18"/>
              </w:rPr>
            </w:pPr>
            <w:r>
              <w:rPr>
                <w:rFonts w:hint="eastAsia" w:ascii="宋体" w:hAnsi="宋体" w:cs="宋体"/>
                <w:sz w:val="18"/>
                <w:szCs w:val="18"/>
              </w:rPr>
              <w:t>5.3组织的岗位、职责和权限</w:t>
            </w:r>
          </w:p>
        </w:tc>
        <w:tc>
          <w:tcPr>
            <w:tcW w:w="2714" w:type="dxa"/>
            <w:tcBorders>
              <w:top w:val="single" w:color="000000" w:sz="4" w:space="0"/>
              <w:left w:val="single" w:color="000000" w:sz="4" w:space="0"/>
              <w:bottom w:val="single" w:color="000000" w:sz="4" w:space="0"/>
              <w:right w:val="single" w:color="auto" w:sz="4" w:space="0"/>
            </w:tcBorders>
            <w:vAlign w:val="center"/>
          </w:tcPr>
          <w:p w14:paraId="435DC8CE">
            <w:pPr>
              <w:spacing w:line="360" w:lineRule="auto"/>
              <w:rPr>
                <w:rFonts w:ascii="宋体" w:hAnsi="宋体" w:cs="宋体"/>
                <w:sz w:val="18"/>
                <w:szCs w:val="18"/>
              </w:rPr>
            </w:pPr>
            <w:r>
              <w:rPr>
                <w:rFonts w:hint="eastAsia" w:ascii="宋体" w:hAnsi="宋体" w:cs="宋体"/>
                <w:sz w:val="18"/>
                <w:szCs w:val="18"/>
              </w:rPr>
              <w:t>5.3组织的岗位、职责和权限</w:t>
            </w:r>
          </w:p>
        </w:tc>
        <w:tc>
          <w:tcPr>
            <w:tcW w:w="3275" w:type="dxa"/>
            <w:tcBorders>
              <w:top w:val="single" w:color="000000" w:sz="4" w:space="0"/>
              <w:left w:val="single" w:color="000000" w:sz="4" w:space="0"/>
              <w:bottom w:val="single" w:color="000000" w:sz="4" w:space="0"/>
              <w:right w:val="single" w:color="auto" w:sz="4" w:space="0"/>
            </w:tcBorders>
            <w:vAlign w:val="center"/>
          </w:tcPr>
          <w:p w14:paraId="2BFB3AEA">
            <w:pPr>
              <w:spacing w:line="360" w:lineRule="auto"/>
              <w:rPr>
                <w:rFonts w:ascii="宋体" w:hAnsi="宋体" w:cs="宋体"/>
                <w:sz w:val="18"/>
                <w:szCs w:val="18"/>
              </w:rPr>
            </w:pPr>
            <w:r>
              <w:rPr>
                <w:rFonts w:hint="eastAsia" w:ascii="宋体" w:hAnsi="宋体" w:cs="宋体"/>
                <w:sz w:val="18"/>
                <w:szCs w:val="18"/>
              </w:rPr>
              <w:t>5.3组织的角色、职责和权限</w:t>
            </w:r>
          </w:p>
        </w:tc>
        <w:tc>
          <w:tcPr>
            <w:tcW w:w="705" w:type="dxa"/>
            <w:tcBorders>
              <w:top w:val="single" w:color="000000" w:sz="4" w:space="0"/>
              <w:left w:val="single" w:color="000000" w:sz="4" w:space="0"/>
              <w:bottom w:val="single" w:color="000000" w:sz="4" w:space="0"/>
              <w:right w:val="single" w:color="000000" w:sz="4" w:space="0"/>
            </w:tcBorders>
            <w:vAlign w:val="center"/>
          </w:tcPr>
          <w:p w14:paraId="7A013AC2">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000000" w:sz="4" w:space="0"/>
            </w:tcBorders>
            <w:vAlign w:val="center"/>
          </w:tcPr>
          <w:p w14:paraId="125CCF95">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000000" w:sz="4" w:space="0"/>
            </w:tcBorders>
            <w:vAlign w:val="center"/>
          </w:tcPr>
          <w:p w14:paraId="047324D7">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auto" w:sz="4" w:space="0"/>
            </w:tcBorders>
            <w:vAlign w:val="center"/>
          </w:tcPr>
          <w:p w14:paraId="05D1A184">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auto" w:sz="6" w:space="0"/>
            </w:tcBorders>
            <w:vAlign w:val="center"/>
          </w:tcPr>
          <w:p w14:paraId="4E6A682C">
            <w:pPr>
              <w:jc w:val="center"/>
            </w:pPr>
            <w:r>
              <w:rPr>
                <w:rFonts w:hint="eastAsia" w:ascii="宋体" w:hAnsi="宋体" w:cs="宋体"/>
                <w:sz w:val="18"/>
                <w:szCs w:val="18"/>
              </w:rPr>
              <w:t>△</w:t>
            </w:r>
          </w:p>
        </w:tc>
        <w:tc>
          <w:tcPr>
            <w:tcW w:w="705" w:type="dxa"/>
            <w:tcBorders>
              <w:top w:val="single" w:color="000000" w:sz="4" w:space="0"/>
              <w:left w:val="single" w:color="auto" w:sz="6" w:space="0"/>
              <w:bottom w:val="single" w:color="000000" w:sz="4" w:space="0"/>
              <w:right w:val="single" w:color="000000" w:sz="4" w:space="0"/>
            </w:tcBorders>
            <w:vAlign w:val="center"/>
          </w:tcPr>
          <w:p w14:paraId="5FBDB130">
            <w:pPr>
              <w:jc w:val="center"/>
            </w:pPr>
            <w:r>
              <w:rPr>
                <w:rFonts w:hint="eastAsia" w:ascii="宋体" w:hAnsi="宋体" w:cs="宋体"/>
                <w:sz w:val="18"/>
                <w:szCs w:val="18"/>
              </w:rPr>
              <w:t>△</w:t>
            </w:r>
          </w:p>
        </w:tc>
        <w:tc>
          <w:tcPr>
            <w:tcW w:w="705" w:type="dxa"/>
            <w:tcBorders>
              <w:top w:val="single" w:color="000000" w:sz="4" w:space="0"/>
              <w:left w:val="single" w:color="auto" w:sz="6" w:space="0"/>
              <w:bottom w:val="single" w:color="000000" w:sz="4" w:space="0"/>
              <w:right w:val="single" w:color="000000" w:sz="4" w:space="0"/>
            </w:tcBorders>
            <w:vAlign w:val="center"/>
          </w:tcPr>
          <w:p w14:paraId="51E2DA35">
            <w:pPr>
              <w:spacing w:line="360" w:lineRule="auto"/>
              <w:jc w:val="center"/>
              <w:rPr>
                <w:rFonts w:ascii="宋体" w:hAnsi="宋体" w:cs="宋体"/>
                <w:sz w:val="18"/>
                <w:szCs w:val="18"/>
              </w:rPr>
            </w:pPr>
            <w:r>
              <w:rPr>
                <w:rFonts w:hint="eastAsia" w:ascii="宋体" w:hAnsi="宋体" w:cs="宋体"/>
                <w:sz w:val="18"/>
                <w:szCs w:val="18"/>
              </w:rPr>
              <w:t>△</w:t>
            </w:r>
          </w:p>
        </w:tc>
      </w:tr>
      <w:tr w14:paraId="35443744">
        <w:tblPrEx>
          <w:tblCellMar>
            <w:top w:w="0" w:type="dxa"/>
            <w:left w:w="0" w:type="dxa"/>
            <w:bottom w:w="0" w:type="dxa"/>
            <w:right w:w="0" w:type="dxa"/>
          </w:tblCellMar>
        </w:tblPrEx>
        <w:trPr>
          <w:trHeight w:val="504" w:hRule="exact"/>
        </w:trPr>
        <w:tc>
          <w:tcPr>
            <w:tcW w:w="2490" w:type="dxa"/>
            <w:tcBorders>
              <w:top w:val="single" w:color="000000" w:sz="4" w:space="0"/>
              <w:left w:val="single" w:color="000000" w:sz="4" w:space="0"/>
              <w:bottom w:val="single" w:color="000000" w:sz="4" w:space="0"/>
              <w:right w:val="single" w:color="000000" w:sz="4" w:space="0"/>
            </w:tcBorders>
            <w:vAlign w:val="center"/>
          </w:tcPr>
          <w:p w14:paraId="2B6A19CF">
            <w:pPr>
              <w:spacing w:line="360" w:lineRule="auto"/>
              <w:rPr>
                <w:rFonts w:ascii="宋体" w:hAnsi="宋体" w:cs="宋体"/>
                <w:sz w:val="18"/>
                <w:szCs w:val="18"/>
              </w:rPr>
            </w:pPr>
          </w:p>
        </w:tc>
        <w:tc>
          <w:tcPr>
            <w:tcW w:w="2714" w:type="dxa"/>
            <w:tcBorders>
              <w:top w:val="single" w:color="000000" w:sz="4" w:space="0"/>
              <w:left w:val="single" w:color="000000" w:sz="4" w:space="0"/>
              <w:bottom w:val="single" w:color="000000" w:sz="4" w:space="0"/>
              <w:right w:val="single" w:color="auto" w:sz="4" w:space="0"/>
            </w:tcBorders>
            <w:vAlign w:val="center"/>
          </w:tcPr>
          <w:p w14:paraId="684999FD">
            <w:pPr>
              <w:spacing w:line="360" w:lineRule="auto"/>
              <w:rPr>
                <w:rFonts w:ascii="宋体" w:hAnsi="宋体" w:cs="宋体"/>
                <w:sz w:val="18"/>
                <w:szCs w:val="18"/>
              </w:rPr>
            </w:pPr>
          </w:p>
        </w:tc>
        <w:tc>
          <w:tcPr>
            <w:tcW w:w="3275" w:type="dxa"/>
            <w:tcBorders>
              <w:top w:val="single" w:color="000000" w:sz="4" w:space="0"/>
              <w:left w:val="single" w:color="000000" w:sz="4" w:space="0"/>
              <w:bottom w:val="single" w:color="000000" w:sz="4" w:space="0"/>
              <w:right w:val="single" w:color="auto" w:sz="4" w:space="0"/>
            </w:tcBorders>
            <w:vAlign w:val="center"/>
          </w:tcPr>
          <w:p w14:paraId="33E1323C">
            <w:pPr>
              <w:spacing w:line="360" w:lineRule="auto"/>
              <w:rPr>
                <w:rFonts w:ascii="宋体" w:hAnsi="宋体" w:cs="宋体"/>
                <w:sz w:val="18"/>
                <w:szCs w:val="18"/>
              </w:rPr>
            </w:pPr>
            <w:r>
              <w:rPr>
                <w:rFonts w:hint="eastAsia" w:ascii="宋体" w:hAnsi="宋体" w:cs="宋体"/>
                <w:sz w:val="18"/>
                <w:szCs w:val="18"/>
              </w:rPr>
              <w:t>5</w:t>
            </w:r>
            <w:r>
              <w:rPr>
                <w:rFonts w:ascii="宋体" w:hAnsi="宋体" w:cs="宋体"/>
                <w:sz w:val="18"/>
                <w:szCs w:val="18"/>
              </w:rPr>
              <w:t>.4工作人员的协商和参与</w:t>
            </w:r>
          </w:p>
        </w:tc>
        <w:tc>
          <w:tcPr>
            <w:tcW w:w="705" w:type="dxa"/>
            <w:tcBorders>
              <w:top w:val="single" w:color="000000" w:sz="4" w:space="0"/>
              <w:left w:val="single" w:color="000000" w:sz="4" w:space="0"/>
              <w:bottom w:val="single" w:color="000000" w:sz="4" w:space="0"/>
              <w:right w:val="single" w:color="000000" w:sz="4" w:space="0"/>
            </w:tcBorders>
            <w:vAlign w:val="center"/>
          </w:tcPr>
          <w:p w14:paraId="02274307">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000000" w:sz="4" w:space="0"/>
            </w:tcBorders>
            <w:vAlign w:val="center"/>
          </w:tcPr>
          <w:p w14:paraId="0BF8416B">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000000" w:sz="4" w:space="0"/>
            </w:tcBorders>
            <w:vAlign w:val="center"/>
          </w:tcPr>
          <w:p w14:paraId="448C3930">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auto" w:sz="4" w:space="0"/>
            </w:tcBorders>
            <w:vAlign w:val="center"/>
          </w:tcPr>
          <w:p w14:paraId="609E2553">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auto" w:sz="6" w:space="0"/>
            </w:tcBorders>
            <w:vAlign w:val="center"/>
          </w:tcPr>
          <w:p w14:paraId="6C35A1B3">
            <w:pPr>
              <w:jc w:val="center"/>
            </w:pPr>
            <w:r>
              <w:rPr>
                <w:rFonts w:hint="eastAsia" w:ascii="宋体" w:hAnsi="宋体" w:cs="宋体"/>
                <w:sz w:val="18"/>
                <w:szCs w:val="18"/>
              </w:rPr>
              <w:t>△</w:t>
            </w:r>
          </w:p>
        </w:tc>
        <w:tc>
          <w:tcPr>
            <w:tcW w:w="705" w:type="dxa"/>
            <w:tcBorders>
              <w:top w:val="single" w:color="000000" w:sz="4" w:space="0"/>
              <w:left w:val="single" w:color="auto" w:sz="6" w:space="0"/>
              <w:bottom w:val="single" w:color="000000" w:sz="4" w:space="0"/>
              <w:right w:val="single" w:color="000000" w:sz="4" w:space="0"/>
            </w:tcBorders>
            <w:vAlign w:val="center"/>
          </w:tcPr>
          <w:p w14:paraId="49EBCBD5">
            <w:pPr>
              <w:jc w:val="center"/>
            </w:pPr>
            <w:r>
              <w:rPr>
                <w:rFonts w:hint="eastAsia" w:ascii="宋体" w:hAnsi="宋体" w:cs="宋体"/>
                <w:sz w:val="18"/>
                <w:szCs w:val="18"/>
              </w:rPr>
              <w:t>△</w:t>
            </w:r>
          </w:p>
        </w:tc>
        <w:tc>
          <w:tcPr>
            <w:tcW w:w="705" w:type="dxa"/>
            <w:tcBorders>
              <w:top w:val="single" w:color="000000" w:sz="4" w:space="0"/>
              <w:left w:val="single" w:color="auto" w:sz="6" w:space="0"/>
              <w:bottom w:val="single" w:color="000000" w:sz="4" w:space="0"/>
              <w:right w:val="single" w:color="000000" w:sz="4" w:space="0"/>
            </w:tcBorders>
            <w:vAlign w:val="center"/>
          </w:tcPr>
          <w:p w14:paraId="1E977518">
            <w:pPr>
              <w:spacing w:line="360" w:lineRule="auto"/>
              <w:jc w:val="center"/>
              <w:rPr>
                <w:rFonts w:ascii="宋体" w:hAnsi="宋体" w:cs="宋体"/>
                <w:sz w:val="18"/>
                <w:szCs w:val="18"/>
              </w:rPr>
            </w:pPr>
            <w:r>
              <w:rPr>
                <w:rFonts w:hint="eastAsia" w:ascii="宋体" w:hAnsi="宋体" w:cs="宋体"/>
                <w:sz w:val="18"/>
                <w:szCs w:val="18"/>
              </w:rPr>
              <w:t>△</w:t>
            </w:r>
          </w:p>
        </w:tc>
      </w:tr>
      <w:tr w14:paraId="1DCAF612">
        <w:tblPrEx>
          <w:tblCellMar>
            <w:top w:w="0" w:type="dxa"/>
            <w:left w:w="0" w:type="dxa"/>
            <w:bottom w:w="0" w:type="dxa"/>
            <w:right w:w="0" w:type="dxa"/>
          </w:tblCellMar>
        </w:tblPrEx>
        <w:trPr>
          <w:trHeight w:val="504" w:hRule="exact"/>
        </w:trPr>
        <w:tc>
          <w:tcPr>
            <w:tcW w:w="2490" w:type="dxa"/>
            <w:tcBorders>
              <w:top w:val="single" w:color="000000" w:sz="4" w:space="0"/>
              <w:left w:val="single" w:color="000000" w:sz="4" w:space="0"/>
              <w:bottom w:val="single" w:color="000000" w:sz="4" w:space="0"/>
              <w:right w:val="single" w:color="000000" w:sz="4" w:space="0"/>
            </w:tcBorders>
            <w:vAlign w:val="center"/>
          </w:tcPr>
          <w:p w14:paraId="77101A09">
            <w:pPr>
              <w:spacing w:line="360" w:lineRule="auto"/>
              <w:rPr>
                <w:rFonts w:ascii="宋体" w:hAnsi="宋体" w:cs="宋体"/>
                <w:sz w:val="18"/>
                <w:szCs w:val="18"/>
              </w:rPr>
            </w:pPr>
            <w:r>
              <w:rPr>
                <w:rFonts w:hint="eastAsia" w:ascii="宋体" w:hAnsi="宋体" w:cs="宋体"/>
                <w:sz w:val="18"/>
                <w:szCs w:val="18"/>
              </w:rPr>
              <w:t>6.1应对风险和机遇的措施</w:t>
            </w:r>
          </w:p>
        </w:tc>
        <w:tc>
          <w:tcPr>
            <w:tcW w:w="2714" w:type="dxa"/>
            <w:tcBorders>
              <w:top w:val="single" w:color="000000" w:sz="4" w:space="0"/>
              <w:left w:val="single" w:color="000000" w:sz="4" w:space="0"/>
              <w:bottom w:val="single" w:color="000000" w:sz="4" w:space="0"/>
              <w:right w:val="single" w:color="auto" w:sz="4" w:space="0"/>
            </w:tcBorders>
            <w:vAlign w:val="center"/>
          </w:tcPr>
          <w:p w14:paraId="408507D1">
            <w:pPr>
              <w:spacing w:line="360" w:lineRule="auto"/>
              <w:rPr>
                <w:rFonts w:ascii="宋体" w:hAnsi="宋体" w:cs="宋体"/>
                <w:sz w:val="18"/>
                <w:szCs w:val="18"/>
              </w:rPr>
            </w:pPr>
            <w:r>
              <w:rPr>
                <w:rFonts w:hint="eastAsia" w:ascii="宋体" w:hAnsi="宋体" w:cs="宋体"/>
                <w:sz w:val="18"/>
                <w:szCs w:val="18"/>
              </w:rPr>
              <w:t>6.1总则</w:t>
            </w:r>
          </w:p>
        </w:tc>
        <w:tc>
          <w:tcPr>
            <w:tcW w:w="3275" w:type="dxa"/>
            <w:tcBorders>
              <w:top w:val="single" w:color="000000" w:sz="4" w:space="0"/>
              <w:left w:val="single" w:color="000000" w:sz="4" w:space="0"/>
              <w:bottom w:val="single" w:color="000000" w:sz="4" w:space="0"/>
              <w:right w:val="single" w:color="auto" w:sz="4" w:space="0"/>
            </w:tcBorders>
            <w:vAlign w:val="center"/>
          </w:tcPr>
          <w:p w14:paraId="13899A29">
            <w:pPr>
              <w:spacing w:line="360" w:lineRule="auto"/>
              <w:rPr>
                <w:rFonts w:ascii="宋体" w:hAnsi="宋体" w:cs="宋体"/>
                <w:sz w:val="18"/>
                <w:szCs w:val="18"/>
              </w:rPr>
            </w:pPr>
            <w:r>
              <w:rPr>
                <w:rFonts w:hint="eastAsia" w:ascii="宋体" w:hAnsi="宋体" w:cs="宋体"/>
                <w:sz w:val="18"/>
                <w:szCs w:val="18"/>
              </w:rPr>
              <w:t>6.1总则</w:t>
            </w:r>
          </w:p>
        </w:tc>
        <w:tc>
          <w:tcPr>
            <w:tcW w:w="705" w:type="dxa"/>
            <w:tcBorders>
              <w:top w:val="single" w:color="000000" w:sz="4" w:space="0"/>
              <w:left w:val="single" w:color="000000" w:sz="4" w:space="0"/>
              <w:bottom w:val="single" w:color="000000" w:sz="4" w:space="0"/>
              <w:right w:val="single" w:color="000000" w:sz="4" w:space="0"/>
            </w:tcBorders>
            <w:vAlign w:val="center"/>
          </w:tcPr>
          <w:p w14:paraId="461CBD52">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000000" w:sz="4" w:space="0"/>
            </w:tcBorders>
            <w:vAlign w:val="center"/>
          </w:tcPr>
          <w:p w14:paraId="39C15D86">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000000" w:sz="4" w:space="0"/>
            </w:tcBorders>
            <w:vAlign w:val="center"/>
          </w:tcPr>
          <w:p w14:paraId="1377EE38">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auto" w:sz="4" w:space="0"/>
            </w:tcBorders>
            <w:vAlign w:val="center"/>
          </w:tcPr>
          <w:p w14:paraId="18049A3F">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auto" w:sz="6" w:space="0"/>
            </w:tcBorders>
            <w:vAlign w:val="center"/>
          </w:tcPr>
          <w:p w14:paraId="6D972B43">
            <w:pPr>
              <w:jc w:val="center"/>
            </w:pPr>
            <w:r>
              <w:rPr>
                <w:rFonts w:hint="eastAsia" w:ascii="宋体" w:hAnsi="宋体" w:cs="宋体"/>
                <w:sz w:val="18"/>
                <w:szCs w:val="18"/>
              </w:rPr>
              <w:t>△</w:t>
            </w:r>
          </w:p>
        </w:tc>
        <w:tc>
          <w:tcPr>
            <w:tcW w:w="705" w:type="dxa"/>
            <w:tcBorders>
              <w:top w:val="single" w:color="000000" w:sz="4" w:space="0"/>
              <w:left w:val="single" w:color="auto" w:sz="6" w:space="0"/>
              <w:bottom w:val="single" w:color="000000" w:sz="4" w:space="0"/>
              <w:right w:val="single" w:color="000000" w:sz="4" w:space="0"/>
            </w:tcBorders>
            <w:vAlign w:val="center"/>
          </w:tcPr>
          <w:p w14:paraId="2738B2DA">
            <w:pPr>
              <w:jc w:val="center"/>
            </w:pPr>
            <w:r>
              <w:rPr>
                <w:rFonts w:hint="eastAsia" w:ascii="宋体" w:hAnsi="宋体" w:cs="宋体"/>
                <w:sz w:val="18"/>
                <w:szCs w:val="18"/>
              </w:rPr>
              <w:t>△</w:t>
            </w:r>
          </w:p>
        </w:tc>
        <w:tc>
          <w:tcPr>
            <w:tcW w:w="705" w:type="dxa"/>
            <w:tcBorders>
              <w:top w:val="single" w:color="000000" w:sz="4" w:space="0"/>
              <w:left w:val="single" w:color="auto" w:sz="6" w:space="0"/>
              <w:bottom w:val="single" w:color="000000" w:sz="4" w:space="0"/>
              <w:right w:val="single" w:color="000000" w:sz="4" w:space="0"/>
            </w:tcBorders>
            <w:vAlign w:val="center"/>
          </w:tcPr>
          <w:p w14:paraId="3EB689DE">
            <w:pPr>
              <w:spacing w:line="360" w:lineRule="auto"/>
              <w:jc w:val="center"/>
              <w:rPr>
                <w:rFonts w:ascii="宋体" w:hAnsi="宋体" w:cs="宋体"/>
                <w:sz w:val="18"/>
                <w:szCs w:val="18"/>
              </w:rPr>
            </w:pPr>
            <w:r>
              <w:rPr>
                <w:rFonts w:hint="eastAsia" w:ascii="宋体" w:hAnsi="宋体" w:cs="宋体"/>
                <w:sz w:val="18"/>
                <w:szCs w:val="18"/>
              </w:rPr>
              <w:t>△</w:t>
            </w:r>
          </w:p>
        </w:tc>
      </w:tr>
      <w:tr w14:paraId="6FC35C85">
        <w:tblPrEx>
          <w:tblCellMar>
            <w:top w:w="0" w:type="dxa"/>
            <w:left w:w="0" w:type="dxa"/>
            <w:bottom w:w="0" w:type="dxa"/>
            <w:right w:w="0" w:type="dxa"/>
          </w:tblCellMar>
        </w:tblPrEx>
        <w:trPr>
          <w:trHeight w:val="504" w:hRule="exact"/>
        </w:trPr>
        <w:tc>
          <w:tcPr>
            <w:tcW w:w="2490" w:type="dxa"/>
            <w:tcBorders>
              <w:top w:val="single" w:color="000000" w:sz="4" w:space="0"/>
              <w:left w:val="single" w:color="000000" w:sz="4" w:space="0"/>
              <w:bottom w:val="single" w:color="000000" w:sz="4" w:space="0"/>
              <w:right w:val="single" w:color="000000" w:sz="4" w:space="0"/>
            </w:tcBorders>
            <w:vAlign w:val="center"/>
          </w:tcPr>
          <w:p w14:paraId="0B63A676">
            <w:pPr>
              <w:spacing w:line="360" w:lineRule="auto"/>
              <w:rPr>
                <w:rFonts w:ascii="宋体" w:hAnsi="宋体" w:cs="宋体"/>
                <w:sz w:val="18"/>
                <w:szCs w:val="18"/>
              </w:rPr>
            </w:pPr>
          </w:p>
        </w:tc>
        <w:tc>
          <w:tcPr>
            <w:tcW w:w="2714" w:type="dxa"/>
            <w:tcBorders>
              <w:top w:val="single" w:color="000000" w:sz="4" w:space="0"/>
              <w:left w:val="single" w:color="000000" w:sz="4" w:space="0"/>
              <w:bottom w:val="single" w:color="000000" w:sz="4" w:space="0"/>
              <w:right w:val="single" w:color="auto" w:sz="4" w:space="0"/>
            </w:tcBorders>
            <w:vAlign w:val="center"/>
          </w:tcPr>
          <w:p w14:paraId="19FF2A65">
            <w:pPr>
              <w:spacing w:line="360" w:lineRule="auto"/>
              <w:rPr>
                <w:rFonts w:ascii="宋体" w:hAnsi="宋体" w:cs="宋体"/>
                <w:sz w:val="18"/>
                <w:szCs w:val="18"/>
              </w:rPr>
            </w:pPr>
            <w:r>
              <w:rPr>
                <w:rFonts w:hint="eastAsia" w:ascii="宋体" w:hAnsi="宋体" w:cs="宋体"/>
                <w:sz w:val="18"/>
                <w:szCs w:val="18"/>
              </w:rPr>
              <w:t>6.1.2环境因素</w:t>
            </w:r>
          </w:p>
        </w:tc>
        <w:tc>
          <w:tcPr>
            <w:tcW w:w="3275" w:type="dxa"/>
            <w:tcBorders>
              <w:top w:val="single" w:color="000000" w:sz="4" w:space="0"/>
              <w:left w:val="single" w:color="000000" w:sz="4" w:space="0"/>
              <w:bottom w:val="single" w:color="000000" w:sz="4" w:space="0"/>
              <w:right w:val="single" w:color="auto" w:sz="4" w:space="0"/>
            </w:tcBorders>
            <w:vAlign w:val="center"/>
          </w:tcPr>
          <w:p w14:paraId="7BF04C91">
            <w:pPr>
              <w:spacing w:line="360" w:lineRule="auto"/>
              <w:rPr>
                <w:rFonts w:ascii="宋体" w:hAnsi="宋体" w:cs="宋体"/>
                <w:sz w:val="18"/>
                <w:szCs w:val="18"/>
              </w:rPr>
            </w:pPr>
            <w:r>
              <w:rPr>
                <w:rFonts w:hint="eastAsia" w:ascii="宋体" w:hAnsi="宋体" w:cs="宋体"/>
                <w:sz w:val="18"/>
                <w:szCs w:val="18"/>
              </w:rPr>
              <w:t>6.1.2危险源辨识及风险与机遇的的评价</w:t>
            </w:r>
          </w:p>
        </w:tc>
        <w:tc>
          <w:tcPr>
            <w:tcW w:w="705" w:type="dxa"/>
            <w:tcBorders>
              <w:top w:val="single" w:color="000000" w:sz="4" w:space="0"/>
              <w:left w:val="single" w:color="000000" w:sz="4" w:space="0"/>
              <w:bottom w:val="single" w:color="000000" w:sz="4" w:space="0"/>
              <w:right w:val="single" w:color="000000" w:sz="4" w:space="0"/>
            </w:tcBorders>
            <w:vAlign w:val="center"/>
          </w:tcPr>
          <w:p w14:paraId="7B2970EA">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000000" w:sz="4" w:space="0"/>
            </w:tcBorders>
            <w:vAlign w:val="center"/>
          </w:tcPr>
          <w:p w14:paraId="08A20848">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000000" w:sz="4" w:space="0"/>
            </w:tcBorders>
            <w:vAlign w:val="center"/>
          </w:tcPr>
          <w:p w14:paraId="42531B7C">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auto" w:sz="4" w:space="0"/>
            </w:tcBorders>
            <w:vAlign w:val="center"/>
          </w:tcPr>
          <w:p w14:paraId="7036A153">
            <w:pPr>
              <w:jc w:val="cente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auto" w:sz="6" w:space="0"/>
            </w:tcBorders>
            <w:vAlign w:val="center"/>
          </w:tcPr>
          <w:p w14:paraId="5431813C">
            <w:pPr>
              <w:jc w:val="center"/>
            </w:pPr>
            <w:r>
              <w:rPr>
                <w:rFonts w:hint="eastAsia" w:ascii="宋体" w:hAnsi="宋体" w:cs="宋体"/>
                <w:sz w:val="18"/>
                <w:szCs w:val="18"/>
              </w:rPr>
              <w:t>★</w:t>
            </w:r>
          </w:p>
        </w:tc>
        <w:tc>
          <w:tcPr>
            <w:tcW w:w="705" w:type="dxa"/>
            <w:tcBorders>
              <w:top w:val="single" w:color="000000" w:sz="4" w:space="0"/>
              <w:left w:val="single" w:color="auto" w:sz="6" w:space="0"/>
              <w:bottom w:val="single" w:color="000000" w:sz="4" w:space="0"/>
              <w:right w:val="single" w:color="000000" w:sz="4" w:space="0"/>
            </w:tcBorders>
            <w:vAlign w:val="center"/>
          </w:tcPr>
          <w:p w14:paraId="50AB815E">
            <w:pPr>
              <w:jc w:val="center"/>
            </w:pPr>
            <w:r>
              <w:rPr>
                <w:rFonts w:hint="eastAsia" w:ascii="宋体" w:hAnsi="宋体" w:cs="宋体"/>
                <w:sz w:val="18"/>
                <w:szCs w:val="18"/>
              </w:rPr>
              <w:t>★</w:t>
            </w:r>
          </w:p>
        </w:tc>
        <w:tc>
          <w:tcPr>
            <w:tcW w:w="705" w:type="dxa"/>
            <w:tcBorders>
              <w:top w:val="single" w:color="000000" w:sz="4" w:space="0"/>
              <w:left w:val="single" w:color="auto" w:sz="6" w:space="0"/>
              <w:bottom w:val="single" w:color="000000" w:sz="4" w:space="0"/>
              <w:right w:val="single" w:color="000000" w:sz="4" w:space="0"/>
            </w:tcBorders>
            <w:vAlign w:val="center"/>
          </w:tcPr>
          <w:p w14:paraId="438FC5EE">
            <w:pPr>
              <w:spacing w:line="360" w:lineRule="auto"/>
              <w:jc w:val="center"/>
              <w:rPr>
                <w:rFonts w:ascii="宋体" w:hAnsi="宋体" w:cs="宋体"/>
                <w:sz w:val="18"/>
                <w:szCs w:val="18"/>
              </w:rPr>
            </w:pPr>
            <w:r>
              <w:rPr>
                <w:rFonts w:hint="eastAsia" w:ascii="宋体" w:hAnsi="宋体" w:cs="宋体"/>
                <w:sz w:val="18"/>
                <w:szCs w:val="18"/>
              </w:rPr>
              <w:t>★</w:t>
            </w:r>
          </w:p>
        </w:tc>
      </w:tr>
      <w:tr w14:paraId="49CE7FC3">
        <w:tblPrEx>
          <w:tblCellMar>
            <w:top w:w="0" w:type="dxa"/>
            <w:left w:w="0" w:type="dxa"/>
            <w:bottom w:w="0" w:type="dxa"/>
            <w:right w:w="0" w:type="dxa"/>
          </w:tblCellMar>
        </w:tblPrEx>
        <w:trPr>
          <w:trHeight w:val="504" w:hRule="exact"/>
        </w:trPr>
        <w:tc>
          <w:tcPr>
            <w:tcW w:w="2490" w:type="dxa"/>
            <w:tcBorders>
              <w:top w:val="single" w:color="000000" w:sz="4" w:space="0"/>
              <w:left w:val="single" w:color="000000" w:sz="4" w:space="0"/>
              <w:bottom w:val="single" w:color="000000" w:sz="4" w:space="0"/>
              <w:right w:val="single" w:color="000000" w:sz="4" w:space="0"/>
            </w:tcBorders>
            <w:vAlign w:val="center"/>
          </w:tcPr>
          <w:p w14:paraId="14D98393">
            <w:pPr>
              <w:spacing w:line="360" w:lineRule="auto"/>
              <w:rPr>
                <w:rFonts w:ascii="宋体" w:hAnsi="宋体" w:cs="宋体"/>
                <w:sz w:val="18"/>
                <w:szCs w:val="18"/>
              </w:rPr>
            </w:pPr>
          </w:p>
        </w:tc>
        <w:tc>
          <w:tcPr>
            <w:tcW w:w="2714" w:type="dxa"/>
            <w:tcBorders>
              <w:top w:val="single" w:color="000000" w:sz="4" w:space="0"/>
              <w:left w:val="single" w:color="000000" w:sz="4" w:space="0"/>
              <w:bottom w:val="single" w:color="000000" w:sz="4" w:space="0"/>
              <w:right w:val="single" w:color="auto" w:sz="4" w:space="0"/>
            </w:tcBorders>
            <w:vAlign w:val="center"/>
          </w:tcPr>
          <w:p w14:paraId="5FA848E2">
            <w:pPr>
              <w:spacing w:line="360" w:lineRule="auto"/>
              <w:rPr>
                <w:rFonts w:ascii="宋体" w:hAnsi="宋体" w:cs="宋体"/>
                <w:sz w:val="18"/>
                <w:szCs w:val="18"/>
              </w:rPr>
            </w:pPr>
            <w:r>
              <w:rPr>
                <w:rFonts w:hint="eastAsia" w:ascii="宋体" w:hAnsi="宋体" w:cs="宋体"/>
                <w:sz w:val="18"/>
                <w:szCs w:val="18"/>
              </w:rPr>
              <w:t>6.1.3合规义务</w:t>
            </w:r>
          </w:p>
        </w:tc>
        <w:tc>
          <w:tcPr>
            <w:tcW w:w="3275" w:type="dxa"/>
            <w:tcBorders>
              <w:top w:val="single" w:color="000000" w:sz="4" w:space="0"/>
              <w:left w:val="single" w:color="000000" w:sz="4" w:space="0"/>
              <w:bottom w:val="single" w:color="000000" w:sz="4" w:space="0"/>
              <w:right w:val="single" w:color="auto" w:sz="4" w:space="0"/>
            </w:tcBorders>
            <w:vAlign w:val="center"/>
          </w:tcPr>
          <w:p w14:paraId="582A0BED">
            <w:pPr>
              <w:spacing w:line="360" w:lineRule="auto"/>
              <w:rPr>
                <w:rFonts w:ascii="宋体" w:hAnsi="宋体" w:cs="宋体"/>
                <w:sz w:val="18"/>
                <w:szCs w:val="18"/>
              </w:rPr>
            </w:pPr>
            <w:r>
              <w:rPr>
                <w:rFonts w:hint="eastAsia" w:ascii="宋体" w:hAnsi="宋体" w:cs="宋体"/>
                <w:sz w:val="18"/>
                <w:szCs w:val="18"/>
              </w:rPr>
              <w:t>6.1.3法律法规和其他要求的确定</w:t>
            </w:r>
          </w:p>
        </w:tc>
        <w:tc>
          <w:tcPr>
            <w:tcW w:w="705" w:type="dxa"/>
            <w:tcBorders>
              <w:top w:val="single" w:color="000000" w:sz="4" w:space="0"/>
              <w:left w:val="single" w:color="000000" w:sz="4" w:space="0"/>
              <w:bottom w:val="single" w:color="000000" w:sz="4" w:space="0"/>
              <w:right w:val="single" w:color="000000" w:sz="4" w:space="0"/>
            </w:tcBorders>
            <w:vAlign w:val="center"/>
          </w:tcPr>
          <w:p w14:paraId="0C0DBC6D">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000000" w:sz="4" w:space="0"/>
            </w:tcBorders>
            <w:vAlign w:val="center"/>
          </w:tcPr>
          <w:p w14:paraId="3792B463">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000000" w:sz="4" w:space="0"/>
            </w:tcBorders>
            <w:vAlign w:val="center"/>
          </w:tcPr>
          <w:p w14:paraId="4CACAFB3">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auto" w:sz="4" w:space="0"/>
            </w:tcBorders>
            <w:vAlign w:val="center"/>
          </w:tcPr>
          <w:p w14:paraId="76692FBF">
            <w:pPr>
              <w:jc w:val="cente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auto" w:sz="6" w:space="0"/>
            </w:tcBorders>
            <w:vAlign w:val="center"/>
          </w:tcPr>
          <w:p w14:paraId="7C81F991">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auto" w:sz="6" w:space="0"/>
              <w:bottom w:val="single" w:color="000000" w:sz="4" w:space="0"/>
              <w:right w:val="single" w:color="000000" w:sz="4" w:space="0"/>
            </w:tcBorders>
            <w:vAlign w:val="center"/>
          </w:tcPr>
          <w:p w14:paraId="48810C98">
            <w:pPr>
              <w:jc w:val="center"/>
            </w:pPr>
            <w:r>
              <w:rPr>
                <w:rFonts w:hint="eastAsia" w:ascii="宋体" w:hAnsi="宋体" w:cs="宋体"/>
                <w:sz w:val="18"/>
                <w:szCs w:val="18"/>
              </w:rPr>
              <w:t>△</w:t>
            </w:r>
          </w:p>
        </w:tc>
        <w:tc>
          <w:tcPr>
            <w:tcW w:w="705" w:type="dxa"/>
            <w:tcBorders>
              <w:top w:val="single" w:color="000000" w:sz="4" w:space="0"/>
              <w:left w:val="single" w:color="auto" w:sz="6" w:space="0"/>
              <w:bottom w:val="single" w:color="000000" w:sz="4" w:space="0"/>
              <w:right w:val="single" w:color="000000" w:sz="4" w:space="0"/>
            </w:tcBorders>
            <w:vAlign w:val="center"/>
          </w:tcPr>
          <w:p w14:paraId="10DBCB18">
            <w:pPr>
              <w:spacing w:line="360" w:lineRule="auto"/>
              <w:jc w:val="center"/>
              <w:rPr>
                <w:rFonts w:ascii="宋体" w:hAnsi="宋体" w:cs="宋体"/>
                <w:sz w:val="18"/>
                <w:szCs w:val="18"/>
              </w:rPr>
            </w:pPr>
            <w:r>
              <w:rPr>
                <w:rFonts w:hint="eastAsia" w:ascii="宋体" w:hAnsi="宋体" w:cs="宋体"/>
                <w:sz w:val="18"/>
                <w:szCs w:val="18"/>
              </w:rPr>
              <w:t>△</w:t>
            </w:r>
          </w:p>
        </w:tc>
      </w:tr>
      <w:tr w14:paraId="1CAA3191">
        <w:tblPrEx>
          <w:tblCellMar>
            <w:top w:w="0" w:type="dxa"/>
            <w:left w:w="0" w:type="dxa"/>
            <w:bottom w:w="0" w:type="dxa"/>
            <w:right w:w="0" w:type="dxa"/>
          </w:tblCellMar>
        </w:tblPrEx>
        <w:trPr>
          <w:trHeight w:val="504" w:hRule="exact"/>
        </w:trPr>
        <w:tc>
          <w:tcPr>
            <w:tcW w:w="2490" w:type="dxa"/>
            <w:tcBorders>
              <w:top w:val="single" w:color="000000" w:sz="4" w:space="0"/>
              <w:left w:val="single" w:color="000000" w:sz="4" w:space="0"/>
              <w:bottom w:val="single" w:color="000000" w:sz="4" w:space="0"/>
              <w:right w:val="single" w:color="000000" w:sz="4" w:space="0"/>
            </w:tcBorders>
            <w:vAlign w:val="center"/>
          </w:tcPr>
          <w:p w14:paraId="053F2761">
            <w:pPr>
              <w:spacing w:line="360" w:lineRule="auto"/>
              <w:rPr>
                <w:rFonts w:ascii="宋体" w:hAnsi="宋体" w:cs="宋体"/>
                <w:sz w:val="18"/>
                <w:szCs w:val="18"/>
              </w:rPr>
            </w:pPr>
          </w:p>
        </w:tc>
        <w:tc>
          <w:tcPr>
            <w:tcW w:w="2714" w:type="dxa"/>
            <w:tcBorders>
              <w:top w:val="single" w:color="000000" w:sz="4" w:space="0"/>
              <w:left w:val="single" w:color="000000" w:sz="4" w:space="0"/>
              <w:bottom w:val="single" w:color="000000" w:sz="4" w:space="0"/>
              <w:right w:val="single" w:color="auto" w:sz="4" w:space="0"/>
            </w:tcBorders>
            <w:vAlign w:val="center"/>
          </w:tcPr>
          <w:p w14:paraId="6DF5A0C8">
            <w:pPr>
              <w:spacing w:line="360" w:lineRule="auto"/>
              <w:rPr>
                <w:rFonts w:ascii="宋体" w:hAnsi="宋体" w:cs="宋体"/>
                <w:sz w:val="18"/>
                <w:szCs w:val="18"/>
              </w:rPr>
            </w:pPr>
            <w:r>
              <w:rPr>
                <w:rFonts w:hint="eastAsia" w:ascii="宋体" w:hAnsi="宋体" w:cs="宋体"/>
                <w:sz w:val="18"/>
                <w:szCs w:val="18"/>
              </w:rPr>
              <w:t>6.1.4措施的策划</w:t>
            </w:r>
          </w:p>
        </w:tc>
        <w:tc>
          <w:tcPr>
            <w:tcW w:w="3275" w:type="dxa"/>
            <w:tcBorders>
              <w:top w:val="single" w:color="000000" w:sz="4" w:space="0"/>
              <w:left w:val="single" w:color="000000" w:sz="4" w:space="0"/>
              <w:bottom w:val="single" w:color="000000" w:sz="4" w:space="0"/>
              <w:right w:val="single" w:color="auto" w:sz="4" w:space="0"/>
            </w:tcBorders>
            <w:vAlign w:val="center"/>
          </w:tcPr>
          <w:p w14:paraId="5619788C">
            <w:pPr>
              <w:spacing w:line="360" w:lineRule="auto"/>
              <w:rPr>
                <w:rFonts w:ascii="宋体" w:hAnsi="宋体" w:cs="宋体"/>
                <w:sz w:val="18"/>
                <w:szCs w:val="18"/>
              </w:rPr>
            </w:pPr>
            <w:r>
              <w:rPr>
                <w:rFonts w:hint="eastAsia" w:ascii="宋体" w:hAnsi="宋体" w:cs="宋体"/>
                <w:sz w:val="18"/>
                <w:szCs w:val="18"/>
              </w:rPr>
              <w:t>6.1.4措施的策划</w:t>
            </w:r>
          </w:p>
        </w:tc>
        <w:tc>
          <w:tcPr>
            <w:tcW w:w="705" w:type="dxa"/>
            <w:tcBorders>
              <w:top w:val="single" w:color="000000" w:sz="4" w:space="0"/>
              <w:left w:val="single" w:color="000000" w:sz="4" w:space="0"/>
              <w:bottom w:val="single" w:color="000000" w:sz="4" w:space="0"/>
              <w:right w:val="single" w:color="000000" w:sz="4" w:space="0"/>
            </w:tcBorders>
            <w:vAlign w:val="center"/>
          </w:tcPr>
          <w:p w14:paraId="273D14F1">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000000" w:sz="4" w:space="0"/>
            </w:tcBorders>
            <w:vAlign w:val="center"/>
          </w:tcPr>
          <w:p w14:paraId="20C28DB4">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000000" w:sz="4" w:space="0"/>
            </w:tcBorders>
            <w:vAlign w:val="center"/>
          </w:tcPr>
          <w:p w14:paraId="2E279668">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auto" w:sz="4" w:space="0"/>
            </w:tcBorders>
            <w:vAlign w:val="center"/>
          </w:tcPr>
          <w:p w14:paraId="56B82A85">
            <w:pPr>
              <w:jc w:val="cente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auto" w:sz="6" w:space="0"/>
            </w:tcBorders>
            <w:vAlign w:val="center"/>
          </w:tcPr>
          <w:p w14:paraId="57338E4F">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auto" w:sz="6" w:space="0"/>
              <w:bottom w:val="single" w:color="000000" w:sz="4" w:space="0"/>
              <w:right w:val="single" w:color="000000" w:sz="4" w:space="0"/>
            </w:tcBorders>
            <w:vAlign w:val="center"/>
          </w:tcPr>
          <w:p w14:paraId="6185BA7B">
            <w:pPr>
              <w:jc w:val="center"/>
            </w:pPr>
            <w:r>
              <w:rPr>
                <w:rFonts w:hint="eastAsia" w:ascii="宋体" w:hAnsi="宋体" w:cs="宋体"/>
                <w:sz w:val="18"/>
                <w:szCs w:val="18"/>
              </w:rPr>
              <w:t>△</w:t>
            </w:r>
          </w:p>
        </w:tc>
        <w:tc>
          <w:tcPr>
            <w:tcW w:w="705" w:type="dxa"/>
            <w:tcBorders>
              <w:top w:val="single" w:color="000000" w:sz="4" w:space="0"/>
              <w:left w:val="single" w:color="auto" w:sz="6" w:space="0"/>
              <w:bottom w:val="single" w:color="000000" w:sz="4" w:space="0"/>
              <w:right w:val="single" w:color="000000" w:sz="4" w:space="0"/>
            </w:tcBorders>
            <w:vAlign w:val="center"/>
          </w:tcPr>
          <w:p w14:paraId="6773BE56">
            <w:pPr>
              <w:spacing w:line="360" w:lineRule="auto"/>
              <w:jc w:val="center"/>
              <w:rPr>
                <w:rFonts w:ascii="宋体" w:hAnsi="宋体" w:cs="宋体"/>
                <w:sz w:val="18"/>
                <w:szCs w:val="18"/>
              </w:rPr>
            </w:pPr>
            <w:r>
              <w:rPr>
                <w:rFonts w:hint="eastAsia" w:ascii="宋体" w:hAnsi="宋体" w:cs="宋体"/>
                <w:sz w:val="18"/>
                <w:szCs w:val="18"/>
              </w:rPr>
              <w:t>△</w:t>
            </w:r>
          </w:p>
        </w:tc>
      </w:tr>
      <w:tr w14:paraId="6FFFEB9B">
        <w:tblPrEx>
          <w:tblCellMar>
            <w:top w:w="0" w:type="dxa"/>
            <w:left w:w="0" w:type="dxa"/>
            <w:bottom w:w="0" w:type="dxa"/>
            <w:right w:w="0" w:type="dxa"/>
          </w:tblCellMar>
        </w:tblPrEx>
        <w:trPr>
          <w:trHeight w:val="504" w:hRule="exact"/>
        </w:trPr>
        <w:tc>
          <w:tcPr>
            <w:tcW w:w="2490" w:type="dxa"/>
            <w:tcBorders>
              <w:top w:val="single" w:color="000000" w:sz="4" w:space="0"/>
              <w:left w:val="single" w:color="000000" w:sz="4" w:space="0"/>
              <w:bottom w:val="single" w:color="000000" w:sz="4" w:space="0"/>
              <w:right w:val="single" w:color="000000" w:sz="4" w:space="0"/>
            </w:tcBorders>
            <w:vAlign w:val="center"/>
          </w:tcPr>
          <w:p w14:paraId="271E351F">
            <w:pPr>
              <w:spacing w:line="360" w:lineRule="auto"/>
              <w:rPr>
                <w:rFonts w:ascii="宋体" w:hAnsi="宋体" w:cs="宋体"/>
                <w:sz w:val="18"/>
                <w:szCs w:val="18"/>
              </w:rPr>
            </w:pPr>
            <w:r>
              <w:rPr>
                <w:rFonts w:hint="eastAsia" w:ascii="宋体" w:hAnsi="宋体" w:cs="宋体"/>
                <w:sz w:val="18"/>
                <w:szCs w:val="18"/>
              </w:rPr>
              <w:t>6.2质量目标及其实施的策划</w:t>
            </w:r>
          </w:p>
        </w:tc>
        <w:tc>
          <w:tcPr>
            <w:tcW w:w="2714" w:type="dxa"/>
            <w:tcBorders>
              <w:top w:val="single" w:color="000000" w:sz="4" w:space="0"/>
              <w:left w:val="single" w:color="000000" w:sz="4" w:space="0"/>
              <w:bottom w:val="single" w:color="000000" w:sz="4" w:space="0"/>
              <w:right w:val="single" w:color="auto" w:sz="4" w:space="0"/>
            </w:tcBorders>
            <w:vAlign w:val="center"/>
          </w:tcPr>
          <w:p w14:paraId="71EA78D8">
            <w:pPr>
              <w:spacing w:line="360" w:lineRule="auto"/>
              <w:rPr>
                <w:rFonts w:ascii="宋体" w:hAnsi="宋体" w:cs="宋体"/>
                <w:sz w:val="18"/>
                <w:szCs w:val="18"/>
              </w:rPr>
            </w:pPr>
          </w:p>
        </w:tc>
        <w:tc>
          <w:tcPr>
            <w:tcW w:w="3275" w:type="dxa"/>
            <w:tcBorders>
              <w:top w:val="single" w:color="000000" w:sz="4" w:space="0"/>
              <w:left w:val="single" w:color="000000" w:sz="4" w:space="0"/>
              <w:bottom w:val="single" w:color="000000" w:sz="4" w:space="0"/>
              <w:right w:val="single" w:color="auto" w:sz="4" w:space="0"/>
            </w:tcBorders>
            <w:vAlign w:val="center"/>
          </w:tcPr>
          <w:p w14:paraId="78700917">
            <w:pPr>
              <w:spacing w:line="360" w:lineRule="auto"/>
              <w:rPr>
                <w:rFonts w:ascii="宋体" w:hAnsi="宋体" w:cs="宋体"/>
                <w:sz w:val="18"/>
                <w:szCs w:val="18"/>
              </w:rPr>
            </w:pPr>
          </w:p>
        </w:tc>
        <w:tc>
          <w:tcPr>
            <w:tcW w:w="705" w:type="dxa"/>
            <w:tcBorders>
              <w:top w:val="single" w:color="000000" w:sz="4" w:space="0"/>
              <w:left w:val="single" w:color="000000" w:sz="4" w:space="0"/>
              <w:bottom w:val="single" w:color="000000" w:sz="4" w:space="0"/>
              <w:right w:val="single" w:color="000000" w:sz="4" w:space="0"/>
            </w:tcBorders>
            <w:vAlign w:val="center"/>
          </w:tcPr>
          <w:p w14:paraId="17A4391D">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000000" w:sz="4" w:space="0"/>
            </w:tcBorders>
            <w:vAlign w:val="center"/>
          </w:tcPr>
          <w:p w14:paraId="5E09B770">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000000" w:sz="4" w:space="0"/>
            </w:tcBorders>
            <w:vAlign w:val="center"/>
          </w:tcPr>
          <w:p w14:paraId="351D7E83">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auto" w:sz="4" w:space="0"/>
            </w:tcBorders>
            <w:vAlign w:val="center"/>
          </w:tcPr>
          <w:p w14:paraId="7E5896EE">
            <w:pPr>
              <w:jc w:val="cente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auto" w:sz="6" w:space="0"/>
            </w:tcBorders>
            <w:vAlign w:val="center"/>
          </w:tcPr>
          <w:p w14:paraId="20F5D1E5">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auto" w:sz="6" w:space="0"/>
              <w:bottom w:val="single" w:color="000000" w:sz="4" w:space="0"/>
              <w:right w:val="single" w:color="000000" w:sz="4" w:space="0"/>
            </w:tcBorders>
            <w:vAlign w:val="center"/>
          </w:tcPr>
          <w:p w14:paraId="58A927E4">
            <w:pPr>
              <w:jc w:val="center"/>
            </w:pPr>
            <w:r>
              <w:rPr>
                <w:rFonts w:hint="eastAsia" w:ascii="宋体" w:hAnsi="宋体" w:cs="宋体"/>
                <w:sz w:val="18"/>
                <w:szCs w:val="18"/>
              </w:rPr>
              <w:t>△</w:t>
            </w:r>
          </w:p>
        </w:tc>
        <w:tc>
          <w:tcPr>
            <w:tcW w:w="705" w:type="dxa"/>
            <w:tcBorders>
              <w:top w:val="single" w:color="000000" w:sz="4" w:space="0"/>
              <w:left w:val="single" w:color="auto" w:sz="6" w:space="0"/>
              <w:bottom w:val="single" w:color="000000" w:sz="4" w:space="0"/>
              <w:right w:val="single" w:color="000000" w:sz="4" w:space="0"/>
            </w:tcBorders>
            <w:vAlign w:val="center"/>
          </w:tcPr>
          <w:p w14:paraId="2BF22C12">
            <w:pPr>
              <w:spacing w:line="360" w:lineRule="auto"/>
              <w:jc w:val="center"/>
              <w:rPr>
                <w:rFonts w:ascii="宋体" w:hAnsi="宋体" w:cs="宋体"/>
                <w:sz w:val="18"/>
                <w:szCs w:val="18"/>
              </w:rPr>
            </w:pPr>
            <w:r>
              <w:rPr>
                <w:rFonts w:hint="eastAsia" w:ascii="宋体" w:hAnsi="宋体" w:cs="宋体"/>
                <w:sz w:val="18"/>
                <w:szCs w:val="18"/>
              </w:rPr>
              <w:t>△</w:t>
            </w:r>
          </w:p>
        </w:tc>
      </w:tr>
      <w:tr w14:paraId="3B10EA72">
        <w:tblPrEx>
          <w:tblCellMar>
            <w:top w:w="0" w:type="dxa"/>
            <w:left w:w="0" w:type="dxa"/>
            <w:bottom w:w="0" w:type="dxa"/>
            <w:right w:w="0" w:type="dxa"/>
          </w:tblCellMar>
        </w:tblPrEx>
        <w:trPr>
          <w:trHeight w:val="504" w:hRule="exact"/>
        </w:trPr>
        <w:tc>
          <w:tcPr>
            <w:tcW w:w="2490" w:type="dxa"/>
            <w:tcBorders>
              <w:top w:val="single" w:color="000000" w:sz="4" w:space="0"/>
              <w:left w:val="single" w:color="000000" w:sz="4" w:space="0"/>
              <w:bottom w:val="single" w:color="000000" w:sz="4" w:space="0"/>
              <w:right w:val="single" w:color="000000" w:sz="4" w:space="0"/>
            </w:tcBorders>
            <w:vAlign w:val="center"/>
          </w:tcPr>
          <w:p w14:paraId="0508C812">
            <w:pPr>
              <w:spacing w:line="360" w:lineRule="auto"/>
              <w:rPr>
                <w:rFonts w:ascii="宋体" w:hAnsi="宋体" w:cs="宋体"/>
                <w:sz w:val="18"/>
                <w:szCs w:val="18"/>
              </w:rPr>
            </w:pPr>
          </w:p>
        </w:tc>
        <w:tc>
          <w:tcPr>
            <w:tcW w:w="2714" w:type="dxa"/>
            <w:tcBorders>
              <w:top w:val="single" w:color="000000" w:sz="4" w:space="0"/>
              <w:left w:val="single" w:color="000000" w:sz="4" w:space="0"/>
              <w:bottom w:val="single" w:color="000000" w:sz="4" w:space="0"/>
              <w:right w:val="single" w:color="auto" w:sz="4" w:space="0"/>
            </w:tcBorders>
            <w:vAlign w:val="center"/>
          </w:tcPr>
          <w:p w14:paraId="279F700D">
            <w:pPr>
              <w:spacing w:line="360" w:lineRule="auto"/>
              <w:rPr>
                <w:rFonts w:ascii="宋体" w:hAnsi="宋体" w:cs="宋体"/>
                <w:sz w:val="18"/>
                <w:szCs w:val="18"/>
              </w:rPr>
            </w:pPr>
            <w:r>
              <w:rPr>
                <w:rFonts w:hint="eastAsia" w:ascii="宋体" w:hAnsi="宋体" w:cs="宋体"/>
                <w:sz w:val="18"/>
                <w:szCs w:val="18"/>
              </w:rPr>
              <w:t>6.2环境目标及其实施的策划</w:t>
            </w:r>
          </w:p>
        </w:tc>
        <w:tc>
          <w:tcPr>
            <w:tcW w:w="3275" w:type="dxa"/>
            <w:tcBorders>
              <w:top w:val="single" w:color="000000" w:sz="4" w:space="0"/>
              <w:left w:val="single" w:color="000000" w:sz="4" w:space="0"/>
              <w:bottom w:val="single" w:color="000000" w:sz="4" w:space="0"/>
              <w:right w:val="single" w:color="auto" w:sz="4" w:space="0"/>
            </w:tcBorders>
            <w:vAlign w:val="center"/>
          </w:tcPr>
          <w:p w14:paraId="4FF753A5">
            <w:pPr>
              <w:spacing w:line="360" w:lineRule="auto"/>
              <w:rPr>
                <w:rFonts w:ascii="宋体" w:hAnsi="宋体" w:cs="宋体"/>
                <w:sz w:val="18"/>
                <w:szCs w:val="18"/>
              </w:rPr>
            </w:pPr>
            <w:r>
              <w:rPr>
                <w:rFonts w:hint="eastAsia" w:ascii="宋体" w:hAnsi="宋体" w:cs="宋体"/>
                <w:sz w:val="18"/>
                <w:szCs w:val="18"/>
              </w:rPr>
              <w:t>6.2职业健康安全目标及其实施的策划</w:t>
            </w:r>
          </w:p>
        </w:tc>
        <w:tc>
          <w:tcPr>
            <w:tcW w:w="705" w:type="dxa"/>
            <w:tcBorders>
              <w:top w:val="single" w:color="000000" w:sz="4" w:space="0"/>
              <w:left w:val="single" w:color="000000" w:sz="4" w:space="0"/>
              <w:bottom w:val="single" w:color="000000" w:sz="4" w:space="0"/>
              <w:right w:val="single" w:color="000000" w:sz="4" w:space="0"/>
            </w:tcBorders>
            <w:vAlign w:val="center"/>
          </w:tcPr>
          <w:p w14:paraId="77249E56">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000000" w:sz="4" w:space="0"/>
            </w:tcBorders>
            <w:vAlign w:val="center"/>
          </w:tcPr>
          <w:p w14:paraId="29B042F7">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000000" w:sz="4" w:space="0"/>
            </w:tcBorders>
            <w:vAlign w:val="center"/>
          </w:tcPr>
          <w:p w14:paraId="7FB708DD">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auto" w:sz="4" w:space="0"/>
            </w:tcBorders>
            <w:vAlign w:val="center"/>
          </w:tcPr>
          <w:p w14:paraId="7B416F77">
            <w:pPr>
              <w:jc w:val="cente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auto" w:sz="6" w:space="0"/>
            </w:tcBorders>
            <w:vAlign w:val="center"/>
          </w:tcPr>
          <w:p w14:paraId="03E9F009">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auto" w:sz="6" w:space="0"/>
              <w:bottom w:val="single" w:color="000000" w:sz="4" w:space="0"/>
              <w:right w:val="single" w:color="000000" w:sz="4" w:space="0"/>
            </w:tcBorders>
            <w:vAlign w:val="center"/>
          </w:tcPr>
          <w:p w14:paraId="66BEBBCA">
            <w:pPr>
              <w:jc w:val="center"/>
            </w:pPr>
            <w:r>
              <w:rPr>
                <w:rFonts w:hint="eastAsia" w:ascii="宋体" w:hAnsi="宋体" w:cs="宋体"/>
                <w:sz w:val="18"/>
                <w:szCs w:val="18"/>
              </w:rPr>
              <w:t>△</w:t>
            </w:r>
          </w:p>
        </w:tc>
        <w:tc>
          <w:tcPr>
            <w:tcW w:w="705" w:type="dxa"/>
            <w:tcBorders>
              <w:top w:val="single" w:color="000000" w:sz="4" w:space="0"/>
              <w:left w:val="single" w:color="auto" w:sz="6" w:space="0"/>
              <w:bottom w:val="single" w:color="000000" w:sz="4" w:space="0"/>
              <w:right w:val="single" w:color="000000" w:sz="4" w:space="0"/>
            </w:tcBorders>
            <w:vAlign w:val="center"/>
          </w:tcPr>
          <w:p w14:paraId="4BBEB0F3">
            <w:pPr>
              <w:spacing w:line="360" w:lineRule="auto"/>
              <w:jc w:val="center"/>
              <w:rPr>
                <w:rFonts w:ascii="宋体" w:hAnsi="宋体" w:cs="宋体"/>
                <w:sz w:val="18"/>
                <w:szCs w:val="18"/>
              </w:rPr>
            </w:pPr>
            <w:r>
              <w:rPr>
                <w:rFonts w:hint="eastAsia" w:ascii="宋体" w:hAnsi="宋体" w:cs="宋体"/>
                <w:sz w:val="18"/>
                <w:szCs w:val="18"/>
              </w:rPr>
              <w:t>△</w:t>
            </w:r>
          </w:p>
        </w:tc>
      </w:tr>
      <w:tr w14:paraId="4BA6466A">
        <w:tblPrEx>
          <w:tblCellMar>
            <w:top w:w="0" w:type="dxa"/>
            <w:left w:w="0" w:type="dxa"/>
            <w:bottom w:w="0" w:type="dxa"/>
            <w:right w:w="0" w:type="dxa"/>
          </w:tblCellMar>
        </w:tblPrEx>
        <w:trPr>
          <w:trHeight w:val="504" w:hRule="exact"/>
        </w:trPr>
        <w:tc>
          <w:tcPr>
            <w:tcW w:w="2490" w:type="dxa"/>
            <w:tcBorders>
              <w:top w:val="single" w:color="000000" w:sz="4" w:space="0"/>
              <w:left w:val="single" w:color="000000" w:sz="4" w:space="0"/>
              <w:bottom w:val="single" w:color="auto" w:sz="4" w:space="0"/>
              <w:right w:val="single" w:color="000000" w:sz="4" w:space="0"/>
            </w:tcBorders>
            <w:vAlign w:val="center"/>
          </w:tcPr>
          <w:p w14:paraId="19CD46A0">
            <w:pPr>
              <w:spacing w:line="360" w:lineRule="auto"/>
              <w:rPr>
                <w:rFonts w:ascii="宋体" w:hAnsi="宋体" w:cs="宋体"/>
                <w:sz w:val="18"/>
                <w:szCs w:val="18"/>
              </w:rPr>
            </w:pPr>
            <w:r>
              <w:rPr>
                <w:rFonts w:hint="eastAsia" w:ascii="宋体" w:hAnsi="宋体" w:cs="宋体"/>
                <w:sz w:val="18"/>
                <w:szCs w:val="18"/>
              </w:rPr>
              <w:t>6.3变更的策划</w:t>
            </w:r>
          </w:p>
        </w:tc>
        <w:tc>
          <w:tcPr>
            <w:tcW w:w="2714" w:type="dxa"/>
            <w:tcBorders>
              <w:top w:val="single" w:color="000000" w:sz="4" w:space="0"/>
              <w:left w:val="single" w:color="000000" w:sz="4" w:space="0"/>
              <w:bottom w:val="single" w:color="auto" w:sz="4" w:space="0"/>
              <w:right w:val="single" w:color="auto" w:sz="4" w:space="0"/>
            </w:tcBorders>
            <w:vAlign w:val="center"/>
          </w:tcPr>
          <w:p w14:paraId="779572C6">
            <w:pPr>
              <w:spacing w:line="360" w:lineRule="auto"/>
              <w:rPr>
                <w:rFonts w:ascii="宋体" w:hAnsi="宋体" w:cs="宋体"/>
                <w:sz w:val="18"/>
                <w:szCs w:val="18"/>
              </w:rPr>
            </w:pPr>
          </w:p>
        </w:tc>
        <w:tc>
          <w:tcPr>
            <w:tcW w:w="3275" w:type="dxa"/>
            <w:tcBorders>
              <w:top w:val="single" w:color="000000" w:sz="4" w:space="0"/>
              <w:left w:val="single" w:color="000000" w:sz="4" w:space="0"/>
              <w:bottom w:val="single" w:color="auto" w:sz="4" w:space="0"/>
              <w:right w:val="single" w:color="auto" w:sz="4" w:space="0"/>
            </w:tcBorders>
            <w:vAlign w:val="center"/>
          </w:tcPr>
          <w:p w14:paraId="5C236439">
            <w:pPr>
              <w:spacing w:line="360" w:lineRule="auto"/>
              <w:rPr>
                <w:rFonts w:ascii="宋体" w:hAnsi="宋体" w:cs="宋体"/>
                <w:sz w:val="18"/>
                <w:szCs w:val="18"/>
              </w:rPr>
            </w:pPr>
          </w:p>
        </w:tc>
        <w:tc>
          <w:tcPr>
            <w:tcW w:w="705" w:type="dxa"/>
            <w:tcBorders>
              <w:top w:val="single" w:color="000000" w:sz="4" w:space="0"/>
              <w:left w:val="single" w:color="000000" w:sz="4" w:space="0"/>
              <w:bottom w:val="single" w:color="000000" w:sz="4" w:space="0"/>
              <w:right w:val="single" w:color="000000" w:sz="4" w:space="0"/>
            </w:tcBorders>
            <w:vAlign w:val="center"/>
          </w:tcPr>
          <w:p w14:paraId="4014475D">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000000" w:sz="4" w:space="0"/>
            </w:tcBorders>
            <w:vAlign w:val="center"/>
          </w:tcPr>
          <w:p w14:paraId="7371F8AE">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000000" w:sz="4" w:space="0"/>
            </w:tcBorders>
            <w:vAlign w:val="center"/>
          </w:tcPr>
          <w:p w14:paraId="6D485293">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auto" w:sz="4" w:space="0"/>
              <w:bottom w:val="single" w:color="000000" w:sz="4" w:space="0"/>
              <w:right w:val="single" w:color="auto" w:sz="4" w:space="0"/>
            </w:tcBorders>
            <w:vAlign w:val="center"/>
          </w:tcPr>
          <w:p w14:paraId="1325CF67">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auto" w:sz="6" w:space="0"/>
            </w:tcBorders>
            <w:vAlign w:val="center"/>
          </w:tcPr>
          <w:p w14:paraId="40EE2205">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auto" w:sz="6" w:space="0"/>
              <w:bottom w:val="single" w:color="000000" w:sz="4" w:space="0"/>
              <w:right w:val="single" w:color="000000" w:sz="4" w:space="0"/>
            </w:tcBorders>
            <w:vAlign w:val="center"/>
          </w:tcPr>
          <w:p w14:paraId="53C24B23">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auto" w:sz="6" w:space="0"/>
              <w:bottom w:val="single" w:color="000000" w:sz="4" w:space="0"/>
              <w:right w:val="single" w:color="000000" w:sz="4" w:space="0"/>
            </w:tcBorders>
            <w:vAlign w:val="center"/>
          </w:tcPr>
          <w:p w14:paraId="798279AB">
            <w:pPr>
              <w:spacing w:line="360" w:lineRule="auto"/>
              <w:jc w:val="center"/>
              <w:rPr>
                <w:rFonts w:ascii="宋体" w:hAnsi="宋体" w:cs="宋体"/>
                <w:sz w:val="18"/>
                <w:szCs w:val="18"/>
              </w:rPr>
            </w:pPr>
            <w:r>
              <w:rPr>
                <w:rFonts w:hint="eastAsia" w:ascii="宋体" w:hAnsi="宋体" w:cs="宋体"/>
                <w:sz w:val="18"/>
                <w:szCs w:val="18"/>
              </w:rPr>
              <w:t>△</w:t>
            </w:r>
          </w:p>
        </w:tc>
      </w:tr>
      <w:tr w14:paraId="3F8B6BCB">
        <w:tblPrEx>
          <w:tblCellMar>
            <w:top w:w="0" w:type="dxa"/>
            <w:left w:w="0" w:type="dxa"/>
            <w:bottom w:w="0" w:type="dxa"/>
            <w:right w:w="0" w:type="dxa"/>
          </w:tblCellMar>
        </w:tblPrEx>
        <w:trPr>
          <w:trHeight w:val="504" w:hRule="exact"/>
        </w:trPr>
        <w:tc>
          <w:tcPr>
            <w:tcW w:w="2490" w:type="dxa"/>
            <w:tcBorders>
              <w:top w:val="single" w:color="000000" w:sz="4" w:space="0"/>
              <w:left w:val="single" w:color="000000" w:sz="4" w:space="0"/>
              <w:bottom w:val="single" w:color="000000" w:sz="4" w:space="0"/>
              <w:right w:val="single" w:color="000000" w:sz="4" w:space="0"/>
            </w:tcBorders>
            <w:vAlign w:val="center"/>
          </w:tcPr>
          <w:p w14:paraId="45F1B6A4">
            <w:pPr>
              <w:spacing w:line="360" w:lineRule="auto"/>
              <w:rPr>
                <w:rFonts w:ascii="宋体" w:hAnsi="宋体" w:cs="宋体"/>
                <w:sz w:val="18"/>
                <w:szCs w:val="18"/>
              </w:rPr>
            </w:pPr>
            <w:r>
              <w:rPr>
                <w:rFonts w:hint="eastAsia" w:ascii="宋体" w:hAnsi="宋体" w:cs="宋体"/>
                <w:sz w:val="18"/>
                <w:szCs w:val="18"/>
              </w:rPr>
              <w:t>7.1.1总则</w:t>
            </w:r>
          </w:p>
        </w:tc>
        <w:tc>
          <w:tcPr>
            <w:tcW w:w="2714" w:type="dxa"/>
            <w:tcBorders>
              <w:top w:val="single" w:color="000000" w:sz="4" w:space="0"/>
              <w:left w:val="single" w:color="000000" w:sz="4" w:space="0"/>
              <w:bottom w:val="single" w:color="auto" w:sz="4" w:space="0"/>
              <w:right w:val="single" w:color="auto" w:sz="4" w:space="0"/>
            </w:tcBorders>
            <w:vAlign w:val="center"/>
          </w:tcPr>
          <w:p w14:paraId="5925972C">
            <w:pPr>
              <w:spacing w:line="360" w:lineRule="auto"/>
              <w:rPr>
                <w:rFonts w:ascii="宋体" w:hAnsi="宋体" w:cs="宋体"/>
                <w:sz w:val="18"/>
                <w:szCs w:val="18"/>
              </w:rPr>
            </w:pPr>
            <w:r>
              <w:rPr>
                <w:rFonts w:hint="eastAsia" w:ascii="宋体" w:hAnsi="宋体" w:cs="宋体"/>
                <w:sz w:val="18"/>
                <w:szCs w:val="18"/>
              </w:rPr>
              <w:t>7.1资源</w:t>
            </w:r>
          </w:p>
        </w:tc>
        <w:tc>
          <w:tcPr>
            <w:tcW w:w="3275" w:type="dxa"/>
            <w:tcBorders>
              <w:top w:val="single" w:color="000000" w:sz="4" w:space="0"/>
              <w:left w:val="single" w:color="000000" w:sz="4" w:space="0"/>
              <w:bottom w:val="single" w:color="auto" w:sz="4" w:space="0"/>
              <w:right w:val="single" w:color="auto" w:sz="4" w:space="0"/>
            </w:tcBorders>
            <w:vAlign w:val="center"/>
          </w:tcPr>
          <w:p w14:paraId="0D893DDA">
            <w:pPr>
              <w:spacing w:line="360" w:lineRule="auto"/>
              <w:rPr>
                <w:rFonts w:ascii="宋体" w:hAnsi="宋体" w:cs="宋体"/>
                <w:sz w:val="18"/>
                <w:szCs w:val="18"/>
              </w:rPr>
            </w:pPr>
            <w:r>
              <w:rPr>
                <w:rFonts w:hint="eastAsia" w:ascii="宋体" w:hAnsi="宋体" w:cs="宋体"/>
                <w:sz w:val="18"/>
                <w:szCs w:val="18"/>
              </w:rPr>
              <w:t>7.1资源</w:t>
            </w:r>
          </w:p>
        </w:tc>
        <w:tc>
          <w:tcPr>
            <w:tcW w:w="705" w:type="dxa"/>
            <w:tcBorders>
              <w:top w:val="single" w:color="000000" w:sz="4" w:space="0"/>
              <w:left w:val="single" w:color="000000" w:sz="4" w:space="0"/>
              <w:bottom w:val="single" w:color="000000" w:sz="4" w:space="0"/>
              <w:right w:val="single" w:color="000000" w:sz="4" w:space="0"/>
            </w:tcBorders>
            <w:vAlign w:val="center"/>
          </w:tcPr>
          <w:p w14:paraId="307C64FC">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000000" w:sz="4" w:space="0"/>
            </w:tcBorders>
            <w:vAlign w:val="center"/>
          </w:tcPr>
          <w:p w14:paraId="143A4B8D">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000000" w:sz="4" w:space="0"/>
            </w:tcBorders>
            <w:vAlign w:val="center"/>
          </w:tcPr>
          <w:p w14:paraId="6DF084ED">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auto" w:sz="4" w:space="0"/>
              <w:bottom w:val="single" w:color="000000" w:sz="4" w:space="0"/>
              <w:right w:val="single" w:color="auto" w:sz="4" w:space="0"/>
            </w:tcBorders>
            <w:vAlign w:val="center"/>
          </w:tcPr>
          <w:p w14:paraId="1FC70980">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auto" w:sz="6" w:space="0"/>
            </w:tcBorders>
            <w:vAlign w:val="center"/>
          </w:tcPr>
          <w:p w14:paraId="0E73F8D1">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auto" w:sz="6" w:space="0"/>
              <w:bottom w:val="single" w:color="000000" w:sz="4" w:space="0"/>
              <w:right w:val="single" w:color="000000" w:sz="4" w:space="0"/>
            </w:tcBorders>
            <w:vAlign w:val="center"/>
          </w:tcPr>
          <w:p w14:paraId="05256E5D">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auto" w:sz="6" w:space="0"/>
              <w:bottom w:val="single" w:color="000000" w:sz="4" w:space="0"/>
              <w:right w:val="single" w:color="000000" w:sz="4" w:space="0"/>
            </w:tcBorders>
            <w:vAlign w:val="center"/>
          </w:tcPr>
          <w:p w14:paraId="3E18AFC2">
            <w:pPr>
              <w:spacing w:line="360" w:lineRule="auto"/>
              <w:jc w:val="center"/>
              <w:rPr>
                <w:rFonts w:ascii="宋体" w:hAnsi="宋体" w:cs="宋体"/>
                <w:sz w:val="18"/>
                <w:szCs w:val="18"/>
              </w:rPr>
            </w:pPr>
            <w:r>
              <w:rPr>
                <w:rFonts w:hint="eastAsia" w:ascii="宋体" w:hAnsi="宋体" w:cs="宋体"/>
                <w:sz w:val="18"/>
                <w:szCs w:val="18"/>
              </w:rPr>
              <w:t>△</w:t>
            </w:r>
          </w:p>
        </w:tc>
      </w:tr>
      <w:tr w14:paraId="2812CD63">
        <w:tblPrEx>
          <w:tblCellMar>
            <w:top w:w="0" w:type="dxa"/>
            <w:left w:w="0" w:type="dxa"/>
            <w:bottom w:w="0" w:type="dxa"/>
            <w:right w:w="0" w:type="dxa"/>
          </w:tblCellMar>
        </w:tblPrEx>
        <w:trPr>
          <w:trHeight w:val="504" w:hRule="exact"/>
        </w:trPr>
        <w:tc>
          <w:tcPr>
            <w:tcW w:w="2490" w:type="dxa"/>
            <w:tcBorders>
              <w:top w:val="single" w:color="000000" w:sz="4" w:space="0"/>
              <w:left w:val="single" w:color="000000" w:sz="4" w:space="0"/>
              <w:bottom w:val="single" w:color="000000" w:sz="4" w:space="0"/>
              <w:right w:val="single" w:color="000000" w:sz="4" w:space="0"/>
            </w:tcBorders>
            <w:vAlign w:val="center"/>
          </w:tcPr>
          <w:p w14:paraId="2D66CA0C">
            <w:pPr>
              <w:spacing w:line="360" w:lineRule="auto"/>
              <w:rPr>
                <w:rFonts w:ascii="宋体" w:hAnsi="宋体" w:cs="宋体"/>
                <w:sz w:val="18"/>
                <w:szCs w:val="18"/>
              </w:rPr>
            </w:pPr>
            <w:r>
              <w:rPr>
                <w:rFonts w:hint="eastAsia" w:ascii="宋体" w:hAnsi="宋体" w:cs="宋体"/>
                <w:sz w:val="18"/>
                <w:szCs w:val="18"/>
              </w:rPr>
              <w:t>7.1.2人员</w:t>
            </w:r>
          </w:p>
        </w:tc>
        <w:tc>
          <w:tcPr>
            <w:tcW w:w="2714" w:type="dxa"/>
            <w:tcBorders>
              <w:top w:val="single" w:color="auto" w:sz="4" w:space="0"/>
              <w:left w:val="single" w:color="000000" w:sz="4" w:space="0"/>
              <w:bottom w:val="single" w:color="000000" w:sz="4" w:space="0"/>
              <w:right w:val="single" w:color="auto" w:sz="4" w:space="0"/>
            </w:tcBorders>
            <w:vAlign w:val="center"/>
          </w:tcPr>
          <w:p w14:paraId="52938589">
            <w:pPr>
              <w:spacing w:line="360" w:lineRule="auto"/>
              <w:rPr>
                <w:rFonts w:ascii="宋体" w:hAnsi="宋体" w:cs="宋体"/>
                <w:sz w:val="18"/>
                <w:szCs w:val="18"/>
              </w:rPr>
            </w:pPr>
          </w:p>
        </w:tc>
        <w:tc>
          <w:tcPr>
            <w:tcW w:w="3275" w:type="dxa"/>
            <w:tcBorders>
              <w:top w:val="single" w:color="auto" w:sz="4" w:space="0"/>
              <w:left w:val="single" w:color="000000" w:sz="4" w:space="0"/>
              <w:bottom w:val="single" w:color="000000" w:sz="4" w:space="0"/>
              <w:right w:val="single" w:color="auto" w:sz="4" w:space="0"/>
            </w:tcBorders>
            <w:vAlign w:val="center"/>
          </w:tcPr>
          <w:p w14:paraId="50D84F0B">
            <w:pPr>
              <w:spacing w:line="360" w:lineRule="auto"/>
              <w:rPr>
                <w:rFonts w:ascii="宋体" w:hAnsi="宋体" w:cs="宋体"/>
                <w:sz w:val="18"/>
                <w:szCs w:val="18"/>
              </w:rPr>
            </w:pPr>
          </w:p>
        </w:tc>
        <w:tc>
          <w:tcPr>
            <w:tcW w:w="705" w:type="dxa"/>
            <w:tcBorders>
              <w:top w:val="single" w:color="000000" w:sz="4" w:space="0"/>
              <w:left w:val="single" w:color="000000" w:sz="4" w:space="0"/>
              <w:bottom w:val="single" w:color="000000" w:sz="4" w:space="0"/>
              <w:right w:val="single" w:color="000000" w:sz="4" w:space="0"/>
            </w:tcBorders>
            <w:vAlign w:val="center"/>
          </w:tcPr>
          <w:p w14:paraId="486B3041">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000000" w:sz="4" w:space="0"/>
            </w:tcBorders>
            <w:vAlign w:val="center"/>
          </w:tcPr>
          <w:p w14:paraId="19165D82">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000000" w:sz="4" w:space="0"/>
            </w:tcBorders>
            <w:vAlign w:val="center"/>
          </w:tcPr>
          <w:p w14:paraId="7A4D5348">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auto" w:sz="4" w:space="0"/>
              <w:bottom w:val="single" w:color="000000" w:sz="4" w:space="0"/>
              <w:right w:val="single" w:color="auto" w:sz="4" w:space="0"/>
            </w:tcBorders>
            <w:vAlign w:val="center"/>
          </w:tcPr>
          <w:p w14:paraId="1F6A3B98">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auto" w:sz="6" w:space="0"/>
            </w:tcBorders>
            <w:vAlign w:val="center"/>
          </w:tcPr>
          <w:p w14:paraId="6F914548">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auto" w:sz="6" w:space="0"/>
              <w:bottom w:val="single" w:color="000000" w:sz="4" w:space="0"/>
              <w:right w:val="single" w:color="000000" w:sz="4" w:space="0"/>
            </w:tcBorders>
            <w:vAlign w:val="center"/>
          </w:tcPr>
          <w:p w14:paraId="63A2809A">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auto" w:sz="6" w:space="0"/>
              <w:bottom w:val="single" w:color="000000" w:sz="4" w:space="0"/>
              <w:right w:val="single" w:color="000000" w:sz="4" w:space="0"/>
            </w:tcBorders>
            <w:vAlign w:val="center"/>
          </w:tcPr>
          <w:p w14:paraId="22D06E97">
            <w:pPr>
              <w:spacing w:line="360" w:lineRule="auto"/>
              <w:jc w:val="center"/>
              <w:rPr>
                <w:rFonts w:ascii="宋体" w:hAnsi="宋体" w:cs="宋体"/>
                <w:sz w:val="18"/>
                <w:szCs w:val="18"/>
              </w:rPr>
            </w:pPr>
            <w:r>
              <w:rPr>
                <w:rFonts w:hint="eastAsia" w:ascii="宋体" w:hAnsi="宋体" w:cs="宋体"/>
                <w:sz w:val="18"/>
                <w:szCs w:val="18"/>
              </w:rPr>
              <w:t>△</w:t>
            </w:r>
          </w:p>
        </w:tc>
      </w:tr>
      <w:tr w14:paraId="694DE743">
        <w:tblPrEx>
          <w:tblCellMar>
            <w:top w:w="0" w:type="dxa"/>
            <w:left w:w="0" w:type="dxa"/>
            <w:bottom w:w="0" w:type="dxa"/>
            <w:right w:w="0" w:type="dxa"/>
          </w:tblCellMar>
        </w:tblPrEx>
        <w:trPr>
          <w:trHeight w:val="504" w:hRule="exact"/>
        </w:trPr>
        <w:tc>
          <w:tcPr>
            <w:tcW w:w="2490" w:type="dxa"/>
            <w:tcBorders>
              <w:top w:val="single" w:color="000000" w:sz="4" w:space="0"/>
              <w:left w:val="single" w:color="000000" w:sz="4" w:space="0"/>
              <w:bottom w:val="single" w:color="000000" w:sz="4" w:space="0"/>
              <w:right w:val="single" w:color="000000" w:sz="4" w:space="0"/>
            </w:tcBorders>
            <w:vAlign w:val="center"/>
          </w:tcPr>
          <w:p w14:paraId="129182AB">
            <w:pPr>
              <w:spacing w:line="360" w:lineRule="auto"/>
              <w:rPr>
                <w:rFonts w:ascii="宋体" w:hAnsi="宋体" w:cs="宋体"/>
                <w:sz w:val="18"/>
                <w:szCs w:val="18"/>
              </w:rPr>
            </w:pPr>
            <w:r>
              <w:rPr>
                <w:rFonts w:hint="eastAsia" w:ascii="宋体" w:hAnsi="宋体" w:cs="宋体"/>
                <w:sz w:val="18"/>
                <w:szCs w:val="18"/>
              </w:rPr>
              <w:t>7.1.3基础设施</w:t>
            </w:r>
          </w:p>
        </w:tc>
        <w:tc>
          <w:tcPr>
            <w:tcW w:w="2714" w:type="dxa"/>
            <w:tcBorders>
              <w:top w:val="single" w:color="000000" w:sz="4" w:space="0"/>
              <w:left w:val="single" w:color="000000" w:sz="4" w:space="0"/>
              <w:bottom w:val="single" w:color="000000" w:sz="4" w:space="0"/>
              <w:right w:val="single" w:color="auto" w:sz="4" w:space="0"/>
            </w:tcBorders>
            <w:vAlign w:val="center"/>
          </w:tcPr>
          <w:p w14:paraId="4F81DAFC">
            <w:pPr>
              <w:spacing w:line="360" w:lineRule="auto"/>
              <w:rPr>
                <w:rFonts w:ascii="宋体" w:hAnsi="宋体" w:cs="宋体"/>
                <w:sz w:val="18"/>
                <w:szCs w:val="18"/>
              </w:rPr>
            </w:pPr>
          </w:p>
        </w:tc>
        <w:tc>
          <w:tcPr>
            <w:tcW w:w="3275" w:type="dxa"/>
            <w:tcBorders>
              <w:top w:val="single" w:color="000000" w:sz="4" w:space="0"/>
              <w:left w:val="single" w:color="000000" w:sz="4" w:space="0"/>
              <w:bottom w:val="single" w:color="000000" w:sz="4" w:space="0"/>
              <w:right w:val="single" w:color="auto" w:sz="4" w:space="0"/>
            </w:tcBorders>
            <w:vAlign w:val="center"/>
          </w:tcPr>
          <w:p w14:paraId="7F216D5A">
            <w:pPr>
              <w:spacing w:line="360" w:lineRule="auto"/>
              <w:rPr>
                <w:rFonts w:ascii="宋体" w:hAnsi="宋体" w:cs="宋体"/>
                <w:sz w:val="18"/>
                <w:szCs w:val="18"/>
              </w:rPr>
            </w:pPr>
          </w:p>
        </w:tc>
        <w:tc>
          <w:tcPr>
            <w:tcW w:w="705" w:type="dxa"/>
            <w:tcBorders>
              <w:top w:val="single" w:color="000000" w:sz="4" w:space="0"/>
              <w:left w:val="single" w:color="000000" w:sz="4" w:space="0"/>
              <w:bottom w:val="single" w:color="000000" w:sz="4" w:space="0"/>
              <w:right w:val="single" w:color="000000" w:sz="4" w:space="0"/>
            </w:tcBorders>
            <w:vAlign w:val="center"/>
          </w:tcPr>
          <w:p w14:paraId="4CAAB478">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000000" w:sz="4" w:space="0"/>
            </w:tcBorders>
            <w:vAlign w:val="center"/>
          </w:tcPr>
          <w:p w14:paraId="33D3129D">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000000" w:sz="4" w:space="0"/>
            </w:tcBorders>
            <w:vAlign w:val="center"/>
          </w:tcPr>
          <w:p w14:paraId="49FBC819">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auto" w:sz="4" w:space="0"/>
              <w:bottom w:val="single" w:color="000000" w:sz="4" w:space="0"/>
              <w:right w:val="single" w:color="auto" w:sz="4" w:space="0"/>
            </w:tcBorders>
            <w:vAlign w:val="center"/>
          </w:tcPr>
          <w:p w14:paraId="226A4B9E">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auto" w:sz="6" w:space="0"/>
            </w:tcBorders>
            <w:vAlign w:val="center"/>
          </w:tcPr>
          <w:p w14:paraId="052B7FD9">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auto" w:sz="6" w:space="0"/>
              <w:bottom w:val="single" w:color="000000" w:sz="4" w:space="0"/>
              <w:right w:val="single" w:color="000000" w:sz="4" w:space="0"/>
            </w:tcBorders>
            <w:vAlign w:val="center"/>
          </w:tcPr>
          <w:p w14:paraId="3D10FF11">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auto" w:sz="6" w:space="0"/>
              <w:bottom w:val="single" w:color="000000" w:sz="4" w:space="0"/>
              <w:right w:val="single" w:color="000000" w:sz="4" w:space="0"/>
            </w:tcBorders>
            <w:vAlign w:val="center"/>
          </w:tcPr>
          <w:p w14:paraId="4469A349">
            <w:pPr>
              <w:spacing w:line="360" w:lineRule="auto"/>
              <w:jc w:val="center"/>
              <w:rPr>
                <w:rFonts w:ascii="宋体" w:hAnsi="宋体" w:cs="宋体"/>
                <w:sz w:val="18"/>
                <w:szCs w:val="18"/>
              </w:rPr>
            </w:pPr>
            <w:r>
              <w:rPr>
                <w:rFonts w:hint="eastAsia" w:ascii="宋体" w:hAnsi="宋体" w:cs="宋体"/>
                <w:sz w:val="18"/>
                <w:szCs w:val="18"/>
              </w:rPr>
              <w:t>△</w:t>
            </w:r>
          </w:p>
        </w:tc>
      </w:tr>
      <w:tr w14:paraId="1C977F93">
        <w:tblPrEx>
          <w:tblCellMar>
            <w:top w:w="0" w:type="dxa"/>
            <w:left w:w="0" w:type="dxa"/>
            <w:bottom w:w="0" w:type="dxa"/>
            <w:right w:w="0" w:type="dxa"/>
          </w:tblCellMar>
        </w:tblPrEx>
        <w:trPr>
          <w:trHeight w:val="504" w:hRule="exact"/>
        </w:trPr>
        <w:tc>
          <w:tcPr>
            <w:tcW w:w="2490" w:type="dxa"/>
            <w:tcBorders>
              <w:top w:val="single" w:color="000000" w:sz="4" w:space="0"/>
              <w:left w:val="single" w:color="000000" w:sz="4" w:space="0"/>
              <w:bottom w:val="single" w:color="000000" w:sz="4" w:space="0"/>
              <w:right w:val="single" w:color="000000" w:sz="4" w:space="0"/>
            </w:tcBorders>
            <w:vAlign w:val="center"/>
          </w:tcPr>
          <w:p w14:paraId="0E75C685">
            <w:pPr>
              <w:spacing w:line="360" w:lineRule="auto"/>
              <w:rPr>
                <w:rFonts w:ascii="宋体" w:hAnsi="宋体" w:cs="宋体"/>
                <w:sz w:val="18"/>
                <w:szCs w:val="18"/>
              </w:rPr>
            </w:pPr>
            <w:r>
              <w:rPr>
                <w:rFonts w:hint="eastAsia" w:ascii="宋体" w:hAnsi="宋体" w:cs="宋体"/>
                <w:sz w:val="18"/>
                <w:szCs w:val="18"/>
              </w:rPr>
              <w:t>7.1.4过程环境</w:t>
            </w:r>
          </w:p>
        </w:tc>
        <w:tc>
          <w:tcPr>
            <w:tcW w:w="2714" w:type="dxa"/>
            <w:tcBorders>
              <w:top w:val="single" w:color="000000" w:sz="4" w:space="0"/>
              <w:left w:val="single" w:color="000000" w:sz="4" w:space="0"/>
              <w:bottom w:val="single" w:color="000000" w:sz="4" w:space="0"/>
              <w:right w:val="single" w:color="auto" w:sz="4" w:space="0"/>
            </w:tcBorders>
            <w:vAlign w:val="center"/>
          </w:tcPr>
          <w:p w14:paraId="361DD86B">
            <w:pPr>
              <w:spacing w:line="360" w:lineRule="auto"/>
              <w:rPr>
                <w:rFonts w:ascii="宋体" w:hAnsi="宋体" w:cs="宋体"/>
                <w:sz w:val="18"/>
                <w:szCs w:val="18"/>
              </w:rPr>
            </w:pPr>
          </w:p>
        </w:tc>
        <w:tc>
          <w:tcPr>
            <w:tcW w:w="3275" w:type="dxa"/>
            <w:tcBorders>
              <w:top w:val="single" w:color="000000" w:sz="4" w:space="0"/>
              <w:left w:val="single" w:color="000000" w:sz="4" w:space="0"/>
              <w:bottom w:val="single" w:color="000000" w:sz="4" w:space="0"/>
              <w:right w:val="single" w:color="auto" w:sz="4" w:space="0"/>
            </w:tcBorders>
            <w:vAlign w:val="center"/>
          </w:tcPr>
          <w:p w14:paraId="14F35466">
            <w:pPr>
              <w:spacing w:line="360" w:lineRule="auto"/>
              <w:rPr>
                <w:rFonts w:ascii="宋体" w:hAnsi="宋体" w:cs="宋体"/>
                <w:sz w:val="18"/>
                <w:szCs w:val="18"/>
              </w:rPr>
            </w:pPr>
          </w:p>
        </w:tc>
        <w:tc>
          <w:tcPr>
            <w:tcW w:w="705" w:type="dxa"/>
            <w:tcBorders>
              <w:top w:val="single" w:color="000000" w:sz="4" w:space="0"/>
              <w:left w:val="single" w:color="000000" w:sz="4" w:space="0"/>
              <w:bottom w:val="single" w:color="000000" w:sz="4" w:space="0"/>
              <w:right w:val="single" w:color="000000" w:sz="4" w:space="0"/>
            </w:tcBorders>
            <w:vAlign w:val="center"/>
          </w:tcPr>
          <w:p w14:paraId="1D22AD91">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000000" w:sz="4" w:space="0"/>
            </w:tcBorders>
            <w:vAlign w:val="center"/>
          </w:tcPr>
          <w:p w14:paraId="2EB49481">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000000" w:sz="4" w:space="0"/>
            </w:tcBorders>
            <w:vAlign w:val="center"/>
          </w:tcPr>
          <w:p w14:paraId="5A08628E">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auto" w:sz="4" w:space="0"/>
              <w:bottom w:val="single" w:color="000000" w:sz="4" w:space="0"/>
              <w:right w:val="single" w:color="auto" w:sz="4" w:space="0"/>
            </w:tcBorders>
            <w:vAlign w:val="center"/>
          </w:tcPr>
          <w:p w14:paraId="5D972C05">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auto" w:sz="6" w:space="0"/>
            </w:tcBorders>
            <w:vAlign w:val="center"/>
          </w:tcPr>
          <w:p w14:paraId="362CBE11">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auto" w:sz="6" w:space="0"/>
              <w:bottom w:val="single" w:color="000000" w:sz="4" w:space="0"/>
              <w:right w:val="single" w:color="000000" w:sz="4" w:space="0"/>
            </w:tcBorders>
            <w:vAlign w:val="center"/>
          </w:tcPr>
          <w:p w14:paraId="3CE4BA0E">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auto" w:sz="6" w:space="0"/>
              <w:bottom w:val="single" w:color="000000" w:sz="4" w:space="0"/>
              <w:right w:val="single" w:color="000000" w:sz="4" w:space="0"/>
            </w:tcBorders>
            <w:vAlign w:val="center"/>
          </w:tcPr>
          <w:p w14:paraId="555C408A">
            <w:pPr>
              <w:spacing w:line="360" w:lineRule="auto"/>
              <w:jc w:val="center"/>
              <w:rPr>
                <w:rFonts w:ascii="宋体" w:hAnsi="宋体" w:cs="宋体"/>
                <w:sz w:val="18"/>
                <w:szCs w:val="18"/>
              </w:rPr>
            </w:pPr>
            <w:r>
              <w:rPr>
                <w:rFonts w:hint="eastAsia" w:ascii="宋体" w:hAnsi="宋体" w:cs="宋体"/>
                <w:sz w:val="18"/>
                <w:szCs w:val="18"/>
              </w:rPr>
              <w:t>△</w:t>
            </w:r>
          </w:p>
        </w:tc>
      </w:tr>
      <w:tr w14:paraId="0C0B6D4F">
        <w:tblPrEx>
          <w:tblCellMar>
            <w:top w:w="0" w:type="dxa"/>
            <w:left w:w="0" w:type="dxa"/>
            <w:bottom w:w="0" w:type="dxa"/>
            <w:right w:w="0" w:type="dxa"/>
          </w:tblCellMar>
        </w:tblPrEx>
        <w:trPr>
          <w:trHeight w:val="504" w:hRule="exact"/>
        </w:trPr>
        <w:tc>
          <w:tcPr>
            <w:tcW w:w="2490" w:type="dxa"/>
            <w:tcBorders>
              <w:top w:val="single" w:color="000000" w:sz="4" w:space="0"/>
              <w:left w:val="single" w:color="000000" w:sz="4" w:space="0"/>
              <w:bottom w:val="single" w:color="000000" w:sz="4" w:space="0"/>
              <w:right w:val="single" w:color="000000" w:sz="4" w:space="0"/>
            </w:tcBorders>
            <w:vAlign w:val="center"/>
          </w:tcPr>
          <w:p w14:paraId="5CB788E0">
            <w:pPr>
              <w:spacing w:line="360" w:lineRule="auto"/>
              <w:rPr>
                <w:rFonts w:ascii="宋体" w:hAnsi="宋体" w:cs="宋体"/>
                <w:sz w:val="18"/>
                <w:szCs w:val="18"/>
              </w:rPr>
            </w:pPr>
            <w:r>
              <w:rPr>
                <w:rFonts w:hint="eastAsia" w:ascii="宋体" w:hAnsi="宋体" w:cs="宋体"/>
                <w:sz w:val="18"/>
                <w:szCs w:val="18"/>
              </w:rPr>
              <w:t>7.1.5监视和测量设备</w:t>
            </w:r>
          </w:p>
        </w:tc>
        <w:tc>
          <w:tcPr>
            <w:tcW w:w="2714" w:type="dxa"/>
            <w:tcBorders>
              <w:top w:val="single" w:color="000000" w:sz="4" w:space="0"/>
              <w:left w:val="single" w:color="000000" w:sz="4" w:space="0"/>
              <w:bottom w:val="single" w:color="000000" w:sz="4" w:space="0"/>
              <w:right w:val="single" w:color="auto" w:sz="4" w:space="0"/>
            </w:tcBorders>
            <w:vAlign w:val="center"/>
          </w:tcPr>
          <w:p w14:paraId="39243163">
            <w:pPr>
              <w:spacing w:line="360" w:lineRule="auto"/>
              <w:rPr>
                <w:rFonts w:ascii="宋体" w:hAnsi="宋体" w:cs="宋体"/>
                <w:sz w:val="18"/>
                <w:szCs w:val="18"/>
              </w:rPr>
            </w:pPr>
          </w:p>
        </w:tc>
        <w:tc>
          <w:tcPr>
            <w:tcW w:w="3275" w:type="dxa"/>
            <w:tcBorders>
              <w:top w:val="single" w:color="000000" w:sz="4" w:space="0"/>
              <w:left w:val="single" w:color="000000" w:sz="4" w:space="0"/>
              <w:bottom w:val="single" w:color="000000" w:sz="4" w:space="0"/>
              <w:right w:val="single" w:color="auto" w:sz="4" w:space="0"/>
            </w:tcBorders>
            <w:vAlign w:val="center"/>
          </w:tcPr>
          <w:p w14:paraId="36D32027">
            <w:pPr>
              <w:spacing w:line="360" w:lineRule="auto"/>
              <w:rPr>
                <w:rFonts w:ascii="宋体" w:hAnsi="宋体" w:cs="宋体"/>
                <w:sz w:val="18"/>
                <w:szCs w:val="18"/>
              </w:rPr>
            </w:pPr>
          </w:p>
        </w:tc>
        <w:tc>
          <w:tcPr>
            <w:tcW w:w="705" w:type="dxa"/>
            <w:tcBorders>
              <w:top w:val="single" w:color="000000" w:sz="4" w:space="0"/>
              <w:left w:val="single" w:color="000000" w:sz="4" w:space="0"/>
              <w:bottom w:val="single" w:color="000000" w:sz="4" w:space="0"/>
              <w:right w:val="single" w:color="000000" w:sz="4" w:space="0"/>
            </w:tcBorders>
            <w:vAlign w:val="center"/>
          </w:tcPr>
          <w:p w14:paraId="73E498E0">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000000" w:sz="4" w:space="0"/>
            </w:tcBorders>
            <w:vAlign w:val="center"/>
          </w:tcPr>
          <w:p w14:paraId="0F124CD0">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000000" w:sz="4" w:space="0"/>
            </w:tcBorders>
            <w:vAlign w:val="center"/>
          </w:tcPr>
          <w:p w14:paraId="73636161">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auto" w:sz="4" w:space="0"/>
              <w:bottom w:val="single" w:color="000000" w:sz="4" w:space="0"/>
              <w:right w:val="single" w:color="auto" w:sz="4" w:space="0"/>
            </w:tcBorders>
            <w:vAlign w:val="center"/>
          </w:tcPr>
          <w:p w14:paraId="0F6777A3">
            <w:pPr>
              <w:jc w:val="cente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auto" w:sz="6" w:space="0"/>
            </w:tcBorders>
            <w:vAlign w:val="center"/>
          </w:tcPr>
          <w:p w14:paraId="651FA989">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auto" w:sz="6" w:space="0"/>
              <w:bottom w:val="single" w:color="000000" w:sz="4" w:space="0"/>
              <w:right w:val="single" w:color="000000" w:sz="4" w:space="0"/>
            </w:tcBorders>
            <w:vAlign w:val="center"/>
          </w:tcPr>
          <w:p w14:paraId="138A565D">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auto" w:sz="6" w:space="0"/>
              <w:bottom w:val="single" w:color="000000" w:sz="4" w:space="0"/>
              <w:right w:val="single" w:color="000000" w:sz="4" w:space="0"/>
            </w:tcBorders>
            <w:vAlign w:val="center"/>
          </w:tcPr>
          <w:p w14:paraId="4E3E0EFE">
            <w:pPr>
              <w:spacing w:line="360" w:lineRule="auto"/>
              <w:jc w:val="center"/>
              <w:rPr>
                <w:rFonts w:ascii="宋体" w:hAnsi="宋体" w:cs="宋体"/>
                <w:sz w:val="18"/>
                <w:szCs w:val="18"/>
              </w:rPr>
            </w:pPr>
            <w:r>
              <w:rPr>
                <w:rFonts w:hint="eastAsia" w:ascii="宋体" w:hAnsi="宋体" w:cs="宋体"/>
                <w:sz w:val="18"/>
                <w:szCs w:val="18"/>
              </w:rPr>
              <w:t>△</w:t>
            </w:r>
          </w:p>
        </w:tc>
      </w:tr>
      <w:tr w14:paraId="0D059974">
        <w:tblPrEx>
          <w:tblCellMar>
            <w:top w:w="0" w:type="dxa"/>
            <w:left w:w="0" w:type="dxa"/>
            <w:bottom w:w="0" w:type="dxa"/>
            <w:right w:w="0" w:type="dxa"/>
          </w:tblCellMar>
        </w:tblPrEx>
        <w:trPr>
          <w:trHeight w:val="504" w:hRule="exact"/>
        </w:trPr>
        <w:tc>
          <w:tcPr>
            <w:tcW w:w="2490" w:type="dxa"/>
            <w:tcBorders>
              <w:top w:val="single" w:color="000000" w:sz="4" w:space="0"/>
              <w:left w:val="single" w:color="000000" w:sz="4" w:space="0"/>
              <w:bottom w:val="single" w:color="000000" w:sz="4" w:space="0"/>
              <w:right w:val="single" w:color="000000" w:sz="4" w:space="0"/>
            </w:tcBorders>
            <w:vAlign w:val="center"/>
          </w:tcPr>
          <w:p w14:paraId="75141555">
            <w:pPr>
              <w:spacing w:line="360" w:lineRule="auto"/>
              <w:rPr>
                <w:rFonts w:ascii="宋体" w:hAnsi="宋体" w:cs="宋体"/>
                <w:sz w:val="18"/>
                <w:szCs w:val="18"/>
              </w:rPr>
            </w:pPr>
            <w:r>
              <w:rPr>
                <w:rFonts w:hint="eastAsia" w:ascii="宋体" w:hAnsi="宋体" w:cs="宋体"/>
                <w:sz w:val="18"/>
                <w:szCs w:val="18"/>
              </w:rPr>
              <w:t>7.1.6组织的知识</w:t>
            </w:r>
          </w:p>
        </w:tc>
        <w:tc>
          <w:tcPr>
            <w:tcW w:w="2714" w:type="dxa"/>
            <w:tcBorders>
              <w:top w:val="single" w:color="000000" w:sz="4" w:space="0"/>
              <w:left w:val="single" w:color="000000" w:sz="4" w:space="0"/>
              <w:bottom w:val="single" w:color="000000" w:sz="4" w:space="0"/>
              <w:right w:val="single" w:color="auto" w:sz="4" w:space="0"/>
            </w:tcBorders>
            <w:vAlign w:val="center"/>
          </w:tcPr>
          <w:p w14:paraId="4C20465E">
            <w:pPr>
              <w:spacing w:line="360" w:lineRule="auto"/>
              <w:rPr>
                <w:rFonts w:ascii="宋体" w:hAnsi="宋体" w:cs="宋体"/>
                <w:sz w:val="18"/>
                <w:szCs w:val="18"/>
              </w:rPr>
            </w:pPr>
          </w:p>
        </w:tc>
        <w:tc>
          <w:tcPr>
            <w:tcW w:w="3275" w:type="dxa"/>
            <w:tcBorders>
              <w:top w:val="single" w:color="000000" w:sz="4" w:space="0"/>
              <w:left w:val="single" w:color="000000" w:sz="4" w:space="0"/>
              <w:bottom w:val="single" w:color="000000" w:sz="4" w:space="0"/>
              <w:right w:val="single" w:color="auto" w:sz="4" w:space="0"/>
            </w:tcBorders>
            <w:vAlign w:val="center"/>
          </w:tcPr>
          <w:p w14:paraId="3EC87B4B">
            <w:pPr>
              <w:spacing w:line="360" w:lineRule="auto"/>
              <w:rPr>
                <w:rFonts w:ascii="宋体" w:hAnsi="宋体" w:cs="宋体"/>
                <w:sz w:val="18"/>
                <w:szCs w:val="18"/>
              </w:rPr>
            </w:pPr>
          </w:p>
        </w:tc>
        <w:tc>
          <w:tcPr>
            <w:tcW w:w="705" w:type="dxa"/>
            <w:tcBorders>
              <w:top w:val="single" w:color="000000" w:sz="4" w:space="0"/>
              <w:left w:val="single" w:color="000000" w:sz="4" w:space="0"/>
              <w:bottom w:val="single" w:color="000000" w:sz="4" w:space="0"/>
              <w:right w:val="single" w:color="000000" w:sz="4" w:space="0"/>
            </w:tcBorders>
            <w:vAlign w:val="center"/>
          </w:tcPr>
          <w:p w14:paraId="429DE4CD">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000000" w:sz="4" w:space="0"/>
            </w:tcBorders>
            <w:vAlign w:val="center"/>
          </w:tcPr>
          <w:p w14:paraId="526EE776">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000000" w:sz="4" w:space="0"/>
            </w:tcBorders>
            <w:vAlign w:val="center"/>
          </w:tcPr>
          <w:p w14:paraId="38B25D23">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auto" w:sz="4" w:space="0"/>
              <w:bottom w:val="single" w:color="000000" w:sz="4" w:space="0"/>
              <w:right w:val="single" w:color="auto" w:sz="4" w:space="0"/>
            </w:tcBorders>
            <w:vAlign w:val="center"/>
          </w:tcPr>
          <w:p w14:paraId="466DDFE1">
            <w:pPr>
              <w:jc w:val="cente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auto" w:sz="6" w:space="0"/>
            </w:tcBorders>
            <w:vAlign w:val="center"/>
          </w:tcPr>
          <w:p w14:paraId="148306FE">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auto" w:sz="6" w:space="0"/>
              <w:bottom w:val="single" w:color="000000" w:sz="4" w:space="0"/>
              <w:right w:val="single" w:color="000000" w:sz="4" w:space="0"/>
            </w:tcBorders>
            <w:vAlign w:val="center"/>
          </w:tcPr>
          <w:p w14:paraId="214A6F34">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auto" w:sz="6" w:space="0"/>
              <w:bottom w:val="single" w:color="000000" w:sz="4" w:space="0"/>
              <w:right w:val="single" w:color="000000" w:sz="4" w:space="0"/>
            </w:tcBorders>
            <w:vAlign w:val="center"/>
          </w:tcPr>
          <w:p w14:paraId="074B8597">
            <w:pPr>
              <w:spacing w:line="360" w:lineRule="auto"/>
              <w:jc w:val="center"/>
              <w:rPr>
                <w:rFonts w:ascii="宋体" w:hAnsi="宋体" w:cs="宋体"/>
                <w:sz w:val="18"/>
                <w:szCs w:val="18"/>
              </w:rPr>
            </w:pPr>
            <w:r>
              <w:rPr>
                <w:rFonts w:hint="eastAsia" w:ascii="宋体" w:hAnsi="宋体" w:cs="宋体"/>
                <w:sz w:val="18"/>
                <w:szCs w:val="18"/>
              </w:rPr>
              <w:t>△</w:t>
            </w:r>
          </w:p>
        </w:tc>
      </w:tr>
      <w:tr w14:paraId="249F80BC">
        <w:tblPrEx>
          <w:tblCellMar>
            <w:top w:w="0" w:type="dxa"/>
            <w:left w:w="0" w:type="dxa"/>
            <w:bottom w:w="0" w:type="dxa"/>
            <w:right w:w="0" w:type="dxa"/>
          </w:tblCellMar>
        </w:tblPrEx>
        <w:trPr>
          <w:trHeight w:val="504" w:hRule="exact"/>
        </w:trPr>
        <w:tc>
          <w:tcPr>
            <w:tcW w:w="2490" w:type="dxa"/>
            <w:tcBorders>
              <w:top w:val="single" w:color="000000" w:sz="4" w:space="0"/>
              <w:left w:val="single" w:color="000000" w:sz="4" w:space="0"/>
              <w:bottom w:val="single" w:color="000000" w:sz="4" w:space="0"/>
              <w:right w:val="single" w:color="000000" w:sz="4" w:space="0"/>
            </w:tcBorders>
            <w:vAlign w:val="center"/>
          </w:tcPr>
          <w:p w14:paraId="2F8E630F">
            <w:pPr>
              <w:spacing w:line="360" w:lineRule="auto"/>
              <w:rPr>
                <w:rFonts w:ascii="宋体" w:hAnsi="宋体" w:cs="宋体"/>
                <w:sz w:val="18"/>
                <w:szCs w:val="18"/>
              </w:rPr>
            </w:pPr>
            <w:r>
              <w:rPr>
                <w:rFonts w:hint="eastAsia" w:ascii="宋体" w:hAnsi="宋体" w:cs="宋体"/>
                <w:sz w:val="18"/>
                <w:szCs w:val="18"/>
              </w:rPr>
              <w:t>7.2能力</w:t>
            </w:r>
          </w:p>
        </w:tc>
        <w:tc>
          <w:tcPr>
            <w:tcW w:w="2714" w:type="dxa"/>
            <w:tcBorders>
              <w:top w:val="single" w:color="000000" w:sz="4" w:space="0"/>
              <w:left w:val="single" w:color="000000" w:sz="4" w:space="0"/>
              <w:bottom w:val="single" w:color="000000" w:sz="4" w:space="0"/>
              <w:right w:val="single" w:color="auto" w:sz="4" w:space="0"/>
            </w:tcBorders>
            <w:vAlign w:val="center"/>
          </w:tcPr>
          <w:p w14:paraId="6B0C743A">
            <w:pPr>
              <w:spacing w:line="360" w:lineRule="auto"/>
              <w:rPr>
                <w:rFonts w:ascii="宋体" w:hAnsi="宋体" w:cs="宋体"/>
                <w:sz w:val="18"/>
                <w:szCs w:val="18"/>
              </w:rPr>
            </w:pPr>
            <w:r>
              <w:rPr>
                <w:rFonts w:hint="eastAsia" w:ascii="宋体" w:hAnsi="宋体" w:cs="宋体"/>
                <w:sz w:val="18"/>
                <w:szCs w:val="18"/>
              </w:rPr>
              <w:t>7.2能力</w:t>
            </w:r>
          </w:p>
        </w:tc>
        <w:tc>
          <w:tcPr>
            <w:tcW w:w="3275" w:type="dxa"/>
            <w:tcBorders>
              <w:top w:val="single" w:color="000000" w:sz="4" w:space="0"/>
              <w:left w:val="single" w:color="000000" w:sz="4" w:space="0"/>
              <w:bottom w:val="single" w:color="000000" w:sz="4" w:space="0"/>
              <w:right w:val="single" w:color="auto" w:sz="4" w:space="0"/>
            </w:tcBorders>
            <w:vAlign w:val="center"/>
          </w:tcPr>
          <w:p w14:paraId="1AF8F159">
            <w:pPr>
              <w:spacing w:line="360" w:lineRule="auto"/>
              <w:rPr>
                <w:rFonts w:ascii="宋体" w:hAnsi="宋体" w:cs="宋体"/>
                <w:sz w:val="18"/>
                <w:szCs w:val="18"/>
              </w:rPr>
            </w:pPr>
            <w:r>
              <w:rPr>
                <w:rFonts w:hint="eastAsia" w:ascii="宋体" w:hAnsi="宋体" w:cs="宋体"/>
                <w:sz w:val="18"/>
                <w:szCs w:val="18"/>
              </w:rPr>
              <w:t>7.2能力</w:t>
            </w:r>
          </w:p>
        </w:tc>
        <w:tc>
          <w:tcPr>
            <w:tcW w:w="705" w:type="dxa"/>
            <w:tcBorders>
              <w:top w:val="single" w:color="000000" w:sz="4" w:space="0"/>
              <w:left w:val="single" w:color="000000" w:sz="4" w:space="0"/>
              <w:bottom w:val="single" w:color="000000" w:sz="4" w:space="0"/>
              <w:right w:val="single" w:color="000000" w:sz="4" w:space="0"/>
            </w:tcBorders>
            <w:vAlign w:val="center"/>
          </w:tcPr>
          <w:p w14:paraId="1A6F7E59">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000000" w:sz="4" w:space="0"/>
            </w:tcBorders>
            <w:vAlign w:val="center"/>
          </w:tcPr>
          <w:p w14:paraId="53321898">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000000" w:sz="4" w:space="0"/>
            </w:tcBorders>
            <w:vAlign w:val="center"/>
          </w:tcPr>
          <w:p w14:paraId="5B3B3F61">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auto" w:sz="4" w:space="0"/>
              <w:bottom w:val="single" w:color="000000" w:sz="4" w:space="0"/>
              <w:right w:val="single" w:color="auto" w:sz="4" w:space="0"/>
            </w:tcBorders>
            <w:vAlign w:val="center"/>
          </w:tcPr>
          <w:p w14:paraId="793C7FF2">
            <w:pPr>
              <w:jc w:val="cente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auto" w:sz="6" w:space="0"/>
            </w:tcBorders>
            <w:vAlign w:val="center"/>
          </w:tcPr>
          <w:p w14:paraId="13C7FE76">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auto" w:sz="6" w:space="0"/>
              <w:bottom w:val="single" w:color="000000" w:sz="4" w:space="0"/>
              <w:right w:val="single" w:color="000000" w:sz="4" w:space="0"/>
            </w:tcBorders>
            <w:vAlign w:val="center"/>
          </w:tcPr>
          <w:p w14:paraId="097D3B68">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auto" w:sz="6" w:space="0"/>
              <w:bottom w:val="single" w:color="000000" w:sz="4" w:space="0"/>
              <w:right w:val="single" w:color="000000" w:sz="4" w:space="0"/>
            </w:tcBorders>
            <w:vAlign w:val="center"/>
          </w:tcPr>
          <w:p w14:paraId="4BC1D7C1">
            <w:pPr>
              <w:spacing w:line="360" w:lineRule="auto"/>
              <w:jc w:val="center"/>
              <w:rPr>
                <w:rFonts w:ascii="宋体" w:hAnsi="宋体" w:cs="宋体"/>
                <w:sz w:val="18"/>
                <w:szCs w:val="18"/>
              </w:rPr>
            </w:pPr>
            <w:r>
              <w:rPr>
                <w:rFonts w:hint="eastAsia" w:ascii="宋体" w:hAnsi="宋体" w:cs="宋体"/>
                <w:sz w:val="18"/>
                <w:szCs w:val="18"/>
              </w:rPr>
              <w:t>△</w:t>
            </w:r>
          </w:p>
        </w:tc>
      </w:tr>
      <w:tr w14:paraId="6D52D1AA">
        <w:tblPrEx>
          <w:tblCellMar>
            <w:top w:w="0" w:type="dxa"/>
            <w:left w:w="0" w:type="dxa"/>
            <w:bottom w:w="0" w:type="dxa"/>
            <w:right w:w="0" w:type="dxa"/>
          </w:tblCellMar>
        </w:tblPrEx>
        <w:trPr>
          <w:trHeight w:val="504" w:hRule="exact"/>
        </w:trPr>
        <w:tc>
          <w:tcPr>
            <w:tcW w:w="2490" w:type="dxa"/>
            <w:tcBorders>
              <w:top w:val="single" w:color="000000" w:sz="4" w:space="0"/>
              <w:left w:val="single" w:color="000000" w:sz="4" w:space="0"/>
              <w:bottom w:val="single" w:color="000000" w:sz="4" w:space="0"/>
              <w:right w:val="single" w:color="000000" w:sz="4" w:space="0"/>
            </w:tcBorders>
            <w:vAlign w:val="center"/>
          </w:tcPr>
          <w:p w14:paraId="1CF2C594">
            <w:pPr>
              <w:spacing w:line="360" w:lineRule="auto"/>
              <w:rPr>
                <w:rFonts w:ascii="宋体" w:hAnsi="宋体" w:cs="宋体"/>
                <w:sz w:val="18"/>
                <w:szCs w:val="18"/>
              </w:rPr>
            </w:pPr>
            <w:r>
              <w:rPr>
                <w:rFonts w:hint="eastAsia" w:ascii="宋体" w:hAnsi="宋体" w:cs="宋体"/>
                <w:sz w:val="18"/>
                <w:szCs w:val="18"/>
              </w:rPr>
              <w:t>7.3意识</w:t>
            </w:r>
          </w:p>
        </w:tc>
        <w:tc>
          <w:tcPr>
            <w:tcW w:w="2714" w:type="dxa"/>
            <w:tcBorders>
              <w:top w:val="single" w:color="000000" w:sz="4" w:space="0"/>
              <w:left w:val="single" w:color="000000" w:sz="4" w:space="0"/>
              <w:bottom w:val="single" w:color="000000" w:sz="4" w:space="0"/>
              <w:right w:val="single" w:color="auto" w:sz="4" w:space="0"/>
            </w:tcBorders>
            <w:vAlign w:val="center"/>
          </w:tcPr>
          <w:p w14:paraId="1567957C">
            <w:pPr>
              <w:spacing w:line="360" w:lineRule="auto"/>
              <w:rPr>
                <w:rFonts w:ascii="宋体" w:hAnsi="宋体" w:cs="宋体"/>
                <w:sz w:val="18"/>
                <w:szCs w:val="18"/>
              </w:rPr>
            </w:pPr>
            <w:r>
              <w:rPr>
                <w:rFonts w:hint="eastAsia" w:ascii="宋体" w:hAnsi="宋体" w:cs="宋体"/>
                <w:sz w:val="18"/>
                <w:szCs w:val="18"/>
              </w:rPr>
              <w:t>7.3意识</w:t>
            </w:r>
          </w:p>
        </w:tc>
        <w:tc>
          <w:tcPr>
            <w:tcW w:w="3275" w:type="dxa"/>
            <w:tcBorders>
              <w:top w:val="single" w:color="000000" w:sz="4" w:space="0"/>
              <w:left w:val="single" w:color="000000" w:sz="4" w:space="0"/>
              <w:bottom w:val="single" w:color="000000" w:sz="4" w:space="0"/>
              <w:right w:val="single" w:color="auto" w:sz="4" w:space="0"/>
            </w:tcBorders>
            <w:vAlign w:val="center"/>
          </w:tcPr>
          <w:p w14:paraId="5E4F57BD">
            <w:pPr>
              <w:spacing w:line="360" w:lineRule="auto"/>
              <w:rPr>
                <w:rFonts w:ascii="宋体" w:hAnsi="宋体" w:cs="宋体"/>
                <w:sz w:val="18"/>
                <w:szCs w:val="18"/>
              </w:rPr>
            </w:pPr>
            <w:r>
              <w:rPr>
                <w:rFonts w:hint="eastAsia" w:ascii="宋体" w:hAnsi="宋体" w:cs="宋体"/>
                <w:sz w:val="18"/>
                <w:szCs w:val="18"/>
              </w:rPr>
              <w:t>7.3意识</w:t>
            </w:r>
          </w:p>
        </w:tc>
        <w:tc>
          <w:tcPr>
            <w:tcW w:w="705" w:type="dxa"/>
            <w:tcBorders>
              <w:top w:val="single" w:color="000000" w:sz="4" w:space="0"/>
              <w:left w:val="single" w:color="000000" w:sz="4" w:space="0"/>
              <w:bottom w:val="single" w:color="000000" w:sz="4" w:space="0"/>
              <w:right w:val="single" w:color="000000" w:sz="4" w:space="0"/>
            </w:tcBorders>
            <w:vAlign w:val="center"/>
          </w:tcPr>
          <w:p w14:paraId="7206A412">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000000" w:sz="4" w:space="0"/>
            </w:tcBorders>
            <w:vAlign w:val="center"/>
          </w:tcPr>
          <w:p w14:paraId="1447540F">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000000" w:sz="4" w:space="0"/>
            </w:tcBorders>
            <w:vAlign w:val="center"/>
          </w:tcPr>
          <w:p w14:paraId="6FD9C9D7">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auto" w:sz="4" w:space="0"/>
              <w:bottom w:val="single" w:color="000000" w:sz="4" w:space="0"/>
              <w:right w:val="single" w:color="auto" w:sz="4" w:space="0"/>
            </w:tcBorders>
            <w:vAlign w:val="center"/>
          </w:tcPr>
          <w:p w14:paraId="29653E40">
            <w:pPr>
              <w:jc w:val="cente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auto" w:sz="6" w:space="0"/>
            </w:tcBorders>
            <w:vAlign w:val="center"/>
          </w:tcPr>
          <w:p w14:paraId="11C5B861">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auto" w:sz="6" w:space="0"/>
              <w:bottom w:val="single" w:color="000000" w:sz="4" w:space="0"/>
              <w:right w:val="single" w:color="000000" w:sz="4" w:space="0"/>
            </w:tcBorders>
            <w:vAlign w:val="center"/>
          </w:tcPr>
          <w:p w14:paraId="56FBDD63">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auto" w:sz="6" w:space="0"/>
              <w:bottom w:val="single" w:color="000000" w:sz="4" w:space="0"/>
              <w:right w:val="single" w:color="000000" w:sz="4" w:space="0"/>
            </w:tcBorders>
            <w:vAlign w:val="center"/>
          </w:tcPr>
          <w:p w14:paraId="59B841EB">
            <w:pPr>
              <w:spacing w:line="360" w:lineRule="auto"/>
              <w:jc w:val="center"/>
              <w:rPr>
                <w:rFonts w:ascii="宋体" w:hAnsi="宋体" w:cs="宋体"/>
                <w:sz w:val="18"/>
                <w:szCs w:val="18"/>
              </w:rPr>
            </w:pPr>
            <w:r>
              <w:rPr>
                <w:rFonts w:hint="eastAsia" w:ascii="宋体" w:hAnsi="宋体" w:cs="宋体"/>
                <w:sz w:val="18"/>
                <w:szCs w:val="18"/>
              </w:rPr>
              <w:t>△</w:t>
            </w:r>
          </w:p>
        </w:tc>
      </w:tr>
      <w:tr w14:paraId="4DD3E6C9">
        <w:tblPrEx>
          <w:tblCellMar>
            <w:top w:w="0" w:type="dxa"/>
            <w:left w:w="0" w:type="dxa"/>
            <w:bottom w:w="0" w:type="dxa"/>
            <w:right w:w="0" w:type="dxa"/>
          </w:tblCellMar>
        </w:tblPrEx>
        <w:trPr>
          <w:trHeight w:val="504" w:hRule="exact"/>
        </w:trPr>
        <w:tc>
          <w:tcPr>
            <w:tcW w:w="2490" w:type="dxa"/>
            <w:tcBorders>
              <w:top w:val="single" w:color="000000" w:sz="4" w:space="0"/>
              <w:left w:val="single" w:color="000000" w:sz="4" w:space="0"/>
              <w:bottom w:val="single" w:color="000000" w:sz="4" w:space="0"/>
              <w:right w:val="single" w:color="000000" w:sz="4" w:space="0"/>
            </w:tcBorders>
            <w:vAlign w:val="center"/>
          </w:tcPr>
          <w:p w14:paraId="51CDCDEC">
            <w:pPr>
              <w:spacing w:line="360" w:lineRule="auto"/>
              <w:rPr>
                <w:rFonts w:ascii="宋体" w:hAnsi="宋体" w:cs="宋体"/>
                <w:sz w:val="18"/>
                <w:szCs w:val="18"/>
              </w:rPr>
            </w:pPr>
            <w:r>
              <w:rPr>
                <w:rFonts w:hint="eastAsia" w:ascii="宋体" w:hAnsi="宋体" w:cs="宋体"/>
                <w:sz w:val="18"/>
                <w:szCs w:val="18"/>
              </w:rPr>
              <w:t>7.4沟通</w:t>
            </w:r>
          </w:p>
        </w:tc>
        <w:tc>
          <w:tcPr>
            <w:tcW w:w="2714" w:type="dxa"/>
            <w:tcBorders>
              <w:top w:val="single" w:color="000000" w:sz="4" w:space="0"/>
              <w:left w:val="single" w:color="000000" w:sz="4" w:space="0"/>
              <w:bottom w:val="single" w:color="000000" w:sz="4" w:space="0"/>
              <w:right w:val="single" w:color="auto" w:sz="4" w:space="0"/>
            </w:tcBorders>
            <w:vAlign w:val="center"/>
          </w:tcPr>
          <w:p w14:paraId="7505026C">
            <w:pPr>
              <w:spacing w:line="360" w:lineRule="auto"/>
              <w:rPr>
                <w:rFonts w:ascii="宋体" w:hAnsi="宋体" w:cs="宋体"/>
                <w:sz w:val="18"/>
                <w:szCs w:val="18"/>
              </w:rPr>
            </w:pPr>
            <w:r>
              <w:rPr>
                <w:rFonts w:hint="eastAsia" w:ascii="宋体" w:hAnsi="宋体" w:cs="宋体"/>
                <w:sz w:val="18"/>
                <w:szCs w:val="18"/>
              </w:rPr>
              <w:t>7.4信息交流</w:t>
            </w:r>
          </w:p>
        </w:tc>
        <w:tc>
          <w:tcPr>
            <w:tcW w:w="3275" w:type="dxa"/>
            <w:tcBorders>
              <w:top w:val="single" w:color="000000" w:sz="4" w:space="0"/>
              <w:left w:val="single" w:color="000000" w:sz="4" w:space="0"/>
              <w:bottom w:val="single" w:color="000000" w:sz="4" w:space="0"/>
              <w:right w:val="single" w:color="auto" w:sz="4" w:space="0"/>
            </w:tcBorders>
            <w:vAlign w:val="center"/>
          </w:tcPr>
          <w:p w14:paraId="7C6EB96A">
            <w:pPr>
              <w:spacing w:line="360" w:lineRule="auto"/>
              <w:rPr>
                <w:rFonts w:ascii="宋体" w:hAnsi="宋体" w:cs="宋体"/>
                <w:sz w:val="18"/>
                <w:szCs w:val="18"/>
              </w:rPr>
            </w:pPr>
            <w:r>
              <w:rPr>
                <w:rFonts w:hint="eastAsia" w:ascii="宋体" w:hAnsi="宋体" w:cs="宋体"/>
                <w:sz w:val="18"/>
                <w:szCs w:val="18"/>
              </w:rPr>
              <w:t>7.4沟通</w:t>
            </w:r>
          </w:p>
        </w:tc>
        <w:tc>
          <w:tcPr>
            <w:tcW w:w="705" w:type="dxa"/>
            <w:tcBorders>
              <w:top w:val="single" w:color="000000" w:sz="4" w:space="0"/>
              <w:left w:val="single" w:color="000000" w:sz="4" w:space="0"/>
              <w:bottom w:val="single" w:color="000000" w:sz="4" w:space="0"/>
              <w:right w:val="single" w:color="000000" w:sz="4" w:space="0"/>
            </w:tcBorders>
            <w:vAlign w:val="center"/>
          </w:tcPr>
          <w:p w14:paraId="70463DA4">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000000" w:sz="4" w:space="0"/>
            </w:tcBorders>
            <w:vAlign w:val="center"/>
          </w:tcPr>
          <w:p w14:paraId="0FB74CC8">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000000" w:sz="4" w:space="0"/>
            </w:tcBorders>
            <w:vAlign w:val="center"/>
          </w:tcPr>
          <w:p w14:paraId="6D3E8027">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auto" w:sz="4" w:space="0"/>
              <w:bottom w:val="single" w:color="000000" w:sz="4" w:space="0"/>
              <w:right w:val="single" w:color="auto" w:sz="4" w:space="0"/>
            </w:tcBorders>
            <w:vAlign w:val="center"/>
          </w:tcPr>
          <w:p w14:paraId="67980C41">
            <w:pPr>
              <w:jc w:val="cente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auto" w:sz="6" w:space="0"/>
            </w:tcBorders>
            <w:vAlign w:val="center"/>
          </w:tcPr>
          <w:p w14:paraId="2FD42918">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auto" w:sz="6" w:space="0"/>
              <w:bottom w:val="single" w:color="000000" w:sz="4" w:space="0"/>
              <w:right w:val="single" w:color="000000" w:sz="4" w:space="0"/>
            </w:tcBorders>
            <w:vAlign w:val="center"/>
          </w:tcPr>
          <w:p w14:paraId="6BB74DD7">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auto" w:sz="6" w:space="0"/>
              <w:bottom w:val="single" w:color="000000" w:sz="4" w:space="0"/>
              <w:right w:val="single" w:color="000000" w:sz="4" w:space="0"/>
            </w:tcBorders>
            <w:vAlign w:val="center"/>
          </w:tcPr>
          <w:p w14:paraId="2F8EEB04">
            <w:pPr>
              <w:spacing w:line="360" w:lineRule="auto"/>
              <w:jc w:val="center"/>
              <w:rPr>
                <w:rFonts w:ascii="宋体" w:hAnsi="宋体" w:cs="宋体"/>
                <w:sz w:val="18"/>
                <w:szCs w:val="18"/>
              </w:rPr>
            </w:pPr>
            <w:r>
              <w:rPr>
                <w:rFonts w:hint="eastAsia" w:ascii="宋体" w:hAnsi="宋体" w:cs="宋体"/>
                <w:sz w:val="18"/>
                <w:szCs w:val="18"/>
              </w:rPr>
              <w:t>△</w:t>
            </w:r>
          </w:p>
        </w:tc>
      </w:tr>
      <w:tr w14:paraId="447C37B5">
        <w:tblPrEx>
          <w:tblCellMar>
            <w:top w:w="0" w:type="dxa"/>
            <w:left w:w="0" w:type="dxa"/>
            <w:bottom w:w="0" w:type="dxa"/>
            <w:right w:w="0" w:type="dxa"/>
          </w:tblCellMar>
        </w:tblPrEx>
        <w:trPr>
          <w:trHeight w:val="504" w:hRule="exact"/>
        </w:trPr>
        <w:tc>
          <w:tcPr>
            <w:tcW w:w="2490" w:type="dxa"/>
            <w:tcBorders>
              <w:top w:val="single" w:color="000000" w:sz="4" w:space="0"/>
              <w:left w:val="single" w:color="000000" w:sz="4" w:space="0"/>
              <w:bottom w:val="single" w:color="000000" w:sz="4" w:space="0"/>
              <w:right w:val="single" w:color="000000" w:sz="4" w:space="0"/>
            </w:tcBorders>
            <w:vAlign w:val="center"/>
          </w:tcPr>
          <w:p w14:paraId="41C194F8">
            <w:pPr>
              <w:spacing w:line="360" w:lineRule="auto"/>
              <w:rPr>
                <w:rFonts w:ascii="宋体" w:hAnsi="宋体" w:cs="宋体"/>
                <w:sz w:val="18"/>
                <w:szCs w:val="18"/>
              </w:rPr>
            </w:pPr>
          </w:p>
        </w:tc>
        <w:tc>
          <w:tcPr>
            <w:tcW w:w="2714" w:type="dxa"/>
            <w:tcBorders>
              <w:top w:val="single" w:color="000000" w:sz="4" w:space="0"/>
              <w:left w:val="single" w:color="000000" w:sz="4" w:space="0"/>
              <w:bottom w:val="single" w:color="000000" w:sz="4" w:space="0"/>
              <w:right w:val="single" w:color="auto" w:sz="4" w:space="0"/>
            </w:tcBorders>
            <w:vAlign w:val="center"/>
          </w:tcPr>
          <w:p w14:paraId="5F32B16B">
            <w:pPr>
              <w:spacing w:line="360" w:lineRule="auto"/>
              <w:rPr>
                <w:rFonts w:ascii="宋体" w:hAnsi="宋体" w:cs="宋体"/>
                <w:sz w:val="18"/>
                <w:szCs w:val="18"/>
              </w:rPr>
            </w:pPr>
          </w:p>
        </w:tc>
        <w:tc>
          <w:tcPr>
            <w:tcW w:w="3275" w:type="dxa"/>
            <w:tcBorders>
              <w:top w:val="single" w:color="000000" w:sz="4" w:space="0"/>
              <w:left w:val="single" w:color="000000" w:sz="4" w:space="0"/>
              <w:bottom w:val="single" w:color="000000" w:sz="4" w:space="0"/>
              <w:right w:val="single" w:color="auto" w:sz="4" w:space="0"/>
            </w:tcBorders>
            <w:vAlign w:val="center"/>
          </w:tcPr>
          <w:p w14:paraId="751482CB">
            <w:pPr>
              <w:spacing w:line="360" w:lineRule="auto"/>
              <w:rPr>
                <w:rFonts w:ascii="宋体" w:hAnsi="宋体" w:cs="宋体"/>
                <w:sz w:val="18"/>
                <w:szCs w:val="18"/>
              </w:rPr>
            </w:pPr>
            <w:r>
              <w:rPr>
                <w:rFonts w:hint="eastAsia" w:ascii="宋体" w:hAnsi="宋体" w:cs="宋体"/>
                <w:sz w:val="18"/>
                <w:szCs w:val="18"/>
              </w:rPr>
              <w:t>7.</w:t>
            </w:r>
            <w:r>
              <w:rPr>
                <w:rFonts w:ascii="宋体" w:hAnsi="宋体" w:cs="宋体"/>
                <w:sz w:val="18"/>
                <w:szCs w:val="18"/>
              </w:rPr>
              <w:t>4.</w:t>
            </w:r>
            <w:r>
              <w:rPr>
                <w:rFonts w:hint="eastAsia" w:ascii="宋体" w:hAnsi="宋体" w:cs="宋体"/>
                <w:sz w:val="18"/>
                <w:szCs w:val="18"/>
              </w:rPr>
              <w:t>1内部沟通</w:t>
            </w:r>
          </w:p>
        </w:tc>
        <w:tc>
          <w:tcPr>
            <w:tcW w:w="705" w:type="dxa"/>
            <w:tcBorders>
              <w:top w:val="single" w:color="000000" w:sz="4" w:space="0"/>
              <w:left w:val="single" w:color="000000" w:sz="4" w:space="0"/>
              <w:bottom w:val="single" w:color="000000" w:sz="4" w:space="0"/>
              <w:right w:val="single" w:color="000000" w:sz="4" w:space="0"/>
            </w:tcBorders>
            <w:vAlign w:val="center"/>
          </w:tcPr>
          <w:p w14:paraId="12FBDCB8">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000000" w:sz="4" w:space="0"/>
            </w:tcBorders>
            <w:vAlign w:val="center"/>
          </w:tcPr>
          <w:p w14:paraId="02053C5F">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000000" w:sz="4" w:space="0"/>
            </w:tcBorders>
            <w:vAlign w:val="center"/>
          </w:tcPr>
          <w:p w14:paraId="615986BF">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auto" w:sz="4" w:space="0"/>
              <w:bottom w:val="single" w:color="000000" w:sz="4" w:space="0"/>
              <w:right w:val="single" w:color="auto" w:sz="4" w:space="0"/>
            </w:tcBorders>
            <w:vAlign w:val="center"/>
          </w:tcPr>
          <w:p w14:paraId="52124CC1">
            <w:pPr>
              <w:jc w:val="cente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auto" w:sz="6" w:space="0"/>
            </w:tcBorders>
            <w:vAlign w:val="center"/>
          </w:tcPr>
          <w:p w14:paraId="3841FD1F">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auto" w:sz="6" w:space="0"/>
              <w:bottom w:val="single" w:color="000000" w:sz="4" w:space="0"/>
              <w:right w:val="single" w:color="000000" w:sz="4" w:space="0"/>
            </w:tcBorders>
            <w:vAlign w:val="center"/>
          </w:tcPr>
          <w:p w14:paraId="27DF3C2F">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auto" w:sz="6" w:space="0"/>
              <w:bottom w:val="single" w:color="000000" w:sz="4" w:space="0"/>
              <w:right w:val="single" w:color="000000" w:sz="4" w:space="0"/>
            </w:tcBorders>
            <w:vAlign w:val="center"/>
          </w:tcPr>
          <w:p w14:paraId="317824BF">
            <w:pPr>
              <w:spacing w:line="360" w:lineRule="auto"/>
              <w:jc w:val="center"/>
              <w:rPr>
                <w:rFonts w:ascii="宋体" w:hAnsi="宋体" w:cs="宋体"/>
                <w:sz w:val="18"/>
                <w:szCs w:val="18"/>
              </w:rPr>
            </w:pPr>
            <w:r>
              <w:rPr>
                <w:rFonts w:hint="eastAsia" w:ascii="宋体" w:hAnsi="宋体" w:cs="宋体"/>
                <w:sz w:val="18"/>
                <w:szCs w:val="18"/>
              </w:rPr>
              <w:t>△</w:t>
            </w:r>
          </w:p>
        </w:tc>
      </w:tr>
      <w:tr w14:paraId="50D46F4B">
        <w:tblPrEx>
          <w:tblCellMar>
            <w:top w:w="0" w:type="dxa"/>
            <w:left w:w="0" w:type="dxa"/>
            <w:bottom w:w="0" w:type="dxa"/>
            <w:right w:w="0" w:type="dxa"/>
          </w:tblCellMar>
        </w:tblPrEx>
        <w:trPr>
          <w:trHeight w:val="504" w:hRule="exact"/>
        </w:trPr>
        <w:tc>
          <w:tcPr>
            <w:tcW w:w="2490" w:type="dxa"/>
            <w:tcBorders>
              <w:top w:val="single" w:color="000000" w:sz="4" w:space="0"/>
              <w:left w:val="single" w:color="000000" w:sz="4" w:space="0"/>
              <w:bottom w:val="single" w:color="000000" w:sz="4" w:space="0"/>
              <w:right w:val="single" w:color="000000" w:sz="4" w:space="0"/>
            </w:tcBorders>
            <w:vAlign w:val="center"/>
          </w:tcPr>
          <w:p w14:paraId="1DA51DA3">
            <w:pPr>
              <w:spacing w:line="360" w:lineRule="auto"/>
              <w:rPr>
                <w:rFonts w:ascii="宋体" w:hAnsi="宋体" w:cs="宋体"/>
                <w:sz w:val="18"/>
                <w:szCs w:val="18"/>
              </w:rPr>
            </w:pPr>
          </w:p>
        </w:tc>
        <w:tc>
          <w:tcPr>
            <w:tcW w:w="2714" w:type="dxa"/>
            <w:tcBorders>
              <w:top w:val="single" w:color="000000" w:sz="4" w:space="0"/>
              <w:left w:val="single" w:color="000000" w:sz="4" w:space="0"/>
              <w:bottom w:val="single" w:color="000000" w:sz="4" w:space="0"/>
              <w:right w:val="single" w:color="auto" w:sz="4" w:space="0"/>
            </w:tcBorders>
            <w:vAlign w:val="center"/>
          </w:tcPr>
          <w:p w14:paraId="4EB0E7AB">
            <w:pPr>
              <w:spacing w:line="360" w:lineRule="auto"/>
              <w:rPr>
                <w:rFonts w:ascii="宋体" w:hAnsi="宋体" w:cs="宋体"/>
                <w:sz w:val="18"/>
                <w:szCs w:val="18"/>
              </w:rPr>
            </w:pPr>
          </w:p>
        </w:tc>
        <w:tc>
          <w:tcPr>
            <w:tcW w:w="3275" w:type="dxa"/>
            <w:tcBorders>
              <w:top w:val="single" w:color="000000" w:sz="4" w:space="0"/>
              <w:left w:val="single" w:color="000000" w:sz="4" w:space="0"/>
              <w:bottom w:val="single" w:color="000000" w:sz="4" w:space="0"/>
              <w:right w:val="single" w:color="auto" w:sz="4" w:space="0"/>
            </w:tcBorders>
            <w:vAlign w:val="center"/>
          </w:tcPr>
          <w:p w14:paraId="6C0DFF1C">
            <w:pPr>
              <w:spacing w:line="360" w:lineRule="auto"/>
              <w:rPr>
                <w:rFonts w:ascii="宋体" w:hAnsi="宋体" w:cs="宋体"/>
                <w:sz w:val="18"/>
                <w:szCs w:val="18"/>
              </w:rPr>
            </w:pPr>
            <w:r>
              <w:rPr>
                <w:rFonts w:hint="eastAsia" w:ascii="宋体" w:hAnsi="宋体" w:cs="宋体"/>
                <w:sz w:val="18"/>
                <w:szCs w:val="18"/>
              </w:rPr>
              <w:t>7.4</w:t>
            </w:r>
            <w:r>
              <w:rPr>
                <w:rFonts w:ascii="宋体" w:hAnsi="宋体" w:cs="宋体"/>
                <w:sz w:val="18"/>
                <w:szCs w:val="18"/>
              </w:rPr>
              <w:t>.2外部</w:t>
            </w:r>
            <w:r>
              <w:rPr>
                <w:rFonts w:hint="eastAsia" w:ascii="宋体" w:hAnsi="宋体" w:cs="宋体"/>
                <w:sz w:val="18"/>
                <w:szCs w:val="18"/>
              </w:rPr>
              <w:t>沟通</w:t>
            </w:r>
          </w:p>
        </w:tc>
        <w:tc>
          <w:tcPr>
            <w:tcW w:w="705" w:type="dxa"/>
            <w:tcBorders>
              <w:top w:val="single" w:color="000000" w:sz="4" w:space="0"/>
              <w:left w:val="single" w:color="000000" w:sz="4" w:space="0"/>
              <w:bottom w:val="single" w:color="000000" w:sz="4" w:space="0"/>
              <w:right w:val="single" w:color="000000" w:sz="4" w:space="0"/>
            </w:tcBorders>
            <w:vAlign w:val="center"/>
          </w:tcPr>
          <w:p w14:paraId="6735CA21">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000000" w:sz="4" w:space="0"/>
            </w:tcBorders>
            <w:vAlign w:val="center"/>
          </w:tcPr>
          <w:p w14:paraId="29E7BE96">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000000" w:sz="4" w:space="0"/>
            </w:tcBorders>
            <w:vAlign w:val="center"/>
          </w:tcPr>
          <w:p w14:paraId="2EA3BD84">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auto" w:sz="4" w:space="0"/>
              <w:bottom w:val="single" w:color="000000" w:sz="4" w:space="0"/>
              <w:right w:val="single" w:color="auto" w:sz="4" w:space="0"/>
            </w:tcBorders>
            <w:vAlign w:val="center"/>
          </w:tcPr>
          <w:p w14:paraId="44619A74">
            <w:pPr>
              <w:jc w:val="cente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auto" w:sz="6" w:space="0"/>
            </w:tcBorders>
            <w:vAlign w:val="center"/>
          </w:tcPr>
          <w:p w14:paraId="17ADDAA9">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auto" w:sz="6" w:space="0"/>
              <w:bottom w:val="single" w:color="000000" w:sz="4" w:space="0"/>
              <w:right w:val="single" w:color="000000" w:sz="4" w:space="0"/>
            </w:tcBorders>
            <w:vAlign w:val="center"/>
          </w:tcPr>
          <w:p w14:paraId="77B36C22">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auto" w:sz="6" w:space="0"/>
              <w:bottom w:val="single" w:color="000000" w:sz="4" w:space="0"/>
              <w:right w:val="single" w:color="000000" w:sz="4" w:space="0"/>
            </w:tcBorders>
            <w:vAlign w:val="center"/>
          </w:tcPr>
          <w:p w14:paraId="2E9DFC62">
            <w:pPr>
              <w:spacing w:line="360" w:lineRule="auto"/>
              <w:jc w:val="center"/>
              <w:rPr>
                <w:rFonts w:ascii="宋体" w:hAnsi="宋体" w:cs="宋体"/>
                <w:sz w:val="18"/>
                <w:szCs w:val="18"/>
              </w:rPr>
            </w:pPr>
            <w:r>
              <w:rPr>
                <w:rFonts w:hint="eastAsia" w:ascii="宋体" w:hAnsi="宋体" w:cs="宋体"/>
                <w:sz w:val="18"/>
                <w:szCs w:val="18"/>
              </w:rPr>
              <w:t>△</w:t>
            </w:r>
          </w:p>
        </w:tc>
      </w:tr>
      <w:tr w14:paraId="4C7B2124">
        <w:tblPrEx>
          <w:tblCellMar>
            <w:top w:w="0" w:type="dxa"/>
            <w:left w:w="0" w:type="dxa"/>
            <w:bottom w:w="0" w:type="dxa"/>
            <w:right w:w="0" w:type="dxa"/>
          </w:tblCellMar>
        </w:tblPrEx>
        <w:trPr>
          <w:trHeight w:val="504" w:hRule="exact"/>
        </w:trPr>
        <w:tc>
          <w:tcPr>
            <w:tcW w:w="2490" w:type="dxa"/>
            <w:tcBorders>
              <w:top w:val="single" w:color="000000" w:sz="4" w:space="0"/>
              <w:left w:val="single" w:color="000000" w:sz="4" w:space="0"/>
              <w:bottom w:val="single" w:color="000000" w:sz="4" w:space="0"/>
              <w:right w:val="single" w:color="000000" w:sz="4" w:space="0"/>
            </w:tcBorders>
            <w:vAlign w:val="center"/>
          </w:tcPr>
          <w:p w14:paraId="7A3DD1CD">
            <w:pPr>
              <w:spacing w:line="360" w:lineRule="auto"/>
              <w:rPr>
                <w:rFonts w:ascii="宋体" w:hAnsi="宋体" w:cs="宋体"/>
                <w:sz w:val="18"/>
                <w:szCs w:val="18"/>
              </w:rPr>
            </w:pPr>
            <w:r>
              <w:rPr>
                <w:rFonts w:hint="eastAsia" w:ascii="宋体" w:hAnsi="宋体" w:cs="宋体"/>
                <w:sz w:val="18"/>
                <w:szCs w:val="18"/>
              </w:rPr>
              <w:t>7.5形成文件的信息</w:t>
            </w:r>
          </w:p>
        </w:tc>
        <w:tc>
          <w:tcPr>
            <w:tcW w:w="2714" w:type="dxa"/>
            <w:tcBorders>
              <w:top w:val="single" w:color="000000" w:sz="4" w:space="0"/>
              <w:left w:val="single" w:color="000000" w:sz="4" w:space="0"/>
              <w:bottom w:val="single" w:color="000000" w:sz="4" w:space="0"/>
              <w:right w:val="single" w:color="auto" w:sz="4" w:space="0"/>
            </w:tcBorders>
            <w:vAlign w:val="center"/>
          </w:tcPr>
          <w:p w14:paraId="0673CBE0">
            <w:pPr>
              <w:spacing w:line="360" w:lineRule="auto"/>
              <w:rPr>
                <w:rFonts w:ascii="宋体" w:hAnsi="宋体" w:cs="宋体"/>
                <w:sz w:val="18"/>
                <w:szCs w:val="18"/>
              </w:rPr>
            </w:pPr>
            <w:r>
              <w:rPr>
                <w:rFonts w:hint="eastAsia" w:ascii="宋体" w:hAnsi="宋体" w:cs="宋体"/>
                <w:sz w:val="18"/>
                <w:szCs w:val="18"/>
              </w:rPr>
              <w:t>7.5形成文件的信息</w:t>
            </w:r>
          </w:p>
        </w:tc>
        <w:tc>
          <w:tcPr>
            <w:tcW w:w="3275" w:type="dxa"/>
            <w:tcBorders>
              <w:top w:val="single" w:color="000000" w:sz="4" w:space="0"/>
              <w:left w:val="single" w:color="000000" w:sz="4" w:space="0"/>
              <w:bottom w:val="single" w:color="000000" w:sz="4" w:space="0"/>
              <w:right w:val="single" w:color="auto" w:sz="4" w:space="0"/>
            </w:tcBorders>
            <w:vAlign w:val="center"/>
          </w:tcPr>
          <w:p w14:paraId="7AE213D1">
            <w:pPr>
              <w:spacing w:line="360" w:lineRule="auto"/>
              <w:rPr>
                <w:rFonts w:ascii="宋体" w:hAnsi="宋体" w:cs="宋体"/>
                <w:sz w:val="18"/>
                <w:szCs w:val="18"/>
              </w:rPr>
            </w:pPr>
            <w:r>
              <w:rPr>
                <w:rFonts w:hint="eastAsia" w:ascii="宋体" w:hAnsi="宋体" w:cs="宋体"/>
                <w:sz w:val="18"/>
                <w:szCs w:val="18"/>
              </w:rPr>
              <w:t>7.5形成文件的信息</w:t>
            </w:r>
          </w:p>
        </w:tc>
        <w:tc>
          <w:tcPr>
            <w:tcW w:w="705" w:type="dxa"/>
            <w:tcBorders>
              <w:top w:val="single" w:color="000000" w:sz="4" w:space="0"/>
              <w:left w:val="single" w:color="000000" w:sz="4" w:space="0"/>
              <w:bottom w:val="single" w:color="000000" w:sz="4" w:space="0"/>
              <w:right w:val="single" w:color="000000" w:sz="4" w:space="0"/>
            </w:tcBorders>
            <w:vAlign w:val="center"/>
          </w:tcPr>
          <w:p w14:paraId="162B9195">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000000" w:sz="4" w:space="0"/>
            </w:tcBorders>
            <w:vAlign w:val="center"/>
          </w:tcPr>
          <w:p w14:paraId="1AF2A746">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000000" w:sz="4" w:space="0"/>
            </w:tcBorders>
            <w:vAlign w:val="center"/>
          </w:tcPr>
          <w:p w14:paraId="5F43C950">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auto" w:sz="4" w:space="0"/>
              <w:bottom w:val="single" w:color="000000" w:sz="4" w:space="0"/>
              <w:right w:val="single" w:color="auto" w:sz="4" w:space="0"/>
            </w:tcBorders>
            <w:vAlign w:val="center"/>
          </w:tcPr>
          <w:p w14:paraId="3C281276">
            <w:pPr>
              <w:jc w:val="cente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auto" w:sz="6" w:space="0"/>
            </w:tcBorders>
            <w:vAlign w:val="center"/>
          </w:tcPr>
          <w:p w14:paraId="6BAAE8E2">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auto" w:sz="6" w:space="0"/>
              <w:bottom w:val="single" w:color="000000" w:sz="4" w:space="0"/>
              <w:right w:val="single" w:color="000000" w:sz="4" w:space="0"/>
            </w:tcBorders>
            <w:vAlign w:val="center"/>
          </w:tcPr>
          <w:p w14:paraId="0AA4C4B5">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auto" w:sz="6" w:space="0"/>
              <w:bottom w:val="single" w:color="000000" w:sz="4" w:space="0"/>
              <w:right w:val="single" w:color="000000" w:sz="4" w:space="0"/>
            </w:tcBorders>
            <w:vAlign w:val="center"/>
          </w:tcPr>
          <w:p w14:paraId="750B3615">
            <w:pPr>
              <w:spacing w:line="360" w:lineRule="auto"/>
              <w:jc w:val="center"/>
              <w:rPr>
                <w:rFonts w:ascii="宋体" w:hAnsi="宋体" w:cs="宋体"/>
                <w:sz w:val="18"/>
                <w:szCs w:val="18"/>
              </w:rPr>
            </w:pPr>
            <w:r>
              <w:rPr>
                <w:rFonts w:hint="eastAsia" w:ascii="宋体" w:hAnsi="宋体" w:cs="宋体"/>
                <w:sz w:val="18"/>
                <w:szCs w:val="18"/>
              </w:rPr>
              <w:t>△</w:t>
            </w:r>
          </w:p>
        </w:tc>
      </w:tr>
      <w:tr w14:paraId="67BC1F88">
        <w:tblPrEx>
          <w:tblCellMar>
            <w:top w:w="0" w:type="dxa"/>
            <w:left w:w="0" w:type="dxa"/>
            <w:bottom w:w="0" w:type="dxa"/>
            <w:right w:w="0" w:type="dxa"/>
          </w:tblCellMar>
        </w:tblPrEx>
        <w:trPr>
          <w:trHeight w:val="504" w:hRule="exact"/>
        </w:trPr>
        <w:tc>
          <w:tcPr>
            <w:tcW w:w="2490" w:type="dxa"/>
            <w:tcBorders>
              <w:top w:val="single" w:color="000000" w:sz="4" w:space="0"/>
              <w:left w:val="single" w:color="000000" w:sz="4" w:space="0"/>
              <w:bottom w:val="single" w:color="000000" w:sz="4" w:space="0"/>
              <w:right w:val="single" w:color="000000" w:sz="4" w:space="0"/>
            </w:tcBorders>
            <w:vAlign w:val="center"/>
          </w:tcPr>
          <w:p w14:paraId="5ACBFA95">
            <w:pPr>
              <w:spacing w:line="360" w:lineRule="auto"/>
              <w:rPr>
                <w:rFonts w:ascii="宋体" w:hAnsi="宋体" w:cs="宋体"/>
                <w:sz w:val="18"/>
                <w:szCs w:val="18"/>
              </w:rPr>
            </w:pPr>
            <w:r>
              <w:rPr>
                <w:rFonts w:hint="eastAsia" w:ascii="宋体" w:hAnsi="宋体" w:cs="宋体"/>
                <w:sz w:val="18"/>
                <w:szCs w:val="18"/>
              </w:rPr>
              <w:t>7.5.2创建和更新</w:t>
            </w:r>
          </w:p>
        </w:tc>
        <w:tc>
          <w:tcPr>
            <w:tcW w:w="2714" w:type="dxa"/>
            <w:tcBorders>
              <w:top w:val="single" w:color="000000" w:sz="4" w:space="0"/>
              <w:left w:val="single" w:color="000000" w:sz="4" w:space="0"/>
              <w:bottom w:val="single" w:color="000000" w:sz="4" w:space="0"/>
              <w:right w:val="single" w:color="auto" w:sz="4" w:space="0"/>
            </w:tcBorders>
            <w:vAlign w:val="center"/>
          </w:tcPr>
          <w:p w14:paraId="5D99444D">
            <w:pPr>
              <w:spacing w:line="360" w:lineRule="auto"/>
              <w:rPr>
                <w:rFonts w:ascii="宋体" w:hAnsi="宋体" w:cs="宋体"/>
                <w:sz w:val="18"/>
                <w:szCs w:val="18"/>
              </w:rPr>
            </w:pPr>
            <w:r>
              <w:rPr>
                <w:rFonts w:hint="eastAsia" w:ascii="宋体" w:hAnsi="宋体" w:cs="宋体"/>
                <w:sz w:val="18"/>
                <w:szCs w:val="18"/>
              </w:rPr>
              <w:t>7.5.2创建和更新</w:t>
            </w:r>
          </w:p>
        </w:tc>
        <w:tc>
          <w:tcPr>
            <w:tcW w:w="3275" w:type="dxa"/>
            <w:tcBorders>
              <w:top w:val="single" w:color="000000" w:sz="4" w:space="0"/>
              <w:left w:val="single" w:color="000000" w:sz="4" w:space="0"/>
              <w:bottom w:val="single" w:color="000000" w:sz="4" w:space="0"/>
              <w:right w:val="single" w:color="auto" w:sz="4" w:space="0"/>
            </w:tcBorders>
            <w:vAlign w:val="center"/>
          </w:tcPr>
          <w:p w14:paraId="6F22F6DF">
            <w:pPr>
              <w:spacing w:line="360" w:lineRule="auto"/>
              <w:rPr>
                <w:rFonts w:ascii="宋体" w:hAnsi="宋体" w:cs="宋体"/>
                <w:sz w:val="18"/>
                <w:szCs w:val="18"/>
              </w:rPr>
            </w:pPr>
            <w:r>
              <w:rPr>
                <w:rFonts w:hint="eastAsia" w:ascii="宋体" w:hAnsi="宋体" w:cs="宋体"/>
                <w:sz w:val="18"/>
                <w:szCs w:val="18"/>
              </w:rPr>
              <w:t>7.5.2创建和更新</w:t>
            </w:r>
          </w:p>
        </w:tc>
        <w:tc>
          <w:tcPr>
            <w:tcW w:w="705" w:type="dxa"/>
            <w:tcBorders>
              <w:top w:val="single" w:color="000000" w:sz="4" w:space="0"/>
              <w:left w:val="single" w:color="000000" w:sz="4" w:space="0"/>
              <w:bottom w:val="single" w:color="000000" w:sz="4" w:space="0"/>
              <w:right w:val="single" w:color="000000" w:sz="4" w:space="0"/>
            </w:tcBorders>
            <w:vAlign w:val="center"/>
          </w:tcPr>
          <w:p w14:paraId="36AFDA4C">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000000" w:sz="4" w:space="0"/>
            </w:tcBorders>
            <w:vAlign w:val="center"/>
          </w:tcPr>
          <w:p w14:paraId="2ACA043E">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000000" w:sz="4" w:space="0"/>
            </w:tcBorders>
            <w:vAlign w:val="center"/>
          </w:tcPr>
          <w:p w14:paraId="2C212FE4">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auto" w:sz="4" w:space="0"/>
              <w:bottom w:val="single" w:color="000000" w:sz="4" w:space="0"/>
              <w:right w:val="single" w:color="auto" w:sz="4" w:space="0"/>
            </w:tcBorders>
            <w:vAlign w:val="center"/>
          </w:tcPr>
          <w:p w14:paraId="7E3F6626">
            <w:pPr>
              <w:jc w:val="cente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auto" w:sz="6" w:space="0"/>
            </w:tcBorders>
            <w:vAlign w:val="center"/>
          </w:tcPr>
          <w:p w14:paraId="25268C16">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auto" w:sz="6" w:space="0"/>
              <w:bottom w:val="single" w:color="000000" w:sz="4" w:space="0"/>
              <w:right w:val="single" w:color="000000" w:sz="4" w:space="0"/>
            </w:tcBorders>
            <w:vAlign w:val="center"/>
          </w:tcPr>
          <w:p w14:paraId="7171D0BE">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auto" w:sz="6" w:space="0"/>
              <w:bottom w:val="single" w:color="000000" w:sz="4" w:space="0"/>
              <w:right w:val="single" w:color="000000" w:sz="4" w:space="0"/>
            </w:tcBorders>
            <w:vAlign w:val="center"/>
          </w:tcPr>
          <w:p w14:paraId="422FC73E">
            <w:pPr>
              <w:spacing w:line="360" w:lineRule="auto"/>
              <w:jc w:val="center"/>
              <w:rPr>
                <w:rFonts w:ascii="宋体" w:hAnsi="宋体" w:cs="宋体"/>
                <w:sz w:val="18"/>
                <w:szCs w:val="18"/>
              </w:rPr>
            </w:pPr>
            <w:r>
              <w:rPr>
                <w:rFonts w:hint="eastAsia" w:ascii="宋体" w:hAnsi="宋体" w:cs="宋体"/>
                <w:sz w:val="18"/>
                <w:szCs w:val="18"/>
              </w:rPr>
              <w:t>△</w:t>
            </w:r>
          </w:p>
        </w:tc>
      </w:tr>
      <w:tr w14:paraId="4FD46382">
        <w:tblPrEx>
          <w:tblCellMar>
            <w:top w:w="0" w:type="dxa"/>
            <w:left w:w="0" w:type="dxa"/>
            <w:bottom w:w="0" w:type="dxa"/>
            <w:right w:w="0" w:type="dxa"/>
          </w:tblCellMar>
        </w:tblPrEx>
        <w:trPr>
          <w:trHeight w:val="504" w:hRule="exact"/>
        </w:trPr>
        <w:tc>
          <w:tcPr>
            <w:tcW w:w="2490" w:type="dxa"/>
            <w:tcBorders>
              <w:top w:val="single" w:color="000000" w:sz="4" w:space="0"/>
              <w:left w:val="single" w:color="000000" w:sz="4" w:space="0"/>
              <w:bottom w:val="single" w:color="000000" w:sz="4" w:space="0"/>
              <w:right w:val="single" w:color="000000" w:sz="4" w:space="0"/>
            </w:tcBorders>
            <w:vAlign w:val="center"/>
          </w:tcPr>
          <w:p w14:paraId="02BF92F6">
            <w:pPr>
              <w:spacing w:line="360" w:lineRule="auto"/>
              <w:rPr>
                <w:rFonts w:ascii="宋体" w:hAnsi="宋体" w:cs="宋体"/>
                <w:sz w:val="18"/>
                <w:szCs w:val="18"/>
              </w:rPr>
            </w:pPr>
            <w:r>
              <w:rPr>
                <w:rFonts w:hint="eastAsia" w:ascii="宋体" w:hAnsi="宋体" w:cs="宋体"/>
                <w:sz w:val="18"/>
                <w:szCs w:val="18"/>
              </w:rPr>
              <w:t>7.5.3成文信息的控制</w:t>
            </w:r>
          </w:p>
        </w:tc>
        <w:tc>
          <w:tcPr>
            <w:tcW w:w="2714" w:type="dxa"/>
            <w:tcBorders>
              <w:top w:val="single" w:color="000000" w:sz="4" w:space="0"/>
              <w:left w:val="single" w:color="000000" w:sz="4" w:space="0"/>
              <w:bottom w:val="single" w:color="000000" w:sz="4" w:space="0"/>
              <w:right w:val="single" w:color="auto" w:sz="4" w:space="0"/>
            </w:tcBorders>
            <w:vAlign w:val="center"/>
          </w:tcPr>
          <w:p w14:paraId="59BFD45E">
            <w:pPr>
              <w:spacing w:line="360" w:lineRule="auto"/>
              <w:rPr>
                <w:rFonts w:ascii="宋体" w:hAnsi="宋体" w:cs="宋体"/>
                <w:sz w:val="18"/>
                <w:szCs w:val="18"/>
              </w:rPr>
            </w:pPr>
            <w:r>
              <w:rPr>
                <w:rFonts w:hint="eastAsia" w:ascii="宋体" w:hAnsi="宋体" w:cs="宋体"/>
                <w:sz w:val="18"/>
                <w:szCs w:val="18"/>
              </w:rPr>
              <w:t>7.5.3文件化信息的控制</w:t>
            </w:r>
          </w:p>
        </w:tc>
        <w:tc>
          <w:tcPr>
            <w:tcW w:w="3275" w:type="dxa"/>
            <w:tcBorders>
              <w:top w:val="single" w:color="000000" w:sz="4" w:space="0"/>
              <w:left w:val="single" w:color="000000" w:sz="4" w:space="0"/>
              <w:bottom w:val="single" w:color="000000" w:sz="4" w:space="0"/>
              <w:right w:val="single" w:color="auto" w:sz="4" w:space="0"/>
            </w:tcBorders>
            <w:vAlign w:val="center"/>
          </w:tcPr>
          <w:p w14:paraId="67BC9776">
            <w:pPr>
              <w:spacing w:line="360" w:lineRule="auto"/>
              <w:rPr>
                <w:rFonts w:ascii="宋体" w:hAnsi="宋体" w:cs="宋体"/>
                <w:sz w:val="18"/>
                <w:szCs w:val="18"/>
              </w:rPr>
            </w:pPr>
            <w:r>
              <w:rPr>
                <w:rFonts w:hint="eastAsia" w:ascii="宋体" w:hAnsi="宋体" w:cs="宋体"/>
                <w:sz w:val="18"/>
                <w:szCs w:val="18"/>
              </w:rPr>
              <w:t>7.5.3成文信息的控制</w:t>
            </w:r>
          </w:p>
        </w:tc>
        <w:tc>
          <w:tcPr>
            <w:tcW w:w="705" w:type="dxa"/>
            <w:tcBorders>
              <w:top w:val="single" w:color="000000" w:sz="4" w:space="0"/>
              <w:left w:val="single" w:color="000000" w:sz="4" w:space="0"/>
              <w:bottom w:val="single" w:color="000000" w:sz="4" w:space="0"/>
              <w:right w:val="single" w:color="000000" w:sz="4" w:space="0"/>
            </w:tcBorders>
            <w:vAlign w:val="center"/>
          </w:tcPr>
          <w:p w14:paraId="713049F5">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000000" w:sz="4" w:space="0"/>
            </w:tcBorders>
            <w:vAlign w:val="center"/>
          </w:tcPr>
          <w:p w14:paraId="25A3725E">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000000" w:sz="4" w:space="0"/>
            </w:tcBorders>
            <w:vAlign w:val="center"/>
          </w:tcPr>
          <w:p w14:paraId="4D36BBBE">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auto" w:sz="4" w:space="0"/>
            </w:tcBorders>
            <w:vAlign w:val="center"/>
          </w:tcPr>
          <w:p w14:paraId="600D6E5E">
            <w:pPr>
              <w:jc w:val="center"/>
            </w:pPr>
            <w:r>
              <w:rPr>
                <w:rFonts w:hint="eastAsia" w:ascii="宋体" w:hAnsi="宋体" w:cs="宋体"/>
                <w:sz w:val="18"/>
                <w:szCs w:val="18"/>
              </w:rPr>
              <w:t>△</w:t>
            </w:r>
          </w:p>
        </w:tc>
        <w:tc>
          <w:tcPr>
            <w:tcW w:w="705" w:type="dxa"/>
            <w:tcBorders>
              <w:top w:val="single" w:color="000000" w:sz="4" w:space="0"/>
              <w:left w:val="single" w:color="auto" w:sz="4" w:space="0"/>
              <w:bottom w:val="single" w:color="000000" w:sz="4" w:space="0"/>
              <w:right w:val="single" w:color="000000" w:sz="4" w:space="0"/>
            </w:tcBorders>
            <w:vAlign w:val="center"/>
          </w:tcPr>
          <w:p w14:paraId="1AD0193B">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auto" w:sz="4" w:space="0"/>
              <w:bottom w:val="single" w:color="000000" w:sz="4" w:space="0"/>
              <w:right w:val="single" w:color="000000" w:sz="4" w:space="0"/>
            </w:tcBorders>
            <w:vAlign w:val="center"/>
          </w:tcPr>
          <w:p w14:paraId="08451D2E">
            <w:pPr>
              <w:jc w:val="center"/>
            </w:pPr>
            <w:r>
              <w:rPr>
                <w:rFonts w:hint="eastAsia" w:ascii="宋体" w:hAnsi="宋体" w:cs="宋体"/>
                <w:sz w:val="18"/>
                <w:szCs w:val="18"/>
              </w:rPr>
              <w:t>△</w:t>
            </w:r>
          </w:p>
        </w:tc>
        <w:tc>
          <w:tcPr>
            <w:tcW w:w="705" w:type="dxa"/>
            <w:tcBorders>
              <w:top w:val="single" w:color="000000" w:sz="4" w:space="0"/>
              <w:left w:val="single" w:color="auto" w:sz="4" w:space="0"/>
              <w:bottom w:val="single" w:color="000000" w:sz="4" w:space="0"/>
              <w:right w:val="single" w:color="000000" w:sz="4" w:space="0"/>
            </w:tcBorders>
            <w:vAlign w:val="center"/>
          </w:tcPr>
          <w:p w14:paraId="569D8E1A">
            <w:pPr>
              <w:jc w:val="center"/>
            </w:pPr>
            <w:r>
              <w:rPr>
                <w:rFonts w:hint="eastAsia" w:ascii="宋体" w:hAnsi="宋体" w:cs="宋体"/>
                <w:sz w:val="18"/>
                <w:szCs w:val="18"/>
              </w:rPr>
              <w:t>△</w:t>
            </w:r>
          </w:p>
        </w:tc>
      </w:tr>
      <w:tr w14:paraId="5C560E49">
        <w:tblPrEx>
          <w:tblCellMar>
            <w:top w:w="0" w:type="dxa"/>
            <w:left w:w="0" w:type="dxa"/>
            <w:bottom w:w="0" w:type="dxa"/>
            <w:right w:w="0" w:type="dxa"/>
          </w:tblCellMar>
        </w:tblPrEx>
        <w:trPr>
          <w:trHeight w:val="504" w:hRule="exact"/>
        </w:trPr>
        <w:tc>
          <w:tcPr>
            <w:tcW w:w="2490" w:type="dxa"/>
            <w:tcBorders>
              <w:top w:val="single" w:color="000000" w:sz="4" w:space="0"/>
              <w:left w:val="single" w:color="000000" w:sz="4" w:space="0"/>
              <w:bottom w:val="single" w:color="000000" w:sz="4" w:space="0"/>
              <w:right w:val="single" w:color="000000" w:sz="4" w:space="0"/>
            </w:tcBorders>
            <w:vAlign w:val="center"/>
          </w:tcPr>
          <w:p w14:paraId="4F9017A9">
            <w:pPr>
              <w:spacing w:line="360" w:lineRule="auto"/>
              <w:rPr>
                <w:rFonts w:ascii="宋体" w:hAnsi="宋体" w:cs="宋体"/>
                <w:sz w:val="18"/>
                <w:szCs w:val="18"/>
              </w:rPr>
            </w:pPr>
            <w:r>
              <w:rPr>
                <w:rFonts w:hint="eastAsia" w:ascii="宋体" w:hAnsi="宋体" w:cs="宋体"/>
                <w:sz w:val="18"/>
                <w:szCs w:val="18"/>
              </w:rPr>
              <w:t>8.1运行策划和控制</w:t>
            </w:r>
          </w:p>
        </w:tc>
        <w:tc>
          <w:tcPr>
            <w:tcW w:w="2714" w:type="dxa"/>
            <w:tcBorders>
              <w:top w:val="single" w:color="000000" w:sz="4" w:space="0"/>
              <w:left w:val="single" w:color="000000" w:sz="4" w:space="0"/>
              <w:bottom w:val="single" w:color="000000" w:sz="4" w:space="0"/>
              <w:right w:val="single" w:color="auto" w:sz="4" w:space="0"/>
            </w:tcBorders>
            <w:vAlign w:val="center"/>
          </w:tcPr>
          <w:p w14:paraId="6D5C62F4">
            <w:pPr>
              <w:spacing w:line="360" w:lineRule="auto"/>
              <w:rPr>
                <w:rFonts w:ascii="宋体" w:hAnsi="宋体" w:cs="宋体"/>
                <w:sz w:val="18"/>
                <w:szCs w:val="18"/>
              </w:rPr>
            </w:pPr>
          </w:p>
        </w:tc>
        <w:tc>
          <w:tcPr>
            <w:tcW w:w="3275" w:type="dxa"/>
            <w:tcBorders>
              <w:top w:val="single" w:color="000000" w:sz="4" w:space="0"/>
              <w:left w:val="single" w:color="000000" w:sz="4" w:space="0"/>
              <w:bottom w:val="single" w:color="000000" w:sz="4" w:space="0"/>
              <w:right w:val="single" w:color="auto" w:sz="4" w:space="0"/>
            </w:tcBorders>
            <w:vAlign w:val="center"/>
          </w:tcPr>
          <w:p w14:paraId="241BD55A">
            <w:pPr>
              <w:spacing w:line="360" w:lineRule="auto"/>
              <w:rPr>
                <w:rFonts w:ascii="宋体" w:hAnsi="宋体" w:cs="宋体"/>
                <w:sz w:val="18"/>
                <w:szCs w:val="18"/>
              </w:rPr>
            </w:pPr>
          </w:p>
        </w:tc>
        <w:tc>
          <w:tcPr>
            <w:tcW w:w="705" w:type="dxa"/>
            <w:tcBorders>
              <w:top w:val="single" w:color="000000" w:sz="4" w:space="0"/>
              <w:left w:val="single" w:color="000000" w:sz="4" w:space="0"/>
              <w:bottom w:val="single" w:color="000000" w:sz="4" w:space="0"/>
              <w:right w:val="single" w:color="000000" w:sz="4" w:space="0"/>
            </w:tcBorders>
            <w:vAlign w:val="center"/>
          </w:tcPr>
          <w:p w14:paraId="2F58A8C4">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000000" w:sz="4" w:space="0"/>
            </w:tcBorders>
            <w:vAlign w:val="center"/>
          </w:tcPr>
          <w:p w14:paraId="76675651">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000000" w:sz="4" w:space="0"/>
            </w:tcBorders>
            <w:vAlign w:val="center"/>
          </w:tcPr>
          <w:p w14:paraId="4EC3BCE6">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000000" w:sz="4" w:space="0"/>
              <w:bottom w:val="single" w:color="000000" w:sz="4" w:space="0"/>
              <w:right w:val="single" w:color="auto" w:sz="4" w:space="0"/>
            </w:tcBorders>
            <w:vAlign w:val="center"/>
          </w:tcPr>
          <w:p w14:paraId="202EDA99">
            <w:pPr>
              <w:jc w:val="center"/>
            </w:pPr>
            <w:r>
              <w:rPr>
                <w:rFonts w:hint="eastAsia" w:ascii="宋体" w:hAnsi="宋体" w:cs="宋体"/>
                <w:sz w:val="18"/>
                <w:szCs w:val="18"/>
              </w:rPr>
              <w:t>★</w:t>
            </w:r>
          </w:p>
        </w:tc>
        <w:tc>
          <w:tcPr>
            <w:tcW w:w="705" w:type="dxa"/>
            <w:tcBorders>
              <w:top w:val="single" w:color="000000" w:sz="4" w:space="0"/>
              <w:left w:val="single" w:color="auto" w:sz="4" w:space="0"/>
              <w:bottom w:val="single" w:color="000000" w:sz="4" w:space="0"/>
              <w:right w:val="single" w:color="auto" w:sz="6" w:space="0"/>
            </w:tcBorders>
            <w:vAlign w:val="center"/>
          </w:tcPr>
          <w:p w14:paraId="231FA0E1">
            <w:pPr>
              <w:spacing w:line="360" w:lineRule="auto"/>
              <w:jc w:val="center"/>
              <w:rPr>
                <w:rFonts w:ascii="宋体" w:hAnsi="宋体" w:cs="宋体"/>
                <w:sz w:val="18"/>
                <w:szCs w:val="18"/>
              </w:rPr>
            </w:pPr>
            <w:r>
              <w:rPr>
                <w:rFonts w:hint="eastAsia" w:ascii="宋体" w:hAnsi="宋体" w:cs="宋体"/>
                <w:sz w:val="18"/>
                <w:szCs w:val="18"/>
              </w:rPr>
              <w:t>△</w:t>
            </w:r>
          </w:p>
        </w:tc>
        <w:tc>
          <w:tcPr>
            <w:tcW w:w="705" w:type="dxa"/>
            <w:tcBorders>
              <w:top w:val="single" w:color="000000" w:sz="4" w:space="0"/>
              <w:left w:val="single" w:color="auto" w:sz="4" w:space="0"/>
              <w:bottom w:val="single" w:color="000000" w:sz="4" w:space="0"/>
              <w:right w:val="single" w:color="auto" w:sz="6" w:space="0"/>
            </w:tcBorders>
            <w:vAlign w:val="center"/>
          </w:tcPr>
          <w:p w14:paraId="2691D9EA">
            <w:pPr>
              <w:jc w:val="center"/>
            </w:pPr>
            <w:r>
              <w:rPr>
                <w:rFonts w:hint="eastAsia" w:ascii="宋体" w:hAnsi="宋体" w:cs="宋体"/>
                <w:sz w:val="18"/>
                <w:szCs w:val="18"/>
              </w:rPr>
              <w:t>△</w:t>
            </w:r>
          </w:p>
        </w:tc>
        <w:tc>
          <w:tcPr>
            <w:tcW w:w="705" w:type="dxa"/>
            <w:tcBorders>
              <w:top w:val="single" w:color="000000" w:sz="4" w:space="0"/>
              <w:left w:val="single" w:color="auto" w:sz="6" w:space="0"/>
              <w:bottom w:val="single" w:color="000000" w:sz="4" w:space="0"/>
              <w:right w:val="single" w:color="000000" w:sz="4" w:space="0"/>
            </w:tcBorders>
            <w:vAlign w:val="center"/>
          </w:tcPr>
          <w:p w14:paraId="202A4FB2">
            <w:pPr>
              <w:jc w:val="center"/>
            </w:pPr>
            <w:r>
              <w:rPr>
                <w:rFonts w:hint="eastAsia" w:ascii="宋体" w:hAnsi="宋体" w:cs="宋体"/>
                <w:sz w:val="18"/>
                <w:szCs w:val="18"/>
              </w:rPr>
              <w:t>△</w:t>
            </w:r>
          </w:p>
        </w:tc>
      </w:tr>
    </w:tbl>
    <w:p w14:paraId="02CD8D6F">
      <w:pPr>
        <w:rPr>
          <w:vanish/>
        </w:rPr>
      </w:pPr>
    </w:p>
    <w:tbl>
      <w:tblPr>
        <w:tblStyle w:val="13"/>
        <w:tblpPr w:leftFromText="180" w:rightFromText="180" w:vertAnchor="text" w:horzAnchor="page" w:tblpX="1130" w:tblpY="120"/>
        <w:tblOverlap w:val="never"/>
        <w:tblW w:w="13473" w:type="dxa"/>
        <w:tblInd w:w="0" w:type="dxa"/>
        <w:tblLayout w:type="fixed"/>
        <w:tblCellMar>
          <w:top w:w="0" w:type="dxa"/>
          <w:left w:w="0" w:type="dxa"/>
          <w:bottom w:w="0" w:type="dxa"/>
          <w:right w:w="0" w:type="dxa"/>
        </w:tblCellMar>
      </w:tblPr>
      <w:tblGrid>
        <w:gridCol w:w="2484"/>
        <w:gridCol w:w="2765"/>
        <w:gridCol w:w="3073"/>
        <w:gridCol w:w="894"/>
        <w:gridCol w:w="712"/>
        <w:gridCol w:w="709"/>
        <w:gridCol w:w="709"/>
        <w:gridCol w:w="709"/>
        <w:gridCol w:w="709"/>
        <w:gridCol w:w="709"/>
      </w:tblGrid>
      <w:tr w14:paraId="1DA7C3A4">
        <w:tblPrEx>
          <w:tblCellMar>
            <w:top w:w="0" w:type="dxa"/>
            <w:left w:w="0" w:type="dxa"/>
            <w:bottom w:w="0" w:type="dxa"/>
            <w:right w:w="0" w:type="dxa"/>
          </w:tblCellMar>
        </w:tblPrEx>
        <w:trPr>
          <w:trHeight w:val="866" w:hRule="exact"/>
        </w:trPr>
        <w:tc>
          <w:tcPr>
            <w:tcW w:w="2484" w:type="dxa"/>
            <w:tcBorders>
              <w:top w:val="single" w:color="000000" w:sz="4" w:space="0"/>
              <w:left w:val="single" w:color="000000" w:sz="4" w:space="0"/>
              <w:bottom w:val="single" w:color="000000" w:sz="4" w:space="0"/>
              <w:right w:val="single" w:color="000000" w:sz="4" w:space="0"/>
            </w:tcBorders>
            <w:vAlign w:val="center"/>
          </w:tcPr>
          <w:p w14:paraId="561837ED">
            <w:pPr>
              <w:spacing w:line="360" w:lineRule="auto"/>
              <w:jc w:val="center"/>
              <w:rPr>
                <w:rFonts w:ascii="宋体" w:hAnsi="宋体" w:cs="宋体"/>
                <w:b/>
                <w:sz w:val="18"/>
                <w:szCs w:val="18"/>
              </w:rPr>
            </w:pPr>
            <w:r>
              <w:rPr>
                <w:rFonts w:hint="eastAsia" w:ascii="宋体" w:hAnsi="宋体" w:cs="宋体"/>
                <w:b/>
                <w:sz w:val="18"/>
                <w:szCs w:val="18"/>
              </w:rPr>
              <w:t>GB/T 19001-2016</w:t>
            </w:r>
          </w:p>
        </w:tc>
        <w:tc>
          <w:tcPr>
            <w:tcW w:w="2765" w:type="dxa"/>
            <w:tcBorders>
              <w:top w:val="single" w:color="000000" w:sz="4" w:space="0"/>
              <w:left w:val="single" w:color="000000" w:sz="4" w:space="0"/>
              <w:bottom w:val="single" w:color="000000" w:sz="4" w:space="0"/>
              <w:right w:val="single" w:color="auto" w:sz="4" w:space="0"/>
            </w:tcBorders>
            <w:vAlign w:val="center"/>
          </w:tcPr>
          <w:p w14:paraId="28CFE9FA">
            <w:pPr>
              <w:spacing w:line="360" w:lineRule="auto"/>
              <w:ind w:right="-252" w:rightChars="-120"/>
              <w:jc w:val="center"/>
              <w:rPr>
                <w:rFonts w:ascii="宋体" w:hAnsi="宋体" w:cs="宋体"/>
                <w:b/>
                <w:sz w:val="18"/>
                <w:szCs w:val="18"/>
              </w:rPr>
            </w:pPr>
            <w:r>
              <w:rPr>
                <w:rFonts w:hint="eastAsia" w:ascii="宋体" w:hAnsi="宋体" w:cs="宋体"/>
                <w:b/>
                <w:sz w:val="18"/>
                <w:szCs w:val="18"/>
              </w:rPr>
              <w:t>GB/T 24001-2016</w:t>
            </w:r>
          </w:p>
        </w:tc>
        <w:tc>
          <w:tcPr>
            <w:tcW w:w="3073" w:type="dxa"/>
            <w:tcBorders>
              <w:top w:val="single" w:color="000000" w:sz="4" w:space="0"/>
              <w:left w:val="single" w:color="auto" w:sz="4" w:space="0"/>
              <w:bottom w:val="single" w:color="000000" w:sz="4" w:space="0"/>
              <w:right w:val="single" w:color="000000" w:sz="4" w:space="0"/>
            </w:tcBorders>
            <w:vAlign w:val="center"/>
          </w:tcPr>
          <w:p w14:paraId="075CBE7B">
            <w:pPr>
              <w:spacing w:line="360" w:lineRule="auto"/>
              <w:jc w:val="center"/>
              <w:rPr>
                <w:rFonts w:ascii="宋体" w:hAnsi="宋体" w:cs="宋体"/>
                <w:b/>
                <w:sz w:val="18"/>
                <w:szCs w:val="18"/>
              </w:rPr>
            </w:pPr>
            <w:r>
              <w:rPr>
                <w:rFonts w:hint="eastAsia" w:ascii="宋体" w:hAnsi="宋体" w:eastAsia="宋体" w:cs="宋体"/>
                <w:b/>
                <w:bCs/>
                <w:sz w:val="18"/>
                <w:szCs w:val="18"/>
                <w:lang w:val="de-DE"/>
              </w:rPr>
              <w:t>GB/T45001-2020</w:t>
            </w:r>
          </w:p>
        </w:tc>
        <w:tc>
          <w:tcPr>
            <w:tcW w:w="894" w:type="dxa"/>
            <w:tcBorders>
              <w:top w:val="single" w:color="000000" w:sz="4" w:space="0"/>
              <w:left w:val="single" w:color="000000" w:sz="4" w:space="0"/>
              <w:bottom w:val="single" w:color="000000" w:sz="4" w:space="0"/>
              <w:right w:val="single" w:color="000000" w:sz="4" w:space="0"/>
            </w:tcBorders>
            <w:vAlign w:val="center"/>
          </w:tcPr>
          <w:p w14:paraId="51F63BEA">
            <w:pPr>
              <w:autoSpaceDE w:val="0"/>
              <w:autoSpaceDN w:val="0"/>
              <w:adjustRightInd w:val="0"/>
              <w:ind w:left="102" w:right="-23"/>
              <w:rPr>
                <w:rFonts w:ascii="宋体" w:hAnsi="宋体" w:cs="宋体"/>
                <w:kern w:val="0"/>
                <w:position w:val="-2"/>
                <w:sz w:val="18"/>
                <w:szCs w:val="18"/>
              </w:rPr>
            </w:pPr>
            <w:r>
              <w:rPr>
                <w:rFonts w:hint="eastAsia" w:ascii="宋体" w:hAnsi="宋体" w:cs="宋体"/>
                <w:kern w:val="0"/>
                <w:position w:val="-2"/>
                <w:sz w:val="18"/>
                <w:szCs w:val="18"/>
              </w:rPr>
              <w:t>最高管</w:t>
            </w:r>
          </w:p>
          <w:p w14:paraId="10DC16C6">
            <w:pPr>
              <w:autoSpaceDE w:val="0"/>
              <w:autoSpaceDN w:val="0"/>
              <w:adjustRightInd w:val="0"/>
              <w:ind w:left="102" w:right="-23"/>
              <w:rPr>
                <w:rFonts w:ascii="宋体" w:hAnsi="宋体" w:cs="宋体"/>
                <w:kern w:val="0"/>
                <w:position w:val="-2"/>
                <w:sz w:val="18"/>
                <w:szCs w:val="18"/>
              </w:rPr>
            </w:pPr>
            <w:r>
              <w:rPr>
                <w:rFonts w:hint="eastAsia" w:ascii="宋体" w:hAnsi="宋体" w:cs="宋体"/>
                <w:kern w:val="0"/>
                <w:position w:val="-2"/>
                <w:sz w:val="18"/>
                <w:szCs w:val="18"/>
              </w:rPr>
              <w:t>理层</w:t>
            </w:r>
          </w:p>
        </w:tc>
        <w:tc>
          <w:tcPr>
            <w:tcW w:w="712" w:type="dxa"/>
            <w:tcBorders>
              <w:top w:val="single" w:color="000000" w:sz="4" w:space="0"/>
              <w:left w:val="single" w:color="000000" w:sz="4" w:space="0"/>
              <w:bottom w:val="single" w:color="000000" w:sz="4" w:space="0"/>
              <w:right w:val="single" w:color="000000" w:sz="4" w:space="0"/>
            </w:tcBorders>
            <w:vAlign w:val="center"/>
          </w:tcPr>
          <w:p w14:paraId="66B108D4">
            <w:pPr>
              <w:autoSpaceDE w:val="0"/>
              <w:autoSpaceDN w:val="0"/>
              <w:adjustRightInd w:val="0"/>
              <w:ind w:left="102" w:right="-23"/>
              <w:jc w:val="center"/>
              <w:rPr>
                <w:rFonts w:ascii="宋体" w:hAnsi="宋体" w:cs="宋体"/>
                <w:kern w:val="0"/>
                <w:position w:val="-2"/>
                <w:sz w:val="18"/>
                <w:szCs w:val="18"/>
              </w:rPr>
            </w:pPr>
            <w:r>
              <w:rPr>
                <w:rFonts w:hint="eastAsia" w:ascii="宋体" w:hAnsi="宋体" w:cs="宋体"/>
                <w:kern w:val="0"/>
                <w:position w:val="-2"/>
                <w:sz w:val="18"/>
                <w:szCs w:val="18"/>
              </w:rPr>
              <w:t>管理者</w:t>
            </w:r>
          </w:p>
          <w:p w14:paraId="1637F334">
            <w:pPr>
              <w:autoSpaceDE w:val="0"/>
              <w:autoSpaceDN w:val="0"/>
              <w:adjustRightInd w:val="0"/>
              <w:ind w:left="102" w:right="-23"/>
              <w:jc w:val="center"/>
              <w:rPr>
                <w:rFonts w:ascii="宋体" w:hAnsi="宋体" w:cs="宋体"/>
                <w:kern w:val="0"/>
                <w:position w:val="-2"/>
                <w:sz w:val="18"/>
                <w:szCs w:val="18"/>
              </w:rPr>
            </w:pPr>
            <w:r>
              <w:rPr>
                <w:rFonts w:hint="eastAsia" w:ascii="宋体" w:hAnsi="宋体" w:cs="宋体"/>
                <w:kern w:val="0"/>
                <w:position w:val="-2"/>
                <w:sz w:val="18"/>
                <w:szCs w:val="18"/>
              </w:rPr>
              <w:t>代表</w:t>
            </w:r>
          </w:p>
        </w:tc>
        <w:tc>
          <w:tcPr>
            <w:tcW w:w="709" w:type="dxa"/>
            <w:tcBorders>
              <w:top w:val="single" w:color="000000" w:sz="4" w:space="0"/>
              <w:left w:val="single" w:color="000000" w:sz="4" w:space="0"/>
              <w:bottom w:val="single" w:color="000000" w:sz="4" w:space="0"/>
              <w:right w:val="single" w:color="auto" w:sz="4" w:space="0"/>
            </w:tcBorders>
            <w:vAlign w:val="center"/>
          </w:tcPr>
          <w:p w14:paraId="3B60E394">
            <w:pPr>
              <w:autoSpaceDE w:val="0"/>
              <w:autoSpaceDN w:val="0"/>
              <w:adjustRightInd w:val="0"/>
              <w:ind w:left="102" w:right="-23"/>
              <w:jc w:val="center"/>
              <w:rPr>
                <w:rFonts w:ascii="宋体" w:hAnsi="宋体" w:cs="宋体"/>
                <w:kern w:val="0"/>
                <w:position w:val="-2"/>
                <w:sz w:val="18"/>
                <w:szCs w:val="18"/>
              </w:rPr>
            </w:pPr>
            <w:r>
              <w:rPr>
                <w:rFonts w:hint="eastAsia" w:ascii="宋体" w:hAnsi="宋体" w:cs="宋体"/>
                <w:kern w:val="0"/>
                <w:position w:val="-2"/>
                <w:sz w:val="18"/>
                <w:szCs w:val="18"/>
              </w:rPr>
              <w:t>办公室</w:t>
            </w:r>
          </w:p>
        </w:tc>
        <w:tc>
          <w:tcPr>
            <w:tcW w:w="709" w:type="dxa"/>
            <w:tcBorders>
              <w:top w:val="single" w:color="000000" w:sz="4" w:space="0"/>
              <w:left w:val="single" w:color="000000" w:sz="4" w:space="0"/>
              <w:bottom w:val="single" w:color="000000" w:sz="4" w:space="0"/>
              <w:right w:val="single" w:color="auto" w:sz="4" w:space="0"/>
            </w:tcBorders>
            <w:vAlign w:val="center"/>
          </w:tcPr>
          <w:p w14:paraId="3321253F">
            <w:pPr>
              <w:autoSpaceDE w:val="0"/>
              <w:autoSpaceDN w:val="0"/>
              <w:adjustRightInd w:val="0"/>
              <w:ind w:right="-23"/>
              <w:jc w:val="center"/>
              <w:rPr>
                <w:rFonts w:ascii="宋体" w:hAnsi="宋体" w:cs="宋体"/>
                <w:kern w:val="0"/>
                <w:position w:val="-2"/>
                <w:sz w:val="18"/>
                <w:szCs w:val="18"/>
              </w:rPr>
            </w:pPr>
            <w:r>
              <w:rPr>
                <w:rFonts w:hint="eastAsia" w:ascii="宋体" w:hAnsi="宋体" w:cs="宋体"/>
                <w:kern w:val="0"/>
                <w:position w:val="-2"/>
                <w:sz w:val="18"/>
                <w:szCs w:val="18"/>
              </w:rPr>
              <w:t>生产部</w:t>
            </w:r>
          </w:p>
        </w:tc>
        <w:tc>
          <w:tcPr>
            <w:tcW w:w="709" w:type="dxa"/>
            <w:tcBorders>
              <w:top w:val="single" w:color="000000" w:sz="4" w:space="0"/>
              <w:left w:val="single" w:color="000000" w:sz="4" w:space="0"/>
              <w:bottom w:val="single" w:color="000000" w:sz="4" w:space="0"/>
              <w:right w:val="single" w:color="auto" w:sz="4" w:space="0"/>
            </w:tcBorders>
            <w:vAlign w:val="center"/>
          </w:tcPr>
          <w:p w14:paraId="2880B5FE">
            <w:pPr>
              <w:autoSpaceDE w:val="0"/>
              <w:autoSpaceDN w:val="0"/>
              <w:adjustRightInd w:val="0"/>
              <w:ind w:right="-23"/>
              <w:jc w:val="center"/>
              <w:rPr>
                <w:rFonts w:ascii="宋体" w:hAnsi="宋体" w:cs="宋体"/>
                <w:kern w:val="0"/>
                <w:position w:val="-2"/>
                <w:sz w:val="18"/>
                <w:szCs w:val="18"/>
              </w:rPr>
            </w:pPr>
            <w:r>
              <w:rPr>
                <w:rFonts w:hint="eastAsia" w:ascii="宋体" w:hAnsi="宋体" w:cs="宋体"/>
                <w:kern w:val="0"/>
                <w:position w:val="-2"/>
                <w:sz w:val="18"/>
                <w:szCs w:val="18"/>
              </w:rPr>
              <w:t>业务部</w:t>
            </w:r>
          </w:p>
        </w:tc>
        <w:tc>
          <w:tcPr>
            <w:tcW w:w="709" w:type="dxa"/>
            <w:tcBorders>
              <w:top w:val="single" w:color="000000" w:sz="4" w:space="0"/>
              <w:left w:val="single" w:color="000000" w:sz="4" w:space="0"/>
              <w:bottom w:val="single" w:color="000000" w:sz="4" w:space="0"/>
              <w:right w:val="single" w:color="auto" w:sz="4" w:space="0"/>
            </w:tcBorders>
            <w:vAlign w:val="center"/>
          </w:tcPr>
          <w:p w14:paraId="404B1713">
            <w:pPr>
              <w:autoSpaceDE w:val="0"/>
              <w:autoSpaceDN w:val="0"/>
              <w:adjustRightInd w:val="0"/>
              <w:ind w:right="-23"/>
              <w:jc w:val="center"/>
              <w:rPr>
                <w:rFonts w:ascii="宋体" w:hAnsi="宋体" w:cs="宋体"/>
                <w:kern w:val="0"/>
                <w:position w:val="-2"/>
                <w:sz w:val="18"/>
                <w:szCs w:val="18"/>
              </w:rPr>
            </w:pPr>
            <w:r>
              <w:rPr>
                <w:rFonts w:hint="eastAsia" w:ascii="宋体" w:hAnsi="宋体" w:cs="宋体"/>
                <w:kern w:val="0"/>
                <w:position w:val="-2"/>
                <w:sz w:val="18"/>
                <w:szCs w:val="18"/>
              </w:rPr>
              <w:t>质检部</w:t>
            </w:r>
          </w:p>
        </w:tc>
        <w:tc>
          <w:tcPr>
            <w:tcW w:w="709" w:type="dxa"/>
            <w:tcBorders>
              <w:top w:val="single" w:color="000000" w:sz="4" w:space="0"/>
              <w:left w:val="single" w:color="000000" w:sz="4" w:space="0"/>
              <w:bottom w:val="single" w:color="000000" w:sz="4" w:space="0"/>
              <w:right w:val="single" w:color="auto" w:sz="4" w:space="0"/>
            </w:tcBorders>
            <w:vAlign w:val="center"/>
          </w:tcPr>
          <w:p w14:paraId="6A372505">
            <w:pPr>
              <w:autoSpaceDE w:val="0"/>
              <w:autoSpaceDN w:val="0"/>
              <w:adjustRightInd w:val="0"/>
              <w:ind w:right="-23"/>
              <w:jc w:val="center"/>
              <w:rPr>
                <w:rFonts w:ascii="宋体" w:hAnsi="宋体" w:cs="宋体"/>
                <w:kern w:val="0"/>
                <w:position w:val="-2"/>
                <w:sz w:val="18"/>
                <w:szCs w:val="18"/>
              </w:rPr>
            </w:pPr>
            <w:r>
              <w:rPr>
                <w:rFonts w:hint="eastAsia" w:ascii="宋体" w:hAnsi="宋体" w:cs="宋体"/>
                <w:kern w:val="0"/>
                <w:position w:val="-2"/>
                <w:sz w:val="18"/>
                <w:szCs w:val="18"/>
              </w:rPr>
              <w:t>财务部</w:t>
            </w:r>
          </w:p>
        </w:tc>
      </w:tr>
      <w:tr w14:paraId="5468C926">
        <w:tblPrEx>
          <w:tblCellMar>
            <w:top w:w="0" w:type="dxa"/>
            <w:left w:w="0" w:type="dxa"/>
            <w:bottom w:w="0" w:type="dxa"/>
            <w:right w:w="0" w:type="dxa"/>
          </w:tblCellMar>
        </w:tblPrEx>
        <w:trPr>
          <w:trHeight w:val="539" w:hRule="exact"/>
        </w:trPr>
        <w:tc>
          <w:tcPr>
            <w:tcW w:w="2484" w:type="dxa"/>
            <w:tcBorders>
              <w:top w:val="single" w:color="000000" w:sz="4" w:space="0"/>
              <w:left w:val="single" w:color="000000" w:sz="4" w:space="0"/>
              <w:bottom w:val="single" w:color="000000" w:sz="4" w:space="0"/>
              <w:right w:val="single" w:color="000000" w:sz="4" w:space="0"/>
            </w:tcBorders>
            <w:vAlign w:val="center"/>
          </w:tcPr>
          <w:p w14:paraId="11E17941">
            <w:pPr>
              <w:spacing w:line="360" w:lineRule="auto"/>
              <w:rPr>
                <w:rFonts w:ascii="宋体" w:hAnsi="宋体" w:cs="宋体"/>
                <w:sz w:val="18"/>
                <w:szCs w:val="18"/>
              </w:rPr>
            </w:pPr>
          </w:p>
        </w:tc>
        <w:tc>
          <w:tcPr>
            <w:tcW w:w="2765" w:type="dxa"/>
            <w:tcBorders>
              <w:top w:val="single" w:color="000000" w:sz="4" w:space="0"/>
              <w:left w:val="single" w:color="000000" w:sz="4" w:space="0"/>
              <w:bottom w:val="single" w:color="000000" w:sz="4" w:space="0"/>
              <w:right w:val="single" w:color="auto" w:sz="4" w:space="0"/>
            </w:tcBorders>
            <w:vAlign w:val="center"/>
          </w:tcPr>
          <w:p w14:paraId="12612088">
            <w:pPr>
              <w:spacing w:line="360" w:lineRule="auto"/>
              <w:rPr>
                <w:rFonts w:ascii="宋体" w:hAnsi="宋体" w:cs="宋体"/>
                <w:sz w:val="18"/>
                <w:szCs w:val="18"/>
              </w:rPr>
            </w:pPr>
            <w:r>
              <w:rPr>
                <w:rFonts w:hint="eastAsia" w:ascii="宋体" w:hAnsi="宋体" w:cs="宋体"/>
                <w:sz w:val="18"/>
                <w:szCs w:val="18"/>
              </w:rPr>
              <w:t>8.1运行策划和控制</w:t>
            </w:r>
          </w:p>
        </w:tc>
        <w:tc>
          <w:tcPr>
            <w:tcW w:w="3073" w:type="dxa"/>
            <w:tcBorders>
              <w:top w:val="single" w:color="000000" w:sz="4" w:space="0"/>
              <w:left w:val="single" w:color="000000" w:sz="4" w:space="0"/>
              <w:bottom w:val="single" w:color="000000" w:sz="4" w:space="0"/>
              <w:right w:val="single" w:color="auto" w:sz="4" w:space="0"/>
            </w:tcBorders>
            <w:vAlign w:val="center"/>
          </w:tcPr>
          <w:p w14:paraId="299C7D5F">
            <w:pPr>
              <w:spacing w:line="360" w:lineRule="auto"/>
              <w:rPr>
                <w:rFonts w:ascii="宋体" w:hAnsi="宋体" w:cs="宋体"/>
                <w:sz w:val="18"/>
                <w:szCs w:val="18"/>
              </w:rPr>
            </w:pPr>
            <w:r>
              <w:rPr>
                <w:rFonts w:hint="eastAsia" w:ascii="宋体" w:hAnsi="宋体" w:cs="宋体"/>
                <w:sz w:val="18"/>
                <w:szCs w:val="18"/>
              </w:rPr>
              <w:t>8.1运行策划和控制</w:t>
            </w:r>
          </w:p>
        </w:tc>
        <w:tc>
          <w:tcPr>
            <w:tcW w:w="894" w:type="dxa"/>
            <w:tcBorders>
              <w:top w:val="single" w:color="000000" w:sz="4" w:space="0"/>
              <w:left w:val="single" w:color="000000" w:sz="4" w:space="0"/>
              <w:bottom w:val="single" w:color="000000" w:sz="4" w:space="0"/>
              <w:right w:val="single" w:color="000000" w:sz="4" w:space="0"/>
            </w:tcBorders>
            <w:vAlign w:val="center"/>
          </w:tcPr>
          <w:p w14:paraId="6ADE7760">
            <w:pPr>
              <w:spacing w:line="360" w:lineRule="auto"/>
              <w:jc w:val="center"/>
              <w:rPr>
                <w:rFonts w:ascii="宋体" w:hAnsi="宋体" w:cs="宋体"/>
                <w:sz w:val="18"/>
                <w:szCs w:val="18"/>
              </w:rPr>
            </w:pPr>
            <w:r>
              <w:rPr>
                <w:rFonts w:hint="eastAsia" w:ascii="宋体" w:hAnsi="宋体" w:cs="宋体"/>
                <w:sz w:val="18"/>
                <w:szCs w:val="18"/>
              </w:rPr>
              <w:t>△</w:t>
            </w:r>
          </w:p>
        </w:tc>
        <w:tc>
          <w:tcPr>
            <w:tcW w:w="712" w:type="dxa"/>
            <w:tcBorders>
              <w:top w:val="single" w:color="000000" w:sz="4" w:space="0"/>
              <w:left w:val="single" w:color="000000" w:sz="4" w:space="0"/>
              <w:bottom w:val="single" w:color="000000" w:sz="4" w:space="0"/>
              <w:right w:val="single" w:color="000000" w:sz="4" w:space="0"/>
            </w:tcBorders>
            <w:vAlign w:val="center"/>
          </w:tcPr>
          <w:p w14:paraId="29B16E5E">
            <w:pPr>
              <w:spacing w:line="360" w:lineRule="auto"/>
              <w:jc w:val="center"/>
              <w:rPr>
                <w:rFonts w:ascii="宋体" w:hAnsi="宋体" w:cs="宋体"/>
                <w:sz w:val="18"/>
                <w:szCs w:val="18"/>
              </w:rPr>
            </w:pPr>
            <w:r>
              <w:rPr>
                <w:rFonts w:hint="eastAsia" w:ascii="宋体" w:hAnsi="宋体" w:cs="宋体"/>
                <w:sz w:val="18"/>
                <w:szCs w:val="18"/>
              </w:rPr>
              <w:t>△</w:t>
            </w:r>
          </w:p>
        </w:tc>
        <w:tc>
          <w:tcPr>
            <w:tcW w:w="709" w:type="dxa"/>
            <w:tcBorders>
              <w:top w:val="single" w:color="000000" w:sz="4" w:space="0"/>
              <w:left w:val="single" w:color="000000" w:sz="4" w:space="0"/>
              <w:bottom w:val="single" w:color="000000" w:sz="4" w:space="0"/>
              <w:right w:val="single" w:color="000000" w:sz="4" w:space="0"/>
            </w:tcBorders>
            <w:vAlign w:val="center"/>
          </w:tcPr>
          <w:p w14:paraId="6ECE0C87">
            <w:pPr>
              <w:spacing w:line="360" w:lineRule="auto"/>
              <w:jc w:val="center"/>
              <w:rPr>
                <w:rFonts w:ascii="宋体" w:hAnsi="宋体" w:cs="宋体"/>
                <w:sz w:val="18"/>
                <w:szCs w:val="18"/>
              </w:rPr>
            </w:pPr>
            <w:r>
              <w:rPr>
                <w:rFonts w:hint="eastAsia" w:ascii="宋体" w:hAnsi="宋体" w:cs="宋体"/>
                <w:sz w:val="18"/>
                <w:szCs w:val="18"/>
              </w:rPr>
              <w:t>★</w:t>
            </w:r>
          </w:p>
        </w:tc>
        <w:tc>
          <w:tcPr>
            <w:tcW w:w="709" w:type="dxa"/>
            <w:tcBorders>
              <w:top w:val="single" w:color="000000" w:sz="4" w:space="0"/>
              <w:left w:val="single" w:color="000000" w:sz="4" w:space="0"/>
              <w:bottom w:val="single" w:color="000000" w:sz="4" w:space="0"/>
              <w:right w:val="single" w:color="auto" w:sz="4" w:space="0"/>
            </w:tcBorders>
            <w:vAlign w:val="center"/>
          </w:tcPr>
          <w:p w14:paraId="2F49AB82">
            <w:pPr>
              <w:jc w:val="center"/>
            </w:pPr>
            <w:r>
              <w:rPr>
                <w:rFonts w:hint="eastAsia" w:ascii="宋体" w:hAnsi="宋体" w:cs="宋体"/>
                <w:sz w:val="18"/>
                <w:szCs w:val="18"/>
              </w:rPr>
              <w:t>★</w:t>
            </w:r>
          </w:p>
        </w:tc>
        <w:tc>
          <w:tcPr>
            <w:tcW w:w="709" w:type="dxa"/>
            <w:tcBorders>
              <w:top w:val="single" w:color="000000" w:sz="4" w:space="0"/>
              <w:left w:val="single" w:color="auto" w:sz="4" w:space="0"/>
              <w:bottom w:val="single" w:color="000000" w:sz="4" w:space="0"/>
              <w:right w:val="single" w:color="auto" w:sz="6" w:space="0"/>
            </w:tcBorders>
            <w:vAlign w:val="center"/>
          </w:tcPr>
          <w:p w14:paraId="731E0603">
            <w:pPr>
              <w:spacing w:line="360" w:lineRule="auto"/>
              <w:jc w:val="center"/>
              <w:rPr>
                <w:rFonts w:ascii="宋体" w:hAnsi="宋体" w:cs="宋体"/>
                <w:sz w:val="18"/>
                <w:szCs w:val="18"/>
              </w:rPr>
            </w:pPr>
            <w:r>
              <w:rPr>
                <w:rFonts w:hint="eastAsia" w:ascii="宋体" w:hAnsi="宋体" w:cs="宋体"/>
                <w:sz w:val="18"/>
                <w:szCs w:val="18"/>
              </w:rPr>
              <w:t>★</w:t>
            </w:r>
          </w:p>
        </w:tc>
        <w:tc>
          <w:tcPr>
            <w:tcW w:w="709" w:type="dxa"/>
            <w:tcBorders>
              <w:top w:val="single" w:color="000000" w:sz="4" w:space="0"/>
              <w:left w:val="single" w:color="auto" w:sz="6" w:space="0"/>
              <w:bottom w:val="single" w:color="000000" w:sz="4" w:space="0"/>
              <w:right w:val="single" w:color="000000" w:sz="4" w:space="0"/>
            </w:tcBorders>
            <w:vAlign w:val="center"/>
          </w:tcPr>
          <w:p w14:paraId="7C5A48C9">
            <w:pPr>
              <w:jc w:val="center"/>
            </w:pPr>
            <w:r>
              <w:rPr>
                <w:rFonts w:hint="eastAsia" w:ascii="宋体" w:hAnsi="宋体" w:cs="宋体"/>
                <w:sz w:val="18"/>
                <w:szCs w:val="18"/>
              </w:rPr>
              <w:t>★</w:t>
            </w:r>
          </w:p>
        </w:tc>
        <w:tc>
          <w:tcPr>
            <w:tcW w:w="709" w:type="dxa"/>
            <w:tcBorders>
              <w:top w:val="single" w:color="000000" w:sz="4" w:space="0"/>
              <w:left w:val="single" w:color="auto" w:sz="6" w:space="0"/>
              <w:bottom w:val="single" w:color="000000" w:sz="4" w:space="0"/>
              <w:right w:val="single" w:color="000000" w:sz="4" w:space="0"/>
            </w:tcBorders>
            <w:vAlign w:val="center"/>
          </w:tcPr>
          <w:p w14:paraId="70B96E11">
            <w:pPr>
              <w:jc w:val="center"/>
            </w:pPr>
            <w:r>
              <w:rPr>
                <w:rFonts w:hint="eastAsia" w:ascii="宋体" w:hAnsi="宋体" w:cs="宋体"/>
                <w:sz w:val="18"/>
                <w:szCs w:val="18"/>
              </w:rPr>
              <w:t>★</w:t>
            </w:r>
          </w:p>
        </w:tc>
      </w:tr>
      <w:tr w14:paraId="5C2BE742">
        <w:tblPrEx>
          <w:tblCellMar>
            <w:top w:w="0" w:type="dxa"/>
            <w:left w:w="0" w:type="dxa"/>
            <w:bottom w:w="0" w:type="dxa"/>
            <w:right w:w="0" w:type="dxa"/>
          </w:tblCellMar>
        </w:tblPrEx>
        <w:trPr>
          <w:trHeight w:val="880" w:hRule="exact"/>
        </w:trPr>
        <w:tc>
          <w:tcPr>
            <w:tcW w:w="2484" w:type="dxa"/>
            <w:tcBorders>
              <w:top w:val="single" w:color="000000" w:sz="4" w:space="0"/>
              <w:left w:val="single" w:color="000000" w:sz="4" w:space="0"/>
              <w:bottom w:val="single" w:color="000000" w:sz="4" w:space="0"/>
              <w:right w:val="single" w:color="000000" w:sz="4" w:space="0"/>
            </w:tcBorders>
            <w:vAlign w:val="center"/>
          </w:tcPr>
          <w:p w14:paraId="3A76600C">
            <w:pPr>
              <w:spacing w:line="360" w:lineRule="auto"/>
              <w:rPr>
                <w:rFonts w:ascii="宋体" w:hAnsi="宋体" w:cs="宋体"/>
                <w:sz w:val="18"/>
                <w:szCs w:val="18"/>
              </w:rPr>
            </w:pPr>
          </w:p>
        </w:tc>
        <w:tc>
          <w:tcPr>
            <w:tcW w:w="2765" w:type="dxa"/>
            <w:tcBorders>
              <w:top w:val="single" w:color="000000" w:sz="4" w:space="0"/>
              <w:left w:val="single" w:color="000000" w:sz="4" w:space="0"/>
              <w:bottom w:val="single" w:color="000000" w:sz="4" w:space="0"/>
              <w:right w:val="single" w:color="auto" w:sz="4" w:space="0"/>
            </w:tcBorders>
            <w:vAlign w:val="center"/>
          </w:tcPr>
          <w:p w14:paraId="1DCED514">
            <w:pPr>
              <w:spacing w:line="360" w:lineRule="auto"/>
              <w:rPr>
                <w:rFonts w:ascii="宋体" w:hAnsi="宋体" w:cs="宋体"/>
                <w:sz w:val="18"/>
                <w:szCs w:val="18"/>
              </w:rPr>
            </w:pPr>
          </w:p>
        </w:tc>
        <w:tc>
          <w:tcPr>
            <w:tcW w:w="3073" w:type="dxa"/>
            <w:tcBorders>
              <w:top w:val="single" w:color="000000" w:sz="4" w:space="0"/>
              <w:left w:val="single" w:color="000000" w:sz="4" w:space="0"/>
              <w:bottom w:val="single" w:color="000000" w:sz="4" w:space="0"/>
              <w:right w:val="single" w:color="auto" w:sz="4" w:space="0"/>
            </w:tcBorders>
            <w:vAlign w:val="center"/>
          </w:tcPr>
          <w:p w14:paraId="1D6A063D">
            <w:pPr>
              <w:rPr>
                <w:rFonts w:ascii="宋体" w:hAnsi="宋体" w:cs="宋体"/>
                <w:sz w:val="18"/>
                <w:szCs w:val="18"/>
              </w:rPr>
            </w:pPr>
            <w:r>
              <w:rPr>
                <w:rFonts w:hint="eastAsia" w:ascii="宋体" w:hAnsi="宋体" w:cs="宋体"/>
                <w:sz w:val="18"/>
                <w:szCs w:val="18"/>
              </w:rPr>
              <w:t>8.</w:t>
            </w:r>
            <w:r>
              <w:rPr>
                <w:rFonts w:ascii="宋体" w:hAnsi="宋体" w:cs="宋体"/>
                <w:sz w:val="18"/>
                <w:szCs w:val="18"/>
              </w:rPr>
              <w:t>1.2</w:t>
            </w:r>
            <w:r>
              <w:rPr>
                <w:rFonts w:hint="eastAsia" w:ascii="宋体" w:hAnsi="宋体" w:cs="宋体"/>
                <w:sz w:val="18"/>
                <w:szCs w:val="18"/>
              </w:rPr>
              <w:t>消除危险源和降低职业健康安全</w:t>
            </w:r>
          </w:p>
          <w:p w14:paraId="424ACF4E">
            <w:pPr>
              <w:rPr>
                <w:rFonts w:ascii="宋体" w:hAnsi="宋体" w:cs="宋体"/>
                <w:sz w:val="18"/>
                <w:szCs w:val="18"/>
              </w:rPr>
            </w:pPr>
            <w:r>
              <w:rPr>
                <w:rFonts w:ascii="宋体" w:hAnsi="宋体" w:cs="宋体"/>
                <w:sz w:val="18"/>
                <w:szCs w:val="18"/>
              </w:rPr>
              <w:t>风险</w:t>
            </w:r>
          </w:p>
        </w:tc>
        <w:tc>
          <w:tcPr>
            <w:tcW w:w="894" w:type="dxa"/>
            <w:tcBorders>
              <w:top w:val="single" w:color="000000" w:sz="4" w:space="0"/>
              <w:left w:val="single" w:color="000000" w:sz="4" w:space="0"/>
              <w:bottom w:val="single" w:color="000000" w:sz="4" w:space="0"/>
              <w:right w:val="single" w:color="000000" w:sz="4" w:space="0"/>
            </w:tcBorders>
            <w:vAlign w:val="center"/>
          </w:tcPr>
          <w:p w14:paraId="0595757E">
            <w:pPr>
              <w:jc w:val="center"/>
            </w:pPr>
            <w:r>
              <w:rPr>
                <w:rFonts w:hint="eastAsia" w:ascii="宋体" w:hAnsi="宋体" w:cs="宋体"/>
                <w:sz w:val="18"/>
                <w:szCs w:val="18"/>
              </w:rPr>
              <w:t>★</w:t>
            </w:r>
          </w:p>
        </w:tc>
        <w:tc>
          <w:tcPr>
            <w:tcW w:w="712" w:type="dxa"/>
            <w:tcBorders>
              <w:top w:val="single" w:color="000000" w:sz="4" w:space="0"/>
              <w:left w:val="single" w:color="000000" w:sz="4" w:space="0"/>
              <w:bottom w:val="single" w:color="000000" w:sz="4" w:space="0"/>
              <w:right w:val="single" w:color="000000" w:sz="4" w:space="0"/>
            </w:tcBorders>
            <w:vAlign w:val="center"/>
          </w:tcPr>
          <w:p w14:paraId="5600F83D">
            <w:pPr>
              <w:jc w:val="center"/>
            </w:pPr>
            <w:r>
              <w:rPr>
                <w:rFonts w:hint="eastAsia" w:ascii="宋体" w:hAnsi="宋体" w:cs="宋体"/>
                <w:sz w:val="18"/>
                <w:szCs w:val="18"/>
              </w:rPr>
              <w:t>★</w:t>
            </w:r>
          </w:p>
        </w:tc>
        <w:tc>
          <w:tcPr>
            <w:tcW w:w="709" w:type="dxa"/>
            <w:tcBorders>
              <w:top w:val="single" w:color="000000" w:sz="4" w:space="0"/>
              <w:left w:val="single" w:color="000000" w:sz="4" w:space="0"/>
              <w:bottom w:val="single" w:color="000000" w:sz="4" w:space="0"/>
              <w:right w:val="single" w:color="000000" w:sz="4" w:space="0"/>
            </w:tcBorders>
            <w:vAlign w:val="center"/>
          </w:tcPr>
          <w:p w14:paraId="1AC1B52A">
            <w:pPr>
              <w:spacing w:line="360" w:lineRule="auto"/>
              <w:jc w:val="center"/>
              <w:rPr>
                <w:rFonts w:ascii="宋体" w:hAnsi="宋体" w:cs="宋体"/>
                <w:sz w:val="18"/>
                <w:szCs w:val="18"/>
              </w:rPr>
            </w:pPr>
            <w:r>
              <w:rPr>
                <w:rFonts w:hint="eastAsia" w:ascii="宋体" w:hAnsi="宋体" w:cs="宋体"/>
                <w:sz w:val="18"/>
                <w:szCs w:val="18"/>
              </w:rPr>
              <w:t>★</w:t>
            </w:r>
          </w:p>
        </w:tc>
        <w:tc>
          <w:tcPr>
            <w:tcW w:w="709" w:type="dxa"/>
            <w:tcBorders>
              <w:top w:val="single" w:color="000000" w:sz="4" w:space="0"/>
              <w:left w:val="single" w:color="000000" w:sz="4" w:space="0"/>
              <w:bottom w:val="single" w:color="000000" w:sz="4" w:space="0"/>
              <w:right w:val="single" w:color="auto" w:sz="4" w:space="0"/>
            </w:tcBorders>
            <w:vAlign w:val="center"/>
          </w:tcPr>
          <w:p w14:paraId="7658FACE">
            <w:pPr>
              <w:jc w:val="center"/>
            </w:pPr>
            <w:r>
              <w:rPr>
                <w:rFonts w:hint="eastAsia" w:ascii="宋体" w:hAnsi="宋体" w:cs="宋体"/>
                <w:sz w:val="18"/>
                <w:szCs w:val="18"/>
              </w:rPr>
              <w:t>★</w:t>
            </w:r>
          </w:p>
        </w:tc>
        <w:tc>
          <w:tcPr>
            <w:tcW w:w="709" w:type="dxa"/>
            <w:tcBorders>
              <w:top w:val="single" w:color="000000" w:sz="4" w:space="0"/>
              <w:left w:val="single" w:color="auto" w:sz="4" w:space="0"/>
              <w:bottom w:val="single" w:color="000000" w:sz="4" w:space="0"/>
              <w:right w:val="single" w:color="auto" w:sz="6" w:space="0"/>
            </w:tcBorders>
            <w:vAlign w:val="center"/>
          </w:tcPr>
          <w:p w14:paraId="3D9FCD2B">
            <w:pPr>
              <w:spacing w:line="360" w:lineRule="auto"/>
              <w:jc w:val="center"/>
              <w:rPr>
                <w:rFonts w:ascii="宋体" w:hAnsi="宋体" w:cs="宋体"/>
                <w:sz w:val="18"/>
                <w:szCs w:val="18"/>
              </w:rPr>
            </w:pPr>
            <w:r>
              <w:rPr>
                <w:rFonts w:hint="eastAsia" w:ascii="宋体" w:hAnsi="宋体" w:cs="宋体"/>
                <w:sz w:val="18"/>
                <w:szCs w:val="18"/>
              </w:rPr>
              <w:t>★</w:t>
            </w:r>
          </w:p>
        </w:tc>
        <w:tc>
          <w:tcPr>
            <w:tcW w:w="709" w:type="dxa"/>
            <w:tcBorders>
              <w:top w:val="single" w:color="000000" w:sz="4" w:space="0"/>
              <w:left w:val="single" w:color="auto" w:sz="6" w:space="0"/>
              <w:bottom w:val="single" w:color="000000" w:sz="4" w:space="0"/>
              <w:right w:val="single" w:color="000000" w:sz="4" w:space="0"/>
            </w:tcBorders>
            <w:vAlign w:val="center"/>
          </w:tcPr>
          <w:p w14:paraId="7E4F1462">
            <w:pPr>
              <w:jc w:val="center"/>
            </w:pPr>
            <w:r>
              <w:rPr>
                <w:rFonts w:hint="eastAsia" w:ascii="宋体" w:hAnsi="宋体" w:cs="宋体"/>
                <w:sz w:val="18"/>
                <w:szCs w:val="18"/>
              </w:rPr>
              <w:t>★</w:t>
            </w:r>
          </w:p>
        </w:tc>
        <w:tc>
          <w:tcPr>
            <w:tcW w:w="709" w:type="dxa"/>
            <w:tcBorders>
              <w:top w:val="single" w:color="000000" w:sz="4" w:space="0"/>
              <w:left w:val="single" w:color="auto" w:sz="6" w:space="0"/>
              <w:bottom w:val="single" w:color="000000" w:sz="4" w:space="0"/>
              <w:right w:val="single" w:color="000000" w:sz="4" w:space="0"/>
            </w:tcBorders>
            <w:vAlign w:val="center"/>
          </w:tcPr>
          <w:p w14:paraId="031DA419">
            <w:pPr>
              <w:jc w:val="center"/>
            </w:pPr>
            <w:r>
              <w:rPr>
                <w:rFonts w:hint="eastAsia" w:ascii="宋体" w:hAnsi="宋体" w:cs="宋体"/>
                <w:sz w:val="18"/>
                <w:szCs w:val="18"/>
              </w:rPr>
              <w:t>★</w:t>
            </w:r>
          </w:p>
        </w:tc>
      </w:tr>
      <w:tr w14:paraId="56693BC0">
        <w:tblPrEx>
          <w:tblCellMar>
            <w:top w:w="0" w:type="dxa"/>
            <w:left w:w="0" w:type="dxa"/>
            <w:bottom w:w="0" w:type="dxa"/>
            <w:right w:w="0" w:type="dxa"/>
          </w:tblCellMar>
        </w:tblPrEx>
        <w:trPr>
          <w:trHeight w:val="539" w:hRule="exact"/>
        </w:trPr>
        <w:tc>
          <w:tcPr>
            <w:tcW w:w="2484" w:type="dxa"/>
            <w:tcBorders>
              <w:top w:val="single" w:color="000000" w:sz="4" w:space="0"/>
              <w:left w:val="single" w:color="000000" w:sz="4" w:space="0"/>
              <w:bottom w:val="single" w:color="000000" w:sz="4" w:space="0"/>
              <w:right w:val="single" w:color="000000" w:sz="4" w:space="0"/>
            </w:tcBorders>
            <w:vAlign w:val="center"/>
          </w:tcPr>
          <w:p w14:paraId="7CAB72B1">
            <w:pPr>
              <w:spacing w:line="360" w:lineRule="auto"/>
              <w:rPr>
                <w:rFonts w:ascii="宋体" w:hAnsi="宋体" w:cs="宋体"/>
                <w:sz w:val="18"/>
                <w:szCs w:val="18"/>
              </w:rPr>
            </w:pPr>
          </w:p>
        </w:tc>
        <w:tc>
          <w:tcPr>
            <w:tcW w:w="2765" w:type="dxa"/>
            <w:tcBorders>
              <w:top w:val="single" w:color="000000" w:sz="4" w:space="0"/>
              <w:left w:val="single" w:color="000000" w:sz="4" w:space="0"/>
              <w:bottom w:val="single" w:color="000000" w:sz="4" w:space="0"/>
              <w:right w:val="single" w:color="auto" w:sz="4" w:space="0"/>
            </w:tcBorders>
            <w:vAlign w:val="center"/>
          </w:tcPr>
          <w:p w14:paraId="12913192">
            <w:pPr>
              <w:spacing w:line="360" w:lineRule="auto"/>
              <w:rPr>
                <w:rFonts w:ascii="宋体" w:hAnsi="宋体" w:cs="宋体"/>
                <w:sz w:val="18"/>
                <w:szCs w:val="18"/>
              </w:rPr>
            </w:pPr>
          </w:p>
        </w:tc>
        <w:tc>
          <w:tcPr>
            <w:tcW w:w="3073" w:type="dxa"/>
            <w:tcBorders>
              <w:top w:val="single" w:color="000000" w:sz="4" w:space="0"/>
              <w:left w:val="single" w:color="000000" w:sz="4" w:space="0"/>
              <w:bottom w:val="single" w:color="000000" w:sz="4" w:space="0"/>
              <w:right w:val="single" w:color="auto" w:sz="4" w:space="0"/>
            </w:tcBorders>
            <w:vAlign w:val="center"/>
          </w:tcPr>
          <w:p w14:paraId="55D6FB02">
            <w:pPr>
              <w:spacing w:line="360" w:lineRule="auto"/>
              <w:rPr>
                <w:rFonts w:ascii="宋体" w:hAnsi="宋体" w:cs="宋体"/>
                <w:sz w:val="18"/>
                <w:szCs w:val="18"/>
              </w:rPr>
            </w:pPr>
            <w:r>
              <w:rPr>
                <w:rFonts w:hint="eastAsia" w:ascii="宋体" w:hAnsi="宋体" w:cs="宋体"/>
                <w:sz w:val="18"/>
                <w:szCs w:val="18"/>
              </w:rPr>
              <w:t>8.</w:t>
            </w:r>
            <w:r>
              <w:rPr>
                <w:rFonts w:ascii="宋体" w:hAnsi="宋体" w:cs="宋体"/>
                <w:sz w:val="18"/>
                <w:szCs w:val="18"/>
              </w:rPr>
              <w:t>1.3</w:t>
            </w:r>
            <w:r>
              <w:rPr>
                <w:rFonts w:hint="eastAsia" w:ascii="宋体" w:hAnsi="宋体" w:cs="宋体"/>
                <w:sz w:val="18"/>
                <w:szCs w:val="18"/>
              </w:rPr>
              <w:t>变更管理</w:t>
            </w:r>
          </w:p>
        </w:tc>
        <w:tc>
          <w:tcPr>
            <w:tcW w:w="894" w:type="dxa"/>
            <w:tcBorders>
              <w:top w:val="single" w:color="000000" w:sz="4" w:space="0"/>
              <w:left w:val="single" w:color="000000" w:sz="4" w:space="0"/>
              <w:bottom w:val="single" w:color="000000" w:sz="4" w:space="0"/>
              <w:right w:val="single" w:color="000000" w:sz="4" w:space="0"/>
            </w:tcBorders>
            <w:vAlign w:val="center"/>
          </w:tcPr>
          <w:p w14:paraId="587817E6">
            <w:pPr>
              <w:spacing w:line="360" w:lineRule="auto"/>
              <w:jc w:val="center"/>
              <w:rPr>
                <w:rFonts w:ascii="宋体" w:hAnsi="宋体" w:cs="宋体"/>
                <w:sz w:val="18"/>
                <w:szCs w:val="18"/>
              </w:rPr>
            </w:pPr>
            <w:r>
              <w:rPr>
                <w:rFonts w:hint="eastAsia" w:ascii="宋体" w:hAnsi="宋体" w:cs="宋体"/>
                <w:sz w:val="18"/>
                <w:szCs w:val="18"/>
              </w:rPr>
              <w:t>△</w:t>
            </w:r>
          </w:p>
        </w:tc>
        <w:tc>
          <w:tcPr>
            <w:tcW w:w="712" w:type="dxa"/>
            <w:tcBorders>
              <w:top w:val="single" w:color="000000" w:sz="4" w:space="0"/>
              <w:left w:val="single" w:color="000000" w:sz="4" w:space="0"/>
              <w:bottom w:val="single" w:color="000000" w:sz="4" w:space="0"/>
              <w:right w:val="single" w:color="000000" w:sz="4" w:space="0"/>
            </w:tcBorders>
            <w:vAlign w:val="center"/>
          </w:tcPr>
          <w:p w14:paraId="24B5829A">
            <w:pPr>
              <w:spacing w:line="360" w:lineRule="auto"/>
              <w:jc w:val="center"/>
              <w:rPr>
                <w:rFonts w:ascii="宋体" w:hAnsi="宋体" w:cs="宋体"/>
                <w:sz w:val="18"/>
                <w:szCs w:val="18"/>
              </w:rPr>
            </w:pPr>
            <w:r>
              <w:rPr>
                <w:rFonts w:hint="eastAsia" w:ascii="宋体" w:hAnsi="宋体" w:cs="宋体"/>
                <w:sz w:val="18"/>
                <w:szCs w:val="18"/>
              </w:rPr>
              <w:t>△</w:t>
            </w:r>
          </w:p>
        </w:tc>
        <w:tc>
          <w:tcPr>
            <w:tcW w:w="709" w:type="dxa"/>
            <w:tcBorders>
              <w:top w:val="single" w:color="000000" w:sz="4" w:space="0"/>
              <w:left w:val="single" w:color="000000" w:sz="4" w:space="0"/>
              <w:bottom w:val="single" w:color="000000" w:sz="4" w:space="0"/>
              <w:right w:val="single" w:color="000000" w:sz="4" w:space="0"/>
            </w:tcBorders>
            <w:vAlign w:val="center"/>
          </w:tcPr>
          <w:p w14:paraId="76AC9515">
            <w:pPr>
              <w:spacing w:line="360" w:lineRule="auto"/>
              <w:jc w:val="center"/>
              <w:rPr>
                <w:rFonts w:ascii="宋体" w:hAnsi="宋体" w:cs="宋体"/>
                <w:sz w:val="18"/>
                <w:szCs w:val="18"/>
              </w:rPr>
            </w:pPr>
            <w:r>
              <w:rPr>
                <w:rFonts w:hint="eastAsia" w:ascii="宋体" w:hAnsi="宋体" w:cs="宋体"/>
                <w:sz w:val="18"/>
                <w:szCs w:val="18"/>
              </w:rPr>
              <w:t>★</w:t>
            </w:r>
          </w:p>
        </w:tc>
        <w:tc>
          <w:tcPr>
            <w:tcW w:w="709" w:type="dxa"/>
            <w:tcBorders>
              <w:top w:val="single" w:color="000000" w:sz="4" w:space="0"/>
              <w:left w:val="single" w:color="000000" w:sz="4" w:space="0"/>
              <w:bottom w:val="single" w:color="000000" w:sz="4" w:space="0"/>
              <w:right w:val="single" w:color="auto" w:sz="4" w:space="0"/>
            </w:tcBorders>
            <w:vAlign w:val="center"/>
          </w:tcPr>
          <w:p w14:paraId="745ADF08">
            <w:pPr>
              <w:jc w:val="center"/>
            </w:pPr>
            <w:r>
              <w:rPr>
                <w:rFonts w:hint="eastAsia" w:ascii="宋体" w:hAnsi="宋体" w:cs="宋体"/>
                <w:sz w:val="18"/>
                <w:szCs w:val="18"/>
              </w:rPr>
              <w:t>★</w:t>
            </w:r>
          </w:p>
        </w:tc>
        <w:tc>
          <w:tcPr>
            <w:tcW w:w="709" w:type="dxa"/>
            <w:tcBorders>
              <w:top w:val="single" w:color="000000" w:sz="4" w:space="0"/>
              <w:left w:val="single" w:color="auto" w:sz="4" w:space="0"/>
              <w:bottom w:val="single" w:color="000000" w:sz="4" w:space="0"/>
              <w:right w:val="single" w:color="auto" w:sz="6" w:space="0"/>
            </w:tcBorders>
            <w:vAlign w:val="center"/>
          </w:tcPr>
          <w:p w14:paraId="67E21895">
            <w:pPr>
              <w:spacing w:line="360" w:lineRule="auto"/>
              <w:jc w:val="center"/>
              <w:rPr>
                <w:rFonts w:ascii="宋体" w:hAnsi="宋体" w:cs="宋体"/>
                <w:sz w:val="18"/>
                <w:szCs w:val="18"/>
              </w:rPr>
            </w:pPr>
            <w:r>
              <w:rPr>
                <w:rFonts w:hint="eastAsia" w:ascii="宋体" w:hAnsi="宋体" w:cs="宋体"/>
                <w:sz w:val="18"/>
                <w:szCs w:val="18"/>
              </w:rPr>
              <w:t>★</w:t>
            </w:r>
          </w:p>
        </w:tc>
        <w:tc>
          <w:tcPr>
            <w:tcW w:w="709" w:type="dxa"/>
            <w:tcBorders>
              <w:top w:val="single" w:color="000000" w:sz="4" w:space="0"/>
              <w:left w:val="single" w:color="auto" w:sz="6" w:space="0"/>
              <w:bottom w:val="single" w:color="000000" w:sz="4" w:space="0"/>
              <w:right w:val="single" w:color="000000" w:sz="4" w:space="0"/>
            </w:tcBorders>
            <w:vAlign w:val="center"/>
          </w:tcPr>
          <w:p w14:paraId="79557193">
            <w:pPr>
              <w:jc w:val="center"/>
            </w:pPr>
            <w:r>
              <w:rPr>
                <w:rFonts w:hint="eastAsia" w:ascii="宋体" w:hAnsi="宋体" w:cs="宋体"/>
                <w:sz w:val="18"/>
                <w:szCs w:val="18"/>
              </w:rPr>
              <w:t>★</w:t>
            </w:r>
          </w:p>
        </w:tc>
        <w:tc>
          <w:tcPr>
            <w:tcW w:w="709" w:type="dxa"/>
            <w:tcBorders>
              <w:top w:val="single" w:color="000000" w:sz="4" w:space="0"/>
              <w:left w:val="single" w:color="auto" w:sz="6" w:space="0"/>
              <w:bottom w:val="single" w:color="000000" w:sz="4" w:space="0"/>
              <w:right w:val="single" w:color="000000" w:sz="4" w:space="0"/>
            </w:tcBorders>
            <w:vAlign w:val="center"/>
          </w:tcPr>
          <w:p w14:paraId="4E711AA7">
            <w:pPr>
              <w:jc w:val="center"/>
            </w:pPr>
            <w:r>
              <w:rPr>
                <w:rFonts w:hint="eastAsia" w:ascii="宋体" w:hAnsi="宋体" w:cs="宋体"/>
                <w:sz w:val="18"/>
                <w:szCs w:val="18"/>
              </w:rPr>
              <w:t>★</w:t>
            </w:r>
          </w:p>
        </w:tc>
      </w:tr>
      <w:tr w14:paraId="50FE3236">
        <w:tblPrEx>
          <w:tblCellMar>
            <w:top w:w="0" w:type="dxa"/>
            <w:left w:w="0" w:type="dxa"/>
            <w:bottom w:w="0" w:type="dxa"/>
            <w:right w:w="0" w:type="dxa"/>
          </w:tblCellMar>
        </w:tblPrEx>
        <w:trPr>
          <w:trHeight w:val="539" w:hRule="exact"/>
        </w:trPr>
        <w:tc>
          <w:tcPr>
            <w:tcW w:w="2484" w:type="dxa"/>
            <w:tcBorders>
              <w:top w:val="single" w:color="000000" w:sz="4" w:space="0"/>
              <w:left w:val="single" w:color="000000" w:sz="4" w:space="0"/>
              <w:bottom w:val="single" w:color="000000" w:sz="4" w:space="0"/>
              <w:right w:val="single" w:color="000000" w:sz="4" w:space="0"/>
            </w:tcBorders>
            <w:vAlign w:val="center"/>
          </w:tcPr>
          <w:p w14:paraId="43DDACE8">
            <w:pPr>
              <w:spacing w:line="360" w:lineRule="auto"/>
              <w:rPr>
                <w:rFonts w:ascii="宋体" w:hAnsi="宋体" w:cs="宋体"/>
                <w:sz w:val="18"/>
                <w:szCs w:val="18"/>
              </w:rPr>
            </w:pPr>
            <w:r>
              <w:rPr>
                <w:rFonts w:hint="eastAsia" w:ascii="宋体" w:hAnsi="宋体" w:cs="宋体"/>
                <w:sz w:val="18"/>
                <w:szCs w:val="18"/>
              </w:rPr>
              <w:t>8.2.1顾客沟通</w:t>
            </w:r>
          </w:p>
        </w:tc>
        <w:tc>
          <w:tcPr>
            <w:tcW w:w="2765" w:type="dxa"/>
            <w:tcBorders>
              <w:top w:val="single" w:color="000000" w:sz="4" w:space="0"/>
              <w:left w:val="single" w:color="000000" w:sz="4" w:space="0"/>
              <w:bottom w:val="single" w:color="000000" w:sz="4" w:space="0"/>
              <w:right w:val="single" w:color="auto" w:sz="4" w:space="0"/>
            </w:tcBorders>
            <w:vAlign w:val="center"/>
          </w:tcPr>
          <w:p w14:paraId="0F2A927B">
            <w:pPr>
              <w:spacing w:line="360" w:lineRule="auto"/>
              <w:rPr>
                <w:rFonts w:ascii="宋体" w:hAnsi="宋体" w:cs="宋体"/>
                <w:sz w:val="18"/>
                <w:szCs w:val="18"/>
              </w:rPr>
            </w:pPr>
          </w:p>
        </w:tc>
        <w:tc>
          <w:tcPr>
            <w:tcW w:w="3073" w:type="dxa"/>
            <w:tcBorders>
              <w:top w:val="single" w:color="000000" w:sz="4" w:space="0"/>
              <w:left w:val="single" w:color="000000" w:sz="4" w:space="0"/>
              <w:bottom w:val="single" w:color="000000" w:sz="4" w:space="0"/>
              <w:right w:val="single" w:color="auto" w:sz="4" w:space="0"/>
            </w:tcBorders>
            <w:vAlign w:val="center"/>
          </w:tcPr>
          <w:p w14:paraId="60F4889D">
            <w:pPr>
              <w:spacing w:line="360" w:lineRule="auto"/>
              <w:rPr>
                <w:rFonts w:ascii="宋体" w:hAnsi="宋体" w:cs="宋体"/>
                <w:sz w:val="18"/>
                <w:szCs w:val="18"/>
              </w:rPr>
            </w:pPr>
          </w:p>
        </w:tc>
        <w:tc>
          <w:tcPr>
            <w:tcW w:w="894" w:type="dxa"/>
            <w:tcBorders>
              <w:top w:val="single" w:color="000000" w:sz="4" w:space="0"/>
              <w:left w:val="single" w:color="000000" w:sz="4" w:space="0"/>
              <w:bottom w:val="single" w:color="000000" w:sz="4" w:space="0"/>
              <w:right w:val="single" w:color="000000" w:sz="4" w:space="0"/>
            </w:tcBorders>
            <w:vAlign w:val="center"/>
          </w:tcPr>
          <w:p w14:paraId="48017E3E">
            <w:pPr>
              <w:spacing w:line="360" w:lineRule="auto"/>
              <w:jc w:val="center"/>
              <w:rPr>
                <w:rFonts w:ascii="宋体" w:hAnsi="宋体" w:cs="宋体"/>
                <w:sz w:val="18"/>
                <w:szCs w:val="18"/>
              </w:rPr>
            </w:pPr>
            <w:r>
              <w:rPr>
                <w:rFonts w:hint="eastAsia" w:ascii="宋体" w:hAnsi="宋体" w:cs="宋体"/>
                <w:sz w:val="18"/>
                <w:szCs w:val="18"/>
              </w:rPr>
              <w:t>△</w:t>
            </w:r>
          </w:p>
        </w:tc>
        <w:tc>
          <w:tcPr>
            <w:tcW w:w="712" w:type="dxa"/>
            <w:tcBorders>
              <w:top w:val="single" w:color="000000" w:sz="4" w:space="0"/>
              <w:left w:val="single" w:color="000000" w:sz="4" w:space="0"/>
              <w:bottom w:val="single" w:color="000000" w:sz="4" w:space="0"/>
              <w:right w:val="single" w:color="000000" w:sz="4" w:space="0"/>
            </w:tcBorders>
            <w:vAlign w:val="center"/>
          </w:tcPr>
          <w:p w14:paraId="6E334381">
            <w:pPr>
              <w:spacing w:line="360" w:lineRule="auto"/>
              <w:jc w:val="center"/>
              <w:rPr>
                <w:rFonts w:ascii="宋体" w:hAnsi="宋体" w:cs="宋体"/>
                <w:sz w:val="18"/>
                <w:szCs w:val="18"/>
              </w:rPr>
            </w:pPr>
            <w:r>
              <w:rPr>
                <w:rFonts w:hint="eastAsia" w:ascii="宋体" w:hAnsi="宋体" w:cs="宋体"/>
                <w:sz w:val="18"/>
                <w:szCs w:val="18"/>
              </w:rPr>
              <w:t>△</w:t>
            </w:r>
          </w:p>
        </w:tc>
        <w:tc>
          <w:tcPr>
            <w:tcW w:w="709" w:type="dxa"/>
            <w:tcBorders>
              <w:top w:val="single" w:color="000000" w:sz="4" w:space="0"/>
              <w:left w:val="single" w:color="000000" w:sz="4" w:space="0"/>
              <w:bottom w:val="single" w:color="000000" w:sz="4" w:space="0"/>
              <w:right w:val="single" w:color="000000" w:sz="4" w:space="0"/>
            </w:tcBorders>
            <w:vAlign w:val="center"/>
          </w:tcPr>
          <w:p w14:paraId="2E6D55BA">
            <w:pPr>
              <w:spacing w:line="360" w:lineRule="auto"/>
              <w:jc w:val="center"/>
              <w:rPr>
                <w:rFonts w:ascii="宋体" w:hAnsi="宋体" w:cs="宋体"/>
                <w:sz w:val="18"/>
                <w:szCs w:val="18"/>
              </w:rPr>
            </w:pPr>
            <w:r>
              <w:rPr>
                <w:rFonts w:hint="eastAsia" w:ascii="宋体" w:hAnsi="宋体" w:cs="宋体"/>
                <w:sz w:val="18"/>
                <w:szCs w:val="18"/>
              </w:rPr>
              <w:t>△</w:t>
            </w:r>
          </w:p>
        </w:tc>
        <w:tc>
          <w:tcPr>
            <w:tcW w:w="709" w:type="dxa"/>
            <w:tcBorders>
              <w:top w:val="single" w:color="000000" w:sz="4" w:space="0"/>
              <w:left w:val="single" w:color="000000" w:sz="4" w:space="0"/>
              <w:bottom w:val="single" w:color="000000" w:sz="4" w:space="0"/>
              <w:right w:val="single" w:color="auto" w:sz="4" w:space="0"/>
            </w:tcBorders>
            <w:vAlign w:val="center"/>
          </w:tcPr>
          <w:p w14:paraId="05F87935">
            <w:pPr>
              <w:jc w:val="center"/>
            </w:pPr>
            <w:r>
              <w:rPr>
                <w:rFonts w:hint="eastAsia" w:ascii="宋体" w:hAnsi="宋体" w:cs="宋体"/>
                <w:sz w:val="18"/>
                <w:szCs w:val="18"/>
              </w:rPr>
              <w:t>△</w:t>
            </w:r>
          </w:p>
        </w:tc>
        <w:tc>
          <w:tcPr>
            <w:tcW w:w="709" w:type="dxa"/>
            <w:tcBorders>
              <w:top w:val="single" w:color="000000" w:sz="4" w:space="0"/>
              <w:left w:val="single" w:color="auto" w:sz="4" w:space="0"/>
              <w:bottom w:val="single" w:color="000000" w:sz="4" w:space="0"/>
              <w:right w:val="single" w:color="auto" w:sz="6" w:space="0"/>
            </w:tcBorders>
            <w:vAlign w:val="center"/>
          </w:tcPr>
          <w:p w14:paraId="07654AF5">
            <w:pPr>
              <w:spacing w:line="360" w:lineRule="auto"/>
              <w:jc w:val="center"/>
              <w:rPr>
                <w:rFonts w:ascii="宋体" w:hAnsi="宋体" w:cs="宋体"/>
                <w:sz w:val="18"/>
                <w:szCs w:val="18"/>
              </w:rPr>
            </w:pPr>
            <w:r>
              <w:rPr>
                <w:rFonts w:hint="eastAsia" w:ascii="宋体" w:hAnsi="宋体" w:cs="宋体"/>
                <w:sz w:val="18"/>
                <w:szCs w:val="18"/>
              </w:rPr>
              <w:t>★</w:t>
            </w:r>
          </w:p>
        </w:tc>
        <w:tc>
          <w:tcPr>
            <w:tcW w:w="709" w:type="dxa"/>
            <w:tcBorders>
              <w:top w:val="single" w:color="000000" w:sz="4" w:space="0"/>
              <w:left w:val="single" w:color="auto" w:sz="6" w:space="0"/>
              <w:bottom w:val="single" w:color="000000" w:sz="4" w:space="0"/>
              <w:right w:val="single" w:color="000000" w:sz="4" w:space="0"/>
            </w:tcBorders>
            <w:vAlign w:val="center"/>
          </w:tcPr>
          <w:p w14:paraId="3644E1EE">
            <w:pPr>
              <w:spacing w:line="360" w:lineRule="auto"/>
              <w:jc w:val="center"/>
              <w:rPr>
                <w:rFonts w:ascii="宋体" w:hAnsi="宋体" w:cs="宋体"/>
                <w:sz w:val="18"/>
                <w:szCs w:val="18"/>
              </w:rPr>
            </w:pPr>
            <w:r>
              <w:rPr>
                <w:rFonts w:hint="eastAsia" w:ascii="宋体" w:hAnsi="宋体" w:cs="宋体"/>
                <w:sz w:val="18"/>
                <w:szCs w:val="18"/>
              </w:rPr>
              <w:t>△</w:t>
            </w:r>
          </w:p>
        </w:tc>
        <w:tc>
          <w:tcPr>
            <w:tcW w:w="709" w:type="dxa"/>
            <w:tcBorders>
              <w:top w:val="single" w:color="000000" w:sz="4" w:space="0"/>
              <w:left w:val="single" w:color="auto" w:sz="6" w:space="0"/>
              <w:bottom w:val="single" w:color="000000" w:sz="4" w:space="0"/>
              <w:right w:val="single" w:color="000000" w:sz="4" w:space="0"/>
            </w:tcBorders>
            <w:vAlign w:val="center"/>
          </w:tcPr>
          <w:p w14:paraId="54A04296">
            <w:pPr>
              <w:spacing w:line="360" w:lineRule="auto"/>
              <w:jc w:val="center"/>
              <w:rPr>
                <w:rFonts w:ascii="宋体" w:hAnsi="宋体" w:cs="宋体"/>
                <w:sz w:val="18"/>
                <w:szCs w:val="18"/>
              </w:rPr>
            </w:pPr>
            <w:r>
              <w:rPr>
                <w:rFonts w:hint="eastAsia" w:ascii="宋体" w:hAnsi="宋体" w:cs="宋体"/>
                <w:sz w:val="18"/>
                <w:szCs w:val="18"/>
              </w:rPr>
              <w:t>△</w:t>
            </w:r>
          </w:p>
        </w:tc>
      </w:tr>
      <w:tr w14:paraId="1093F86D">
        <w:tblPrEx>
          <w:tblCellMar>
            <w:top w:w="0" w:type="dxa"/>
            <w:left w:w="0" w:type="dxa"/>
            <w:bottom w:w="0" w:type="dxa"/>
            <w:right w:w="0" w:type="dxa"/>
          </w:tblCellMar>
        </w:tblPrEx>
        <w:trPr>
          <w:trHeight w:val="539" w:hRule="exact"/>
        </w:trPr>
        <w:tc>
          <w:tcPr>
            <w:tcW w:w="2484" w:type="dxa"/>
            <w:tcBorders>
              <w:top w:val="single" w:color="000000" w:sz="4" w:space="0"/>
              <w:left w:val="single" w:color="000000" w:sz="4" w:space="0"/>
              <w:bottom w:val="single" w:color="000000" w:sz="4" w:space="0"/>
              <w:right w:val="single" w:color="000000" w:sz="4" w:space="0"/>
            </w:tcBorders>
            <w:vAlign w:val="center"/>
          </w:tcPr>
          <w:p w14:paraId="75055E06">
            <w:pPr>
              <w:spacing w:line="360" w:lineRule="auto"/>
              <w:rPr>
                <w:rFonts w:ascii="宋体" w:hAnsi="宋体" w:cs="宋体"/>
                <w:sz w:val="18"/>
                <w:szCs w:val="18"/>
              </w:rPr>
            </w:pPr>
            <w:r>
              <w:rPr>
                <w:rFonts w:hint="eastAsia" w:ascii="宋体" w:hAnsi="宋体" w:cs="宋体"/>
                <w:sz w:val="18"/>
                <w:szCs w:val="18"/>
              </w:rPr>
              <w:t>8.2.2与服务相关的要求的确定</w:t>
            </w:r>
          </w:p>
        </w:tc>
        <w:tc>
          <w:tcPr>
            <w:tcW w:w="2765" w:type="dxa"/>
            <w:tcBorders>
              <w:top w:val="single" w:color="000000" w:sz="4" w:space="0"/>
              <w:left w:val="single" w:color="000000" w:sz="4" w:space="0"/>
              <w:bottom w:val="single" w:color="000000" w:sz="4" w:space="0"/>
              <w:right w:val="single" w:color="auto" w:sz="4" w:space="0"/>
            </w:tcBorders>
            <w:vAlign w:val="center"/>
          </w:tcPr>
          <w:p w14:paraId="3D473827">
            <w:pPr>
              <w:spacing w:line="360" w:lineRule="auto"/>
              <w:rPr>
                <w:rFonts w:ascii="宋体" w:hAnsi="宋体" w:cs="宋体"/>
                <w:sz w:val="18"/>
                <w:szCs w:val="18"/>
              </w:rPr>
            </w:pPr>
          </w:p>
        </w:tc>
        <w:tc>
          <w:tcPr>
            <w:tcW w:w="3073" w:type="dxa"/>
            <w:tcBorders>
              <w:top w:val="single" w:color="000000" w:sz="4" w:space="0"/>
              <w:left w:val="single" w:color="000000" w:sz="4" w:space="0"/>
              <w:bottom w:val="single" w:color="000000" w:sz="4" w:space="0"/>
              <w:right w:val="single" w:color="auto" w:sz="4" w:space="0"/>
            </w:tcBorders>
            <w:vAlign w:val="center"/>
          </w:tcPr>
          <w:p w14:paraId="2581BAA7">
            <w:pPr>
              <w:spacing w:line="360" w:lineRule="auto"/>
              <w:rPr>
                <w:rFonts w:ascii="宋体" w:hAnsi="宋体" w:cs="宋体"/>
                <w:sz w:val="18"/>
                <w:szCs w:val="18"/>
              </w:rPr>
            </w:pPr>
          </w:p>
        </w:tc>
        <w:tc>
          <w:tcPr>
            <w:tcW w:w="894" w:type="dxa"/>
            <w:tcBorders>
              <w:top w:val="single" w:color="000000" w:sz="4" w:space="0"/>
              <w:left w:val="single" w:color="000000" w:sz="4" w:space="0"/>
              <w:bottom w:val="single" w:color="000000" w:sz="4" w:space="0"/>
              <w:right w:val="single" w:color="000000" w:sz="4" w:space="0"/>
            </w:tcBorders>
            <w:vAlign w:val="center"/>
          </w:tcPr>
          <w:p w14:paraId="2FB5164E">
            <w:pPr>
              <w:spacing w:line="360" w:lineRule="auto"/>
              <w:jc w:val="center"/>
              <w:rPr>
                <w:rFonts w:ascii="宋体" w:hAnsi="宋体" w:cs="宋体"/>
                <w:sz w:val="18"/>
                <w:szCs w:val="18"/>
              </w:rPr>
            </w:pPr>
            <w:r>
              <w:rPr>
                <w:rFonts w:hint="eastAsia" w:ascii="宋体" w:hAnsi="宋体" w:cs="宋体"/>
                <w:sz w:val="18"/>
                <w:szCs w:val="18"/>
              </w:rPr>
              <w:t>△</w:t>
            </w:r>
          </w:p>
        </w:tc>
        <w:tc>
          <w:tcPr>
            <w:tcW w:w="712" w:type="dxa"/>
            <w:tcBorders>
              <w:top w:val="single" w:color="000000" w:sz="4" w:space="0"/>
              <w:left w:val="single" w:color="000000" w:sz="4" w:space="0"/>
              <w:bottom w:val="single" w:color="000000" w:sz="4" w:space="0"/>
              <w:right w:val="single" w:color="000000" w:sz="4" w:space="0"/>
            </w:tcBorders>
            <w:vAlign w:val="center"/>
          </w:tcPr>
          <w:p w14:paraId="5B798747">
            <w:pPr>
              <w:spacing w:line="360" w:lineRule="auto"/>
              <w:jc w:val="center"/>
              <w:rPr>
                <w:rFonts w:ascii="宋体" w:hAnsi="宋体" w:cs="宋体"/>
                <w:sz w:val="18"/>
                <w:szCs w:val="18"/>
              </w:rPr>
            </w:pPr>
            <w:r>
              <w:rPr>
                <w:rFonts w:hint="eastAsia" w:ascii="宋体" w:hAnsi="宋体" w:cs="宋体"/>
                <w:sz w:val="18"/>
                <w:szCs w:val="18"/>
              </w:rPr>
              <w:t>△</w:t>
            </w:r>
          </w:p>
        </w:tc>
        <w:tc>
          <w:tcPr>
            <w:tcW w:w="709" w:type="dxa"/>
            <w:tcBorders>
              <w:top w:val="single" w:color="000000" w:sz="4" w:space="0"/>
              <w:left w:val="single" w:color="000000" w:sz="4" w:space="0"/>
              <w:bottom w:val="single" w:color="000000" w:sz="4" w:space="0"/>
              <w:right w:val="single" w:color="000000" w:sz="4" w:space="0"/>
            </w:tcBorders>
            <w:vAlign w:val="center"/>
          </w:tcPr>
          <w:p w14:paraId="7ED8FEEE">
            <w:pPr>
              <w:spacing w:line="360" w:lineRule="auto"/>
              <w:jc w:val="center"/>
              <w:rPr>
                <w:rFonts w:ascii="宋体" w:hAnsi="宋体" w:cs="宋体"/>
                <w:sz w:val="18"/>
                <w:szCs w:val="18"/>
              </w:rPr>
            </w:pPr>
            <w:r>
              <w:rPr>
                <w:rFonts w:hint="eastAsia" w:ascii="宋体" w:hAnsi="宋体" w:cs="宋体"/>
                <w:sz w:val="18"/>
                <w:szCs w:val="18"/>
              </w:rPr>
              <w:t>△</w:t>
            </w:r>
          </w:p>
        </w:tc>
        <w:tc>
          <w:tcPr>
            <w:tcW w:w="709" w:type="dxa"/>
            <w:tcBorders>
              <w:top w:val="single" w:color="000000" w:sz="4" w:space="0"/>
              <w:left w:val="single" w:color="000000" w:sz="4" w:space="0"/>
              <w:bottom w:val="single" w:color="000000" w:sz="4" w:space="0"/>
              <w:right w:val="single" w:color="auto" w:sz="4" w:space="0"/>
            </w:tcBorders>
            <w:vAlign w:val="center"/>
          </w:tcPr>
          <w:p w14:paraId="7FCA3388">
            <w:pPr>
              <w:jc w:val="center"/>
            </w:pPr>
            <w:r>
              <w:rPr>
                <w:rFonts w:hint="eastAsia" w:ascii="宋体" w:hAnsi="宋体" w:cs="宋体"/>
                <w:sz w:val="18"/>
                <w:szCs w:val="18"/>
              </w:rPr>
              <w:t>△</w:t>
            </w:r>
          </w:p>
        </w:tc>
        <w:tc>
          <w:tcPr>
            <w:tcW w:w="709" w:type="dxa"/>
            <w:tcBorders>
              <w:top w:val="single" w:color="000000" w:sz="4" w:space="0"/>
              <w:left w:val="single" w:color="auto" w:sz="4" w:space="0"/>
              <w:bottom w:val="single" w:color="000000" w:sz="4" w:space="0"/>
              <w:right w:val="single" w:color="auto" w:sz="6" w:space="0"/>
            </w:tcBorders>
            <w:vAlign w:val="center"/>
          </w:tcPr>
          <w:p w14:paraId="2DEB95B7">
            <w:pPr>
              <w:spacing w:line="360" w:lineRule="auto"/>
              <w:jc w:val="center"/>
              <w:rPr>
                <w:rFonts w:ascii="宋体" w:hAnsi="宋体" w:cs="宋体"/>
                <w:sz w:val="18"/>
                <w:szCs w:val="18"/>
              </w:rPr>
            </w:pPr>
            <w:r>
              <w:rPr>
                <w:rFonts w:hint="eastAsia" w:ascii="宋体" w:hAnsi="宋体" w:cs="宋体"/>
                <w:sz w:val="18"/>
                <w:szCs w:val="18"/>
              </w:rPr>
              <w:t>★</w:t>
            </w:r>
          </w:p>
        </w:tc>
        <w:tc>
          <w:tcPr>
            <w:tcW w:w="709" w:type="dxa"/>
            <w:tcBorders>
              <w:top w:val="single" w:color="000000" w:sz="4" w:space="0"/>
              <w:left w:val="single" w:color="auto" w:sz="6" w:space="0"/>
              <w:bottom w:val="single" w:color="000000" w:sz="4" w:space="0"/>
              <w:right w:val="single" w:color="000000" w:sz="4" w:space="0"/>
            </w:tcBorders>
            <w:vAlign w:val="center"/>
          </w:tcPr>
          <w:p w14:paraId="5A3D2C73">
            <w:pPr>
              <w:spacing w:line="360" w:lineRule="auto"/>
              <w:jc w:val="center"/>
              <w:rPr>
                <w:rFonts w:ascii="宋体" w:hAnsi="宋体" w:cs="宋体"/>
                <w:sz w:val="18"/>
                <w:szCs w:val="18"/>
              </w:rPr>
            </w:pPr>
            <w:r>
              <w:rPr>
                <w:rFonts w:hint="eastAsia" w:ascii="宋体" w:hAnsi="宋体" w:cs="宋体"/>
                <w:sz w:val="18"/>
                <w:szCs w:val="18"/>
              </w:rPr>
              <w:t>△</w:t>
            </w:r>
          </w:p>
        </w:tc>
        <w:tc>
          <w:tcPr>
            <w:tcW w:w="709" w:type="dxa"/>
            <w:tcBorders>
              <w:top w:val="single" w:color="000000" w:sz="4" w:space="0"/>
              <w:left w:val="single" w:color="auto" w:sz="6" w:space="0"/>
              <w:bottom w:val="single" w:color="000000" w:sz="4" w:space="0"/>
              <w:right w:val="single" w:color="000000" w:sz="4" w:space="0"/>
            </w:tcBorders>
            <w:vAlign w:val="center"/>
          </w:tcPr>
          <w:p w14:paraId="46B432BE">
            <w:pPr>
              <w:spacing w:line="360" w:lineRule="auto"/>
              <w:jc w:val="center"/>
              <w:rPr>
                <w:rFonts w:ascii="宋体" w:hAnsi="宋体" w:cs="宋体"/>
                <w:sz w:val="18"/>
                <w:szCs w:val="18"/>
              </w:rPr>
            </w:pPr>
            <w:r>
              <w:rPr>
                <w:rFonts w:hint="eastAsia" w:ascii="宋体" w:hAnsi="宋体" w:cs="宋体"/>
                <w:sz w:val="18"/>
                <w:szCs w:val="18"/>
              </w:rPr>
              <w:t>△</w:t>
            </w:r>
          </w:p>
        </w:tc>
      </w:tr>
      <w:tr w14:paraId="30999CD9">
        <w:tblPrEx>
          <w:tblCellMar>
            <w:top w:w="0" w:type="dxa"/>
            <w:left w:w="0" w:type="dxa"/>
            <w:bottom w:w="0" w:type="dxa"/>
            <w:right w:w="0" w:type="dxa"/>
          </w:tblCellMar>
        </w:tblPrEx>
        <w:trPr>
          <w:trHeight w:val="539" w:hRule="exact"/>
        </w:trPr>
        <w:tc>
          <w:tcPr>
            <w:tcW w:w="2484" w:type="dxa"/>
            <w:tcBorders>
              <w:top w:val="single" w:color="000000" w:sz="4" w:space="0"/>
              <w:left w:val="single" w:color="000000" w:sz="4" w:space="0"/>
              <w:bottom w:val="single" w:color="000000" w:sz="4" w:space="0"/>
              <w:right w:val="single" w:color="000000" w:sz="4" w:space="0"/>
            </w:tcBorders>
            <w:vAlign w:val="center"/>
          </w:tcPr>
          <w:p w14:paraId="6A3E3D44">
            <w:pPr>
              <w:spacing w:line="360" w:lineRule="auto"/>
              <w:rPr>
                <w:rFonts w:ascii="宋体" w:hAnsi="宋体" w:cs="宋体"/>
                <w:sz w:val="18"/>
                <w:szCs w:val="18"/>
              </w:rPr>
            </w:pPr>
            <w:r>
              <w:rPr>
                <w:rFonts w:hint="eastAsia" w:ascii="宋体" w:hAnsi="宋体" w:cs="宋体"/>
                <w:sz w:val="18"/>
                <w:szCs w:val="18"/>
              </w:rPr>
              <w:t>8.2.3与服务相关的要求的评审</w:t>
            </w:r>
          </w:p>
        </w:tc>
        <w:tc>
          <w:tcPr>
            <w:tcW w:w="2765" w:type="dxa"/>
            <w:tcBorders>
              <w:top w:val="single" w:color="000000" w:sz="4" w:space="0"/>
              <w:left w:val="single" w:color="000000" w:sz="4" w:space="0"/>
              <w:bottom w:val="single" w:color="000000" w:sz="4" w:space="0"/>
              <w:right w:val="single" w:color="auto" w:sz="4" w:space="0"/>
            </w:tcBorders>
            <w:vAlign w:val="center"/>
          </w:tcPr>
          <w:p w14:paraId="004A3CEA">
            <w:pPr>
              <w:spacing w:line="360" w:lineRule="auto"/>
              <w:rPr>
                <w:rFonts w:ascii="宋体" w:hAnsi="宋体" w:cs="宋体"/>
                <w:sz w:val="18"/>
                <w:szCs w:val="18"/>
              </w:rPr>
            </w:pPr>
          </w:p>
        </w:tc>
        <w:tc>
          <w:tcPr>
            <w:tcW w:w="3073" w:type="dxa"/>
            <w:tcBorders>
              <w:top w:val="single" w:color="000000" w:sz="4" w:space="0"/>
              <w:left w:val="single" w:color="000000" w:sz="4" w:space="0"/>
              <w:bottom w:val="single" w:color="000000" w:sz="4" w:space="0"/>
              <w:right w:val="single" w:color="auto" w:sz="4" w:space="0"/>
            </w:tcBorders>
            <w:vAlign w:val="center"/>
          </w:tcPr>
          <w:p w14:paraId="7EBF11E4">
            <w:pPr>
              <w:spacing w:line="360" w:lineRule="auto"/>
              <w:rPr>
                <w:rFonts w:ascii="宋体" w:hAnsi="宋体" w:cs="宋体"/>
                <w:sz w:val="18"/>
                <w:szCs w:val="18"/>
              </w:rPr>
            </w:pPr>
          </w:p>
        </w:tc>
        <w:tc>
          <w:tcPr>
            <w:tcW w:w="894" w:type="dxa"/>
            <w:tcBorders>
              <w:top w:val="single" w:color="000000" w:sz="4" w:space="0"/>
              <w:left w:val="single" w:color="000000" w:sz="4" w:space="0"/>
              <w:bottom w:val="single" w:color="000000" w:sz="4" w:space="0"/>
              <w:right w:val="single" w:color="000000" w:sz="4" w:space="0"/>
            </w:tcBorders>
            <w:vAlign w:val="center"/>
          </w:tcPr>
          <w:p w14:paraId="42BF5630">
            <w:pPr>
              <w:spacing w:line="360" w:lineRule="auto"/>
              <w:jc w:val="center"/>
              <w:rPr>
                <w:rFonts w:ascii="宋体" w:hAnsi="宋体" w:cs="宋体"/>
                <w:sz w:val="18"/>
                <w:szCs w:val="18"/>
              </w:rPr>
            </w:pPr>
            <w:r>
              <w:rPr>
                <w:rFonts w:hint="eastAsia" w:ascii="宋体" w:hAnsi="宋体" w:cs="宋体"/>
                <w:sz w:val="18"/>
                <w:szCs w:val="18"/>
              </w:rPr>
              <w:t>△</w:t>
            </w:r>
          </w:p>
        </w:tc>
        <w:tc>
          <w:tcPr>
            <w:tcW w:w="712" w:type="dxa"/>
            <w:tcBorders>
              <w:top w:val="single" w:color="000000" w:sz="4" w:space="0"/>
              <w:left w:val="single" w:color="000000" w:sz="4" w:space="0"/>
              <w:bottom w:val="single" w:color="000000" w:sz="4" w:space="0"/>
              <w:right w:val="single" w:color="000000" w:sz="4" w:space="0"/>
            </w:tcBorders>
            <w:vAlign w:val="center"/>
          </w:tcPr>
          <w:p w14:paraId="5D376FAB">
            <w:pPr>
              <w:spacing w:line="360" w:lineRule="auto"/>
              <w:jc w:val="center"/>
              <w:rPr>
                <w:rFonts w:ascii="宋体" w:hAnsi="宋体" w:cs="宋体"/>
                <w:sz w:val="18"/>
                <w:szCs w:val="18"/>
              </w:rPr>
            </w:pPr>
            <w:r>
              <w:rPr>
                <w:rFonts w:hint="eastAsia" w:ascii="宋体" w:hAnsi="宋体" w:cs="宋体"/>
                <w:sz w:val="18"/>
                <w:szCs w:val="18"/>
              </w:rPr>
              <w:t>△</w:t>
            </w:r>
          </w:p>
        </w:tc>
        <w:tc>
          <w:tcPr>
            <w:tcW w:w="709" w:type="dxa"/>
            <w:tcBorders>
              <w:top w:val="single" w:color="000000" w:sz="4" w:space="0"/>
              <w:left w:val="single" w:color="000000" w:sz="4" w:space="0"/>
              <w:bottom w:val="single" w:color="000000" w:sz="4" w:space="0"/>
              <w:right w:val="single" w:color="000000" w:sz="4" w:space="0"/>
            </w:tcBorders>
            <w:vAlign w:val="center"/>
          </w:tcPr>
          <w:p w14:paraId="382C9B3D">
            <w:pPr>
              <w:spacing w:line="360" w:lineRule="auto"/>
              <w:jc w:val="center"/>
              <w:rPr>
                <w:rFonts w:ascii="宋体" w:hAnsi="宋体" w:cs="宋体"/>
                <w:sz w:val="18"/>
                <w:szCs w:val="18"/>
              </w:rPr>
            </w:pPr>
            <w:r>
              <w:rPr>
                <w:rFonts w:hint="eastAsia" w:ascii="宋体" w:hAnsi="宋体" w:cs="宋体"/>
                <w:sz w:val="18"/>
                <w:szCs w:val="18"/>
              </w:rPr>
              <w:t>△</w:t>
            </w:r>
          </w:p>
        </w:tc>
        <w:tc>
          <w:tcPr>
            <w:tcW w:w="709" w:type="dxa"/>
            <w:tcBorders>
              <w:top w:val="single" w:color="000000" w:sz="4" w:space="0"/>
              <w:left w:val="single" w:color="000000" w:sz="4" w:space="0"/>
              <w:bottom w:val="single" w:color="000000" w:sz="4" w:space="0"/>
              <w:right w:val="single" w:color="auto" w:sz="4" w:space="0"/>
            </w:tcBorders>
            <w:vAlign w:val="center"/>
          </w:tcPr>
          <w:p w14:paraId="076D4FD1">
            <w:pPr>
              <w:jc w:val="center"/>
            </w:pPr>
            <w:r>
              <w:rPr>
                <w:rFonts w:hint="eastAsia" w:ascii="宋体" w:hAnsi="宋体" w:cs="宋体"/>
                <w:sz w:val="18"/>
                <w:szCs w:val="18"/>
              </w:rPr>
              <w:t>△</w:t>
            </w:r>
          </w:p>
        </w:tc>
        <w:tc>
          <w:tcPr>
            <w:tcW w:w="709" w:type="dxa"/>
            <w:tcBorders>
              <w:top w:val="single" w:color="000000" w:sz="4" w:space="0"/>
              <w:left w:val="single" w:color="auto" w:sz="4" w:space="0"/>
              <w:bottom w:val="single" w:color="000000" w:sz="4" w:space="0"/>
              <w:right w:val="single" w:color="auto" w:sz="6" w:space="0"/>
            </w:tcBorders>
            <w:vAlign w:val="center"/>
          </w:tcPr>
          <w:p w14:paraId="4D8681FD">
            <w:pPr>
              <w:spacing w:line="360" w:lineRule="auto"/>
              <w:jc w:val="center"/>
              <w:rPr>
                <w:rFonts w:ascii="宋体" w:hAnsi="宋体" w:cs="宋体"/>
                <w:sz w:val="18"/>
                <w:szCs w:val="18"/>
              </w:rPr>
            </w:pPr>
            <w:r>
              <w:rPr>
                <w:rFonts w:hint="eastAsia" w:ascii="宋体" w:hAnsi="宋体" w:cs="宋体"/>
                <w:sz w:val="18"/>
                <w:szCs w:val="18"/>
              </w:rPr>
              <w:t>★</w:t>
            </w:r>
          </w:p>
        </w:tc>
        <w:tc>
          <w:tcPr>
            <w:tcW w:w="709" w:type="dxa"/>
            <w:tcBorders>
              <w:top w:val="single" w:color="000000" w:sz="4" w:space="0"/>
              <w:left w:val="single" w:color="auto" w:sz="6" w:space="0"/>
              <w:bottom w:val="single" w:color="000000" w:sz="4" w:space="0"/>
              <w:right w:val="single" w:color="000000" w:sz="4" w:space="0"/>
            </w:tcBorders>
            <w:vAlign w:val="center"/>
          </w:tcPr>
          <w:p w14:paraId="173A0EA6">
            <w:pPr>
              <w:spacing w:line="360" w:lineRule="auto"/>
              <w:jc w:val="center"/>
              <w:rPr>
                <w:rFonts w:ascii="宋体" w:hAnsi="宋体" w:cs="宋体"/>
                <w:sz w:val="18"/>
                <w:szCs w:val="18"/>
              </w:rPr>
            </w:pPr>
            <w:r>
              <w:rPr>
                <w:rFonts w:hint="eastAsia" w:ascii="宋体" w:hAnsi="宋体" w:cs="宋体"/>
                <w:sz w:val="18"/>
                <w:szCs w:val="18"/>
              </w:rPr>
              <w:t>△</w:t>
            </w:r>
          </w:p>
        </w:tc>
        <w:tc>
          <w:tcPr>
            <w:tcW w:w="709" w:type="dxa"/>
            <w:tcBorders>
              <w:top w:val="single" w:color="000000" w:sz="4" w:space="0"/>
              <w:left w:val="single" w:color="auto" w:sz="6" w:space="0"/>
              <w:bottom w:val="single" w:color="000000" w:sz="4" w:space="0"/>
              <w:right w:val="single" w:color="000000" w:sz="4" w:space="0"/>
            </w:tcBorders>
            <w:vAlign w:val="center"/>
          </w:tcPr>
          <w:p w14:paraId="1950EDE9">
            <w:pPr>
              <w:spacing w:line="360" w:lineRule="auto"/>
              <w:jc w:val="center"/>
              <w:rPr>
                <w:rFonts w:ascii="宋体" w:hAnsi="宋体" w:cs="宋体"/>
                <w:sz w:val="18"/>
                <w:szCs w:val="18"/>
              </w:rPr>
            </w:pPr>
            <w:r>
              <w:rPr>
                <w:rFonts w:hint="eastAsia" w:ascii="宋体" w:hAnsi="宋体" w:cs="宋体"/>
                <w:sz w:val="18"/>
                <w:szCs w:val="18"/>
              </w:rPr>
              <w:t>△</w:t>
            </w:r>
          </w:p>
        </w:tc>
      </w:tr>
      <w:tr w14:paraId="3F28D617">
        <w:tblPrEx>
          <w:tblCellMar>
            <w:top w:w="0" w:type="dxa"/>
            <w:left w:w="0" w:type="dxa"/>
            <w:bottom w:w="0" w:type="dxa"/>
            <w:right w:w="0" w:type="dxa"/>
          </w:tblCellMar>
        </w:tblPrEx>
        <w:trPr>
          <w:trHeight w:val="539" w:hRule="exact"/>
        </w:trPr>
        <w:tc>
          <w:tcPr>
            <w:tcW w:w="2484" w:type="dxa"/>
            <w:tcBorders>
              <w:top w:val="single" w:color="000000" w:sz="4" w:space="0"/>
              <w:left w:val="single" w:color="000000" w:sz="4" w:space="0"/>
              <w:bottom w:val="single" w:color="000000" w:sz="4" w:space="0"/>
              <w:right w:val="single" w:color="000000" w:sz="4" w:space="0"/>
            </w:tcBorders>
            <w:vAlign w:val="center"/>
          </w:tcPr>
          <w:p w14:paraId="4613D532">
            <w:pPr>
              <w:spacing w:line="360" w:lineRule="auto"/>
              <w:rPr>
                <w:rFonts w:ascii="宋体" w:hAnsi="宋体" w:cs="宋体"/>
                <w:sz w:val="18"/>
                <w:szCs w:val="18"/>
              </w:rPr>
            </w:pPr>
            <w:r>
              <w:rPr>
                <w:rFonts w:hint="eastAsia" w:ascii="宋体" w:hAnsi="宋体" w:cs="宋体"/>
                <w:sz w:val="18"/>
                <w:szCs w:val="18"/>
              </w:rPr>
              <w:t>8.2.4服务要求的更改</w:t>
            </w:r>
          </w:p>
        </w:tc>
        <w:tc>
          <w:tcPr>
            <w:tcW w:w="2765" w:type="dxa"/>
            <w:tcBorders>
              <w:top w:val="single" w:color="000000" w:sz="4" w:space="0"/>
              <w:left w:val="single" w:color="000000" w:sz="4" w:space="0"/>
              <w:bottom w:val="single" w:color="000000" w:sz="4" w:space="0"/>
              <w:right w:val="single" w:color="auto" w:sz="4" w:space="0"/>
            </w:tcBorders>
            <w:vAlign w:val="center"/>
          </w:tcPr>
          <w:p w14:paraId="022E36D9">
            <w:pPr>
              <w:spacing w:line="360" w:lineRule="auto"/>
              <w:rPr>
                <w:rFonts w:ascii="宋体" w:hAnsi="宋体" w:cs="宋体"/>
                <w:sz w:val="18"/>
                <w:szCs w:val="18"/>
              </w:rPr>
            </w:pPr>
          </w:p>
        </w:tc>
        <w:tc>
          <w:tcPr>
            <w:tcW w:w="3073" w:type="dxa"/>
            <w:tcBorders>
              <w:top w:val="single" w:color="000000" w:sz="4" w:space="0"/>
              <w:left w:val="single" w:color="000000" w:sz="4" w:space="0"/>
              <w:bottom w:val="single" w:color="000000" w:sz="4" w:space="0"/>
              <w:right w:val="single" w:color="auto" w:sz="4" w:space="0"/>
            </w:tcBorders>
            <w:vAlign w:val="center"/>
          </w:tcPr>
          <w:p w14:paraId="2BF734F7">
            <w:pPr>
              <w:spacing w:line="360" w:lineRule="auto"/>
              <w:rPr>
                <w:rFonts w:ascii="宋体" w:hAnsi="宋体" w:cs="宋体"/>
                <w:sz w:val="18"/>
                <w:szCs w:val="18"/>
              </w:rPr>
            </w:pPr>
          </w:p>
        </w:tc>
        <w:tc>
          <w:tcPr>
            <w:tcW w:w="894" w:type="dxa"/>
            <w:tcBorders>
              <w:top w:val="single" w:color="000000" w:sz="4" w:space="0"/>
              <w:left w:val="single" w:color="000000" w:sz="4" w:space="0"/>
              <w:bottom w:val="single" w:color="000000" w:sz="4" w:space="0"/>
              <w:right w:val="single" w:color="000000" w:sz="4" w:space="0"/>
            </w:tcBorders>
            <w:vAlign w:val="center"/>
          </w:tcPr>
          <w:p w14:paraId="3D1D60F9">
            <w:pPr>
              <w:spacing w:line="360" w:lineRule="auto"/>
              <w:jc w:val="center"/>
              <w:rPr>
                <w:rFonts w:ascii="宋体" w:hAnsi="宋体" w:cs="宋体"/>
                <w:sz w:val="18"/>
                <w:szCs w:val="18"/>
              </w:rPr>
            </w:pPr>
            <w:r>
              <w:rPr>
                <w:rFonts w:hint="eastAsia" w:ascii="宋体" w:hAnsi="宋体" w:cs="宋体"/>
                <w:sz w:val="18"/>
                <w:szCs w:val="18"/>
              </w:rPr>
              <w:t>△</w:t>
            </w:r>
          </w:p>
        </w:tc>
        <w:tc>
          <w:tcPr>
            <w:tcW w:w="712" w:type="dxa"/>
            <w:tcBorders>
              <w:top w:val="single" w:color="000000" w:sz="4" w:space="0"/>
              <w:left w:val="single" w:color="000000" w:sz="4" w:space="0"/>
              <w:bottom w:val="single" w:color="000000" w:sz="4" w:space="0"/>
              <w:right w:val="single" w:color="000000" w:sz="4" w:space="0"/>
            </w:tcBorders>
            <w:vAlign w:val="center"/>
          </w:tcPr>
          <w:p w14:paraId="1BEA342B">
            <w:pPr>
              <w:spacing w:line="360" w:lineRule="auto"/>
              <w:jc w:val="center"/>
              <w:rPr>
                <w:rFonts w:ascii="宋体" w:hAnsi="宋体" w:cs="宋体"/>
                <w:sz w:val="18"/>
                <w:szCs w:val="18"/>
              </w:rPr>
            </w:pPr>
            <w:r>
              <w:rPr>
                <w:rFonts w:hint="eastAsia" w:ascii="宋体" w:hAnsi="宋体" w:cs="宋体"/>
                <w:sz w:val="18"/>
                <w:szCs w:val="18"/>
              </w:rPr>
              <w:t>△</w:t>
            </w:r>
          </w:p>
        </w:tc>
        <w:tc>
          <w:tcPr>
            <w:tcW w:w="709" w:type="dxa"/>
            <w:tcBorders>
              <w:top w:val="single" w:color="000000" w:sz="4" w:space="0"/>
              <w:left w:val="single" w:color="000000" w:sz="4" w:space="0"/>
              <w:bottom w:val="single" w:color="000000" w:sz="4" w:space="0"/>
              <w:right w:val="single" w:color="000000" w:sz="4" w:space="0"/>
            </w:tcBorders>
            <w:vAlign w:val="center"/>
          </w:tcPr>
          <w:p w14:paraId="5880F9E9">
            <w:pPr>
              <w:spacing w:line="360" w:lineRule="auto"/>
              <w:jc w:val="center"/>
              <w:rPr>
                <w:rFonts w:ascii="宋体" w:hAnsi="宋体" w:cs="宋体"/>
                <w:sz w:val="18"/>
                <w:szCs w:val="18"/>
              </w:rPr>
            </w:pPr>
            <w:r>
              <w:rPr>
                <w:rFonts w:hint="eastAsia" w:ascii="宋体" w:hAnsi="宋体" w:cs="宋体"/>
                <w:sz w:val="18"/>
                <w:szCs w:val="18"/>
              </w:rPr>
              <w:t>△</w:t>
            </w:r>
          </w:p>
        </w:tc>
        <w:tc>
          <w:tcPr>
            <w:tcW w:w="709" w:type="dxa"/>
            <w:tcBorders>
              <w:top w:val="single" w:color="000000" w:sz="4" w:space="0"/>
              <w:left w:val="single" w:color="000000" w:sz="4" w:space="0"/>
              <w:bottom w:val="single" w:color="000000" w:sz="4" w:space="0"/>
              <w:right w:val="single" w:color="auto" w:sz="4" w:space="0"/>
            </w:tcBorders>
            <w:vAlign w:val="center"/>
          </w:tcPr>
          <w:p w14:paraId="0C491421">
            <w:pPr>
              <w:jc w:val="center"/>
            </w:pPr>
            <w:r>
              <w:rPr>
                <w:rFonts w:hint="eastAsia" w:ascii="宋体" w:hAnsi="宋体" w:cs="宋体"/>
                <w:sz w:val="18"/>
                <w:szCs w:val="18"/>
              </w:rPr>
              <w:t>△</w:t>
            </w:r>
          </w:p>
        </w:tc>
        <w:tc>
          <w:tcPr>
            <w:tcW w:w="709" w:type="dxa"/>
            <w:tcBorders>
              <w:top w:val="single" w:color="000000" w:sz="4" w:space="0"/>
              <w:left w:val="single" w:color="auto" w:sz="4" w:space="0"/>
              <w:bottom w:val="single" w:color="000000" w:sz="4" w:space="0"/>
              <w:right w:val="single" w:color="auto" w:sz="6" w:space="0"/>
            </w:tcBorders>
            <w:vAlign w:val="center"/>
          </w:tcPr>
          <w:p w14:paraId="2518A396">
            <w:pPr>
              <w:spacing w:line="360" w:lineRule="auto"/>
              <w:jc w:val="center"/>
              <w:rPr>
                <w:rFonts w:ascii="宋体" w:hAnsi="宋体" w:cs="宋体"/>
                <w:sz w:val="18"/>
                <w:szCs w:val="18"/>
              </w:rPr>
            </w:pPr>
            <w:r>
              <w:rPr>
                <w:rFonts w:hint="eastAsia" w:ascii="宋体" w:hAnsi="宋体" w:cs="宋体"/>
                <w:sz w:val="18"/>
                <w:szCs w:val="18"/>
              </w:rPr>
              <w:t>★</w:t>
            </w:r>
          </w:p>
        </w:tc>
        <w:tc>
          <w:tcPr>
            <w:tcW w:w="709" w:type="dxa"/>
            <w:tcBorders>
              <w:top w:val="single" w:color="000000" w:sz="4" w:space="0"/>
              <w:left w:val="single" w:color="auto" w:sz="6" w:space="0"/>
              <w:bottom w:val="single" w:color="000000" w:sz="4" w:space="0"/>
              <w:right w:val="single" w:color="000000" w:sz="4" w:space="0"/>
            </w:tcBorders>
            <w:vAlign w:val="center"/>
          </w:tcPr>
          <w:p w14:paraId="26F54CBF">
            <w:pPr>
              <w:spacing w:line="360" w:lineRule="auto"/>
              <w:jc w:val="center"/>
              <w:rPr>
                <w:rFonts w:ascii="宋体" w:hAnsi="宋体" w:cs="宋体"/>
                <w:sz w:val="18"/>
                <w:szCs w:val="18"/>
              </w:rPr>
            </w:pPr>
            <w:r>
              <w:rPr>
                <w:rFonts w:hint="eastAsia" w:ascii="宋体" w:hAnsi="宋体" w:cs="宋体"/>
                <w:sz w:val="18"/>
                <w:szCs w:val="18"/>
              </w:rPr>
              <w:t>△</w:t>
            </w:r>
          </w:p>
        </w:tc>
        <w:tc>
          <w:tcPr>
            <w:tcW w:w="709" w:type="dxa"/>
            <w:tcBorders>
              <w:top w:val="single" w:color="000000" w:sz="4" w:space="0"/>
              <w:left w:val="single" w:color="auto" w:sz="6" w:space="0"/>
              <w:bottom w:val="single" w:color="000000" w:sz="4" w:space="0"/>
              <w:right w:val="single" w:color="000000" w:sz="4" w:space="0"/>
            </w:tcBorders>
            <w:vAlign w:val="center"/>
          </w:tcPr>
          <w:p w14:paraId="64E283EA">
            <w:pPr>
              <w:spacing w:line="360" w:lineRule="auto"/>
              <w:jc w:val="center"/>
              <w:rPr>
                <w:rFonts w:ascii="宋体" w:hAnsi="宋体" w:cs="宋体"/>
                <w:sz w:val="18"/>
                <w:szCs w:val="18"/>
              </w:rPr>
            </w:pPr>
            <w:r>
              <w:rPr>
                <w:rFonts w:hint="eastAsia" w:ascii="宋体" w:hAnsi="宋体" w:cs="宋体"/>
                <w:sz w:val="18"/>
                <w:szCs w:val="18"/>
              </w:rPr>
              <w:t>△</w:t>
            </w:r>
          </w:p>
        </w:tc>
      </w:tr>
      <w:tr w14:paraId="0AD39623">
        <w:tblPrEx>
          <w:tblCellMar>
            <w:top w:w="0" w:type="dxa"/>
            <w:left w:w="0" w:type="dxa"/>
            <w:bottom w:w="0" w:type="dxa"/>
            <w:right w:w="0" w:type="dxa"/>
          </w:tblCellMar>
        </w:tblPrEx>
        <w:trPr>
          <w:trHeight w:val="539" w:hRule="exact"/>
        </w:trPr>
        <w:tc>
          <w:tcPr>
            <w:tcW w:w="2484" w:type="dxa"/>
            <w:tcBorders>
              <w:top w:val="single" w:color="000000" w:sz="4" w:space="0"/>
              <w:left w:val="single" w:color="000000" w:sz="4" w:space="0"/>
              <w:bottom w:val="single" w:color="000000" w:sz="4" w:space="0"/>
              <w:right w:val="single" w:color="000000" w:sz="4" w:space="0"/>
            </w:tcBorders>
            <w:vAlign w:val="center"/>
          </w:tcPr>
          <w:p w14:paraId="6C47CA80">
            <w:pPr>
              <w:spacing w:line="360" w:lineRule="auto"/>
              <w:rPr>
                <w:rFonts w:hint="eastAsia" w:ascii="宋体" w:hAnsi="宋体" w:cs="宋体"/>
                <w:sz w:val="18"/>
                <w:szCs w:val="18"/>
              </w:rPr>
            </w:pPr>
            <w:r>
              <w:rPr>
                <w:rFonts w:hint="eastAsia" w:ascii="宋体" w:hAnsi="宋体" w:cs="宋体"/>
                <w:sz w:val="18"/>
                <w:szCs w:val="18"/>
              </w:rPr>
              <w:t>8.3服务的设计开发</w:t>
            </w:r>
          </w:p>
        </w:tc>
        <w:tc>
          <w:tcPr>
            <w:tcW w:w="2765" w:type="dxa"/>
            <w:tcBorders>
              <w:top w:val="single" w:color="000000" w:sz="4" w:space="0"/>
              <w:left w:val="single" w:color="000000" w:sz="4" w:space="0"/>
              <w:bottom w:val="single" w:color="000000" w:sz="4" w:space="0"/>
              <w:right w:val="single" w:color="auto" w:sz="4" w:space="0"/>
            </w:tcBorders>
            <w:vAlign w:val="center"/>
          </w:tcPr>
          <w:p w14:paraId="59BB00B7">
            <w:pPr>
              <w:spacing w:line="360" w:lineRule="auto"/>
              <w:rPr>
                <w:rFonts w:ascii="宋体" w:hAnsi="宋体" w:cs="宋体"/>
                <w:sz w:val="18"/>
                <w:szCs w:val="18"/>
              </w:rPr>
            </w:pPr>
          </w:p>
        </w:tc>
        <w:tc>
          <w:tcPr>
            <w:tcW w:w="3073" w:type="dxa"/>
            <w:tcBorders>
              <w:top w:val="single" w:color="000000" w:sz="4" w:space="0"/>
              <w:left w:val="single" w:color="000000" w:sz="4" w:space="0"/>
              <w:bottom w:val="single" w:color="000000" w:sz="4" w:space="0"/>
              <w:right w:val="single" w:color="auto" w:sz="4" w:space="0"/>
            </w:tcBorders>
            <w:vAlign w:val="center"/>
          </w:tcPr>
          <w:p w14:paraId="04418DF6">
            <w:pPr>
              <w:spacing w:line="360" w:lineRule="auto"/>
              <w:rPr>
                <w:rFonts w:ascii="宋体" w:hAnsi="宋体" w:cs="宋体"/>
                <w:sz w:val="18"/>
                <w:szCs w:val="18"/>
              </w:rPr>
            </w:pPr>
          </w:p>
        </w:tc>
        <w:tc>
          <w:tcPr>
            <w:tcW w:w="894" w:type="dxa"/>
            <w:tcBorders>
              <w:top w:val="single" w:color="000000" w:sz="4" w:space="0"/>
              <w:left w:val="single" w:color="000000" w:sz="4" w:space="0"/>
              <w:bottom w:val="single" w:color="000000" w:sz="4" w:space="0"/>
              <w:right w:val="single" w:color="000000" w:sz="4" w:space="0"/>
            </w:tcBorders>
            <w:vAlign w:val="center"/>
          </w:tcPr>
          <w:p w14:paraId="079DF777">
            <w:pPr>
              <w:spacing w:line="360" w:lineRule="auto"/>
              <w:jc w:val="center"/>
              <w:rPr>
                <w:rFonts w:ascii="宋体" w:hAnsi="宋体" w:cs="宋体"/>
                <w:sz w:val="18"/>
                <w:szCs w:val="18"/>
              </w:rPr>
            </w:pPr>
            <w:r>
              <w:rPr>
                <w:rFonts w:hint="eastAsia" w:ascii="宋体" w:hAnsi="宋体" w:cs="宋体"/>
                <w:sz w:val="18"/>
                <w:szCs w:val="18"/>
              </w:rPr>
              <w:t>△</w:t>
            </w:r>
          </w:p>
        </w:tc>
        <w:tc>
          <w:tcPr>
            <w:tcW w:w="712" w:type="dxa"/>
            <w:tcBorders>
              <w:top w:val="single" w:color="000000" w:sz="4" w:space="0"/>
              <w:left w:val="single" w:color="000000" w:sz="4" w:space="0"/>
              <w:bottom w:val="single" w:color="000000" w:sz="4" w:space="0"/>
              <w:right w:val="single" w:color="000000" w:sz="4" w:space="0"/>
            </w:tcBorders>
            <w:vAlign w:val="center"/>
          </w:tcPr>
          <w:p w14:paraId="7C903DC1">
            <w:pPr>
              <w:spacing w:line="360" w:lineRule="auto"/>
              <w:jc w:val="center"/>
              <w:rPr>
                <w:rFonts w:ascii="宋体" w:hAnsi="宋体" w:cs="宋体"/>
                <w:sz w:val="18"/>
                <w:szCs w:val="18"/>
              </w:rPr>
            </w:pPr>
            <w:r>
              <w:rPr>
                <w:rFonts w:hint="eastAsia" w:ascii="宋体" w:hAnsi="宋体" w:cs="宋体"/>
                <w:sz w:val="18"/>
                <w:szCs w:val="18"/>
              </w:rPr>
              <w:t>△</w:t>
            </w:r>
          </w:p>
        </w:tc>
        <w:tc>
          <w:tcPr>
            <w:tcW w:w="709" w:type="dxa"/>
            <w:tcBorders>
              <w:top w:val="single" w:color="000000" w:sz="4" w:space="0"/>
              <w:left w:val="single" w:color="000000" w:sz="4" w:space="0"/>
              <w:bottom w:val="single" w:color="000000" w:sz="4" w:space="0"/>
              <w:right w:val="single" w:color="000000" w:sz="4" w:space="0"/>
            </w:tcBorders>
            <w:vAlign w:val="center"/>
          </w:tcPr>
          <w:p w14:paraId="32033038">
            <w:pPr>
              <w:spacing w:line="360" w:lineRule="auto"/>
              <w:jc w:val="center"/>
              <w:rPr>
                <w:rFonts w:ascii="宋体" w:hAnsi="宋体" w:cs="宋体"/>
                <w:sz w:val="18"/>
                <w:szCs w:val="18"/>
              </w:rPr>
            </w:pPr>
            <w:r>
              <w:rPr>
                <w:rFonts w:hint="eastAsia" w:ascii="宋体" w:hAnsi="宋体" w:cs="宋体"/>
                <w:sz w:val="18"/>
                <w:szCs w:val="18"/>
              </w:rPr>
              <w:t>△</w:t>
            </w:r>
          </w:p>
        </w:tc>
        <w:tc>
          <w:tcPr>
            <w:tcW w:w="709" w:type="dxa"/>
            <w:tcBorders>
              <w:top w:val="single" w:color="000000" w:sz="4" w:space="0"/>
              <w:left w:val="single" w:color="000000" w:sz="4" w:space="0"/>
              <w:bottom w:val="single" w:color="000000" w:sz="4" w:space="0"/>
              <w:right w:val="single" w:color="auto" w:sz="4" w:space="0"/>
            </w:tcBorders>
            <w:vAlign w:val="center"/>
          </w:tcPr>
          <w:p w14:paraId="08FC46D5">
            <w:pPr>
              <w:jc w:val="center"/>
            </w:pPr>
            <w:r>
              <w:rPr>
                <w:rFonts w:hint="eastAsia" w:ascii="宋体" w:hAnsi="宋体" w:cs="宋体"/>
                <w:sz w:val="18"/>
                <w:szCs w:val="18"/>
              </w:rPr>
              <w:t>★</w:t>
            </w:r>
          </w:p>
        </w:tc>
        <w:tc>
          <w:tcPr>
            <w:tcW w:w="709" w:type="dxa"/>
            <w:tcBorders>
              <w:top w:val="single" w:color="000000" w:sz="4" w:space="0"/>
              <w:left w:val="single" w:color="auto" w:sz="4" w:space="0"/>
              <w:bottom w:val="single" w:color="000000" w:sz="4" w:space="0"/>
              <w:right w:val="single" w:color="auto" w:sz="6" w:space="0"/>
            </w:tcBorders>
            <w:vAlign w:val="center"/>
          </w:tcPr>
          <w:p w14:paraId="4AAB9AE5">
            <w:pPr>
              <w:spacing w:line="360" w:lineRule="auto"/>
              <w:jc w:val="center"/>
              <w:rPr>
                <w:rFonts w:ascii="宋体" w:hAnsi="宋体" w:cs="宋体"/>
                <w:sz w:val="18"/>
                <w:szCs w:val="18"/>
              </w:rPr>
            </w:pPr>
            <w:r>
              <w:rPr>
                <w:rFonts w:hint="eastAsia" w:ascii="宋体" w:hAnsi="宋体" w:cs="宋体"/>
                <w:sz w:val="18"/>
                <w:szCs w:val="18"/>
              </w:rPr>
              <w:t xml:space="preserve">△ </w:t>
            </w:r>
          </w:p>
        </w:tc>
        <w:tc>
          <w:tcPr>
            <w:tcW w:w="709" w:type="dxa"/>
            <w:tcBorders>
              <w:top w:val="single" w:color="000000" w:sz="4" w:space="0"/>
              <w:left w:val="single" w:color="auto" w:sz="6" w:space="0"/>
              <w:bottom w:val="single" w:color="000000" w:sz="4" w:space="0"/>
              <w:right w:val="single" w:color="000000" w:sz="4" w:space="0"/>
            </w:tcBorders>
            <w:vAlign w:val="center"/>
          </w:tcPr>
          <w:p w14:paraId="7A2762E3">
            <w:pPr>
              <w:spacing w:line="360" w:lineRule="auto"/>
              <w:jc w:val="center"/>
              <w:rPr>
                <w:rFonts w:ascii="宋体" w:hAnsi="宋体" w:cs="宋体"/>
                <w:sz w:val="18"/>
                <w:szCs w:val="18"/>
              </w:rPr>
            </w:pPr>
            <w:r>
              <w:rPr>
                <w:rFonts w:hint="eastAsia" w:ascii="宋体" w:hAnsi="宋体" w:cs="宋体"/>
                <w:sz w:val="18"/>
                <w:szCs w:val="18"/>
              </w:rPr>
              <w:t>△</w:t>
            </w:r>
          </w:p>
        </w:tc>
        <w:tc>
          <w:tcPr>
            <w:tcW w:w="709" w:type="dxa"/>
            <w:tcBorders>
              <w:top w:val="single" w:color="000000" w:sz="4" w:space="0"/>
              <w:left w:val="single" w:color="auto" w:sz="6" w:space="0"/>
              <w:bottom w:val="single" w:color="000000" w:sz="4" w:space="0"/>
              <w:right w:val="single" w:color="000000" w:sz="4" w:space="0"/>
            </w:tcBorders>
            <w:vAlign w:val="center"/>
          </w:tcPr>
          <w:p w14:paraId="293E7EE6">
            <w:pPr>
              <w:spacing w:line="360" w:lineRule="auto"/>
              <w:jc w:val="center"/>
              <w:rPr>
                <w:rFonts w:ascii="宋体" w:hAnsi="宋体" w:cs="宋体"/>
                <w:sz w:val="18"/>
                <w:szCs w:val="18"/>
              </w:rPr>
            </w:pPr>
            <w:r>
              <w:rPr>
                <w:rFonts w:hint="eastAsia" w:ascii="宋体" w:hAnsi="宋体" w:cs="宋体"/>
                <w:sz w:val="18"/>
                <w:szCs w:val="18"/>
              </w:rPr>
              <w:t>△</w:t>
            </w:r>
          </w:p>
        </w:tc>
      </w:tr>
      <w:tr w14:paraId="09B1DF3E">
        <w:tblPrEx>
          <w:tblCellMar>
            <w:top w:w="0" w:type="dxa"/>
            <w:left w:w="0" w:type="dxa"/>
            <w:bottom w:w="0" w:type="dxa"/>
            <w:right w:w="0" w:type="dxa"/>
          </w:tblCellMar>
        </w:tblPrEx>
        <w:trPr>
          <w:trHeight w:val="539" w:hRule="exact"/>
        </w:trPr>
        <w:tc>
          <w:tcPr>
            <w:tcW w:w="2484" w:type="dxa"/>
            <w:tcBorders>
              <w:top w:val="single" w:color="000000" w:sz="4" w:space="0"/>
              <w:left w:val="single" w:color="000000" w:sz="4" w:space="0"/>
              <w:bottom w:val="single" w:color="000000" w:sz="4" w:space="0"/>
              <w:right w:val="single" w:color="000000" w:sz="4" w:space="0"/>
            </w:tcBorders>
            <w:vAlign w:val="center"/>
          </w:tcPr>
          <w:p w14:paraId="03AD357A">
            <w:pPr>
              <w:spacing w:line="360" w:lineRule="auto"/>
              <w:rPr>
                <w:rFonts w:ascii="宋体" w:hAnsi="宋体" w:cs="宋体"/>
                <w:sz w:val="18"/>
                <w:szCs w:val="18"/>
              </w:rPr>
            </w:pPr>
            <w:r>
              <w:rPr>
                <w:rFonts w:hint="eastAsia" w:ascii="宋体" w:hAnsi="宋体" w:cs="宋体"/>
                <w:sz w:val="18"/>
                <w:szCs w:val="18"/>
              </w:rPr>
              <w:t>8.4外部提供过程、产品和服务的控制</w:t>
            </w:r>
          </w:p>
        </w:tc>
        <w:tc>
          <w:tcPr>
            <w:tcW w:w="2765" w:type="dxa"/>
            <w:tcBorders>
              <w:top w:val="single" w:color="000000" w:sz="4" w:space="0"/>
              <w:left w:val="single" w:color="000000" w:sz="4" w:space="0"/>
              <w:bottom w:val="single" w:color="000000" w:sz="4" w:space="0"/>
              <w:right w:val="single" w:color="auto" w:sz="4" w:space="0"/>
            </w:tcBorders>
            <w:vAlign w:val="center"/>
          </w:tcPr>
          <w:p w14:paraId="398E9446">
            <w:pPr>
              <w:spacing w:line="360" w:lineRule="auto"/>
              <w:rPr>
                <w:rFonts w:ascii="宋体" w:hAnsi="宋体" w:cs="宋体"/>
                <w:sz w:val="18"/>
                <w:szCs w:val="18"/>
              </w:rPr>
            </w:pPr>
          </w:p>
        </w:tc>
        <w:tc>
          <w:tcPr>
            <w:tcW w:w="3073" w:type="dxa"/>
            <w:tcBorders>
              <w:top w:val="single" w:color="000000" w:sz="4" w:space="0"/>
              <w:left w:val="single" w:color="000000" w:sz="4" w:space="0"/>
              <w:bottom w:val="single" w:color="000000" w:sz="4" w:space="0"/>
              <w:right w:val="single" w:color="auto" w:sz="4" w:space="0"/>
            </w:tcBorders>
            <w:vAlign w:val="center"/>
          </w:tcPr>
          <w:p w14:paraId="28A6DD7C">
            <w:pPr>
              <w:spacing w:line="360" w:lineRule="auto"/>
              <w:rPr>
                <w:rFonts w:ascii="宋体" w:hAnsi="宋体" w:cs="宋体"/>
                <w:sz w:val="18"/>
                <w:szCs w:val="18"/>
              </w:rPr>
            </w:pPr>
          </w:p>
        </w:tc>
        <w:tc>
          <w:tcPr>
            <w:tcW w:w="894" w:type="dxa"/>
            <w:tcBorders>
              <w:top w:val="single" w:color="000000" w:sz="4" w:space="0"/>
              <w:left w:val="single" w:color="000000" w:sz="4" w:space="0"/>
              <w:bottom w:val="single" w:color="000000" w:sz="4" w:space="0"/>
              <w:right w:val="single" w:color="000000" w:sz="4" w:space="0"/>
            </w:tcBorders>
            <w:vAlign w:val="center"/>
          </w:tcPr>
          <w:p w14:paraId="1DFF74EF">
            <w:pPr>
              <w:spacing w:line="360" w:lineRule="auto"/>
              <w:jc w:val="center"/>
              <w:rPr>
                <w:rFonts w:ascii="宋体" w:hAnsi="宋体" w:cs="宋体"/>
                <w:sz w:val="18"/>
                <w:szCs w:val="18"/>
              </w:rPr>
            </w:pPr>
            <w:r>
              <w:rPr>
                <w:rFonts w:hint="eastAsia" w:ascii="宋体" w:hAnsi="宋体" w:cs="宋体"/>
                <w:sz w:val="18"/>
                <w:szCs w:val="18"/>
              </w:rPr>
              <w:t>△</w:t>
            </w:r>
          </w:p>
        </w:tc>
        <w:tc>
          <w:tcPr>
            <w:tcW w:w="712" w:type="dxa"/>
            <w:tcBorders>
              <w:top w:val="single" w:color="000000" w:sz="4" w:space="0"/>
              <w:left w:val="single" w:color="000000" w:sz="4" w:space="0"/>
              <w:bottom w:val="single" w:color="000000" w:sz="4" w:space="0"/>
              <w:right w:val="single" w:color="000000" w:sz="4" w:space="0"/>
            </w:tcBorders>
            <w:vAlign w:val="center"/>
          </w:tcPr>
          <w:p w14:paraId="346D53A1">
            <w:pPr>
              <w:spacing w:line="360" w:lineRule="auto"/>
              <w:jc w:val="center"/>
              <w:rPr>
                <w:rFonts w:ascii="宋体" w:hAnsi="宋体" w:cs="宋体"/>
                <w:sz w:val="18"/>
                <w:szCs w:val="18"/>
              </w:rPr>
            </w:pPr>
            <w:r>
              <w:rPr>
                <w:rFonts w:hint="eastAsia" w:ascii="宋体" w:hAnsi="宋体" w:cs="宋体"/>
                <w:sz w:val="18"/>
                <w:szCs w:val="18"/>
              </w:rPr>
              <w:t>△</w:t>
            </w:r>
          </w:p>
        </w:tc>
        <w:tc>
          <w:tcPr>
            <w:tcW w:w="709" w:type="dxa"/>
            <w:tcBorders>
              <w:top w:val="single" w:color="000000" w:sz="4" w:space="0"/>
              <w:left w:val="single" w:color="000000" w:sz="4" w:space="0"/>
              <w:bottom w:val="single" w:color="000000" w:sz="4" w:space="0"/>
              <w:right w:val="single" w:color="000000" w:sz="4" w:space="0"/>
            </w:tcBorders>
            <w:vAlign w:val="center"/>
          </w:tcPr>
          <w:p w14:paraId="60B3F27C">
            <w:pPr>
              <w:spacing w:line="360" w:lineRule="auto"/>
              <w:jc w:val="center"/>
              <w:rPr>
                <w:rFonts w:ascii="宋体" w:hAnsi="宋体" w:cs="宋体"/>
                <w:sz w:val="18"/>
                <w:szCs w:val="18"/>
              </w:rPr>
            </w:pPr>
            <w:r>
              <w:rPr>
                <w:rFonts w:hint="eastAsia" w:ascii="宋体" w:hAnsi="宋体" w:cs="宋体"/>
                <w:sz w:val="18"/>
                <w:szCs w:val="18"/>
              </w:rPr>
              <w:t>△</w:t>
            </w:r>
          </w:p>
        </w:tc>
        <w:tc>
          <w:tcPr>
            <w:tcW w:w="709" w:type="dxa"/>
            <w:tcBorders>
              <w:top w:val="single" w:color="000000" w:sz="4" w:space="0"/>
              <w:left w:val="single" w:color="000000" w:sz="4" w:space="0"/>
              <w:bottom w:val="single" w:color="000000" w:sz="4" w:space="0"/>
              <w:right w:val="single" w:color="auto" w:sz="4" w:space="0"/>
            </w:tcBorders>
            <w:vAlign w:val="center"/>
          </w:tcPr>
          <w:p w14:paraId="5DA3A80C">
            <w:pPr>
              <w:jc w:val="center"/>
            </w:pPr>
            <w:r>
              <w:rPr>
                <w:rFonts w:hint="eastAsia" w:ascii="宋体" w:hAnsi="宋体" w:cs="宋体"/>
                <w:sz w:val="18"/>
                <w:szCs w:val="18"/>
              </w:rPr>
              <w:t>△</w:t>
            </w:r>
          </w:p>
        </w:tc>
        <w:tc>
          <w:tcPr>
            <w:tcW w:w="709" w:type="dxa"/>
            <w:tcBorders>
              <w:top w:val="single" w:color="000000" w:sz="4" w:space="0"/>
              <w:left w:val="single" w:color="auto" w:sz="4" w:space="0"/>
              <w:bottom w:val="single" w:color="000000" w:sz="4" w:space="0"/>
              <w:right w:val="single" w:color="auto" w:sz="6" w:space="0"/>
            </w:tcBorders>
            <w:vAlign w:val="center"/>
          </w:tcPr>
          <w:p w14:paraId="29635E46">
            <w:pPr>
              <w:jc w:val="center"/>
            </w:pPr>
            <w:r>
              <w:rPr>
                <w:rFonts w:hint="eastAsia" w:ascii="宋体" w:hAnsi="宋体" w:cs="宋体"/>
                <w:sz w:val="18"/>
                <w:szCs w:val="18"/>
              </w:rPr>
              <w:t>★</w:t>
            </w:r>
          </w:p>
        </w:tc>
        <w:tc>
          <w:tcPr>
            <w:tcW w:w="709" w:type="dxa"/>
            <w:tcBorders>
              <w:top w:val="single" w:color="000000" w:sz="4" w:space="0"/>
              <w:left w:val="single" w:color="auto" w:sz="6" w:space="0"/>
              <w:bottom w:val="single" w:color="000000" w:sz="4" w:space="0"/>
              <w:right w:val="single" w:color="000000" w:sz="4" w:space="0"/>
            </w:tcBorders>
            <w:vAlign w:val="center"/>
          </w:tcPr>
          <w:p w14:paraId="37A4BDAD">
            <w:pPr>
              <w:jc w:val="center"/>
            </w:pPr>
            <w:r>
              <w:rPr>
                <w:rFonts w:hint="eastAsia" w:ascii="宋体" w:hAnsi="宋体" w:cs="宋体"/>
                <w:sz w:val="18"/>
                <w:szCs w:val="18"/>
              </w:rPr>
              <w:t>△</w:t>
            </w:r>
          </w:p>
        </w:tc>
        <w:tc>
          <w:tcPr>
            <w:tcW w:w="709" w:type="dxa"/>
            <w:tcBorders>
              <w:top w:val="single" w:color="000000" w:sz="4" w:space="0"/>
              <w:left w:val="single" w:color="auto" w:sz="6" w:space="0"/>
              <w:bottom w:val="single" w:color="000000" w:sz="4" w:space="0"/>
              <w:right w:val="single" w:color="000000" w:sz="4" w:space="0"/>
            </w:tcBorders>
            <w:vAlign w:val="center"/>
          </w:tcPr>
          <w:p w14:paraId="2C0E708F">
            <w:pPr>
              <w:spacing w:line="360" w:lineRule="auto"/>
              <w:jc w:val="center"/>
              <w:rPr>
                <w:rFonts w:ascii="宋体" w:hAnsi="宋体" w:cs="宋体"/>
                <w:sz w:val="18"/>
                <w:szCs w:val="18"/>
              </w:rPr>
            </w:pPr>
            <w:r>
              <w:rPr>
                <w:rFonts w:hint="eastAsia" w:ascii="宋体" w:hAnsi="宋体" w:cs="宋体"/>
                <w:sz w:val="18"/>
                <w:szCs w:val="18"/>
              </w:rPr>
              <w:t>△</w:t>
            </w:r>
          </w:p>
        </w:tc>
      </w:tr>
      <w:tr w14:paraId="6A51D518">
        <w:tblPrEx>
          <w:tblCellMar>
            <w:top w:w="0" w:type="dxa"/>
            <w:left w:w="0" w:type="dxa"/>
            <w:bottom w:w="0" w:type="dxa"/>
            <w:right w:w="0" w:type="dxa"/>
          </w:tblCellMar>
        </w:tblPrEx>
        <w:trPr>
          <w:trHeight w:val="539" w:hRule="exact"/>
        </w:trPr>
        <w:tc>
          <w:tcPr>
            <w:tcW w:w="2484" w:type="dxa"/>
            <w:tcBorders>
              <w:top w:val="single" w:color="000000" w:sz="4" w:space="0"/>
              <w:left w:val="single" w:color="000000" w:sz="4" w:space="0"/>
              <w:bottom w:val="single" w:color="000000" w:sz="4" w:space="0"/>
              <w:right w:val="single" w:color="000000" w:sz="4" w:space="0"/>
            </w:tcBorders>
            <w:vAlign w:val="center"/>
          </w:tcPr>
          <w:p w14:paraId="36689A83">
            <w:pPr>
              <w:spacing w:line="360" w:lineRule="auto"/>
              <w:rPr>
                <w:rFonts w:ascii="宋体" w:hAnsi="宋体" w:cs="宋体"/>
                <w:sz w:val="18"/>
                <w:szCs w:val="18"/>
              </w:rPr>
            </w:pPr>
            <w:r>
              <w:rPr>
                <w:rFonts w:hint="eastAsia" w:ascii="宋体" w:hAnsi="宋体" w:cs="宋体"/>
                <w:sz w:val="18"/>
                <w:szCs w:val="18"/>
              </w:rPr>
              <w:t>8.5生产和服务的提供</w:t>
            </w:r>
          </w:p>
        </w:tc>
        <w:tc>
          <w:tcPr>
            <w:tcW w:w="2765" w:type="dxa"/>
            <w:tcBorders>
              <w:top w:val="single" w:color="000000" w:sz="4" w:space="0"/>
              <w:left w:val="single" w:color="000000" w:sz="4" w:space="0"/>
              <w:bottom w:val="single" w:color="000000" w:sz="4" w:space="0"/>
              <w:right w:val="single" w:color="auto" w:sz="4" w:space="0"/>
            </w:tcBorders>
            <w:vAlign w:val="center"/>
          </w:tcPr>
          <w:p w14:paraId="5C333B03">
            <w:pPr>
              <w:spacing w:line="360" w:lineRule="auto"/>
              <w:rPr>
                <w:rFonts w:ascii="宋体" w:hAnsi="宋体" w:cs="宋体"/>
                <w:sz w:val="18"/>
                <w:szCs w:val="18"/>
              </w:rPr>
            </w:pPr>
          </w:p>
        </w:tc>
        <w:tc>
          <w:tcPr>
            <w:tcW w:w="3073" w:type="dxa"/>
            <w:tcBorders>
              <w:top w:val="single" w:color="000000" w:sz="4" w:space="0"/>
              <w:left w:val="single" w:color="000000" w:sz="4" w:space="0"/>
              <w:bottom w:val="single" w:color="000000" w:sz="4" w:space="0"/>
              <w:right w:val="single" w:color="auto" w:sz="4" w:space="0"/>
            </w:tcBorders>
            <w:vAlign w:val="center"/>
          </w:tcPr>
          <w:p w14:paraId="042EA481">
            <w:pPr>
              <w:spacing w:line="360" w:lineRule="auto"/>
              <w:rPr>
                <w:rFonts w:ascii="宋体" w:hAnsi="宋体" w:cs="宋体"/>
                <w:sz w:val="18"/>
                <w:szCs w:val="18"/>
              </w:rPr>
            </w:pPr>
          </w:p>
        </w:tc>
        <w:tc>
          <w:tcPr>
            <w:tcW w:w="894" w:type="dxa"/>
            <w:tcBorders>
              <w:top w:val="single" w:color="000000" w:sz="4" w:space="0"/>
              <w:left w:val="single" w:color="000000" w:sz="4" w:space="0"/>
              <w:bottom w:val="single" w:color="000000" w:sz="4" w:space="0"/>
              <w:right w:val="single" w:color="000000" w:sz="4" w:space="0"/>
            </w:tcBorders>
            <w:vAlign w:val="center"/>
          </w:tcPr>
          <w:p w14:paraId="0605A922">
            <w:pPr>
              <w:spacing w:line="360" w:lineRule="auto"/>
              <w:jc w:val="center"/>
              <w:rPr>
                <w:rFonts w:ascii="宋体" w:hAnsi="宋体" w:cs="宋体"/>
                <w:sz w:val="18"/>
                <w:szCs w:val="18"/>
              </w:rPr>
            </w:pPr>
            <w:r>
              <w:rPr>
                <w:rFonts w:hint="eastAsia" w:ascii="宋体" w:hAnsi="宋体" w:cs="宋体"/>
                <w:sz w:val="18"/>
                <w:szCs w:val="18"/>
              </w:rPr>
              <w:t>△</w:t>
            </w:r>
          </w:p>
        </w:tc>
        <w:tc>
          <w:tcPr>
            <w:tcW w:w="712" w:type="dxa"/>
            <w:tcBorders>
              <w:top w:val="single" w:color="000000" w:sz="4" w:space="0"/>
              <w:left w:val="single" w:color="000000" w:sz="4" w:space="0"/>
              <w:bottom w:val="single" w:color="000000" w:sz="4" w:space="0"/>
              <w:right w:val="single" w:color="000000" w:sz="4" w:space="0"/>
            </w:tcBorders>
            <w:vAlign w:val="center"/>
          </w:tcPr>
          <w:p w14:paraId="58937073">
            <w:pPr>
              <w:spacing w:line="360" w:lineRule="auto"/>
              <w:jc w:val="center"/>
              <w:rPr>
                <w:rFonts w:ascii="宋体" w:hAnsi="宋体" w:cs="宋体"/>
                <w:sz w:val="18"/>
                <w:szCs w:val="18"/>
              </w:rPr>
            </w:pPr>
            <w:r>
              <w:rPr>
                <w:rFonts w:hint="eastAsia" w:ascii="宋体" w:hAnsi="宋体" w:cs="宋体"/>
                <w:sz w:val="18"/>
                <w:szCs w:val="18"/>
              </w:rPr>
              <w:t>△</w:t>
            </w:r>
          </w:p>
        </w:tc>
        <w:tc>
          <w:tcPr>
            <w:tcW w:w="709" w:type="dxa"/>
            <w:tcBorders>
              <w:top w:val="single" w:color="000000" w:sz="4" w:space="0"/>
              <w:left w:val="single" w:color="000000" w:sz="4" w:space="0"/>
              <w:bottom w:val="single" w:color="000000" w:sz="4" w:space="0"/>
              <w:right w:val="single" w:color="000000" w:sz="4" w:space="0"/>
            </w:tcBorders>
            <w:vAlign w:val="center"/>
          </w:tcPr>
          <w:p w14:paraId="40DBCFD0">
            <w:pPr>
              <w:spacing w:line="360" w:lineRule="auto"/>
              <w:jc w:val="center"/>
              <w:rPr>
                <w:rFonts w:ascii="宋体" w:hAnsi="宋体" w:cs="宋体"/>
                <w:sz w:val="18"/>
                <w:szCs w:val="18"/>
              </w:rPr>
            </w:pPr>
            <w:r>
              <w:rPr>
                <w:rFonts w:hint="eastAsia" w:ascii="宋体" w:hAnsi="宋体" w:cs="宋体"/>
                <w:sz w:val="18"/>
                <w:szCs w:val="18"/>
              </w:rPr>
              <w:t>△</w:t>
            </w:r>
          </w:p>
        </w:tc>
        <w:tc>
          <w:tcPr>
            <w:tcW w:w="709" w:type="dxa"/>
            <w:tcBorders>
              <w:top w:val="single" w:color="000000" w:sz="4" w:space="0"/>
              <w:left w:val="single" w:color="000000" w:sz="4" w:space="0"/>
              <w:bottom w:val="single" w:color="000000" w:sz="4" w:space="0"/>
              <w:right w:val="single" w:color="auto" w:sz="4" w:space="0"/>
            </w:tcBorders>
            <w:vAlign w:val="center"/>
          </w:tcPr>
          <w:p w14:paraId="2A803C7B">
            <w:pPr>
              <w:jc w:val="center"/>
            </w:pPr>
            <w:r>
              <w:rPr>
                <w:rFonts w:hint="eastAsia" w:ascii="宋体" w:hAnsi="宋体" w:cs="宋体"/>
                <w:sz w:val="18"/>
                <w:szCs w:val="18"/>
              </w:rPr>
              <w:t>★</w:t>
            </w:r>
          </w:p>
        </w:tc>
        <w:tc>
          <w:tcPr>
            <w:tcW w:w="709" w:type="dxa"/>
            <w:tcBorders>
              <w:top w:val="single" w:color="000000" w:sz="4" w:space="0"/>
              <w:left w:val="single" w:color="auto" w:sz="4" w:space="0"/>
              <w:bottom w:val="single" w:color="000000" w:sz="4" w:space="0"/>
              <w:right w:val="single" w:color="auto" w:sz="6" w:space="0"/>
            </w:tcBorders>
            <w:vAlign w:val="center"/>
          </w:tcPr>
          <w:p w14:paraId="05FDC3A3">
            <w:pPr>
              <w:jc w:val="center"/>
            </w:pPr>
            <w:r>
              <w:rPr>
                <w:rFonts w:hint="eastAsia" w:ascii="宋体" w:hAnsi="宋体" w:cs="宋体"/>
                <w:sz w:val="18"/>
                <w:szCs w:val="18"/>
              </w:rPr>
              <w:t>△</w:t>
            </w:r>
          </w:p>
        </w:tc>
        <w:tc>
          <w:tcPr>
            <w:tcW w:w="709" w:type="dxa"/>
            <w:tcBorders>
              <w:top w:val="single" w:color="000000" w:sz="4" w:space="0"/>
              <w:left w:val="single" w:color="auto" w:sz="6" w:space="0"/>
              <w:bottom w:val="single" w:color="000000" w:sz="4" w:space="0"/>
              <w:right w:val="single" w:color="000000" w:sz="4" w:space="0"/>
            </w:tcBorders>
            <w:vAlign w:val="center"/>
          </w:tcPr>
          <w:p w14:paraId="6D8792C5">
            <w:pPr>
              <w:jc w:val="center"/>
            </w:pPr>
            <w:r>
              <w:rPr>
                <w:rFonts w:hint="eastAsia" w:ascii="宋体" w:hAnsi="宋体" w:cs="宋体"/>
                <w:sz w:val="18"/>
                <w:szCs w:val="18"/>
              </w:rPr>
              <w:t>△</w:t>
            </w:r>
          </w:p>
        </w:tc>
        <w:tc>
          <w:tcPr>
            <w:tcW w:w="709" w:type="dxa"/>
            <w:tcBorders>
              <w:top w:val="single" w:color="000000" w:sz="4" w:space="0"/>
              <w:left w:val="single" w:color="auto" w:sz="6" w:space="0"/>
              <w:bottom w:val="single" w:color="000000" w:sz="4" w:space="0"/>
              <w:right w:val="single" w:color="000000" w:sz="4" w:space="0"/>
            </w:tcBorders>
            <w:vAlign w:val="center"/>
          </w:tcPr>
          <w:p w14:paraId="7DCD0797">
            <w:pPr>
              <w:spacing w:line="360" w:lineRule="auto"/>
              <w:jc w:val="center"/>
              <w:rPr>
                <w:rFonts w:ascii="宋体" w:hAnsi="宋体" w:cs="宋体"/>
                <w:sz w:val="18"/>
                <w:szCs w:val="18"/>
              </w:rPr>
            </w:pPr>
            <w:r>
              <w:rPr>
                <w:rFonts w:hint="eastAsia" w:ascii="宋体" w:hAnsi="宋体" w:cs="宋体"/>
                <w:sz w:val="18"/>
                <w:szCs w:val="18"/>
              </w:rPr>
              <w:t>△</w:t>
            </w:r>
          </w:p>
        </w:tc>
      </w:tr>
      <w:tr w14:paraId="3741B2C1">
        <w:tblPrEx>
          <w:tblCellMar>
            <w:top w:w="0" w:type="dxa"/>
            <w:left w:w="0" w:type="dxa"/>
            <w:bottom w:w="0" w:type="dxa"/>
            <w:right w:w="0" w:type="dxa"/>
          </w:tblCellMar>
        </w:tblPrEx>
        <w:trPr>
          <w:trHeight w:val="539" w:hRule="exact"/>
        </w:trPr>
        <w:tc>
          <w:tcPr>
            <w:tcW w:w="2484" w:type="dxa"/>
            <w:tcBorders>
              <w:top w:val="single" w:color="000000" w:sz="4" w:space="0"/>
              <w:left w:val="single" w:color="000000" w:sz="4" w:space="0"/>
              <w:bottom w:val="single" w:color="000000" w:sz="4" w:space="0"/>
              <w:right w:val="single" w:color="000000" w:sz="4" w:space="0"/>
            </w:tcBorders>
            <w:vAlign w:val="center"/>
          </w:tcPr>
          <w:p w14:paraId="14FCE46B">
            <w:pPr>
              <w:spacing w:line="360" w:lineRule="auto"/>
              <w:rPr>
                <w:rFonts w:ascii="宋体" w:hAnsi="宋体" w:cs="宋体"/>
                <w:sz w:val="18"/>
                <w:szCs w:val="18"/>
              </w:rPr>
            </w:pPr>
            <w:r>
              <w:rPr>
                <w:rFonts w:hint="eastAsia" w:ascii="宋体" w:hAnsi="宋体" w:cs="宋体"/>
                <w:sz w:val="18"/>
                <w:szCs w:val="18"/>
              </w:rPr>
              <w:t>8.6产品放行</w:t>
            </w:r>
          </w:p>
        </w:tc>
        <w:tc>
          <w:tcPr>
            <w:tcW w:w="2765" w:type="dxa"/>
            <w:tcBorders>
              <w:top w:val="single" w:color="000000" w:sz="4" w:space="0"/>
              <w:left w:val="single" w:color="000000" w:sz="4" w:space="0"/>
              <w:bottom w:val="single" w:color="000000" w:sz="4" w:space="0"/>
              <w:right w:val="single" w:color="auto" w:sz="4" w:space="0"/>
            </w:tcBorders>
            <w:vAlign w:val="center"/>
          </w:tcPr>
          <w:p w14:paraId="5FAC3266">
            <w:pPr>
              <w:spacing w:line="360" w:lineRule="auto"/>
              <w:rPr>
                <w:rFonts w:ascii="宋体" w:hAnsi="宋体" w:cs="宋体"/>
                <w:sz w:val="18"/>
                <w:szCs w:val="18"/>
              </w:rPr>
            </w:pPr>
          </w:p>
        </w:tc>
        <w:tc>
          <w:tcPr>
            <w:tcW w:w="3073" w:type="dxa"/>
            <w:tcBorders>
              <w:top w:val="single" w:color="000000" w:sz="4" w:space="0"/>
              <w:left w:val="single" w:color="000000" w:sz="4" w:space="0"/>
              <w:bottom w:val="single" w:color="000000" w:sz="4" w:space="0"/>
              <w:right w:val="single" w:color="auto" w:sz="4" w:space="0"/>
            </w:tcBorders>
            <w:vAlign w:val="center"/>
          </w:tcPr>
          <w:p w14:paraId="4A4E859B">
            <w:pPr>
              <w:spacing w:line="360" w:lineRule="auto"/>
              <w:rPr>
                <w:rFonts w:ascii="宋体" w:hAnsi="宋体" w:cs="宋体"/>
                <w:sz w:val="18"/>
                <w:szCs w:val="18"/>
              </w:rPr>
            </w:pPr>
          </w:p>
        </w:tc>
        <w:tc>
          <w:tcPr>
            <w:tcW w:w="894" w:type="dxa"/>
            <w:tcBorders>
              <w:top w:val="single" w:color="000000" w:sz="4" w:space="0"/>
              <w:left w:val="single" w:color="000000" w:sz="4" w:space="0"/>
              <w:bottom w:val="single" w:color="000000" w:sz="4" w:space="0"/>
              <w:right w:val="single" w:color="000000" w:sz="4" w:space="0"/>
            </w:tcBorders>
            <w:vAlign w:val="center"/>
          </w:tcPr>
          <w:p w14:paraId="5B1FDE37">
            <w:pPr>
              <w:spacing w:line="360" w:lineRule="auto"/>
              <w:jc w:val="center"/>
              <w:rPr>
                <w:rFonts w:ascii="宋体" w:hAnsi="宋体" w:cs="宋体"/>
                <w:sz w:val="18"/>
                <w:szCs w:val="18"/>
              </w:rPr>
            </w:pPr>
            <w:r>
              <w:rPr>
                <w:rFonts w:hint="eastAsia" w:ascii="宋体" w:hAnsi="宋体" w:cs="宋体"/>
                <w:sz w:val="18"/>
                <w:szCs w:val="18"/>
              </w:rPr>
              <w:t>△</w:t>
            </w:r>
          </w:p>
        </w:tc>
        <w:tc>
          <w:tcPr>
            <w:tcW w:w="712" w:type="dxa"/>
            <w:tcBorders>
              <w:top w:val="single" w:color="000000" w:sz="4" w:space="0"/>
              <w:left w:val="single" w:color="000000" w:sz="4" w:space="0"/>
              <w:bottom w:val="single" w:color="000000" w:sz="4" w:space="0"/>
              <w:right w:val="single" w:color="000000" w:sz="4" w:space="0"/>
            </w:tcBorders>
            <w:vAlign w:val="center"/>
          </w:tcPr>
          <w:p w14:paraId="3ECDD183">
            <w:pPr>
              <w:spacing w:line="360" w:lineRule="auto"/>
              <w:jc w:val="center"/>
              <w:rPr>
                <w:rFonts w:ascii="宋体" w:hAnsi="宋体" w:cs="宋体"/>
                <w:sz w:val="18"/>
                <w:szCs w:val="18"/>
              </w:rPr>
            </w:pPr>
            <w:r>
              <w:rPr>
                <w:rFonts w:hint="eastAsia" w:ascii="宋体" w:hAnsi="宋体" w:cs="宋体"/>
                <w:sz w:val="18"/>
                <w:szCs w:val="18"/>
              </w:rPr>
              <w:t>△</w:t>
            </w:r>
          </w:p>
        </w:tc>
        <w:tc>
          <w:tcPr>
            <w:tcW w:w="709" w:type="dxa"/>
            <w:tcBorders>
              <w:top w:val="single" w:color="000000" w:sz="4" w:space="0"/>
              <w:left w:val="single" w:color="000000" w:sz="4" w:space="0"/>
              <w:bottom w:val="single" w:color="000000" w:sz="4" w:space="0"/>
              <w:right w:val="single" w:color="000000" w:sz="4" w:space="0"/>
            </w:tcBorders>
            <w:vAlign w:val="center"/>
          </w:tcPr>
          <w:p w14:paraId="5ECCC913">
            <w:pPr>
              <w:spacing w:line="360" w:lineRule="auto"/>
              <w:jc w:val="center"/>
              <w:rPr>
                <w:rFonts w:ascii="宋体" w:hAnsi="宋体" w:cs="宋体"/>
                <w:sz w:val="18"/>
                <w:szCs w:val="18"/>
              </w:rPr>
            </w:pPr>
            <w:r>
              <w:rPr>
                <w:rFonts w:hint="eastAsia" w:ascii="宋体" w:hAnsi="宋体" w:cs="宋体"/>
                <w:sz w:val="18"/>
                <w:szCs w:val="18"/>
              </w:rPr>
              <w:t>△</w:t>
            </w:r>
          </w:p>
        </w:tc>
        <w:tc>
          <w:tcPr>
            <w:tcW w:w="709" w:type="dxa"/>
            <w:tcBorders>
              <w:top w:val="single" w:color="000000" w:sz="4" w:space="0"/>
              <w:left w:val="single" w:color="000000" w:sz="4" w:space="0"/>
              <w:bottom w:val="single" w:color="000000" w:sz="4" w:space="0"/>
              <w:right w:val="single" w:color="auto" w:sz="4" w:space="0"/>
            </w:tcBorders>
            <w:vAlign w:val="center"/>
          </w:tcPr>
          <w:p w14:paraId="09735B2B">
            <w:pPr>
              <w:jc w:val="center"/>
            </w:pPr>
            <w:r>
              <w:rPr>
                <w:rFonts w:hint="eastAsia" w:ascii="宋体" w:hAnsi="宋体" w:cs="宋体"/>
                <w:sz w:val="18"/>
                <w:szCs w:val="18"/>
              </w:rPr>
              <w:t>△</w:t>
            </w:r>
          </w:p>
        </w:tc>
        <w:tc>
          <w:tcPr>
            <w:tcW w:w="709" w:type="dxa"/>
            <w:tcBorders>
              <w:top w:val="single" w:color="000000" w:sz="4" w:space="0"/>
              <w:left w:val="single" w:color="auto" w:sz="4" w:space="0"/>
              <w:bottom w:val="single" w:color="000000" w:sz="4" w:space="0"/>
              <w:right w:val="single" w:color="auto" w:sz="6" w:space="0"/>
            </w:tcBorders>
            <w:vAlign w:val="center"/>
          </w:tcPr>
          <w:p w14:paraId="6FD13D9B">
            <w:pPr>
              <w:jc w:val="center"/>
            </w:pPr>
            <w:r>
              <w:rPr>
                <w:rFonts w:hint="eastAsia" w:ascii="宋体" w:hAnsi="宋体" w:cs="宋体"/>
                <w:sz w:val="18"/>
                <w:szCs w:val="18"/>
              </w:rPr>
              <w:t>△</w:t>
            </w:r>
          </w:p>
        </w:tc>
        <w:tc>
          <w:tcPr>
            <w:tcW w:w="709" w:type="dxa"/>
            <w:tcBorders>
              <w:top w:val="single" w:color="000000" w:sz="4" w:space="0"/>
              <w:left w:val="single" w:color="auto" w:sz="6" w:space="0"/>
              <w:bottom w:val="single" w:color="000000" w:sz="4" w:space="0"/>
              <w:right w:val="single" w:color="000000" w:sz="4" w:space="0"/>
            </w:tcBorders>
            <w:vAlign w:val="center"/>
          </w:tcPr>
          <w:p w14:paraId="55D72D68">
            <w:pPr>
              <w:jc w:val="center"/>
            </w:pPr>
            <w:r>
              <w:rPr>
                <w:rFonts w:hint="eastAsia" w:ascii="宋体" w:hAnsi="宋体" w:cs="宋体"/>
                <w:sz w:val="18"/>
                <w:szCs w:val="18"/>
              </w:rPr>
              <w:t>★</w:t>
            </w:r>
          </w:p>
        </w:tc>
        <w:tc>
          <w:tcPr>
            <w:tcW w:w="709" w:type="dxa"/>
            <w:tcBorders>
              <w:top w:val="single" w:color="000000" w:sz="4" w:space="0"/>
              <w:left w:val="single" w:color="auto" w:sz="6" w:space="0"/>
              <w:bottom w:val="single" w:color="000000" w:sz="4" w:space="0"/>
              <w:right w:val="single" w:color="000000" w:sz="4" w:space="0"/>
            </w:tcBorders>
            <w:vAlign w:val="center"/>
          </w:tcPr>
          <w:p w14:paraId="6EBA81FB">
            <w:pPr>
              <w:spacing w:line="360" w:lineRule="auto"/>
              <w:jc w:val="center"/>
              <w:rPr>
                <w:rFonts w:ascii="宋体" w:hAnsi="宋体" w:cs="宋体"/>
                <w:sz w:val="18"/>
                <w:szCs w:val="18"/>
              </w:rPr>
            </w:pPr>
            <w:r>
              <w:rPr>
                <w:rFonts w:hint="eastAsia" w:ascii="宋体" w:hAnsi="宋体" w:cs="宋体"/>
                <w:sz w:val="18"/>
                <w:szCs w:val="18"/>
              </w:rPr>
              <w:t>△</w:t>
            </w:r>
          </w:p>
        </w:tc>
      </w:tr>
      <w:tr w14:paraId="3AE29B91">
        <w:tblPrEx>
          <w:tblCellMar>
            <w:top w:w="0" w:type="dxa"/>
            <w:left w:w="0" w:type="dxa"/>
            <w:bottom w:w="0" w:type="dxa"/>
            <w:right w:w="0" w:type="dxa"/>
          </w:tblCellMar>
        </w:tblPrEx>
        <w:trPr>
          <w:trHeight w:val="539" w:hRule="exact"/>
        </w:trPr>
        <w:tc>
          <w:tcPr>
            <w:tcW w:w="2484" w:type="dxa"/>
            <w:tcBorders>
              <w:top w:val="single" w:color="000000" w:sz="4" w:space="0"/>
              <w:left w:val="single" w:color="000000" w:sz="4" w:space="0"/>
              <w:bottom w:val="single" w:color="000000" w:sz="4" w:space="0"/>
              <w:right w:val="single" w:color="000000" w:sz="4" w:space="0"/>
            </w:tcBorders>
            <w:vAlign w:val="center"/>
          </w:tcPr>
          <w:p w14:paraId="73797B95">
            <w:pPr>
              <w:spacing w:line="360" w:lineRule="auto"/>
              <w:rPr>
                <w:rFonts w:ascii="宋体" w:hAnsi="宋体" w:cs="宋体"/>
                <w:sz w:val="18"/>
                <w:szCs w:val="18"/>
              </w:rPr>
            </w:pPr>
            <w:r>
              <w:rPr>
                <w:rFonts w:hint="eastAsia" w:ascii="宋体" w:hAnsi="宋体" w:cs="宋体"/>
                <w:sz w:val="18"/>
                <w:szCs w:val="18"/>
              </w:rPr>
              <w:t>8.7不合格输出的控制</w:t>
            </w:r>
          </w:p>
        </w:tc>
        <w:tc>
          <w:tcPr>
            <w:tcW w:w="2765" w:type="dxa"/>
            <w:tcBorders>
              <w:top w:val="single" w:color="000000" w:sz="4" w:space="0"/>
              <w:left w:val="single" w:color="000000" w:sz="4" w:space="0"/>
              <w:bottom w:val="single" w:color="000000" w:sz="4" w:space="0"/>
              <w:right w:val="single" w:color="auto" w:sz="4" w:space="0"/>
            </w:tcBorders>
            <w:vAlign w:val="center"/>
          </w:tcPr>
          <w:p w14:paraId="49BCA047">
            <w:pPr>
              <w:spacing w:line="360" w:lineRule="auto"/>
              <w:rPr>
                <w:rFonts w:ascii="宋体" w:hAnsi="宋体" w:cs="宋体"/>
                <w:sz w:val="18"/>
                <w:szCs w:val="18"/>
              </w:rPr>
            </w:pPr>
          </w:p>
        </w:tc>
        <w:tc>
          <w:tcPr>
            <w:tcW w:w="3073" w:type="dxa"/>
            <w:tcBorders>
              <w:top w:val="single" w:color="000000" w:sz="4" w:space="0"/>
              <w:left w:val="single" w:color="000000" w:sz="4" w:space="0"/>
              <w:bottom w:val="single" w:color="000000" w:sz="4" w:space="0"/>
              <w:right w:val="single" w:color="auto" w:sz="4" w:space="0"/>
            </w:tcBorders>
            <w:vAlign w:val="center"/>
          </w:tcPr>
          <w:p w14:paraId="7B1B35A6">
            <w:pPr>
              <w:spacing w:line="360" w:lineRule="auto"/>
              <w:rPr>
                <w:rFonts w:ascii="宋体" w:hAnsi="宋体" w:cs="宋体"/>
                <w:sz w:val="18"/>
                <w:szCs w:val="18"/>
              </w:rPr>
            </w:pPr>
          </w:p>
        </w:tc>
        <w:tc>
          <w:tcPr>
            <w:tcW w:w="894" w:type="dxa"/>
            <w:tcBorders>
              <w:top w:val="single" w:color="000000" w:sz="4" w:space="0"/>
              <w:left w:val="single" w:color="000000" w:sz="4" w:space="0"/>
              <w:bottom w:val="single" w:color="000000" w:sz="4" w:space="0"/>
              <w:right w:val="single" w:color="000000" w:sz="4" w:space="0"/>
            </w:tcBorders>
            <w:vAlign w:val="center"/>
          </w:tcPr>
          <w:p w14:paraId="1A33EDDF">
            <w:pPr>
              <w:spacing w:line="360" w:lineRule="auto"/>
              <w:jc w:val="center"/>
              <w:rPr>
                <w:rFonts w:ascii="宋体" w:hAnsi="宋体" w:cs="宋体"/>
                <w:sz w:val="18"/>
                <w:szCs w:val="18"/>
              </w:rPr>
            </w:pPr>
            <w:r>
              <w:rPr>
                <w:rFonts w:hint="eastAsia" w:ascii="宋体" w:hAnsi="宋体" w:cs="宋体"/>
                <w:sz w:val="18"/>
                <w:szCs w:val="18"/>
              </w:rPr>
              <w:t>△</w:t>
            </w:r>
          </w:p>
        </w:tc>
        <w:tc>
          <w:tcPr>
            <w:tcW w:w="712" w:type="dxa"/>
            <w:tcBorders>
              <w:top w:val="single" w:color="000000" w:sz="4" w:space="0"/>
              <w:left w:val="single" w:color="000000" w:sz="4" w:space="0"/>
              <w:bottom w:val="single" w:color="000000" w:sz="4" w:space="0"/>
              <w:right w:val="single" w:color="000000" w:sz="4" w:space="0"/>
            </w:tcBorders>
            <w:vAlign w:val="center"/>
          </w:tcPr>
          <w:p w14:paraId="5F96B56D">
            <w:pPr>
              <w:spacing w:line="360" w:lineRule="auto"/>
              <w:jc w:val="center"/>
              <w:rPr>
                <w:rFonts w:ascii="宋体" w:hAnsi="宋体" w:cs="宋体"/>
                <w:sz w:val="18"/>
                <w:szCs w:val="18"/>
              </w:rPr>
            </w:pPr>
            <w:r>
              <w:rPr>
                <w:rFonts w:hint="eastAsia" w:ascii="宋体" w:hAnsi="宋体" w:cs="宋体"/>
                <w:sz w:val="18"/>
                <w:szCs w:val="18"/>
              </w:rPr>
              <w:t>△</w:t>
            </w:r>
          </w:p>
        </w:tc>
        <w:tc>
          <w:tcPr>
            <w:tcW w:w="709" w:type="dxa"/>
            <w:tcBorders>
              <w:top w:val="single" w:color="000000" w:sz="4" w:space="0"/>
              <w:left w:val="single" w:color="000000" w:sz="4" w:space="0"/>
              <w:bottom w:val="single" w:color="000000" w:sz="4" w:space="0"/>
              <w:right w:val="single" w:color="000000" w:sz="4" w:space="0"/>
            </w:tcBorders>
            <w:vAlign w:val="center"/>
          </w:tcPr>
          <w:p w14:paraId="16AEB4A3">
            <w:pPr>
              <w:spacing w:line="360" w:lineRule="auto"/>
              <w:jc w:val="center"/>
              <w:rPr>
                <w:rFonts w:ascii="宋体" w:hAnsi="宋体" w:cs="宋体"/>
                <w:sz w:val="18"/>
                <w:szCs w:val="18"/>
              </w:rPr>
            </w:pPr>
            <w:r>
              <w:rPr>
                <w:rFonts w:hint="eastAsia" w:ascii="宋体" w:hAnsi="宋体" w:cs="宋体"/>
                <w:sz w:val="18"/>
                <w:szCs w:val="18"/>
              </w:rPr>
              <w:t>△</w:t>
            </w:r>
          </w:p>
        </w:tc>
        <w:tc>
          <w:tcPr>
            <w:tcW w:w="709" w:type="dxa"/>
            <w:tcBorders>
              <w:top w:val="single" w:color="000000" w:sz="4" w:space="0"/>
              <w:left w:val="single" w:color="000000" w:sz="4" w:space="0"/>
              <w:bottom w:val="single" w:color="000000" w:sz="4" w:space="0"/>
              <w:right w:val="single" w:color="auto" w:sz="4" w:space="0"/>
            </w:tcBorders>
            <w:vAlign w:val="center"/>
          </w:tcPr>
          <w:p w14:paraId="75940E4A">
            <w:pPr>
              <w:jc w:val="center"/>
            </w:pPr>
            <w:r>
              <w:rPr>
                <w:rFonts w:hint="eastAsia" w:ascii="宋体" w:hAnsi="宋体" w:cs="宋体"/>
                <w:sz w:val="18"/>
                <w:szCs w:val="18"/>
              </w:rPr>
              <w:t>△</w:t>
            </w:r>
          </w:p>
        </w:tc>
        <w:tc>
          <w:tcPr>
            <w:tcW w:w="709" w:type="dxa"/>
            <w:tcBorders>
              <w:top w:val="single" w:color="000000" w:sz="4" w:space="0"/>
              <w:left w:val="single" w:color="auto" w:sz="4" w:space="0"/>
              <w:bottom w:val="single" w:color="000000" w:sz="4" w:space="0"/>
              <w:right w:val="single" w:color="auto" w:sz="6" w:space="0"/>
            </w:tcBorders>
            <w:vAlign w:val="center"/>
          </w:tcPr>
          <w:p w14:paraId="37E98253">
            <w:pPr>
              <w:jc w:val="center"/>
            </w:pPr>
            <w:r>
              <w:rPr>
                <w:rFonts w:hint="eastAsia" w:ascii="宋体" w:hAnsi="宋体" w:cs="宋体"/>
                <w:sz w:val="18"/>
                <w:szCs w:val="18"/>
              </w:rPr>
              <w:t>△</w:t>
            </w:r>
          </w:p>
        </w:tc>
        <w:tc>
          <w:tcPr>
            <w:tcW w:w="709" w:type="dxa"/>
            <w:tcBorders>
              <w:top w:val="single" w:color="000000" w:sz="4" w:space="0"/>
              <w:left w:val="single" w:color="auto" w:sz="6" w:space="0"/>
              <w:bottom w:val="single" w:color="000000" w:sz="4" w:space="0"/>
              <w:right w:val="single" w:color="000000" w:sz="4" w:space="0"/>
            </w:tcBorders>
            <w:vAlign w:val="center"/>
          </w:tcPr>
          <w:p w14:paraId="617AFB93">
            <w:pPr>
              <w:jc w:val="center"/>
            </w:pPr>
            <w:r>
              <w:rPr>
                <w:rFonts w:hint="eastAsia" w:ascii="宋体" w:hAnsi="宋体" w:cs="宋体"/>
                <w:sz w:val="18"/>
                <w:szCs w:val="18"/>
              </w:rPr>
              <w:t>★</w:t>
            </w:r>
          </w:p>
        </w:tc>
        <w:tc>
          <w:tcPr>
            <w:tcW w:w="709" w:type="dxa"/>
            <w:tcBorders>
              <w:top w:val="single" w:color="000000" w:sz="4" w:space="0"/>
              <w:left w:val="single" w:color="auto" w:sz="6" w:space="0"/>
              <w:bottom w:val="single" w:color="000000" w:sz="4" w:space="0"/>
              <w:right w:val="single" w:color="000000" w:sz="4" w:space="0"/>
            </w:tcBorders>
            <w:vAlign w:val="center"/>
          </w:tcPr>
          <w:p w14:paraId="49638682">
            <w:pPr>
              <w:spacing w:line="360" w:lineRule="auto"/>
              <w:jc w:val="center"/>
              <w:rPr>
                <w:rFonts w:ascii="宋体" w:hAnsi="宋体" w:cs="宋体"/>
                <w:sz w:val="18"/>
                <w:szCs w:val="18"/>
              </w:rPr>
            </w:pPr>
            <w:r>
              <w:rPr>
                <w:rFonts w:hint="eastAsia" w:ascii="宋体" w:hAnsi="宋体" w:cs="宋体"/>
                <w:sz w:val="18"/>
                <w:szCs w:val="18"/>
              </w:rPr>
              <w:t>△</w:t>
            </w:r>
          </w:p>
        </w:tc>
      </w:tr>
      <w:tr w14:paraId="24558219">
        <w:tblPrEx>
          <w:tblCellMar>
            <w:top w:w="0" w:type="dxa"/>
            <w:left w:w="0" w:type="dxa"/>
            <w:bottom w:w="0" w:type="dxa"/>
            <w:right w:w="0" w:type="dxa"/>
          </w:tblCellMar>
        </w:tblPrEx>
        <w:trPr>
          <w:trHeight w:val="539" w:hRule="exact"/>
        </w:trPr>
        <w:tc>
          <w:tcPr>
            <w:tcW w:w="2484" w:type="dxa"/>
            <w:tcBorders>
              <w:top w:val="single" w:color="000000" w:sz="4" w:space="0"/>
              <w:left w:val="single" w:color="000000" w:sz="4" w:space="0"/>
              <w:bottom w:val="single" w:color="000000" w:sz="4" w:space="0"/>
              <w:right w:val="single" w:color="000000" w:sz="4" w:space="0"/>
            </w:tcBorders>
            <w:vAlign w:val="center"/>
          </w:tcPr>
          <w:p w14:paraId="42BD78EF">
            <w:pPr>
              <w:spacing w:line="360" w:lineRule="auto"/>
              <w:rPr>
                <w:rFonts w:ascii="宋体" w:hAnsi="宋体" w:cs="宋体"/>
                <w:sz w:val="18"/>
                <w:szCs w:val="18"/>
              </w:rPr>
            </w:pPr>
          </w:p>
        </w:tc>
        <w:tc>
          <w:tcPr>
            <w:tcW w:w="2765" w:type="dxa"/>
            <w:tcBorders>
              <w:top w:val="single" w:color="000000" w:sz="4" w:space="0"/>
              <w:left w:val="single" w:color="000000" w:sz="4" w:space="0"/>
              <w:bottom w:val="single" w:color="000000" w:sz="4" w:space="0"/>
              <w:right w:val="single" w:color="auto" w:sz="4" w:space="0"/>
            </w:tcBorders>
            <w:vAlign w:val="center"/>
          </w:tcPr>
          <w:p w14:paraId="1D554C37">
            <w:pPr>
              <w:spacing w:line="360" w:lineRule="auto"/>
              <w:rPr>
                <w:rFonts w:ascii="宋体" w:hAnsi="宋体" w:cs="宋体"/>
                <w:sz w:val="18"/>
                <w:szCs w:val="18"/>
              </w:rPr>
            </w:pPr>
            <w:r>
              <w:rPr>
                <w:rFonts w:hint="eastAsia" w:ascii="宋体" w:hAnsi="宋体" w:cs="宋体"/>
                <w:sz w:val="18"/>
                <w:szCs w:val="18"/>
              </w:rPr>
              <w:t>8.</w:t>
            </w:r>
            <w:r>
              <w:rPr>
                <w:rFonts w:hint="eastAsia" w:ascii="宋体" w:hAnsi="宋体" w:cs="宋体"/>
                <w:sz w:val="18"/>
                <w:szCs w:val="18"/>
                <w:lang w:val="en-US" w:eastAsia="zh-CN"/>
              </w:rPr>
              <w:t>9</w:t>
            </w:r>
            <w:r>
              <w:rPr>
                <w:rFonts w:hint="eastAsia" w:ascii="宋体" w:hAnsi="宋体" w:cs="宋体"/>
                <w:sz w:val="18"/>
                <w:szCs w:val="18"/>
              </w:rPr>
              <w:t>应急准备和响应</w:t>
            </w:r>
          </w:p>
        </w:tc>
        <w:tc>
          <w:tcPr>
            <w:tcW w:w="3073" w:type="dxa"/>
            <w:tcBorders>
              <w:top w:val="single" w:color="000000" w:sz="4" w:space="0"/>
              <w:left w:val="single" w:color="000000" w:sz="4" w:space="0"/>
              <w:bottom w:val="single" w:color="000000" w:sz="4" w:space="0"/>
              <w:right w:val="single" w:color="auto" w:sz="4" w:space="0"/>
            </w:tcBorders>
            <w:vAlign w:val="center"/>
          </w:tcPr>
          <w:p w14:paraId="6F6B2381">
            <w:pPr>
              <w:spacing w:line="360" w:lineRule="auto"/>
              <w:rPr>
                <w:rFonts w:ascii="宋体" w:hAnsi="宋体" w:cs="宋体"/>
                <w:sz w:val="18"/>
                <w:szCs w:val="18"/>
              </w:rPr>
            </w:pPr>
            <w:r>
              <w:rPr>
                <w:rFonts w:hint="eastAsia" w:ascii="宋体" w:hAnsi="宋体" w:cs="宋体"/>
                <w:sz w:val="18"/>
                <w:szCs w:val="18"/>
              </w:rPr>
              <w:t>8.</w:t>
            </w:r>
            <w:r>
              <w:rPr>
                <w:rFonts w:hint="eastAsia" w:ascii="宋体" w:hAnsi="宋体" w:cs="宋体"/>
                <w:sz w:val="18"/>
                <w:szCs w:val="18"/>
                <w:lang w:val="en-US" w:eastAsia="zh-CN"/>
              </w:rPr>
              <w:t>9</w:t>
            </w:r>
            <w:r>
              <w:rPr>
                <w:rFonts w:hint="eastAsia" w:ascii="宋体" w:hAnsi="宋体" w:cs="宋体"/>
                <w:sz w:val="18"/>
                <w:szCs w:val="18"/>
              </w:rPr>
              <w:t>应急准备和响应</w:t>
            </w:r>
          </w:p>
        </w:tc>
        <w:tc>
          <w:tcPr>
            <w:tcW w:w="894" w:type="dxa"/>
            <w:tcBorders>
              <w:top w:val="single" w:color="000000" w:sz="4" w:space="0"/>
              <w:left w:val="single" w:color="000000" w:sz="4" w:space="0"/>
              <w:bottom w:val="single" w:color="000000" w:sz="4" w:space="0"/>
              <w:right w:val="single" w:color="000000" w:sz="4" w:space="0"/>
            </w:tcBorders>
            <w:vAlign w:val="center"/>
          </w:tcPr>
          <w:p w14:paraId="3B2FC745">
            <w:pPr>
              <w:spacing w:line="360" w:lineRule="auto"/>
              <w:jc w:val="center"/>
              <w:rPr>
                <w:rFonts w:ascii="宋体" w:hAnsi="宋体" w:cs="宋体"/>
                <w:sz w:val="18"/>
                <w:szCs w:val="18"/>
              </w:rPr>
            </w:pPr>
            <w:r>
              <w:rPr>
                <w:rFonts w:hint="eastAsia" w:ascii="宋体" w:hAnsi="宋体" w:cs="宋体"/>
                <w:sz w:val="18"/>
                <w:szCs w:val="18"/>
              </w:rPr>
              <w:t>△</w:t>
            </w:r>
          </w:p>
        </w:tc>
        <w:tc>
          <w:tcPr>
            <w:tcW w:w="712" w:type="dxa"/>
            <w:tcBorders>
              <w:top w:val="single" w:color="000000" w:sz="4" w:space="0"/>
              <w:left w:val="single" w:color="000000" w:sz="4" w:space="0"/>
              <w:bottom w:val="single" w:color="000000" w:sz="4" w:space="0"/>
              <w:right w:val="single" w:color="000000" w:sz="4" w:space="0"/>
            </w:tcBorders>
            <w:vAlign w:val="center"/>
          </w:tcPr>
          <w:p w14:paraId="7972FB86">
            <w:pPr>
              <w:spacing w:line="360" w:lineRule="auto"/>
              <w:jc w:val="center"/>
              <w:rPr>
                <w:rFonts w:ascii="宋体" w:hAnsi="宋体" w:cs="宋体"/>
                <w:sz w:val="18"/>
                <w:szCs w:val="18"/>
              </w:rPr>
            </w:pPr>
            <w:r>
              <w:rPr>
                <w:rFonts w:hint="eastAsia" w:ascii="宋体" w:hAnsi="宋体" w:cs="宋体"/>
                <w:sz w:val="18"/>
                <w:szCs w:val="18"/>
              </w:rPr>
              <w:t>△</w:t>
            </w:r>
          </w:p>
        </w:tc>
        <w:tc>
          <w:tcPr>
            <w:tcW w:w="709" w:type="dxa"/>
            <w:tcBorders>
              <w:top w:val="single" w:color="000000" w:sz="4" w:space="0"/>
              <w:left w:val="single" w:color="000000" w:sz="4" w:space="0"/>
              <w:bottom w:val="single" w:color="000000" w:sz="4" w:space="0"/>
              <w:right w:val="single" w:color="000000" w:sz="4" w:space="0"/>
            </w:tcBorders>
            <w:vAlign w:val="center"/>
          </w:tcPr>
          <w:p w14:paraId="4247F4A3">
            <w:pPr>
              <w:spacing w:line="360" w:lineRule="auto"/>
              <w:jc w:val="center"/>
              <w:rPr>
                <w:rFonts w:ascii="宋体" w:hAnsi="宋体" w:cs="宋体"/>
                <w:sz w:val="18"/>
                <w:szCs w:val="18"/>
              </w:rPr>
            </w:pPr>
            <w:r>
              <w:rPr>
                <w:rFonts w:hint="eastAsia" w:ascii="宋体" w:hAnsi="宋体" w:cs="宋体"/>
                <w:sz w:val="18"/>
                <w:szCs w:val="18"/>
              </w:rPr>
              <w:t>★</w:t>
            </w:r>
          </w:p>
        </w:tc>
        <w:tc>
          <w:tcPr>
            <w:tcW w:w="709" w:type="dxa"/>
            <w:tcBorders>
              <w:top w:val="single" w:color="000000" w:sz="4" w:space="0"/>
              <w:left w:val="single" w:color="000000" w:sz="4" w:space="0"/>
              <w:bottom w:val="single" w:color="000000" w:sz="4" w:space="0"/>
              <w:right w:val="single" w:color="auto" w:sz="4" w:space="0"/>
            </w:tcBorders>
            <w:vAlign w:val="center"/>
          </w:tcPr>
          <w:p w14:paraId="18A1595F">
            <w:pPr>
              <w:jc w:val="center"/>
            </w:pPr>
            <w:r>
              <w:rPr>
                <w:rFonts w:hint="eastAsia" w:ascii="宋体" w:hAnsi="宋体" w:cs="宋体"/>
                <w:sz w:val="18"/>
                <w:szCs w:val="18"/>
              </w:rPr>
              <w:t>△</w:t>
            </w:r>
          </w:p>
        </w:tc>
        <w:tc>
          <w:tcPr>
            <w:tcW w:w="709" w:type="dxa"/>
            <w:tcBorders>
              <w:top w:val="single" w:color="000000" w:sz="4" w:space="0"/>
              <w:left w:val="single" w:color="auto" w:sz="4" w:space="0"/>
              <w:bottom w:val="single" w:color="000000" w:sz="4" w:space="0"/>
              <w:right w:val="single" w:color="auto" w:sz="6" w:space="0"/>
            </w:tcBorders>
            <w:vAlign w:val="center"/>
          </w:tcPr>
          <w:p w14:paraId="6D4B76E2">
            <w:pPr>
              <w:spacing w:line="360" w:lineRule="auto"/>
              <w:jc w:val="center"/>
              <w:rPr>
                <w:rFonts w:ascii="宋体" w:hAnsi="宋体" w:cs="宋体"/>
                <w:sz w:val="18"/>
                <w:szCs w:val="18"/>
              </w:rPr>
            </w:pPr>
            <w:r>
              <w:rPr>
                <w:rFonts w:hint="eastAsia" w:ascii="宋体" w:hAnsi="宋体" w:cs="宋体"/>
                <w:sz w:val="18"/>
                <w:szCs w:val="18"/>
              </w:rPr>
              <w:t>△</w:t>
            </w:r>
          </w:p>
        </w:tc>
        <w:tc>
          <w:tcPr>
            <w:tcW w:w="709" w:type="dxa"/>
            <w:tcBorders>
              <w:top w:val="single" w:color="000000" w:sz="4" w:space="0"/>
              <w:left w:val="single" w:color="auto" w:sz="6" w:space="0"/>
              <w:bottom w:val="single" w:color="000000" w:sz="4" w:space="0"/>
              <w:right w:val="single" w:color="000000" w:sz="4" w:space="0"/>
            </w:tcBorders>
            <w:vAlign w:val="center"/>
          </w:tcPr>
          <w:p w14:paraId="2EEF6C41">
            <w:pPr>
              <w:jc w:val="center"/>
            </w:pPr>
            <w:r>
              <w:rPr>
                <w:rFonts w:hint="eastAsia" w:ascii="宋体" w:hAnsi="宋体" w:cs="宋体"/>
                <w:sz w:val="18"/>
                <w:szCs w:val="18"/>
              </w:rPr>
              <w:t>△</w:t>
            </w:r>
          </w:p>
        </w:tc>
        <w:tc>
          <w:tcPr>
            <w:tcW w:w="709" w:type="dxa"/>
            <w:tcBorders>
              <w:top w:val="single" w:color="000000" w:sz="4" w:space="0"/>
              <w:left w:val="single" w:color="auto" w:sz="6" w:space="0"/>
              <w:bottom w:val="single" w:color="000000" w:sz="4" w:space="0"/>
              <w:right w:val="single" w:color="000000" w:sz="4" w:space="0"/>
            </w:tcBorders>
            <w:vAlign w:val="center"/>
          </w:tcPr>
          <w:p w14:paraId="23754E32">
            <w:pPr>
              <w:spacing w:line="360" w:lineRule="auto"/>
              <w:jc w:val="center"/>
              <w:rPr>
                <w:rFonts w:ascii="宋体" w:hAnsi="宋体" w:cs="宋体"/>
                <w:sz w:val="18"/>
                <w:szCs w:val="18"/>
              </w:rPr>
            </w:pPr>
            <w:r>
              <w:rPr>
                <w:rFonts w:hint="eastAsia" w:ascii="宋体" w:hAnsi="宋体" w:cs="宋体"/>
                <w:sz w:val="18"/>
                <w:szCs w:val="18"/>
              </w:rPr>
              <w:t>△</w:t>
            </w:r>
          </w:p>
        </w:tc>
      </w:tr>
      <w:tr w14:paraId="07C33CCC">
        <w:tblPrEx>
          <w:tblCellMar>
            <w:top w:w="0" w:type="dxa"/>
            <w:left w:w="0" w:type="dxa"/>
            <w:bottom w:w="0" w:type="dxa"/>
            <w:right w:w="0" w:type="dxa"/>
          </w:tblCellMar>
        </w:tblPrEx>
        <w:trPr>
          <w:trHeight w:val="539" w:hRule="exact"/>
        </w:trPr>
        <w:tc>
          <w:tcPr>
            <w:tcW w:w="2484" w:type="dxa"/>
            <w:tcBorders>
              <w:top w:val="single" w:color="000000" w:sz="4" w:space="0"/>
              <w:left w:val="single" w:color="000000" w:sz="4" w:space="0"/>
              <w:bottom w:val="single" w:color="000000" w:sz="4" w:space="0"/>
              <w:right w:val="single" w:color="000000" w:sz="4" w:space="0"/>
            </w:tcBorders>
            <w:vAlign w:val="center"/>
          </w:tcPr>
          <w:p w14:paraId="7439A6DE">
            <w:pPr>
              <w:spacing w:line="360" w:lineRule="auto"/>
              <w:rPr>
                <w:rFonts w:ascii="宋体" w:hAnsi="宋体" w:cs="宋体"/>
                <w:sz w:val="18"/>
                <w:szCs w:val="18"/>
              </w:rPr>
            </w:pPr>
            <w:r>
              <w:rPr>
                <w:rFonts w:hint="eastAsia" w:ascii="宋体" w:hAnsi="宋体" w:cs="宋体"/>
                <w:sz w:val="18"/>
                <w:szCs w:val="18"/>
              </w:rPr>
              <w:t>9绩效评价</w:t>
            </w:r>
          </w:p>
        </w:tc>
        <w:tc>
          <w:tcPr>
            <w:tcW w:w="2765" w:type="dxa"/>
            <w:tcBorders>
              <w:top w:val="single" w:color="000000" w:sz="4" w:space="0"/>
              <w:left w:val="single" w:color="000000" w:sz="4" w:space="0"/>
              <w:bottom w:val="single" w:color="000000" w:sz="4" w:space="0"/>
              <w:right w:val="single" w:color="auto" w:sz="4" w:space="0"/>
            </w:tcBorders>
            <w:vAlign w:val="center"/>
          </w:tcPr>
          <w:p w14:paraId="292A691D">
            <w:pPr>
              <w:spacing w:line="360" w:lineRule="auto"/>
              <w:rPr>
                <w:rFonts w:ascii="宋体" w:hAnsi="宋体" w:cs="宋体"/>
                <w:sz w:val="18"/>
                <w:szCs w:val="18"/>
              </w:rPr>
            </w:pPr>
            <w:r>
              <w:rPr>
                <w:rFonts w:hint="eastAsia" w:ascii="宋体" w:hAnsi="宋体" w:cs="宋体"/>
                <w:sz w:val="18"/>
                <w:szCs w:val="18"/>
              </w:rPr>
              <w:t>9绩效评价</w:t>
            </w:r>
          </w:p>
        </w:tc>
        <w:tc>
          <w:tcPr>
            <w:tcW w:w="3073" w:type="dxa"/>
            <w:tcBorders>
              <w:top w:val="single" w:color="000000" w:sz="4" w:space="0"/>
              <w:left w:val="single" w:color="000000" w:sz="4" w:space="0"/>
              <w:bottom w:val="single" w:color="000000" w:sz="4" w:space="0"/>
              <w:right w:val="single" w:color="auto" w:sz="4" w:space="0"/>
            </w:tcBorders>
            <w:vAlign w:val="center"/>
          </w:tcPr>
          <w:p w14:paraId="5B94A0B1">
            <w:pPr>
              <w:spacing w:line="360" w:lineRule="auto"/>
              <w:rPr>
                <w:rFonts w:ascii="宋体" w:hAnsi="宋体" w:cs="宋体"/>
                <w:sz w:val="18"/>
                <w:szCs w:val="18"/>
              </w:rPr>
            </w:pPr>
            <w:r>
              <w:rPr>
                <w:rFonts w:hint="eastAsia" w:ascii="宋体" w:hAnsi="宋体" w:cs="宋体"/>
                <w:sz w:val="18"/>
                <w:szCs w:val="18"/>
              </w:rPr>
              <w:t>9绩效评价</w:t>
            </w:r>
          </w:p>
        </w:tc>
        <w:tc>
          <w:tcPr>
            <w:tcW w:w="894" w:type="dxa"/>
            <w:tcBorders>
              <w:top w:val="single" w:color="000000" w:sz="4" w:space="0"/>
              <w:left w:val="single" w:color="000000" w:sz="4" w:space="0"/>
              <w:bottom w:val="single" w:color="000000" w:sz="4" w:space="0"/>
              <w:right w:val="single" w:color="000000" w:sz="4" w:space="0"/>
            </w:tcBorders>
            <w:vAlign w:val="center"/>
          </w:tcPr>
          <w:p w14:paraId="4D017BC4">
            <w:pPr>
              <w:spacing w:line="360" w:lineRule="auto"/>
              <w:jc w:val="center"/>
              <w:rPr>
                <w:rFonts w:ascii="宋体" w:hAnsi="宋体" w:cs="宋体"/>
                <w:sz w:val="18"/>
                <w:szCs w:val="18"/>
              </w:rPr>
            </w:pPr>
            <w:r>
              <w:rPr>
                <w:rFonts w:hint="eastAsia" w:ascii="宋体" w:hAnsi="宋体" w:cs="宋体"/>
                <w:sz w:val="18"/>
                <w:szCs w:val="18"/>
              </w:rPr>
              <w:t>△</w:t>
            </w:r>
          </w:p>
        </w:tc>
        <w:tc>
          <w:tcPr>
            <w:tcW w:w="712" w:type="dxa"/>
            <w:tcBorders>
              <w:top w:val="single" w:color="000000" w:sz="4" w:space="0"/>
              <w:left w:val="single" w:color="000000" w:sz="4" w:space="0"/>
              <w:bottom w:val="single" w:color="000000" w:sz="4" w:space="0"/>
              <w:right w:val="single" w:color="000000" w:sz="4" w:space="0"/>
            </w:tcBorders>
            <w:vAlign w:val="center"/>
          </w:tcPr>
          <w:p w14:paraId="1D3F2B83">
            <w:pPr>
              <w:spacing w:line="360" w:lineRule="auto"/>
              <w:jc w:val="center"/>
              <w:rPr>
                <w:rFonts w:ascii="宋体" w:hAnsi="宋体" w:cs="宋体"/>
                <w:sz w:val="18"/>
                <w:szCs w:val="18"/>
              </w:rPr>
            </w:pPr>
            <w:r>
              <w:rPr>
                <w:rFonts w:hint="eastAsia" w:ascii="宋体" w:hAnsi="宋体" w:cs="宋体"/>
                <w:sz w:val="18"/>
                <w:szCs w:val="18"/>
              </w:rPr>
              <w:t>△</w:t>
            </w:r>
          </w:p>
        </w:tc>
        <w:tc>
          <w:tcPr>
            <w:tcW w:w="709" w:type="dxa"/>
            <w:tcBorders>
              <w:top w:val="single" w:color="000000" w:sz="4" w:space="0"/>
              <w:left w:val="single" w:color="000000" w:sz="4" w:space="0"/>
              <w:bottom w:val="single" w:color="000000" w:sz="4" w:space="0"/>
              <w:right w:val="single" w:color="000000" w:sz="4" w:space="0"/>
            </w:tcBorders>
            <w:vAlign w:val="center"/>
          </w:tcPr>
          <w:p w14:paraId="38372517">
            <w:pPr>
              <w:spacing w:line="360" w:lineRule="auto"/>
              <w:jc w:val="center"/>
              <w:rPr>
                <w:rFonts w:ascii="宋体" w:hAnsi="宋体" w:cs="宋体"/>
                <w:sz w:val="18"/>
                <w:szCs w:val="18"/>
              </w:rPr>
            </w:pPr>
            <w:r>
              <w:rPr>
                <w:rFonts w:hint="eastAsia" w:ascii="宋体" w:hAnsi="宋体" w:cs="宋体"/>
                <w:sz w:val="18"/>
                <w:szCs w:val="18"/>
              </w:rPr>
              <w:t>★</w:t>
            </w:r>
          </w:p>
        </w:tc>
        <w:tc>
          <w:tcPr>
            <w:tcW w:w="709" w:type="dxa"/>
            <w:tcBorders>
              <w:top w:val="single" w:color="000000" w:sz="4" w:space="0"/>
              <w:left w:val="single" w:color="000000" w:sz="4" w:space="0"/>
              <w:bottom w:val="single" w:color="000000" w:sz="4" w:space="0"/>
              <w:right w:val="single" w:color="auto" w:sz="4" w:space="0"/>
            </w:tcBorders>
            <w:vAlign w:val="center"/>
          </w:tcPr>
          <w:p w14:paraId="3CA8B50F">
            <w:pPr>
              <w:jc w:val="center"/>
            </w:pPr>
            <w:r>
              <w:rPr>
                <w:rFonts w:hint="eastAsia" w:ascii="宋体" w:hAnsi="宋体" w:cs="宋体"/>
                <w:sz w:val="18"/>
                <w:szCs w:val="18"/>
              </w:rPr>
              <w:t>△</w:t>
            </w:r>
          </w:p>
        </w:tc>
        <w:tc>
          <w:tcPr>
            <w:tcW w:w="709" w:type="dxa"/>
            <w:tcBorders>
              <w:top w:val="single" w:color="000000" w:sz="4" w:space="0"/>
              <w:left w:val="single" w:color="auto" w:sz="4" w:space="0"/>
              <w:bottom w:val="single" w:color="000000" w:sz="4" w:space="0"/>
              <w:right w:val="single" w:color="auto" w:sz="6" w:space="0"/>
            </w:tcBorders>
            <w:vAlign w:val="center"/>
          </w:tcPr>
          <w:p w14:paraId="32E11868">
            <w:pPr>
              <w:spacing w:line="360" w:lineRule="auto"/>
              <w:jc w:val="center"/>
              <w:rPr>
                <w:rFonts w:ascii="宋体" w:hAnsi="宋体" w:cs="宋体"/>
                <w:sz w:val="18"/>
                <w:szCs w:val="18"/>
              </w:rPr>
            </w:pPr>
            <w:r>
              <w:rPr>
                <w:rFonts w:hint="eastAsia" w:ascii="宋体" w:hAnsi="宋体" w:cs="宋体"/>
                <w:sz w:val="18"/>
                <w:szCs w:val="18"/>
              </w:rPr>
              <w:t>△</w:t>
            </w:r>
          </w:p>
        </w:tc>
        <w:tc>
          <w:tcPr>
            <w:tcW w:w="709" w:type="dxa"/>
            <w:tcBorders>
              <w:top w:val="single" w:color="000000" w:sz="4" w:space="0"/>
              <w:left w:val="single" w:color="auto" w:sz="6" w:space="0"/>
              <w:bottom w:val="single" w:color="000000" w:sz="4" w:space="0"/>
              <w:right w:val="single" w:color="000000" w:sz="4" w:space="0"/>
            </w:tcBorders>
            <w:vAlign w:val="center"/>
          </w:tcPr>
          <w:p w14:paraId="1E63B749">
            <w:pPr>
              <w:jc w:val="center"/>
            </w:pPr>
            <w:r>
              <w:rPr>
                <w:rFonts w:hint="eastAsia" w:ascii="宋体" w:hAnsi="宋体" w:cs="宋体"/>
                <w:sz w:val="18"/>
                <w:szCs w:val="18"/>
              </w:rPr>
              <w:t>△</w:t>
            </w:r>
          </w:p>
        </w:tc>
        <w:tc>
          <w:tcPr>
            <w:tcW w:w="709" w:type="dxa"/>
            <w:tcBorders>
              <w:top w:val="single" w:color="000000" w:sz="4" w:space="0"/>
              <w:left w:val="single" w:color="auto" w:sz="6" w:space="0"/>
              <w:bottom w:val="single" w:color="000000" w:sz="4" w:space="0"/>
              <w:right w:val="single" w:color="000000" w:sz="4" w:space="0"/>
            </w:tcBorders>
            <w:vAlign w:val="center"/>
          </w:tcPr>
          <w:p w14:paraId="16067CCE">
            <w:pPr>
              <w:spacing w:line="360" w:lineRule="auto"/>
              <w:jc w:val="center"/>
              <w:rPr>
                <w:rFonts w:ascii="宋体" w:hAnsi="宋体" w:cs="宋体"/>
                <w:sz w:val="18"/>
                <w:szCs w:val="18"/>
              </w:rPr>
            </w:pPr>
            <w:r>
              <w:rPr>
                <w:rFonts w:hint="eastAsia" w:ascii="宋体" w:hAnsi="宋体" w:cs="宋体"/>
                <w:sz w:val="18"/>
                <w:szCs w:val="18"/>
              </w:rPr>
              <w:t>△</w:t>
            </w:r>
          </w:p>
        </w:tc>
      </w:tr>
      <w:tr w14:paraId="619BF3AD">
        <w:tblPrEx>
          <w:tblCellMar>
            <w:top w:w="0" w:type="dxa"/>
            <w:left w:w="0" w:type="dxa"/>
            <w:bottom w:w="0" w:type="dxa"/>
            <w:right w:w="0" w:type="dxa"/>
          </w:tblCellMar>
        </w:tblPrEx>
        <w:trPr>
          <w:trHeight w:val="539" w:hRule="exact"/>
        </w:trPr>
        <w:tc>
          <w:tcPr>
            <w:tcW w:w="2484" w:type="dxa"/>
            <w:tcBorders>
              <w:top w:val="single" w:color="000000" w:sz="4" w:space="0"/>
              <w:left w:val="single" w:color="000000" w:sz="4" w:space="0"/>
              <w:bottom w:val="single" w:color="000000" w:sz="4" w:space="0"/>
              <w:right w:val="single" w:color="000000" w:sz="4" w:space="0"/>
            </w:tcBorders>
            <w:vAlign w:val="center"/>
          </w:tcPr>
          <w:p w14:paraId="664C502A">
            <w:pPr>
              <w:spacing w:line="360" w:lineRule="auto"/>
              <w:rPr>
                <w:rFonts w:ascii="宋体" w:hAnsi="宋体" w:cs="宋体"/>
                <w:sz w:val="18"/>
                <w:szCs w:val="18"/>
              </w:rPr>
            </w:pPr>
            <w:r>
              <w:rPr>
                <w:rFonts w:hint="eastAsia" w:ascii="宋体" w:hAnsi="宋体" w:cs="宋体"/>
                <w:sz w:val="18"/>
                <w:szCs w:val="18"/>
              </w:rPr>
              <w:t>9.1.1总则</w:t>
            </w:r>
          </w:p>
        </w:tc>
        <w:tc>
          <w:tcPr>
            <w:tcW w:w="2765" w:type="dxa"/>
            <w:tcBorders>
              <w:top w:val="single" w:color="000000" w:sz="4" w:space="0"/>
              <w:left w:val="single" w:color="000000" w:sz="4" w:space="0"/>
              <w:bottom w:val="single" w:color="000000" w:sz="4" w:space="0"/>
              <w:right w:val="single" w:color="auto" w:sz="4" w:space="0"/>
            </w:tcBorders>
            <w:vAlign w:val="center"/>
          </w:tcPr>
          <w:p w14:paraId="55EA11CA">
            <w:pPr>
              <w:spacing w:line="360" w:lineRule="auto"/>
              <w:rPr>
                <w:rFonts w:ascii="宋体" w:hAnsi="宋体" w:cs="宋体"/>
                <w:sz w:val="18"/>
                <w:szCs w:val="18"/>
              </w:rPr>
            </w:pPr>
            <w:r>
              <w:rPr>
                <w:rFonts w:hint="eastAsia" w:ascii="宋体" w:hAnsi="宋体" w:cs="宋体"/>
                <w:sz w:val="18"/>
                <w:szCs w:val="18"/>
              </w:rPr>
              <w:t>9.1.1总则</w:t>
            </w:r>
          </w:p>
        </w:tc>
        <w:tc>
          <w:tcPr>
            <w:tcW w:w="3073" w:type="dxa"/>
            <w:tcBorders>
              <w:top w:val="single" w:color="000000" w:sz="4" w:space="0"/>
              <w:left w:val="single" w:color="000000" w:sz="4" w:space="0"/>
              <w:bottom w:val="single" w:color="000000" w:sz="4" w:space="0"/>
              <w:right w:val="single" w:color="auto" w:sz="4" w:space="0"/>
            </w:tcBorders>
            <w:vAlign w:val="center"/>
          </w:tcPr>
          <w:p w14:paraId="57E971C1">
            <w:pPr>
              <w:spacing w:line="360" w:lineRule="auto"/>
              <w:rPr>
                <w:rFonts w:ascii="宋体" w:hAnsi="宋体" w:cs="宋体"/>
                <w:sz w:val="18"/>
                <w:szCs w:val="18"/>
              </w:rPr>
            </w:pPr>
            <w:r>
              <w:rPr>
                <w:rFonts w:hint="eastAsia" w:ascii="宋体" w:hAnsi="宋体" w:cs="宋体"/>
                <w:sz w:val="18"/>
                <w:szCs w:val="18"/>
              </w:rPr>
              <w:t>9.1.1总则</w:t>
            </w:r>
          </w:p>
        </w:tc>
        <w:tc>
          <w:tcPr>
            <w:tcW w:w="894" w:type="dxa"/>
            <w:tcBorders>
              <w:top w:val="single" w:color="000000" w:sz="4" w:space="0"/>
              <w:left w:val="single" w:color="000000" w:sz="4" w:space="0"/>
              <w:bottom w:val="single" w:color="000000" w:sz="4" w:space="0"/>
              <w:right w:val="single" w:color="000000" w:sz="4" w:space="0"/>
            </w:tcBorders>
            <w:vAlign w:val="center"/>
          </w:tcPr>
          <w:p w14:paraId="14C1921C">
            <w:pPr>
              <w:spacing w:line="360" w:lineRule="auto"/>
              <w:jc w:val="center"/>
              <w:rPr>
                <w:rFonts w:ascii="宋体" w:hAnsi="宋体" w:cs="宋体"/>
                <w:sz w:val="18"/>
                <w:szCs w:val="18"/>
              </w:rPr>
            </w:pPr>
            <w:r>
              <w:rPr>
                <w:rFonts w:hint="eastAsia" w:ascii="宋体" w:hAnsi="宋体" w:cs="宋体"/>
                <w:sz w:val="18"/>
                <w:szCs w:val="18"/>
              </w:rPr>
              <w:t>△</w:t>
            </w:r>
          </w:p>
        </w:tc>
        <w:tc>
          <w:tcPr>
            <w:tcW w:w="712" w:type="dxa"/>
            <w:tcBorders>
              <w:top w:val="single" w:color="000000" w:sz="4" w:space="0"/>
              <w:left w:val="single" w:color="000000" w:sz="4" w:space="0"/>
              <w:bottom w:val="single" w:color="000000" w:sz="4" w:space="0"/>
              <w:right w:val="single" w:color="000000" w:sz="4" w:space="0"/>
            </w:tcBorders>
            <w:vAlign w:val="center"/>
          </w:tcPr>
          <w:p w14:paraId="67C534D2">
            <w:pPr>
              <w:spacing w:line="360" w:lineRule="auto"/>
              <w:jc w:val="center"/>
              <w:rPr>
                <w:rFonts w:ascii="宋体" w:hAnsi="宋体" w:cs="宋体"/>
                <w:sz w:val="18"/>
                <w:szCs w:val="18"/>
              </w:rPr>
            </w:pPr>
            <w:r>
              <w:rPr>
                <w:rFonts w:hint="eastAsia" w:ascii="宋体" w:hAnsi="宋体" w:cs="宋体"/>
                <w:sz w:val="18"/>
                <w:szCs w:val="18"/>
              </w:rPr>
              <w:t>△</w:t>
            </w:r>
          </w:p>
        </w:tc>
        <w:tc>
          <w:tcPr>
            <w:tcW w:w="709" w:type="dxa"/>
            <w:tcBorders>
              <w:top w:val="single" w:color="000000" w:sz="4" w:space="0"/>
              <w:left w:val="single" w:color="000000" w:sz="4" w:space="0"/>
              <w:bottom w:val="single" w:color="000000" w:sz="4" w:space="0"/>
              <w:right w:val="single" w:color="000000" w:sz="4" w:space="0"/>
            </w:tcBorders>
            <w:vAlign w:val="center"/>
          </w:tcPr>
          <w:p w14:paraId="4C355DAE">
            <w:pPr>
              <w:spacing w:line="360" w:lineRule="auto"/>
              <w:jc w:val="center"/>
              <w:rPr>
                <w:rFonts w:ascii="宋体" w:hAnsi="宋体" w:cs="宋体"/>
                <w:sz w:val="18"/>
                <w:szCs w:val="18"/>
              </w:rPr>
            </w:pPr>
            <w:r>
              <w:rPr>
                <w:rFonts w:hint="eastAsia" w:ascii="宋体" w:hAnsi="宋体" w:cs="宋体"/>
                <w:sz w:val="18"/>
                <w:szCs w:val="18"/>
              </w:rPr>
              <w:t>★</w:t>
            </w:r>
          </w:p>
        </w:tc>
        <w:tc>
          <w:tcPr>
            <w:tcW w:w="709" w:type="dxa"/>
            <w:tcBorders>
              <w:top w:val="single" w:color="000000" w:sz="4" w:space="0"/>
              <w:left w:val="single" w:color="000000" w:sz="4" w:space="0"/>
              <w:bottom w:val="single" w:color="000000" w:sz="4" w:space="0"/>
              <w:right w:val="single" w:color="auto" w:sz="4" w:space="0"/>
            </w:tcBorders>
            <w:vAlign w:val="center"/>
          </w:tcPr>
          <w:p w14:paraId="1C37153D">
            <w:pPr>
              <w:jc w:val="center"/>
            </w:pPr>
            <w:r>
              <w:rPr>
                <w:rFonts w:hint="eastAsia" w:ascii="宋体" w:hAnsi="宋体" w:cs="宋体"/>
                <w:sz w:val="18"/>
                <w:szCs w:val="18"/>
              </w:rPr>
              <w:t>△</w:t>
            </w:r>
          </w:p>
        </w:tc>
        <w:tc>
          <w:tcPr>
            <w:tcW w:w="709" w:type="dxa"/>
            <w:tcBorders>
              <w:top w:val="single" w:color="000000" w:sz="4" w:space="0"/>
              <w:left w:val="single" w:color="auto" w:sz="4" w:space="0"/>
              <w:bottom w:val="single" w:color="000000" w:sz="4" w:space="0"/>
              <w:right w:val="single" w:color="auto" w:sz="6" w:space="0"/>
            </w:tcBorders>
            <w:vAlign w:val="center"/>
          </w:tcPr>
          <w:p w14:paraId="03D00974">
            <w:pPr>
              <w:spacing w:line="360" w:lineRule="auto"/>
              <w:jc w:val="center"/>
              <w:rPr>
                <w:rFonts w:ascii="宋体" w:hAnsi="宋体" w:cs="宋体"/>
                <w:sz w:val="18"/>
                <w:szCs w:val="18"/>
              </w:rPr>
            </w:pPr>
            <w:r>
              <w:rPr>
                <w:rFonts w:hint="eastAsia" w:ascii="宋体" w:hAnsi="宋体" w:cs="宋体"/>
                <w:sz w:val="18"/>
                <w:szCs w:val="18"/>
              </w:rPr>
              <w:t>△</w:t>
            </w:r>
          </w:p>
        </w:tc>
        <w:tc>
          <w:tcPr>
            <w:tcW w:w="709" w:type="dxa"/>
            <w:tcBorders>
              <w:top w:val="single" w:color="000000" w:sz="4" w:space="0"/>
              <w:left w:val="single" w:color="auto" w:sz="6" w:space="0"/>
              <w:bottom w:val="single" w:color="000000" w:sz="4" w:space="0"/>
              <w:right w:val="single" w:color="000000" w:sz="4" w:space="0"/>
            </w:tcBorders>
            <w:vAlign w:val="center"/>
          </w:tcPr>
          <w:p w14:paraId="38F69186">
            <w:pPr>
              <w:jc w:val="center"/>
            </w:pPr>
            <w:r>
              <w:rPr>
                <w:rFonts w:hint="eastAsia" w:ascii="宋体" w:hAnsi="宋体" w:cs="宋体"/>
                <w:sz w:val="18"/>
                <w:szCs w:val="18"/>
              </w:rPr>
              <w:t>△</w:t>
            </w:r>
          </w:p>
        </w:tc>
        <w:tc>
          <w:tcPr>
            <w:tcW w:w="709" w:type="dxa"/>
            <w:tcBorders>
              <w:top w:val="single" w:color="000000" w:sz="4" w:space="0"/>
              <w:left w:val="single" w:color="auto" w:sz="6" w:space="0"/>
              <w:bottom w:val="single" w:color="000000" w:sz="4" w:space="0"/>
              <w:right w:val="single" w:color="000000" w:sz="4" w:space="0"/>
            </w:tcBorders>
            <w:vAlign w:val="center"/>
          </w:tcPr>
          <w:p w14:paraId="306FFFB5">
            <w:pPr>
              <w:spacing w:line="360" w:lineRule="auto"/>
              <w:jc w:val="center"/>
              <w:rPr>
                <w:rFonts w:ascii="宋体" w:hAnsi="宋体" w:cs="宋体"/>
                <w:sz w:val="18"/>
                <w:szCs w:val="18"/>
              </w:rPr>
            </w:pPr>
            <w:r>
              <w:rPr>
                <w:rFonts w:hint="eastAsia" w:ascii="宋体" w:hAnsi="宋体" w:cs="宋体"/>
                <w:sz w:val="18"/>
                <w:szCs w:val="18"/>
              </w:rPr>
              <w:t>△</w:t>
            </w:r>
          </w:p>
        </w:tc>
      </w:tr>
      <w:tr w14:paraId="41917887">
        <w:tblPrEx>
          <w:tblCellMar>
            <w:top w:w="0" w:type="dxa"/>
            <w:left w:w="0" w:type="dxa"/>
            <w:bottom w:w="0" w:type="dxa"/>
            <w:right w:w="0" w:type="dxa"/>
          </w:tblCellMar>
        </w:tblPrEx>
        <w:trPr>
          <w:trHeight w:val="539" w:hRule="exact"/>
        </w:trPr>
        <w:tc>
          <w:tcPr>
            <w:tcW w:w="2484" w:type="dxa"/>
            <w:tcBorders>
              <w:top w:val="single" w:color="000000" w:sz="4" w:space="0"/>
              <w:left w:val="single" w:color="000000" w:sz="4" w:space="0"/>
              <w:bottom w:val="single" w:color="000000" w:sz="4" w:space="0"/>
              <w:right w:val="single" w:color="000000" w:sz="4" w:space="0"/>
            </w:tcBorders>
            <w:vAlign w:val="center"/>
          </w:tcPr>
          <w:p w14:paraId="5A243F89">
            <w:pPr>
              <w:spacing w:line="360" w:lineRule="auto"/>
              <w:rPr>
                <w:rFonts w:ascii="宋体" w:hAnsi="宋体" w:cs="宋体"/>
                <w:sz w:val="18"/>
                <w:szCs w:val="18"/>
              </w:rPr>
            </w:pPr>
            <w:r>
              <w:rPr>
                <w:rFonts w:hint="eastAsia" w:ascii="宋体" w:hAnsi="宋体" w:cs="宋体"/>
                <w:sz w:val="18"/>
                <w:szCs w:val="18"/>
              </w:rPr>
              <w:t>9.1.2顾客满意</w:t>
            </w:r>
          </w:p>
        </w:tc>
        <w:tc>
          <w:tcPr>
            <w:tcW w:w="2765" w:type="dxa"/>
            <w:tcBorders>
              <w:top w:val="single" w:color="000000" w:sz="4" w:space="0"/>
              <w:left w:val="single" w:color="000000" w:sz="4" w:space="0"/>
              <w:bottom w:val="single" w:color="000000" w:sz="4" w:space="0"/>
              <w:right w:val="single" w:color="auto" w:sz="4" w:space="0"/>
            </w:tcBorders>
            <w:vAlign w:val="center"/>
          </w:tcPr>
          <w:p w14:paraId="5D17DE3A">
            <w:pPr>
              <w:spacing w:line="360" w:lineRule="auto"/>
              <w:rPr>
                <w:rFonts w:ascii="宋体" w:hAnsi="宋体" w:cs="宋体"/>
                <w:sz w:val="18"/>
                <w:szCs w:val="18"/>
              </w:rPr>
            </w:pPr>
          </w:p>
        </w:tc>
        <w:tc>
          <w:tcPr>
            <w:tcW w:w="3073" w:type="dxa"/>
            <w:tcBorders>
              <w:top w:val="single" w:color="000000" w:sz="4" w:space="0"/>
              <w:left w:val="single" w:color="000000" w:sz="4" w:space="0"/>
              <w:bottom w:val="single" w:color="000000" w:sz="4" w:space="0"/>
              <w:right w:val="single" w:color="auto" w:sz="4" w:space="0"/>
            </w:tcBorders>
            <w:vAlign w:val="center"/>
          </w:tcPr>
          <w:p w14:paraId="0BFB776D">
            <w:pPr>
              <w:spacing w:line="360" w:lineRule="auto"/>
              <w:rPr>
                <w:rFonts w:ascii="宋体" w:hAnsi="宋体" w:cs="宋体"/>
                <w:sz w:val="18"/>
                <w:szCs w:val="18"/>
              </w:rPr>
            </w:pPr>
          </w:p>
        </w:tc>
        <w:tc>
          <w:tcPr>
            <w:tcW w:w="894" w:type="dxa"/>
            <w:tcBorders>
              <w:top w:val="single" w:color="000000" w:sz="4" w:space="0"/>
              <w:left w:val="single" w:color="000000" w:sz="4" w:space="0"/>
              <w:bottom w:val="single" w:color="000000" w:sz="4" w:space="0"/>
              <w:right w:val="single" w:color="000000" w:sz="4" w:space="0"/>
            </w:tcBorders>
            <w:vAlign w:val="center"/>
          </w:tcPr>
          <w:p w14:paraId="66C49583">
            <w:pPr>
              <w:spacing w:line="360" w:lineRule="auto"/>
              <w:jc w:val="center"/>
              <w:rPr>
                <w:rFonts w:ascii="宋体" w:hAnsi="宋体" w:cs="宋体"/>
                <w:sz w:val="18"/>
                <w:szCs w:val="18"/>
              </w:rPr>
            </w:pPr>
            <w:r>
              <w:rPr>
                <w:rFonts w:hint="eastAsia" w:ascii="宋体" w:hAnsi="宋体" w:cs="宋体"/>
                <w:sz w:val="18"/>
                <w:szCs w:val="18"/>
              </w:rPr>
              <w:t>△</w:t>
            </w:r>
          </w:p>
        </w:tc>
        <w:tc>
          <w:tcPr>
            <w:tcW w:w="712" w:type="dxa"/>
            <w:tcBorders>
              <w:top w:val="single" w:color="000000" w:sz="4" w:space="0"/>
              <w:left w:val="single" w:color="000000" w:sz="4" w:space="0"/>
              <w:bottom w:val="single" w:color="000000" w:sz="4" w:space="0"/>
              <w:right w:val="single" w:color="000000" w:sz="4" w:space="0"/>
            </w:tcBorders>
            <w:vAlign w:val="center"/>
          </w:tcPr>
          <w:p w14:paraId="30000A58">
            <w:pPr>
              <w:spacing w:line="360" w:lineRule="auto"/>
              <w:jc w:val="center"/>
              <w:rPr>
                <w:rFonts w:ascii="宋体" w:hAnsi="宋体" w:cs="宋体"/>
                <w:sz w:val="18"/>
                <w:szCs w:val="18"/>
              </w:rPr>
            </w:pPr>
            <w:r>
              <w:rPr>
                <w:rFonts w:hint="eastAsia" w:ascii="宋体" w:hAnsi="宋体" w:cs="宋体"/>
                <w:sz w:val="18"/>
                <w:szCs w:val="18"/>
              </w:rPr>
              <w:t>△</w:t>
            </w:r>
          </w:p>
        </w:tc>
        <w:tc>
          <w:tcPr>
            <w:tcW w:w="709" w:type="dxa"/>
            <w:tcBorders>
              <w:top w:val="single" w:color="000000" w:sz="4" w:space="0"/>
              <w:left w:val="single" w:color="000000" w:sz="4" w:space="0"/>
              <w:bottom w:val="single" w:color="000000" w:sz="4" w:space="0"/>
              <w:right w:val="single" w:color="000000" w:sz="4" w:space="0"/>
            </w:tcBorders>
            <w:vAlign w:val="center"/>
          </w:tcPr>
          <w:p w14:paraId="79A8D6D7">
            <w:pPr>
              <w:spacing w:line="360" w:lineRule="auto"/>
              <w:jc w:val="center"/>
              <w:rPr>
                <w:rFonts w:ascii="宋体" w:hAnsi="宋体" w:cs="宋体"/>
                <w:sz w:val="18"/>
                <w:szCs w:val="18"/>
              </w:rPr>
            </w:pPr>
            <w:r>
              <w:rPr>
                <w:rFonts w:hint="eastAsia" w:ascii="宋体" w:hAnsi="宋体" w:cs="宋体"/>
                <w:sz w:val="18"/>
                <w:szCs w:val="18"/>
              </w:rPr>
              <w:t>△</w:t>
            </w:r>
          </w:p>
        </w:tc>
        <w:tc>
          <w:tcPr>
            <w:tcW w:w="709" w:type="dxa"/>
            <w:tcBorders>
              <w:top w:val="single" w:color="000000" w:sz="4" w:space="0"/>
              <w:left w:val="single" w:color="000000" w:sz="4" w:space="0"/>
              <w:bottom w:val="single" w:color="000000" w:sz="4" w:space="0"/>
              <w:right w:val="single" w:color="auto" w:sz="4" w:space="0"/>
            </w:tcBorders>
            <w:vAlign w:val="center"/>
          </w:tcPr>
          <w:p w14:paraId="6A7630D4">
            <w:pPr>
              <w:jc w:val="center"/>
            </w:pPr>
            <w:r>
              <w:rPr>
                <w:rFonts w:hint="eastAsia" w:ascii="宋体" w:hAnsi="宋体" w:cs="宋体"/>
                <w:sz w:val="18"/>
                <w:szCs w:val="18"/>
              </w:rPr>
              <w:t>△</w:t>
            </w:r>
          </w:p>
        </w:tc>
        <w:tc>
          <w:tcPr>
            <w:tcW w:w="709" w:type="dxa"/>
            <w:tcBorders>
              <w:top w:val="single" w:color="000000" w:sz="4" w:space="0"/>
              <w:left w:val="single" w:color="auto" w:sz="4" w:space="0"/>
              <w:bottom w:val="single" w:color="000000" w:sz="4" w:space="0"/>
              <w:right w:val="single" w:color="auto" w:sz="6" w:space="0"/>
            </w:tcBorders>
            <w:vAlign w:val="center"/>
          </w:tcPr>
          <w:p w14:paraId="4158270B">
            <w:pPr>
              <w:spacing w:line="360" w:lineRule="auto"/>
              <w:jc w:val="center"/>
              <w:rPr>
                <w:rFonts w:ascii="宋体" w:hAnsi="宋体" w:cs="宋体"/>
                <w:sz w:val="18"/>
                <w:szCs w:val="18"/>
              </w:rPr>
            </w:pPr>
            <w:r>
              <w:rPr>
                <w:rFonts w:hint="eastAsia" w:ascii="宋体" w:hAnsi="宋体" w:cs="宋体"/>
                <w:sz w:val="18"/>
                <w:szCs w:val="18"/>
              </w:rPr>
              <w:t>★</w:t>
            </w:r>
          </w:p>
        </w:tc>
        <w:tc>
          <w:tcPr>
            <w:tcW w:w="709" w:type="dxa"/>
            <w:tcBorders>
              <w:top w:val="single" w:color="000000" w:sz="4" w:space="0"/>
              <w:left w:val="single" w:color="auto" w:sz="6" w:space="0"/>
              <w:bottom w:val="single" w:color="000000" w:sz="4" w:space="0"/>
              <w:right w:val="single" w:color="000000" w:sz="4" w:space="0"/>
            </w:tcBorders>
            <w:vAlign w:val="center"/>
          </w:tcPr>
          <w:p w14:paraId="1F8629CD">
            <w:pPr>
              <w:jc w:val="center"/>
            </w:pPr>
            <w:r>
              <w:rPr>
                <w:rFonts w:hint="eastAsia" w:ascii="宋体" w:hAnsi="宋体" w:cs="宋体"/>
                <w:sz w:val="18"/>
                <w:szCs w:val="18"/>
              </w:rPr>
              <w:t>△</w:t>
            </w:r>
          </w:p>
        </w:tc>
        <w:tc>
          <w:tcPr>
            <w:tcW w:w="709" w:type="dxa"/>
            <w:tcBorders>
              <w:top w:val="single" w:color="000000" w:sz="4" w:space="0"/>
              <w:left w:val="single" w:color="auto" w:sz="6" w:space="0"/>
              <w:bottom w:val="single" w:color="000000" w:sz="4" w:space="0"/>
              <w:right w:val="single" w:color="000000" w:sz="4" w:space="0"/>
            </w:tcBorders>
            <w:vAlign w:val="center"/>
          </w:tcPr>
          <w:p w14:paraId="6BCA888C">
            <w:pPr>
              <w:spacing w:line="360" w:lineRule="auto"/>
              <w:jc w:val="center"/>
              <w:rPr>
                <w:rFonts w:ascii="宋体" w:hAnsi="宋体" w:cs="宋体"/>
                <w:sz w:val="18"/>
                <w:szCs w:val="18"/>
              </w:rPr>
            </w:pPr>
            <w:r>
              <w:rPr>
                <w:rFonts w:hint="eastAsia" w:ascii="宋体" w:hAnsi="宋体" w:cs="宋体"/>
                <w:sz w:val="18"/>
                <w:szCs w:val="18"/>
              </w:rPr>
              <w:t>△</w:t>
            </w:r>
          </w:p>
        </w:tc>
      </w:tr>
      <w:tr w14:paraId="374851D3">
        <w:tblPrEx>
          <w:tblCellMar>
            <w:top w:w="0" w:type="dxa"/>
            <w:left w:w="0" w:type="dxa"/>
            <w:bottom w:w="0" w:type="dxa"/>
            <w:right w:w="0" w:type="dxa"/>
          </w:tblCellMar>
        </w:tblPrEx>
        <w:trPr>
          <w:trHeight w:val="539" w:hRule="exact"/>
        </w:trPr>
        <w:tc>
          <w:tcPr>
            <w:tcW w:w="2484" w:type="dxa"/>
            <w:tcBorders>
              <w:top w:val="single" w:color="000000" w:sz="4" w:space="0"/>
              <w:left w:val="single" w:color="000000" w:sz="4" w:space="0"/>
              <w:bottom w:val="single" w:color="000000" w:sz="4" w:space="0"/>
              <w:right w:val="single" w:color="000000" w:sz="4" w:space="0"/>
            </w:tcBorders>
            <w:vAlign w:val="center"/>
          </w:tcPr>
          <w:p w14:paraId="1A16E146">
            <w:pPr>
              <w:spacing w:line="360" w:lineRule="auto"/>
              <w:rPr>
                <w:rFonts w:ascii="宋体" w:hAnsi="宋体" w:cs="宋体"/>
                <w:sz w:val="18"/>
                <w:szCs w:val="18"/>
              </w:rPr>
            </w:pPr>
          </w:p>
        </w:tc>
        <w:tc>
          <w:tcPr>
            <w:tcW w:w="2765" w:type="dxa"/>
            <w:tcBorders>
              <w:top w:val="single" w:color="000000" w:sz="4" w:space="0"/>
              <w:left w:val="single" w:color="000000" w:sz="4" w:space="0"/>
              <w:bottom w:val="single" w:color="000000" w:sz="4" w:space="0"/>
              <w:right w:val="single" w:color="auto" w:sz="4" w:space="0"/>
            </w:tcBorders>
            <w:vAlign w:val="center"/>
          </w:tcPr>
          <w:p w14:paraId="76D9665F">
            <w:pPr>
              <w:spacing w:line="360" w:lineRule="auto"/>
              <w:rPr>
                <w:rFonts w:ascii="宋体" w:hAnsi="宋体" w:cs="宋体"/>
                <w:sz w:val="18"/>
                <w:szCs w:val="18"/>
              </w:rPr>
            </w:pPr>
            <w:r>
              <w:rPr>
                <w:rFonts w:hint="eastAsia" w:ascii="宋体" w:hAnsi="宋体" w:cs="宋体"/>
                <w:sz w:val="18"/>
                <w:szCs w:val="18"/>
              </w:rPr>
              <w:t>9.1.2合规性评价</w:t>
            </w:r>
          </w:p>
        </w:tc>
        <w:tc>
          <w:tcPr>
            <w:tcW w:w="3073" w:type="dxa"/>
            <w:tcBorders>
              <w:top w:val="single" w:color="000000" w:sz="4" w:space="0"/>
              <w:left w:val="single" w:color="000000" w:sz="4" w:space="0"/>
              <w:bottom w:val="single" w:color="000000" w:sz="4" w:space="0"/>
              <w:right w:val="single" w:color="auto" w:sz="4" w:space="0"/>
            </w:tcBorders>
            <w:vAlign w:val="center"/>
          </w:tcPr>
          <w:p w14:paraId="21C0A51F">
            <w:pPr>
              <w:spacing w:line="360" w:lineRule="auto"/>
              <w:rPr>
                <w:rFonts w:ascii="宋体" w:hAnsi="宋体" w:cs="宋体"/>
                <w:sz w:val="18"/>
                <w:szCs w:val="18"/>
              </w:rPr>
            </w:pPr>
            <w:r>
              <w:rPr>
                <w:rFonts w:hint="eastAsia" w:ascii="宋体" w:hAnsi="宋体" w:cs="宋体"/>
                <w:sz w:val="18"/>
                <w:szCs w:val="18"/>
              </w:rPr>
              <w:t>9.1.2合规性评价</w:t>
            </w:r>
          </w:p>
        </w:tc>
        <w:tc>
          <w:tcPr>
            <w:tcW w:w="894" w:type="dxa"/>
            <w:tcBorders>
              <w:top w:val="single" w:color="000000" w:sz="4" w:space="0"/>
              <w:left w:val="single" w:color="000000" w:sz="4" w:space="0"/>
              <w:bottom w:val="single" w:color="000000" w:sz="4" w:space="0"/>
              <w:right w:val="single" w:color="000000" w:sz="4" w:space="0"/>
            </w:tcBorders>
            <w:vAlign w:val="center"/>
          </w:tcPr>
          <w:p w14:paraId="24D24436">
            <w:pPr>
              <w:spacing w:line="360" w:lineRule="auto"/>
              <w:jc w:val="center"/>
              <w:rPr>
                <w:rFonts w:ascii="宋体" w:hAnsi="宋体" w:cs="宋体"/>
                <w:sz w:val="18"/>
                <w:szCs w:val="18"/>
              </w:rPr>
            </w:pPr>
            <w:r>
              <w:rPr>
                <w:rFonts w:hint="eastAsia" w:ascii="宋体" w:hAnsi="宋体" w:cs="宋体"/>
                <w:sz w:val="18"/>
                <w:szCs w:val="18"/>
              </w:rPr>
              <w:t>△</w:t>
            </w:r>
          </w:p>
        </w:tc>
        <w:tc>
          <w:tcPr>
            <w:tcW w:w="712" w:type="dxa"/>
            <w:tcBorders>
              <w:top w:val="single" w:color="000000" w:sz="4" w:space="0"/>
              <w:left w:val="single" w:color="000000" w:sz="4" w:space="0"/>
              <w:bottom w:val="single" w:color="000000" w:sz="4" w:space="0"/>
              <w:right w:val="single" w:color="000000" w:sz="4" w:space="0"/>
            </w:tcBorders>
            <w:vAlign w:val="center"/>
          </w:tcPr>
          <w:p w14:paraId="4FD55430">
            <w:pPr>
              <w:spacing w:line="360" w:lineRule="auto"/>
              <w:jc w:val="center"/>
              <w:rPr>
                <w:rFonts w:ascii="宋体" w:hAnsi="宋体" w:cs="宋体"/>
                <w:sz w:val="18"/>
                <w:szCs w:val="18"/>
              </w:rPr>
            </w:pPr>
            <w:r>
              <w:rPr>
                <w:rFonts w:hint="eastAsia" w:ascii="宋体" w:hAnsi="宋体" w:cs="宋体"/>
                <w:sz w:val="18"/>
                <w:szCs w:val="18"/>
              </w:rPr>
              <w:t>△</w:t>
            </w:r>
          </w:p>
        </w:tc>
        <w:tc>
          <w:tcPr>
            <w:tcW w:w="709" w:type="dxa"/>
            <w:tcBorders>
              <w:top w:val="single" w:color="000000" w:sz="4" w:space="0"/>
              <w:left w:val="single" w:color="000000" w:sz="4" w:space="0"/>
              <w:bottom w:val="single" w:color="000000" w:sz="4" w:space="0"/>
              <w:right w:val="single" w:color="000000" w:sz="4" w:space="0"/>
            </w:tcBorders>
            <w:vAlign w:val="center"/>
          </w:tcPr>
          <w:p w14:paraId="6DB1E0FB">
            <w:pPr>
              <w:spacing w:line="360" w:lineRule="auto"/>
              <w:jc w:val="center"/>
              <w:rPr>
                <w:rFonts w:ascii="宋体" w:hAnsi="宋体" w:cs="宋体"/>
                <w:sz w:val="18"/>
                <w:szCs w:val="18"/>
              </w:rPr>
            </w:pPr>
            <w:r>
              <w:rPr>
                <w:rFonts w:hint="eastAsia" w:ascii="宋体" w:hAnsi="宋体" w:cs="宋体"/>
                <w:sz w:val="18"/>
                <w:szCs w:val="18"/>
              </w:rPr>
              <w:t>★</w:t>
            </w:r>
          </w:p>
        </w:tc>
        <w:tc>
          <w:tcPr>
            <w:tcW w:w="709" w:type="dxa"/>
            <w:tcBorders>
              <w:top w:val="single" w:color="000000" w:sz="4" w:space="0"/>
              <w:left w:val="single" w:color="000000" w:sz="4" w:space="0"/>
              <w:bottom w:val="single" w:color="000000" w:sz="4" w:space="0"/>
              <w:right w:val="single" w:color="auto" w:sz="4" w:space="0"/>
            </w:tcBorders>
            <w:vAlign w:val="center"/>
          </w:tcPr>
          <w:p w14:paraId="7407EA00">
            <w:pPr>
              <w:jc w:val="center"/>
            </w:pPr>
            <w:r>
              <w:rPr>
                <w:rFonts w:hint="eastAsia" w:ascii="宋体" w:hAnsi="宋体" w:cs="宋体"/>
                <w:sz w:val="18"/>
                <w:szCs w:val="18"/>
              </w:rPr>
              <w:t>△</w:t>
            </w:r>
          </w:p>
        </w:tc>
        <w:tc>
          <w:tcPr>
            <w:tcW w:w="709" w:type="dxa"/>
            <w:tcBorders>
              <w:top w:val="single" w:color="000000" w:sz="4" w:space="0"/>
              <w:left w:val="single" w:color="auto" w:sz="4" w:space="0"/>
              <w:bottom w:val="single" w:color="000000" w:sz="4" w:space="0"/>
              <w:right w:val="single" w:color="auto" w:sz="6" w:space="0"/>
            </w:tcBorders>
            <w:vAlign w:val="center"/>
          </w:tcPr>
          <w:p w14:paraId="75507908">
            <w:pPr>
              <w:spacing w:line="360" w:lineRule="auto"/>
              <w:jc w:val="center"/>
              <w:rPr>
                <w:rFonts w:ascii="宋体" w:hAnsi="宋体" w:cs="宋体"/>
                <w:sz w:val="18"/>
                <w:szCs w:val="18"/>
              </w:rPr>
            </w:pPr>
            <w:r>
              <w:rPr>
                <w:rFonts w:hint="eastAsia" w:ascii="宋体" w:hAnsi="宋体" w:cs="宋体"/>
                <w:sz w:val="18"/>
                <w:szCs w:val="18"/>
              </w:rPr>
              <w:t>△</w:t>
            </w:r>
          </w:p>
        </w:tc>
        <w:tc>
          <w:tcPr>
            <w:tcW w:w="709" w:type="dxa"/>
            <w:tcBorders>
              <w:top w:val="single" w:color="000000" w:sz="4" w:space="0"/>
              <w:left w:val="single" w:color="auto" w:sz="6" w:space="0"/>
              <w:bottom w:val="single" w:color="000000" w:sz="4" w:space="0"/>
              <w:right w:val="single" w:color="000000" w:sz="4" w:space="0"/>
            </w:tcBorders>
            <w:vAlign w:val="center"/>
          </w:tcPr>
          <w:p w14:paraId="5031C8AF">
            <w:pPr>
              <w:jc w:val="center"/>
            </w:pPr>
            <w:r>
              <w:rPr>
                <w:rFonts w:hint="eastAsia" w:ascii="宋体" w:hAnsi="宋体" w:cs="宋体"/>
                <w:sz w:val="18"/>
                <w:szCs w:val="18"/>
              </w:rPr>
              <w:t>△</w:t>
            </w:r>
          </w:p>
        </w:tc>
        <w:tc>
          <w:tcPr>
            <w:tcW w:w="709" w:type="dxa"/>
            <w:tcBorders>
              <w:top w:val="single" w:color="000000" w:sz="4" w:space="0"/>
              <w:left w:val="single" w:color="auto" w:sz="6" w:space="0"/>
              <w:bottom w:val="single" w:color="000000" w:sz="4" w:space="0"/>
              <w:right w:val="single" w:color="000000" w:sz="4" w:space="0"/>
            </w:tcBorders>
            <w:vAlign w:val="center"/>
          </w:tcPr>
          <w:p w14:paraId="3B1EC9F1">
            <w:pPr>
              <w:spacing w:line="360" w:lineRule="auto"/>
              <w:jc w:val="center"/>
              <w:rPr>
                <w:rFonts w:ascii="宋体" w:hAnsi="宋体" w:cs="宋体"/>
                <w:sz w:val="18"/>
                <w:szCs w:val="18"/>
              </w:rPr>
            </w:pPr>
            <w:r>
              <w:rPr>
                <w:rFonts w:hint="eastAsia" w:ascii="宋体" w:hAnsi="宋体" w:cs="宋体"/>
                <w:sz w:val="18"/>
                <w:szCs w:val="18"/>
              </w:rPr>
              <w:t>△</w:t>
            </w:r>
          </w:p>
        </w:tc>
      </w:tr>
      <w:tr w14:paraId="66D91F52">
        <w:tblPrEx>
          <w:tblCellMar>
            <w:top w:w="0" w:type="dxa"/>
            <w:left w:w="0" w:type="dxa"/>
            <w:bottom w:w="0" w:type="dxa"/>
            <w:right w:w="0" w:type="dxa"/>
          </w:tblCellMar>
        </w:tblPrEx>
        <w:trPr>
          <w:trHeight w:val="539" w:hRule="exact"/>
        </w:trPr>
        <w:tc>
          <w:tcPr>
            <w:tcW w:w="2484" w:type="dxa"/>
            <w:tcBorders>
              <w:top w:val="single" w:color="000000" w:sz="4" w:space="0"/>
              <w:left w:val="single" w:color="000000" w:sz="4" w:space="0"/>
              <w:bottom w:val="single" w:color="000000" w:sz="4" w:space="0"/>
              <w:right w:val="single" w:color="000000" w:sz="4" w:space="0"/>
            </w:tcBorders>
            <w:vAlign w:val="center"/>
          </w:tcPr>
          <w:p w14:paraId="534D62B2">
            <w:pPr>
              <w:spacing w:line="360" w:lineRule="auto"/>
              <w:rPr>
                <w:rFonts w:ascii="宋体" w:hAnsi="宋体" w:cs="宋体"/>
                <w:sz w:val="18"/>
                <w:szCs w:val="18"/>
              </w:rPr>
            </w:pPr>
            <w:r>
              <w:rPr>
                <w:rFonts w:hint="eastAsia" w:ascii="宋体" w:hAnsi="宋体" w:cs="宋体"/>
                <w:sz w:val="18"/>
                <w:szCs w:val="18"/>
              </w:rPr>
              <w:t>9.1.3分析与评价</w:t>
            </w:r>
          </w:p>
        </w:tc>
        <w:tc>
          <w:tcPr>
            <w:tcW w:w="2765" w:type="dxa"/>
            <w:tcBorders>
              <w:top w:val="single" w:color="000000" w:sz="4" w:space="0"/>
              <w:left w:val="single" w:color="000000" w:sz="4" w:space="0"/>
              <w:bottom w:val="single" w:color="000000" w:sz="4" w:space="0"/>
              <w:right w:val="single" w:color="auto" w:sz="4" w:space="0"/>
            </w:tcBorders>
            <w:vAlign w:val="center"/>
          </w:tcPr>
          <w:p w14:paraId="055F6467">
            <w:pPr>
              <w:spacing w:line="360" w:lineRule="auto"/>
              <w:rPr>
                <w:rFonts w:ascii="宋体" w:hAnsi="宋体" w:cs="宋体"/>
                <w:sz w:val="18"/>
                <w:szCs w:val="18"/>
              </w:rPr>
            </w:pPr>
          </w:p>
        </w:tc>
        <w:tc>
          <w:tcPr>
            <w:tcW w:w="3073" w:type="dxa"/>
            <w:tcBorders>
              <w:top w:val="single" w:color="000000" w:sz="4" w:space="0"/>
              <w:left w:val="single" w:color="000000" w:sz="4" w:space="0"/>
              <w:bottom w:val="single" w:color="000000" w:sz="4" w:space="0"/>
              <w:right w:val="single" w:color="auto" w:sz="4" w:space="0"/>
            </w:tcBorders>
            <w:vAlign w:val="center"/>
          </w:tcPr>
          <w:p w14:paraId="3E72F260">
            <w:pPr>
              <w:spacing w:line="360" w:lineRule="auto"/>
              <w:rPr>
                <w:rFonts w:ascii="宋体" w:hAnsi="宋体" w:cs="宋体"/>
                <w:sz w:val="18"/>
                <w:szCs w:val="18"/>
              </w:rPr>
            </w:pPr>
          </w:p>
        </w:tc>
        <w:tc>
          <w:tcPr>
            <w:tcW w:w="894" w:type="dxa"/>
            <w:tcBorders>
              <w:top w:val="single" w:color="000000" w:sz="4" w:space="0"/>
              <w:left w:val="single" w:color="000000" w:sz="4" w:space="0"/>
              <w:bottom w:val="single" w:color="000000" w:sz="4" w:space="0"/>
              <w:right w:val="single" w:color="000000" w:sz="4" w:space="0"/>
            </w:tcBorders>
            <w:vAlign w:val="center"/>
          </w:tcPr>
          <w:p w14:paraId="3639C77B">
            <w:pPr>
              <w:spacing w:line="360" w:lineRule="auto"/>
              <w:jc w:val="center"/>
              <w:rPr>
                <w:rFonts w:ascii="宋体" w:hAnsi="宋体" w:cs="宋体"/>
                <w:sz w:val="18"/>
                <w:szCs w:val="18"/>
              </w:rPr>
            </w:pPr>
            <w:r>
              <w:rPr>
                <w:rFonts w:hint="eastAsia" w:ascii="宋体" w:hAnsi="宋体" w:cs="宋体"/>
                <w:sz w:val="18"/>
                <w:szCs w:val="18"/>
              </w:rPr>
              <w:t>△</w:t>
            </w:r>
          </w:p>
        </w:tc>
        <w:tc>
          <w:tcPr>
            <w:tcW w:w="712" w:type="dxa"/>
            <w:tcBorders>
              <w:top w:val="single" w:color="000000" w:sz="4" w:space="0"/>
              <w:left w:val="single" w:color="000000" w:sz="4" w:space="0"/>
              <w:bottom w:val="single" w:color="000000" w:sz="4" w:space="0"/>
              <w:right w:val="single" w:color="000000" w:sz="4" w:space="0"/>
            </w:tcBorders>
            <w:vAlign w:val="center"/>
          </w:tcPr>
          <w:p w14:paraId="0B7359E7">
            <w:pPr>
              <w:spacing w:line="360" w:lineRule="auto"/>
              <w:jc w:val="center"/>
              <w:rPr>
                <w:rFonts w:ascii="宋体" w:hAnsi="宋体" w:cs="宋体"/>
                <w:sz w:val="18"/>
                <w:szCs w:val="18"/>
              </w:rPr>
            </w:pPr>
            <w:r>
              <w:rPr>
                <w:rFonts w:hint="eastAsia" w:ascii="宋体" w:hAnsi="宋体" w:cs="宋体"/>
                <w:sz w:val="18"/>
                <w:szCs w:val="18"/>
              </w:rPr>
              <w:t>★</w:t>
            </w:r>
          </w:p>
        </w:tc>
        <w:tc>
          <w:tcPr>
            <w:tcW w:w="709" w:type="dxa"/>
            <w:tcBorders>
              <w:top w:val="single" w:color="000000" w:sz="4" w:space="0"/>
              <w:left w:val="single" w:color="000000" w:sz="4" w:space="0"/>
              <w:bottom w:val="single" w:color="000000" w:sz="4" w:space="0"/>
              <w:right w:val="single" w:color="000000" w:sz="4" w:space="0"/>
            </w:tcBorders>
            <w:vAlign w:val="center"/>
          </w:tcPr>
          <w:p w14:paraId="7BDA9CFE">
            <w:pPr>
              <w:spacing w:line="360" w:lineRule="auto"/>
              <w:jc w:val="center"/>
              <w:rPr>
                <w:rFonts w:ascii="宋体" w:hAnsi="宋体" w:cs="宋体"/>
                <w:sz w:val="18"/>
                <w:szCs w:val="18"/>
              </w:rPr>
            </w:pPr>
            <w:r>
              <w:rPr>
                <w:rFonts w:hint="eastAsia" w:ascii="宋体" w:hAnsi="宋体" w:cs="宋体"/>
                <w:sz w:val="18"/>
                <w:szCs w:val="18"/>
              </w:rPr>
              <w:t>△</w:t>
            </w:r>
          </w:p>
        </w:tc>
        <w:tc>
          <w:tcPr>
            <w:tcW w:w="709" w:type="dxa"/>
            <w:tcBorders>
              <w:top w:val="single" w:color="000000" w:sz="4" w:space="0"/>
              <w:left w:val="single" w:color="000000" w:sz="4" w:space="0"/>
              <w:bottom w:val="single" w:color="000000" w:sz="4" w:space="0"/>
              <w:right w:val="single" w:color="auto" w:sz="4" w:space="0"/>
            </w:tcBorders>
            <w:vAlign w:val="center"/>
          </w:tcPr>
          <w:p w14:paraId="2E95458C">
            <w:pPr>
              <w:jc w:val="center"/>
            </w:pPr>
            <w:r>
              <w:rPr>
                <w:rFonts w:hint="eastAsia" w:ascii="宋体" w:hAnsi="宋体" w:cs="宋体"/>
                <w:sz w:val="18"/>
                <w:szCs w:val="18"/>
              </w:rPr>
              <w:t>△</w:t>
            </w:r>
          </w:p>
        </w:tc>
        <w:tc>
          <w:tcPr>
            <w:tcW w:w="709" w:type="dxa"/>
            <w:tcBorders>
              <w:top w:val="single" w:color="000000" w:sz="4" w:space="0"/>
              <w:left w:val="single" w:color="auto" w:sz="4" w:space="0"/>
              <w:bottom w:val="single" w:color="000000" w:sz="4" w:space="0"/>
              <w:right w:val="single" w:color="auto" w:sz="6" w:space="0"/>
            </w:tcBorders>
            <w:vAlign w:val="center"/>
          </w:tcPr>
          <w:p w14:paraId="61534257">
            <w:pPr>
              <w:spacing w:line="360" w:lineRule="auto"/>
              <w:jc w:val="center"/>
              <w:rPr>
                <w:rFonts w:ascii="宋体" w:hAnsi="宋体" w:cs="宋体"/>
                <w:sz w:val="18"/>
                <w:szCs w:val="18"/>
              </w:rPr>
            </w:pPr>
            <w:r>
              <w:rPr>
                <w:rFonts w:hint="eastAsia" w:ascii="宋体" w:hAnsi="宋体" w:cs="宋体"/>
                <w:sz w:val="18"/>
                <w:szCs w:val="18"/>
              </w:rPr>
              <w:t>△</w:t>
            </w:r>
          </w:p>
        </w:tc>
        <w:tc>
          <w:tcPr>
            <w:tcW w:w="709" w:type="dxa"/>
            <w:tcBorders>
              <w:top w:val="single" w:color="000000" w:sz="4" w:space="0"/>
              <w:left w:val="single" w:color="auto" w:sz="6" w:space="0"/>
              <w:bottom w:val="single" w:color="000000" w:sz="4" w:space="0"/>
              <w:right w:val="single" w:color="000000" w:sz="4" w:space="0"/>
            </w:tcBorders>
            <w:vAlign w:val="center"/>
          </w:tcPr>
          <w:p w14:paraId="4C337676">
            <w:pPr>
              <w:jc w:val="center"/>
            </w:pPr>
            <w:r>
              <w:rPr>
                <w:rFonts w:hint="eastAsia" w:ascii="宋体" w:hAnsi="宋体" w:cs="宋体"/>
                <w:sz w:val="18"/>
                <w:szCs w:val="18"/>
              </w:rPr>
              <w:t>△</w:t>
            </w:r>
          </w:p>
        </w:tc>
        <w:tc>
          <w:tcPr>
            <w:tcW w:w="709" w:type="dxa"/>
            <w:tcBorders>
              <w:top w:val="single" w:color="000000" w:sz="4" w:space="0"/>
              <w:left w:val="single" w:color="auto" w:sz="6" w:space="0"/>
              <w:bottom w:val="single" w:color="000000" w:sz="4" w:space="0"/>
              <w:right w:val="single" w:color="000000" w:sz="4" w:space="0"/>
            </w:tcBorders>
            <w:vAlign w:val="center"/>
          </w:tcPr>
          <w:p w14:paraId="10AC3BC7">
            <w:pPr>
              <w:spacing w:line="360" w:lineRule="auto"/>
              <w:jc w:val="center"/>
              <w:rPr>
                <w:rFonts w:ascii="宋体" w:hAnsi="宋体" w:cs="宋体"/>
                <w:sz w:val="18"/>
                <w:szCs w:val="18"/>
              </w:rPr>
            </w:pPr>
            <w:r>
              <w:rPr>
                <w:rFonts w:hint="eastAsia" w:ascii="宋体" w:hAnsi="宋体" w:cs="宋体"/>
                <w:sz w:val="18"/>
                <w:szCs w:val="18"/>
              </w:rPr>
              <w:t>△</w:t>
            </w:r>
          </w:p>
        </w:tc>
      </w:tr>
      <w:tr w14:paraId="38F3ECBD">
        <w:tblPrEx>
          <w:tblCellMar>
            <w:top w:w="0" w:type="dxa"/>
            <w:left w:w="0" w:type="dxa"/>
            <w:bottom w:w="0" w:type="dxa"/>
            <w:right w:w="0" w:type="dxa"/>
          </w:tblCellMar>
        </w:tblPrEx>
        <w:trPr>
          <w:trHeight w:val="525" w:hRule="exact"/>
        </w:trPr>
        <w:tc>
          <w:tcPr>
            <w:tcW w:w="2484" w:type="dxa"/>
            <w:tcBorders>
              <w:top w:val="single" w:color="000000" w:sz="4" w:space="0"/>
              <w:left w:val="single" w:color="000000" w:sz="4" w:space="0"/>
              <w:bottom w:val="single" w:color="000000" w:sz="4" w:space="0"/>
              <w:right w:val="single" w:color="000000" w:sz="4" w:space="0"/>
            </w:tcBorders>
            <w:vAlign w:val="center"/>
          </w:tcPr>
          <w:p w14:paraId="1E81017E">
            <w:pPr>
              <w:spacing w:line="360" w:lineRule="auto"/>
              <w:rPr>
                <w:rFonts w:ascii="宋体" w:hAnsi="宋体" w:cs="宋体"/>
                <w:sz w:val="18"/>
                <w:szCs w:val="18"/>
              </w:rPr>
            </w:pPr>
            <w:r>
              <w:rPr>
                <w:rFonts w:hint="eastAsia" w:ascii="宋体" w:hAnsi="宋体" w:cs="宋体"/>
                <w:sz w:val="18"/>
                <w:szCs w:val="18"/>
              </w:rPr>
              <w:t>9.2内部审核</w:t>
            </w:r>
          </w:p>
        </w:tc>
        <w:tc>
          <w:tcPr>
            <w:tcW w:w="2765" w:type="dxa"/>
            <w:tcBorders>
              <w:top w:val="single" w:color="000000" w:sz="4" w:space="0"/>
              <w:left w:val="single" w:color="000000" w:sz="4" w:space="0"/>
              <w:bottom w:val="single" w:color="000000" w:sz="4" w:space="0"/>
              <w:right w:val="single" w:color="auto" w:sz="4" w:space="0"/>
            </w:tcBorders>
            <w:vAlign w:val="center"/>
          </w:tcPr>
          <w:p w14:paraId="1536BAF5">
            <w:pPr>
              <w:spacing w:line="360" w:lineRule="auto"/>
              <w:rPr>
                <w:rFonts w:ascii="宋体" w:hAnsi="宋体" w:cs="宋体"/>
                <w:sz w:val="18"/>
                <w:szCs w:val="18"/>
              </w:rPr>
            </w:pPr>
            <w:r>
              <w:rPr>
                <w:rFonts w:hint="eastAsia" w:ascii="宋体" w:hAnsi="宋体" w:cs="宋体"/>
                <w:sz w:val="18"/>
                <w:szCs w:val="18"/>
              </w:rPr>
              <w:t>9.2内部审核</w:t>
            </w:r>
          </w:p>
        </w:tc>
        <w:tc>
          <w:tcPr>
            <w:tcW w:w="3073" w:type="dxa"/>
            <w:tcBorders>
              <w:top w:val="single" w:color="000000" w:sz="4" w:space="0"/>
              <w:left w:val="single" w:color="000000" w:sz="4" w:space="0"/>
              <w:bottom w:val="single" w:color="000000" w:sz="4" w:space="0"/>
              <w:right w:val="single" w:color="auto" w:sz="4" w:space="0"/>
            </w:tcBorders>
            <w:vAlign w:val="center"/>
          </w:tcPr>
          <w:p w14:paraId="471542AA">
            <w:pPr>
              <w:spacing w:line="360" w:lineRule="auto"/>
              <w:rPr>
                <w:rFonts w:ascii="宋体" w:hAnsi="宋体" w:cs="宋体"/>
                <w:sz w:val="18"/>
                <w:szCs w:val="18"/>
              </w:rPr>
            </w:pPr>
            <w:r>
              <w:rPr>
                <w:rFonts w:hint="eastAsia" w:ascii="宋体" w:hAnsi="宋体" w:cs="宋体"/>
                <w:sz w:val="18"/>
                <w:szCs w:val="18"/>
              </w:rPr>
              <w:t>9.2内部审核</w:t>
            </w:r>
          </w:p>
        </w:tc>
        <w:tc>
          <w:tcPr>
            <w:tcW w:w="894" w:type="dxa"/>
            <w:tcBorders>
              <w:top w:val="single" w:color="000000" w:sz="4" w:space="0"/>
              <w:left w:val="single" w:color="000000" w:sz="4" w:space="0"/>
              <w:bottom w:val="single" w:color="000000" w:sz="4" w:space="0"/>
              <w:right w:val="single" w:color="000000" w:sz="4" w:space="0"/>
            </w:tcBorders>
            <w:vAlign w:val="center"/>
          </w:tcPr>
          <w:p w14:paraId="1EF8A4D9">
            <w:pPr>
              <w:spacing w:line="360" w:lineRule="auto"/>
              <w:jc w:val="center"/>
              <w:rPr>
                <w:rFonts w:ascii="宋体" w:hAnsi="宋体" w:cs="宋体"/>
                <w:sz w:val="18"/>
                <w:szCs w:val="18"/>
              </w:rPr>
            </w:pPr>
            <w:r>
              <w:rPr>
                <w:rFonts w:hint="eastAsia" w:ascii="宋体" w:hAnsi="宋体" w:cs="宋体"/>
                <w:sz w:val="18"/>
                <w:szCs w:val="18"/>
              </w:rPr>
              <w:t>△</w:t>
            </w:r>
          </w:p>
        </w:tc>
        <w:tc>
          <w:tcPr>
            <w:tcW w:w="712" w:type="dxa"/>
            <w:tcBorders>
              <w:top w:val="single" w:color="000000" w:sz="4" w:space="0"/>
              <w:left w:val="single" w:color="000000" w:sz="4" w:space="0"/>
              <w:bottom w:val="single" w:color="000000" w:sz="4" w:space="0"/>
              <w:right w:val="single" w:color="000000" w:sz="4" w:space="0"/>
            </w:tcBorders>
            <w:vAlign w:val="center"/>
          </w:tcPr>
          <w:p w14:paraId="1820E7B0">
            <w:pPr>
              <w:spacing w:line="360" w:lineRule="auto"/>
              <w:jc w:val="center"/>
              <w:rPr>
                <w:rFonts w:ascii="宋体" w:hAnsi="宋体" w:cs="宋体"/>
                <w:sz w:val="18"/>
                <w:szCs w:val="18"/>
              </w:rPr>
            </w:pPr>
            <w:r>
              <w:rPr>
                <w:rFonts w:hint="eastAsia" w:ascii="宋体" w:hAnsi="宋体" w:cs="宋体"/>
                <w:sz w:val="18"/>
                <w:szCs w:val="18"/>
              </w:rPr>
              <w:t>△</w:t>
            </w:r>
          </w:p>
        </w:tc>
        <w:tc>
          <w:tcPr>
            <w:tcW w:w="709" w:type="dxa"/>
            <w:tcBorders>
              <w:top w:val="single" w:color="000000" w:sz="4" w:space="0"/>
              <w:left w:val="single" w:color="000000" w:sz="4" w:space="0"/>
              <w:bottom w:val="single" w:color="000000" w:sz="4" w:space="0"/>
              <w:right w:val="single" w:color="000000" w:sz="4" w:space="0"/>
            </w:tcBorders>
            <w:vAlign w:val="center"/>
          </w:tcPr>
          <w:p w14:paraId="0FFE119A">
            <w:pPr>
              <w:spacing w:line="360" w:lineRule="auto"/>
              <w:jc w:val="center"/>
              <w:rPr>
                <w:rFonts w:ascii="宋体" w:hAnsi="宋体" w:cs="宋体"/>
                <w:sz w:val="18"/>
                <w:szCs w:val="18"/>
              </w:rPr>
            </w:pPr>
            <w:r>
              <w:rPr>
                <w:rFonts w:hint="eastAsia" w:ascii="宋体" w:hAnsi="宋体" w:cs="宋体"/>
                <w:sz w:val="18"/>
                <w:szCs w:val="18"/>
              </w:rPr>
              <w:t>★</w:t>
            </w:r>
          </w:p>
        </w:tc>
        <w:tc>
          <w:tcPr>
            <w:tcW w:w="709" w:type="dxa"/>
            <w:tcBorders>
              <w:top w:val="single" w:color="000000" w:sz="4" w:space="0"/>
              <w:left w:val="single" w:color="000000" w:sz="4" w:space="0"/>
              <w:bottom w:val="single" w:color="000000" w:sz="4" w:space="0"/>
              <w:right w:val="single" w:color="auto" w:sz="4" w:space="0"/>
            </w:tcBorders>
            <w:vAlign w:val="center"/>
          </w:tcPr>
          <w:p w14:paraId="4822A392">
            <w:pPr>
              <w:jc w:val="center"/>
            </w:pPr>
            <w:r>
              <w:rPr>
                <w:rFonts w:hint="eastAsia" w:ascii="宋体" w:hAnsi="宋体" w:cs="宋体"/>
                <w:sz w:val="18"/>
                <w:szCs w:val="18"/>
              </w:rPr>
              <w:t>△</w:t>
            </w:r>
          </w:p>
        </w:tc>
        <w:tc>
          <w:tcPr>
            <w:tcW w:w="709" w:type="dxa"/>
            <w:tcBorders>
              <w:top w:val="single" w:color="000000" w:sz="4" w:space="0"/>
              <w:left w:val="single" w:color="auto" w:sz="4" w:space="0"/>
              <w:bottom w:val="single" w:color="000000" w:sz="4" w:space="0"/>
              <w:right w:val="single" w:color="auto" w:sz="6" w:space="0"/>
            </w:tcBorders>
            <w:vAlign w:val="center"/>
          </w:tcPr>
          <w:p w14:paraId="73F5C5DB">
            <w:pPr>
              <w:spacing w:line="360" w:lineRule="auto"/>
              <w:jc w:val="center"/>
              <w:rPr>
                <w:rFonts w:ascii="宋体" w:hAnsi="宋体" w:cs="宋体"/>
                <w:sz w:val="18"/>
                <w:szCs w:val="18"/>
              </w:rPr>
            </w:pPr>
            <w:r>
              <w:rPr>
                <w:rFonts w:hint="eastAsia" w:ascii="宋体" w:hAnsi="宋体" w:cs="宋体"/>
                <w:sz w:val="18"/>
                <w:szCs w:val="18"/>
              </w:rPr>
              <w:t>△</w:t>
            </w:r>
          </w:p>
        </w:tc>
        <w:tc>
          <w:tcPr>
            <w:tcW w:w="709" w:type="dxa"/>
            <w:tcBorders>
              <w:top w:val="single" w:color="000000" w:sz="4" w:space="0"/>
              <w:left w:val="single" w:color="auto" w:sz="6" w:space="0"/>
              <w:bottom w:val="single" w:color="000000" w:sz="4" w:space="0"/>
              <w:right w:val="single" w:color="000000" w:sz="4" w:space="0"/>
            </w:tcBorders>
            <w:vAlign w:val="center"/>
          </w:tcPr>
          <w:p w14:paraId="7E149CA1">
            <w:pPr>
              <w:jc w:val="center"/>
            </w:pPr>
            <w:r>
              <w:rPr>
                <w:rFonts w:hint="eastAsia" w:ascii="宋体" w:hAnsi="宋体" w:cs="宋体"/>
                <w:sz w:val="18"/>
                <w:szCs w:val="18"/>
              </w:rPr>
              <w:t>△</w:t>
            </w:r>
          </w:p>
        </w:tc>
        <w:tc>
          <w:tcPr>
            <w:tcW w:w="709" w:type="dxa"/>
            <w:tcBorders>
              <w:top w:val="single" w:color="000000" w:sz="4" w:space="0"/>
              <w:left w:val="single" w:color="auto" w:sz="6" w:space="0"/>
              <w:bottom w:val="single" w:color="000000" w:sz="4" w:space="0"/>
              <w:right w:val="single" w:color="000000" w:sz="4" w:space="0"/>
            </w:tcBorders>
            <w:vAlign w:val="center"/>
          </w:tcPr>
          <w:p w14:paraId="63B1B411">
            <w:pPr>
              <w:spacing w:line="360" w:lineRule="auto"/>
              <w:jc w:val="center"/>
              <w:rPr>
                <w:rFonts w:ascii="宋体" w:hAnsi="宋体" w:cs="宋体"/>
                <w:sz w:val="18"/>
                <w:szCs w:val="18"/>
              </w:rPr>
            </w:pPr>
            <w:r>
              <w:rPr>
                <w:rFonts w:hint="eastAsia" w:ascii="宋体" w:hAnsi="宋体" w:cs="宋体"/>
                <w:sz w:val="18"/>
                <w:szCs w:val="18"/>
              </w:rPr>
              <w:t>△</w:t>
            </w:r>
          </w:p>
        </w:tc>
      </w:tr>
      <w:tr w14:paraId="20F22150">
        <w:tblPrEx>
          <w:tblCellMar>
            <w:top w:w="0" w:type="dxa"/>
            <w:left w:w="0" w:type="dxa"/>
            <w:bottom w:w="0" w:type="dxa"/>
            <w:right w:w="0" w:type="dxa"/>
          </w:tblCellMar>
        </w:tblPrEx>
        <w:trPr>
          <w:trHeight w:val="4" w:hRule="exact"/>
        </w:trPr>
        <w:tc>
          <w:tcPr>
            <w:tcW w:w="2484" w:type="dxa"/>
            <w:tcBorders>
              <w:top w:val="single" w:color="000000" w:sz="4" w:space="0"/>
              <w:left w:val="single" w:color="000000" w:sz="4" w:space="0"/>
              <w:bottom w:val="single" w:color="000000" w:sz="4" w:space="0"/>
              <w:right w:val="single" w:color="000000" w:sz="4" w:space="0"/>
            </w:tcBorders>
            <w:vAlign w:val="center"/>
          </w:tcPr>
          <w:p w14:paraId="5A0C8478">
            <w:pPr>
              <w:spacing w:line="360" w:lineRule="auto"/>
              <w:rPr>
                <w:rFonts w:ascii="宋体" w:hAnsi="宋体" w:cs="宋体"/>
                <w:sz w:val="18"/>
                <w:szCs w:val="18"/>
              </w:rPr>
            </w:pPr>
          </w:p>
        </w:tc>
        <w:tc>
          <w:tcPr>
            <w:tcW w:w="2765" w:type="dxa"/>
            <w:tcBorders>
              <w:top w:val="single" w:color="000000" w:sz="4" w:space="0"/>
              <w:left w:val="single" w:color="000000" w:sz="4" w:space="0"/>
              <w:bottom w:val="single" w:color="000000" w:sz="4" w:space="0"/>
              <w:right w:val="single" w:color="auto" w:sz="4" w:space="0"/>
            </w:tcBorders>
            <w:vAlign w:val="center"/>
          </w:tcPr>
          <w:p w14:paraId="41BD0DE4">
            <w:pPr>
              <w:spacing w:line="360" w:lineRule="auto"/>
              <w:rPr>
                <w:rFonts w:ascii="宋体" w:hAnsi="宋体" w:cs="宋体"/>
                <w:sz w:val="18"/>
                <w:szCs w:val="18"/>
              </w:rPr>
            </w:pPr>
          </w:p>
        </w:tc>
        <w:tc>
          <w:tcPr>
            <w:tcW w:w="3073" w:type="dxa"/>
            <w:tcBorders>
              <w:top w:val="single" w:color="000000" w:sz="4" w:space="0"/>
              <w:left w:val="single" w:color="000000" w:sz="4" w:space="0"/>
              <w:bottom w:val="single" w:color="000000" w:sz="4" w:space="0"/>
              <w:right w:val="single" w:color="auto" w:sz="4" w:space="0"/>
            </w:tcBorders>
            <w:vAlign w:val="center"/>
          </w:tcPr>
          <w:p w14:paraId="57213361">
            <w:pPr>
              <w:spacing w:line="360" w:lineRule="auto"/>
              <w:rPr>
                <w:rFonts w:ascii="宋体" w:hAnsi="宋体" w:cs="宋体"/>
                <w:sz w:val="18"/>
                <w:szCs w:val="18"/>
              </w:rPr>
            </w:pPr>
          </w:p>
        </w:tc>
        <w:tc>
          <w:tcPr>
            <w:tcW w:w="894" w:type="dxa"/>
            <w:tcBorders>
              <w:top w:val="single" w:color="000000" w:sz="4" w:space="0"/>
              <w:left w:val="single" w:color="000000" w:sz="4" w:space="0"/>
              <w:bottom w:val="single" w:color="000000" w:sz="4" w:space="0"/>
              <w:right w:val="single" w:color="000000" w:sz="4" w:space="0"/>
            </w:tcBorders>
            <w:vAlign w:val="center"/>
          </w:tcPr>
          <w:p w14:paraId="3E94D0D6">
            <w:pPr>
              <w:spacing w:line="360" w:lineRule="auto"/>
              <w:jc w:val="center"/>
              <w:rPr>
                <w:rFonts w:ascii="宋体" w:hAnsi="宋体" w:cs="宋体"/>
                <w:sz w:val="18"/>
                <w:szCs w:val="18"/>
              </w:rPr>
            </w:pPr>
          </w:p>
        </w:tc>
        <w:tc>
          <w:tcPr>
            <w:tcW w:w="712" w:type="dxa"/>
            <w:tcBorders>
              <w:top w:val="single" w:color="000000" w:sz="4" w:space="0"/>
              <w:left w:val="single" w:color="000000" w:sz="4" w:space="0"/>
              <w:bottom w:val="single" w:color="000000" w:sz="4" w:space="0"/>
              <w:right w:val="single" w:color="000000" w:sz="4" w:space="0"/>
            </w:tcBorders>
            <w:vAlign w:val="center"/>
          </w:tcPr>
          <w:p w14:paraId="2EBB1E40">
            <w:pPr>
              <w:spacing w:line="360" w:lineRule="auto"/>
              <w:jc w:val="center"/>
              <w:rPr>
                <w:rFonts w:ascii="宋体" w:hAnsi="宋体" w:cs="宋体"/>
                <w:sz w:val="18"/>
                <w:szCs w:val="18"/>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7BBFC9B6">
            <w:pPr>
              <w:spacing w:line="360" w:lineRule="auto"/>
              <w:jc w:val="center"/>
              <w:rPr>
                <w:rFonts w:ascii="宋体" w:hAnsi="宋体" w:cs="宋体"/>
                <w:sz w:val="18"/>
                <w:szCs w:val="18"/>
              </w:rPr>
            </w:pPr>
          </w:p>
        </w:tc>
        <w:tc>
          <w:tcPr>
            <w:tcW w:w="709" w:type="dxa"/>
            <w:tcBorders>
              <w:top w:val="single" w:color="000000" w:sz="4" w:space="0"/>
              <w:left w:val="single" w:color="000000" w:sz="4" w:space="0"/>
              <w:bottom w:val="single" w:color="000000" w:sz="4" w:space="0"/>
              <w:right w:val="single" w:color="auto" w:sz="4" w:space="0"/>
            </w:tcBorders>
          </w:tcPr>
          <w:p w14:paraId="2AB2E08C">
            <w:r>
              <w:rPr>
                <w:rFonts w:hint="eastAsia" w:ascii="宋体" w:hAnsi="宋体" w:cs="宋体"/>
                <w:sz w:val="18"/>
                <w:szCs w:val="18"/>
              </w:rPr>
              <w:t>△</w:t>
            </w:r>
          </w:p>
        </w:tc>
        <w:tc>
          <w:tcPr>
            <w:tcW w:w="709" w:type="dxa"/>
            <w:tcBorders>
              <w:top w:val="single" w:color="000000" w:sz="4" w:space="0"/>
              <w:left w:val="single" w:color="auto" w:sz="4" w:space="0"/>
              <w:bottom w:val="single" w:color="000000" w:sz="4" w:space="0"/>
              <w:right w:val="single" w:color="auto" w:sz="6" w:space="0"/>
            </w:tcBorders>
            <w:vAlign w:val="center"/>
          </w:tcPr>
          <w:p w14:paraId="60ABB8E5">
            <w:pPr>
              <w:spacing w:line="360" w:lineRule="auto"/>
              <w:jc w:val="center"/>
              <w:rPr>
                <w:rFonts w:ascii="宋体" w:hAnsi="宋体" w:cs="宋体"/>
                <w:sz w:val="18"/>
                <w:szCs w:val="18"/>
              </w:rPr>
            </w:pPr>
          </w:p>
        </w:tc>
        <w:tc>
          <w:tcPr>
            <w:tcW w:w="709" w:type="dxa"/>
            <w:tcBorders>
              <w:top w:val="single" w:color="000000" w:sz="4" w:space="0"/>
              <w:left w:val="single" w:color="auto" w:sz="6" w:space="0"/>
              <w:bottom w:val="single" w:color="000000" w:sz="4" w:space="0"/>
              <w:right w:val="single" w:color="000000" w:sz="4" w:space="0"/>
            </w:tcBorders>
            <w:vAlign w:val="center"/>
          </w:tcPr>
          <w:p w14:paraId="0FE64585">
            <w:pPr>
              <w:spacing w:line="360" w:lineRule="auto"/>
              <w:jc w:val="center"/>
              <w:rPr>
                <w:rFonts w:ascii="宋体" w:hAnsi="宋体" w:cs="宋体"/>
                <w:sz w:val="18"/>
                <w:szCs w:val="18"/>
              </w:rPr>
            </w:pPr>
          </w:p>
        </w:tc>
        <w:tc>
          <w:tcPr>
            <w:tcW w:w="709" w:type="dxa"/>
            <w:tcBorders>
              <w:top w:val="single" w:color="000000" w:sz="4" w:space="0"/>
              <w:left w:val="single" w:color="auto" w:sz="6" w:space="0"/>
              <w:bottom w:val="single" w:color="000000" w:sz="4" w:space="0"/>
              <w:right w:val="single" w:color="000000" w:sz="4" w:space="0"/>
            </w:tcBorders>
            <w:vAlign w:val="center"/>
          </w:tcPr>
          <w:p w14:paraId="27D1EB75">
            <w:pPr>
              <w:spacing w:line="360" w:lineRule="auto"/>
              <w:jc w:val="center"/>
              <w:rPr>
                <w:rFonts w:ascii="宋体" w:hAnsi="宋体" w:cs="宋体"/>
                <w:sz w:val="18"/>
                <w:szCs w:val="18"/>
              </w:rPr>
            </w:pPr>
          </w:p>
        </w:tc>
      </w:tr>
      <w:tr w14:paraId="0D95E452">
        <w:tblPrEx>
          <w:tblCellMar>
            <w:top w:w="0" w:type="dxa"/>
            <w:left w:w="0" w:type="dxa"/>
            <w:bottom w:w="0" w:type="dxa"/>
            <w:right w:w="0" w:type="dxa"/>
          </w:tblCellMar>
        </w:tblPrEx>
        <w:trPr>
          <w:trHeight w:val="539" w:hRule="exact"/>
        </w:trPr>
        <w:tc>
          <w:tcPr>
            <w:tcW w:w="2484" w:type="dxa"/>
            <w:tcBorders>
              <w:top w:val="single" w:color="000000" w:sz="4" w:space="0"/>
              <w:left w:val="single" w:color="000000" w:sz="4" w:space="0"/>
              <w:bottom w:val="single" w:color="000000" w:sz="4" w:space="0"/>
              <w:right w:val="single" w:color="000000" w:sz="4" w:space="0"/>
            </w:tcBorders>
            <w:vAlign w:val="center"/>
          </w:tcPr>
          <w:p w14:paraId="5BAD1DAB">
            <w:pPr>
              <w:spacing w:line="360" w:lineRule="auto"/>
              <w:rPr>
                <w:rFonts w:ascii="宋体" w:hAnsi="宋体" w:cs="宋体"/>
                <w:sz w:val="18"/>
                <w:szCs w:val="18"/>
              </w:rPr>
            </w:pPr>
            <w:r>
              <w:rPr>
                <w:rFonts w:hint="eastAsia" w:ascii="宋体" w:hAnsi="宋体" w:cs="宋体"/>
                <w:sz w:val="18"/>
                <w:szCs w:val="18"/>
              </w:rPr>
              <w:t>9.3管理评审</w:t>
            </w:r>
          </w:p>
        </w:tc>
        <w:tc>
          <w:tcPr>
            <w:tcW w:w="2765" w:type="dxa"/>
            <w:tcBorders>
              <w:top w:val="single" w:color="000000" w:sz="4" w:space="0"/>
              <w:left w:val="single" w:color="000000" w:sz="4" w:space="0"/>
              <w:bottom w:val="single" w:color="000000" w:sz="4" w:space="0"/>
              <w:right w:val="single" w:color="auto" w:sz="4" w:space="0"/>
            </w:tcBorders>
            <w:vAlign w:val="center"/>
          </w:tcPr>
          <w:p w14:paraId="570C9F9A">
            <w:pPr>
              <w:spacing w:line="360" w:lineRule="auto"/>
              <w:rPr>
                <w:rFonts w:ascii="宋体" w:hAnsi="宋体" w:cs="宋体"/>
                <w:sz w:val="18"/>
                <w:szCs w:val="18"/>
              </w:rPr>
            </w:pPr>
            <w:r>
              <w:rPr>
                <w:rFonts w:hint="eastAsia" w:ascii="宋体" w:hAnsi="宋体" w:cs="宋体"/>
                <w:sz w:val="18"/>
                <w:szCs w:val="18"/>
              </w:rPr>
              <w:t>9.3管理评审</w:t>
            </w:r>
          </w:p>
        </w:tc>
        <w:tc>
          <w:tcPr>
            <w:tcW w:w="3073" w:type="dxa"/>
            <w:tcBorders>
              <w:top w:val="single" w:color="000000" w:sz="4" w:space="0"/>
              <w:left w:val="single" w:color="000000" w:sz="4" w:space="0"/>
              <w:bottom w:val="single" w:color="000000" w:sz="4" w:space="0"/>
              <w:right w:val="single" w:color="auto" w:sz="4" w:space="0"/>
            </w:tcBorders>
            <w:vAlign w:val="center"/>
          </w:tcPr>
          <w:p w14:paraId="6F5A2145">
            <w:pPr>
              <w:spacing w:line="360" w:lineRule="auto"/>
              <w:rPr>
                <w:rFonts w:ascii="宋体" w:hAnsi="宋体" w:cs="宋体"/>
                <w:sz w:val="18"/>
                <w:szCs w:val="18"/>
              </w:rPr>
            </w:pPr>
            <w:r>
              <w:rPr>
                <w:rFonts w:hint="eastAsia" w:ascii="宋体" w:hAnsi="宋体" w:cs="宋体"/>
                <w:sz w:val="18"/>
                <w:szCs w:val="18"/>
              </w:rPr>
              <w:t>9.3管理评审</w:t>
            </w:r>
          </w:p>
        </w:tc>
        <w:tc>
          <w:tcPr>
            <w:tcW w:w="894" w:type="dxa"/>
            <w:tcBorders>
              <w:top w:val="single" w:color="000000" w:sz="4" w:space="0"/>
              <w:left w:val="single" w:color="000000" w:sz="4" w:space="0"/>
              <w:bottom w:val="single" w:color="000000" w:sz="4" w:space="0"/>
              <w:right w:val="single" w:color="000000" w:sz="4" w:space="0"/>
            </w:tcBorders>
            <w:vAlign w:val="center"/>
          </w:tcPr>
          <w:p w14:paraId="6786031E">
            <w:pPr>
              <w:spacing w:line="360" w:lineRule="auto"/>
              <w:jc w:val="center"/>
              <w:rPr>
                <w:rFonts w:ascii="宋体" w:hAnsi="宋体" w:cs="宋体"/>
                <w:sz w:val="18"/>
                <w:szCs w:val="18"/>
              </w:rPr>
            </w:pPr>
            <w:r>
              <w:rPr>
                <w:rFonts w:hint="eastAsia" w:ascii="宋体" w:hAnsi="宋体" w:cs="宋体"/>
                <w:sz w:val="18"/>
                <w:szCs w:val="18"/>
              </w:rPr>
              <w:t>△</w:t>
            </w:r>
          </w:p>
        </w:tc>
        <w:tc>
          <w:tcPr>
            <w:tcW w:w="712" w:type="dxa"/>
            <w:tcBorders>
              <w:top w:val="single" w:color="000000" w:sz="4" w:space="0"/>
              <w:left w:val="single" w:color="000000" w:sz="4" w:space="0"/>
              <w:bottom w:val="single" w:color="000000" w:sz="4" w:space="0"/>
              <w:right w:val="single" w:color="000000" w:sz="4" w:space="0"/>
            </w:tcBorders>
            <w:vAlign w:val="center"/>
          </w:tcPr>
          <w:p w14:paraId="088A52D6">
            <w:pPr>
              <w:spacing w:line="360" w:lineRule="auto"/>
              <w:jc w:val="center"/>
              <w:rPr>
                <w:rFonts w:ascii="宋体" w:hAnsi="宋体" w:cs="宋体"/>
                <w:sz w:val="18"/>
                <w:szCs w:val="18"/>
              </w:rPr>
            </w:pPr>
            <w:r>
              <w:rPr>
                <w:rFonts w:hint="eastAsia" w:ascii="宋体" w:hAnsi="宋体" w:cs="宋体"/>
                <w:sz w:val="18"/>
                <w:szCs w:val="18"/>
              </w:rPr>
              <w:t>★</w:t>
            </w:r>
          </w:p>
        </w:tc>
        <w:tc>
          <w:tcPr>
            <w:tcW w:w="709" w:type="dxa"/>
            <w:tcBorders>
              <w:top w:val="single" w:color="000000" w:sz="4" w:space="0"/>
              <w:left w:val="single" w:color="000000" w:sz="4" w:space="0"/>
              <w:bottom w:val="single" w:color="000000" w:sz="4" w:space="0"/>
              <w:right w:val="single" w:color="000000" w:sz="4" w:space="0"/>
            </w:tcBorders>
            <w:vAlign w:val="center"/>
          </w:tcPr>
          <w:p w14:paraId="3DA9A8E2">
            <w:pPr>
              <w:spacing w:line="360" w:lineRule="auto"/>
              <w:jc w:val="center"/>
              <w:rPr>
                <w:rFonts w:ascii="宋体" w:hAnsi="宋体" w:cs="宋体"/>
                <w:sz w:val="18"/>
                <w:szCs w:val="18"/>
              </w:rPr>
            </w:pPr>
            <w:r>
              <w:rPr>
                <w:rFonts w:hint="eastAsia" w:ascii="宋体" w:hAnsi="宋体" w:cs="宋体"/>
                <w:sz w:val="18"/>
                <w:szCs w:val="18"/>
              </w:rPr>
              <w:t>△</w:t>
            </w:r>
          </w:p>
        </w:tc>
        <w:tc>
          <w:tcPr>
            <w:tcW w:w="709" w:type="dxa"/>
            <w:tcBorders>
              <w:top w:val="single" w:color="000000" w:sz="4" w:space="0"/>
              <w:left w:val="single" w:color="000000" w:sz="4" w:space="0"/>
              <w:bottom w:val="single" w:color="000000" w:sz="4" w:space="0"/>
              <w:right w:val="single" w:color="auto" w:sz="4" w:space="0"/>
            </w:tcBorders>
            <w:vAlign w:val="center"/>
          </w:tcPr>
          <w:p w14:paraId="5D10D47B">
            <w:pPr>
              <w:jc w:val="center"/>
            </w:pPr>
            <w:r>
              <w:rPr>
                <w:rFonts w:hint="eastAsia" w:ascii="宋体" w:hAnsi="宋体" w:cs="宋体"/>
                <w:sz w:val="18"/>
                <w:szCs w:val="18"/>
              </w:rPr>
              <w:t>△</w:t>
            </w:r>
          </w:p>
        </w:tc>
        <w:tc>
          <w:tcPr>
            <w:tcW w:w="709" w:type="dxa"/>
            <w:tcBorders>
              <w:top w:val="single" w:color="000000" w:sz="4" w:space="0"/>
              <w:left w:val="single" w:color="auto" w:sz="4" w:space="0"/>
              <w:bottom w:val="single" w:color="000000" w:sz="4" w:space="0"/>
              <w:right w:val="single" w:color="auto" w:sz="6" w:space="0"/>
            </w:tcBorders>
            <w:vAlign w:val="center"/>
          </w:tcPr>
          <w:p w14:paraId="0EC78F27">
            <w:pPr>
              <w:jc w:val="center"/>
            </w:pPr>
            <w:r>
              <w:rPr>
                <w:rFonts w:hint="eastAsia" w:ascii="宋体" w:hAnsi="宋体" w:cs="宋体"/>
                <w:sz w:val="18"/>
                <w:szCs w:val="18"/>
              </w:rPr>
              <w:t>△</w:t>
            </w:r>
          </w:p>
        </w:tc>
        <w:tc>
          <w:tcPr>
            <w:tcW w:w="709" w:type="dxa"/>
            <w:tcBorders>
              <w:top w:val="single" w:color="000000" w:sz="4" w:space="0"/>
              <w:left w:val="single" w:color="auto" w:sz="6" w:space="0"/>
              <w:bottom w:val="single" w:color="000000" w:sz="4" w:space="0"/>
              <w:right w:val="single" w:color="000000" w:sz="4" w:space="0"/>
            </w:tcBorders>
            <w:vAlign w:val="center"/>
          </w:tcPr>
          <w:p w14:paraId="212E37F7">
            <w:pPr>
              <w:jc w:val="center"/>
            </w:pPr>
            <w:r>
              <w:rPr>
                <w:rFonts w:hint="eastAsia" w:ascii="宋体" w:hAnsi="宋体" w:cs="宋体"/>
                <w:sz w:val="18"/>
                <w:szCs w:val="18"/>
              </w:rPr>
              <w:t>△</w:t>
            </w:r>
          </w:p>
        </w:tc>
        <w:tc>
          <w:tcPr>
            <w:tcW w:w="709" w:type="dxa"/>
            <w:tcBorders>
              <w:top w:val="single" w:color="000000" w:sz="4" w:space="0"/>
              <w:left w:val="single" w:color="auto" w:sz="6" w:space="0"/>
              <w:bottom w:val="single" w:color="000000" w:sz="4" w:space="0"/>
              <w:right w:val="single" w:color="000000" w:sz="4" w:space="0"/>
            </w:tcBorders>
            <w:vAlign w:val="center"/>
          </w:tcPr>
          <w:p w14:paraId="3128BF16">
            <w:pPr>
              <w:spacing w:line="360" w:lineRule="auto"/>
              <w:jc w:val="center"/>
              <w:rPr>
                <w:rFonts w:ascii="宋体" w:hAnsi="宋体" w:cs="宋体"/>
                <w:sz w:val="18"/>
                <w:szCs w:val="18"/>
              </w:rPr>
            </w:pPr>
            <w:r>
              <w:rPr>
                <w:rFonts w:hint="eastAsia" w:ascii="宋体" w:hAnsi="宋体" w:cs="宋体"/>
                <w:sz w:val="18"/>
                <w:szCs w:val="18"/>
              </w:rPr>
              <w:t>△</w:t>
            </w:r>
          </w:p>
        </w:tc>
      </w:tr>
      <w:tr w14:paraId="679C0B09">
        <w:tblPrEx>
          <w:tblCellMar>
            <w:top w:w="0" w:type="dxa"/>
            <w:left w:w="0" w:type="dxa"/>
            <w:bottom w:w="0" w:type="dxa"/>
            <w:right w:w="0" w:type="dxa"/>
          </w:tblCellMar>
        </w:tblPrEx>
        <w:trPr>
          <w:trHeight w:val="539" w:hRule="exact"/>
        </w:trPr>
        <w:tc>
          <w:tcPr>
            <w:tcW w:w="2484" w:type="dxa"/>
            <w:tcBorders>
              <w:top w:val="single" w:color="000000" w:sz="4" w:space="0"/>
              <w:left w:val="single" w:color="000000" w:sz="4" w:space="0"/>
              <w:bottom w:val="single" w:color="000000" w:sz="4" w:space="0"/>
              <w:right w:val="single" w:color="000000" w:sz="4" w:space="0"/>
            </w:tcBorders>
            <w:vAlign w:val="center"/>
          </w:tcPr>
          <w:p w14:paraId="77AB0A04">
            <w:pPr>
              <w:spacing w:line="360" w:lineRule="auto"/>
              <w:rPr>
                <w:rFonts w:ascii="宋体" w:hAnsi="宋体" w:cs="宋体"/>
                <w:sz w:val="18"/>
                <w:szCs w:val="18"/>
              </w:rPr>
            </w:pPr>
            <w:r>
              <w:rPr>
                <w:rFonts w:hint="eastAsia" w:ascii="宋体" w:hAnsi="宋体" w:cs="宋体"/>
                <w:sz w:val="18"/>
                <w:szCs w:val="18"/>
              </w:rPr>
              <w:t>10持续改进</w:t>
            </w:r>
          </w:p>
        </w:tc>
        <w:tc>
          <w:tcPr>
            <w:tcW w:w="2765" w:type="dxa"/>
            <w:tcBorders>
              <w:top w:val="single" w:color="000000" w:sz="4" w:space="0"/>
              <w:left w:val="single" w:color="000000" w:sz="4" w:space="0"/>
              <w:bottom w:val="single" w:color="000000" w:sz="4" w:space="0"/>
              <w:right w:val="single" w:color="auto" w:sz="4" w:space="0"/>
            </w:tcBorders>
            <w:vAlign w:val="center"/>
          </w:tcPr>
          <w:p w14:paraId="6AB80411">
            <w:pPr>
              <w:spacing w:line="360" w:lineRule="auto"/>
              <w:rPr>
                <w:rFonts w:ascii="宋体" w:hAnsi="宋体" w:cs="宋体"/>
                <w:sz w:val="18"/>
                <w:szCs w:val="18"/>
              </w:rPr>
            </w:pPr>
            <w:r>
              <w:rPr>
                <w:rFonts w:hint="eastAsia" w:ascii="宋体" w:hAnsi="宋体" w:cs="宋体"/>
                <w:sz w:val="18"/>
                <w:szCs w:val="18"/>
              </w:rPr>
              <w:t>10持续改进</w:t>
            </w:r>
          </w:p>
        </w:tc>
        <w:tc>
          <w:tcPr>
            <w:tcW w:w="3073" w:type="dxa"/>
            <w:tcBorders>
              <w:top w:val="single" w:color="000000" w:sz="4" w:space="0"/>
              <w:left w:val="single" w:color="000000" w:sz="4" w:space="0"/>
              <w:bottom w:val="single" w:color="000000" w:sz="4" w:space="0"/>
              <w:right w:val="single" w:color="auto" w:sz="4" w:space="0"/>
            </w:tcBorders>
            <w:vAlign w:val="center"/>
          </w:tcPr>
          <w:p w14:paraId="616BB451">
            <w:pPr>
              <w:spacing w:line="360" w:lineRule="auto"/>
              <w:rPr>
                <w:rFonts w:ascii="宋体" w:hAnsi="宋体" w:cs="宋体"/>
                <w:sz w:val="18"/>
                <w:szCs w:val="18"/>
              </w:rPr>
            </w:pPr>
            <w:r>
              <w:rPr>
                <w:rFonts w:hint="eastAsia" w:ascii="宋体" w:hAnsi="宋体" w:cs="宋体"/>
                <w:sz w:val="18"/>
                <w:szCs w:val="18"/>
              </w:rPr>
              <w:t>10持续改进</w:t>
            </w:r>
          </w:p>
        </w:tc>
        <w:tc>
          <w:tcPr>
            <w:tcW w:w="894" w:type="dxa"/>
            <w:tcBorders>
              <w:top w:val="single" w:color="000000" w:sz="4" w:space="0"/>
              <w:left w:val="single" w:color="000000" w:sz="4" w:space="0"/>
              <w:bottom w:val="single" w:color="000000" w:sz="4" w:space="0"/>
              <w:right w:val="single" w:color="000000" w:sz="4" w:space="0"/>
            </w:tcBorders>
            <w:vAlign w:val="center"/>
          </w:tcPr>
          <w:p w14:paraId="4419EDCB">
            <w:pPr>
              <w:spacing w:line="360" w:lineRule="auto"/>
              <w:jc w:val="center"/>
              <w:rPr>
                <w:rFonts w:ascii="宋体" w:hAnsi="宋体" w:cs="宋体"/>
                <w:sz w:val="18"/>
                <w:szCs w:val="18"/>
              </w:rPr>
            </w:pPr>
            <w:r>
              <w:rPr>
                <w:rFonts w:hint="eastAsia" w:ascii="宋体" w:hAnsi="宋体" w:cs="宋体"/>
                <w:sz w:val="18"/>
                <w:szCs w:val="18"/>
              </w:rPr>
              <w:t>△</w:t>
            </w:r>
          </w:p>
        </w:tc>
        <w:tc>
          <w:tcPr>
            <w:tcW w:w="712" w:type="dxa"/>
            <w:tcBorders>
              <w:top w:val="single" w:color="000000" w:sz="4" w:space="0"/>
              <w:left w:val="single" w:color="000000" w:sz="4" w:space="0"/>
              <w:bottom w:val="single" w:color="000000" w:sz="4" w:space="0"/>
              <w:right w:val="single" w:color="000000" w:sz="4" w:space="0"/>
            </w:tcBorders>
            <w:vAlign w:val="center"/>
          </w:tcPr>
          <w:p w14:paraId="6F4D3DD1">
            <w:pPr>
              <w:spacing w:line="360" w:lineRule="auto"/>
              <w:jc w:val="center"/>
              <w:rPr>
                <w:rFonts w:ascii="宋体" w:hAnsi="宋体" w:cs="宋体"/>
                <w:sz w:val="18"/>
                <w:szCs w:val="18"/>
              </w:rPr>
            </w:pPr>
            <w:r>
              <w:rPr>
                <w:rFonts w:hint="eastAsia" w:ascii="宋体" w:hAnsi="宋体" w:cs="宋体"/>
                <w:sz w:val="18"/>
                <w:szCs w:val="18"/>
              </w:rPr>
              <w:t>△</w:t>
            </w:r>
          </w:p>
        </w:tc>
        <w:tc>
          <w:tcPr>
            <w:tcW w:w="709" w:type="dxa"/>
            <w:tcBorders>
              <w:top w:val="single" w:color="000000" w:sz="4" w:space="0"/>
              <w:left w:val="single" w:color="000000" w:sz="4" w:space="0"/>
              <w:bottom w:val="single" w:color="000000" w:sz="4" w:space="0"/>
              <w:right w:val="single" w:color="000000" w:sz="4" w:space="0"/>
            </w:tcBorders>
            <w:vAlign w:val="center"/>
          </w:tcPr>
          <w:p w14:paraId="073093DF">
            <w:pPr>
              <w:spacing w:line="360" w:lineRule="auto"/>
              <w:jc w:val="center"/>
              <w:rPr>
                <w:rFonts w:ascii="宋体" w:hAnsi="宋体" w:cs="宋体"/>
                <w:sz w:val="18"/>
                <w:szCs w:val="18"/>
              </w:rPr>
            </w:pPr>
            <w:r>
              <w:rPr>
                <w:rFonts w:hint="eastAsia" w:ascii="宋体" w:hAnsi="宋体" w:cs="宋体"/>
                <w:sz w:val="18"/>
                <w:szCs w:val="18"/>
              </w:rPr>
              <w:t>△</w:t>
            </w:r>
          </w:p>
        </w:tc>
        <w:tc>
          <w:tcPr>
            <w:tcW w:w="709" w:type="dxa"/>
            <w:tcBorders>
              <w:top w:val="single" w:color="000000" w:sz="4" w:space="0"/>
              <w:left w:val="single" w:color="000000" w:sz="4" w:space="0"/>
              <w:bottom w:val="single" w:color="000000" w:sz="4" w:space="0"/>
              <w:right w:val="single" w:color="auto" w:sz="4" w:space="0"/>
            </w:tcBorders>
            <w:vAlign w:val="center"/>
          </w:tcPr>
          <w:p w14:paraId="3FAA85D0">
            <w:pPr>
              <w:jc w:val="center"/>
            </w:pPr>
            <w:r>
              <w:rPr>
                <w:rFonts w:hint="eastAsia" w:ascii="宋体" w:hAnsi="宋体" w:cs="宋体"/>
                <w:sz w:val="18"/>
                <w:szCs w:val="18"/>
              </w:rPr>
              <w:t>△</w:t>
            </w:r>
          </w:p>
        </w:tc>
        <w:tc>
          <w:tcPr>
            <w:tcW w:w="709" w:type="dxa"/>
            <w:tcBorders>
              <w:top w:val="single" w:color="000000" w:sz="4" w:space="0"/>
              <w:left w:val="single" w:color="auto" w:sz="4" w:space="0"/>
              <w:bottom w:val="single" w:color="000000" w:sz="4" w:space="0"/>
              <w:right w:val="single" w:color="auto" w:sz="6" w:space="0"/>
            </w:tcBorders>
            <w:vAlign w:val="center"/>
          </w:tcPr>
          <w:p w14:paraId="71E27832">
            <w:pPr>
              <w:jc w:val="center"/>
            </w:pPr>
            <w:r>
              <w:rPr>
                <w:rFonts w:hint="eastAsia" w:ascii="宋体" w:hAnsi="宋体" w:cs="宋体"/>
                <w:sz w:val="18"/>
                <w:szCs w:val="18"/>
              </w:rPr>
              <w:t>△</w:t>
            </w:r>
          </w:p>
        </w:tc>
        <w:tc>
          <w:tcPr>
            <w:tcW w:w="709" w:type="dxa"/>
            <w:tcBorders>
              <w:top w:val="single" w:color="000000" w:sz="4" w:space="0"/>
              <w:left w:val="single" w:color="auto" w:sz="6" w:space="0"/>
              <w:bottom w:val="single" w:color="000000" w:sz="4" w:space="0"/>
              <w:right w:val="single" w:color="000000" w:sz="4" w:space="0"/>
            </w:tcBorders>
            <w:vAlign w:val="center"/>
          </w:tcPr>
          <w:p w14:paraId="08367C59">
            <w:pPr>
              <w:jc w:val="center"/>
            </w:pPr>
            <w:r>
              <w:rPr>
                <w:rFonts w:hint="eastAsia" w:ascii="宋体" w:hAnsi="宋体" w:cs="宋体"/>
                <w:sz w:val="18"/>
                <w:szCs w:val="18"/>
              </w:rPr>
              <w:t>△</w:t>
            </w:r>
          </w:p>
        </w:tc>
        <w:tc>
          <w:tcPr>
            <w:tcW w:w="709" w:type="dxa"/>
            <w:tcBorders>
              <w:top w:val="single" w:color="000000" w:sz="4" w:space="0"/>
              <w:left w:val="single" w:color="auto" w:sz="6" w:space="0"/>
              <w:bottom w:val="single" w:color="000000" w:sz="4" w:space="0"/>
              <w:right w:val="single" w:color="000000" w:sz="4" w:space="0"/>
            </w:tcBorders>
            <w:vAlign w:val="center"/>
          </w:tcPr>
          <w:p w14:paraId="4A5164BA">
            <w:pPr>
              <w:spacing w:line="360" w:lineRule="auto"/>
              <w:jc w:val="center"/>
              <w:rPr>
                <w:rFonts w:ascii="宋体" w:hAnsi="宋体" w:cs="宋体"/>
                <w:sz w:val="18"/>
                <w:szCs w:val="18"/>
              </w:rPr>
            </w:pPr>
            <w:r>
              <w:rPr>
                <w:rFonts w:hint="eastAsia" w:ascii="宋体" w:hAnsi="宋体" w:cs="宋体"/>
                <w:sz w:val="18"/>
                <w:szCs w:val="18"/>
              </w:rPr>
              <w:t>△</w:t>
            </w:r>
          </w:p>
        </w:tc>
      </w:tr>
      <w:tr w14:paraId="1829E2E5">
        <w:tblPrEx>
          <w:tblCellMar>
            <w:top w:w="0" w:type="dxa"/>
            <w:left w:w="0" w:type="dxa"/>
            <w:bottom w:w="0" w:type="dxa"/>
            <w:right w:w="0" w:type="dxa"/>
          </w:tblCellMar>
        </w:tblPrEx>
        <w:trPr>
          <w:trHeight w:val="539" w:hRule="exact"/>
        </w:trPr>
        <w:tc>
          <w:tcPr>
            <w:tcW w:w="2484" w:type="dxa"/>
            <w:tcBorders>
              <w:top w:val="single" w:color="000000" w:sz="4" w:space="0"/>
              <w:left w:val="single" w:color="000000" w:sz="4" w:space="0"/>
              <w:bottom w:val="single" w:color="000000" w:sz="4" w:space="0"/>
              <w:right w:val="single" w:color="000000" w:sz="4" w:space="0"/>
            </w:tcBorders>
            <w:vAlign w:val="center"/>
          </w:tcPr>
          <w:p w14:paraId="51E32844">
            <w:pPr>
              <w:spacing w:line="360" w:lineRule="auto"/>
              <w:rPr>
                <w:rFonts w:ascii="宋体" w:hAnsi="宋体" w:cs="宋体"/>
                <w:sz w:val="18"/>
                <w:szCs w:val="18"/>
              </w:rPr>
            </w:pPr>
            <w:r>
              <w:rPr>
                <w:rFonts w:hint="eastAsia" w:ascii="宋体" w:hAnsi="宋体" w:cs="宋体"/>
                <w:sz w:val="18"/>
                <w:szCs w:val="18"/>
              </w:rPr>
              <w:t>10.1总则</w:t>
            </w:r>
          </w:p>
        </w:tc>
        <w:tc>
          <w:tcPr>
            <w:tcW w:w="2765" w:type="dxa"/>
            <w:tcBorders>
              <w:top w:val="single" w:color="000000" w:sz="4" w:space="0"/>
              <w:left w:val="single" w:color="000000" w:sz="4" w:space="0"/>
              <w:bottom w:val="single" w:color="000000" w:sz="4" w:space="0"/>
              <w:right w:val="single" w:color="auto" w:sz="4" w:space="0"/>
            </w:tcBorders>
            <w:vAlign w:val="center"/>
          </w:tcPr>
          <w:p w14:paraId="40A2DF23">
            <w:pPr>
              <w:spacing w:line="360" w:lineRule="auto"/>
              <w:rPr>
                <w:rFonts w:ascii="宋体" w:hAnsi="宋体" w:cs="宋体"/>
                <w:sz w:val="18"/>
                <w:szCs w:val="18"/>
              </w:rPr>
            </w:pPr>
            <w:r>
              <w:rPr>
                <w:rFonts w:hint="eastAsia" w:ascii="宋体" w:hAnsi="宋体" w:cs="宋体"/>
                <w:sz w:val="18"/>
                <w:szCs w:val="18"/>
              </w:rPr>
              <w:t>10.1总则</w:t>
            </w:r>
          </w:p>
        </w:tc>
        <w:tc>
          <w:tcPr>
            <w:tcW w:w="3073" w:type="dxa"/>
            <w:tcBorders>
              <w:top w:val="single" w:color="000000" w:sz="4" w:space="0"/>
              <w:left w:val="single" w:color="000000" w:sz="4" w:space="0"/>
              <w:bottom w:val="single" w:color="000000" w:sz="4" w:space="0"/>
              <w:right w:val="single" w:color="auto" w:sz="4" w:space="0"/>
            </w:tcBorders>
            <w:vAlign w:val="center"/>
          </w:tcPr>
          <w:p w14:paraId="3DF3703D">
            <w:pPr>
              <w:spacing w:line="360" w:lineRule="auto"/>
              <w:rPr>
                <w:rFonts w:ascii="宋体" w:hAnsi="宋体" w:cs="宋体"/>
                <w:sz w:val="18"/>
                <w:szCs w:val="18"/>
              </w:rPr>
            </w:pPr>
            <w:r>
              <w:rPr>
                <w:rFonts w:hint="eastAsia" w:ascii="宋体" w:hAnsi="宋体" w:cs="宋体"/>
                <w:sz w:val="18"/>
                <w:szCs w:val="18"/>
              </w:rPr>
              <w:t>10.1总则</w:t>
            </w:r>
          </w:p>
        </w:tc>
        <w:tc>
          <w:tcPr>
            <w:tcW w:w="894" w:type="dxa"/>
            <w:tcBorders>
              <w:top w:val="single" w:color="000000" w:sz="4" w:space="0"/>
              <w:left w:val="single" w:color="000000" w:sz="4" w:space="0"/>
              <w:bottom w:val="single" w:color="000000" w:sz="4" w:space="0"/>
              <w:right w:val="single" w:color="000000" w:sz="4" w:space="0"/>
            </w:tcBorders>
            <w:vAlign w:val="center"/>
          </w:tcPr>
          <w:p w14:paraId="42FD51C4">
            <w:pPr>
              <w:spacing w:line="360" w:lineRule="auto"/>
              <w:jc w:val="center"/>
              <w:rPr>
                <w:rFonts w:ascii="宋体" w:hAnsi="宋体" w:cs="宋体"/>
                <w:sz w:val="18"/>
                <w:szCs w:val="18"/>
              </w:rPr>
            </w:pPr>
            <w:r>
              <w:rPr>
                <w:rFonts w:hint="eastAsia" w:ascii="宋体" w:hAnsi="宋体" w:cs="宋体"/>
                <w:sz w:val="18"/>
                <w:szCs w:val="18"/>
              </w:rPr>
              <w:t>★</w:t>
            </w:r>
          </w:p>
        </w:tc>
        <w:tc>
          <w:tcPr>
            <w:tcW w:w="712" w:type="dxa"/>
            <w:tcBorders>
              <w:top w:val="single" w:color="000000" w:sz="4" w:space="0"/>
              <w:left w:val="single" w:color="000000" w:sz="4" w:space="0"/>
              <w:bottom w:val="single" w:color="000000" w:sz="4" w:space="0"/>
              <w:right w:val="single" w:color="000000" w:sz="4" w:space="0"/>
            </w:tcBorders>
            <w:vAlign w:val="center"/>
          </w:tcPr>
          <w:p w14:paraId="5FBA4EC3">
            <w:pPr>
              <w:spacing w:line="360" w:lineRule="auto"/>
              <w:jc w:val="center"/>
              <w:rPr>
                <w:rFonts w:ascii="宋体" w:hAnsi="宋体" w:cs="宋体"/>
                <w:sz w:val="18"/>
                <w:szCs w:val="18"/>
              </w:rPr>
            </w:pPr>
            <w:r>
              <w:rPr>
                <w:rFonts w:hint="eastAsia" w:ascii="宋体" w:hAnsi="宋体" w:cs="宋体"/>
                <w:sz w:val="18"/>
                <w:szCs w:val="18"/>
              </w:rPr>
              <w:t>△</w:t>
            </w:r>
          </w:p>
        </w:tc>
        <w:tc>
          <w:tcPr>
            <w:tcW w:w="709" w:type="dxa"/>
            <w:tcBorders>
              <w:top w:val="single" w:color="000000" w:sz="4" w:space="0"/>
              <w:left w:val="single" w:color="000000" w:sz="4" w:space="0"/>
              <w:bottom w:val="single" w:color="000000" w:sz="4" w:space="0"/>
              <w:right w:val="single" w:color="000000" w:sz="4" w:space="0"/>
            </w:tcBorders>
            <w:vAlign w:val="center"/>
          </w:tcPr>
          <w:p w14:paraId="76D6AA27">
            <w:pPr>
              <w:spacing w:line="360" w:lineRule="auto"/>
              <w:jc w:val="center"/>
              <w:rPr>
                <w:rFonts w:ascii="宋体" w:hAnsi="宋体" w:cs="宋体"/>
                <w:sz w:val="18"/>
                <w:szCs w:val="18"/>
              </w:rPr>
            </w:pPr>
            <w:r>
              <w:rPr>
                <w:rFonts w:hint="eastAsia" w:ascii="宋体" w:hAnsi="宋体" w:cs="宋体"/>
                <w:sz w:val="18"/>
                <w:szCs w:val="18"/>
              </w:rPr>
              <w:t>△</w:t>
            </w:r>
          </w:p>
        </w:tc>
        <w:tc>
          <w:tcPr>
            <w:tcW w:w="709" w:type="dxa"/>
            <w:tcBorders>
              <w:top w:val="single" w:color="000000" w:sz="4" w:space="0"/>
              <w:left w:val="single" w:color="000000" w:sz="4" w:space="0"/>
              <w:bottom w:val="single" w:color="000000" w:sz="4" w:space="0"/>
              <w:right w:val="single" w:color="auto" w:sz="4" w:space="0"/>
            </w:tcBorders>
            <w:vAlign w:val="center"/>
          </w:tcPr>
          <w:p w14:paraId="7BE3C4EC">
            <w:pPr>
              <w:jc w:val="center"/>
            </w:pPr>
            <w:r>
              <w:rPr>
                <w:rFonts w:hint="eastAsia" w:ascii="宋体" w:hAnsi="宋体" w:cs="宋体"/>
                <w:sz w:val="18"/>
                <w:szCs w:val="18"/>
              </w:rPr>
              <w:t>△</w:t>
            </w:r>
          </w:p>
        </w:tc>
        <w:tc>
          <w:tcPr>
            <w:tcW w:w="709" w:type="dxa"/>
            <w:tcBorders>
              <w:top w:val="single" w:color="000000" w:sz="4" w:space="0"/>
              <w:left w:val="single" w:color="auto" w:sz="4" w:space="0"/>
              <w:bottom w:val="single" w:color="000000" w:sz="4" w:space="0"/>
              <w:right w:val="single" w:color="auto" w:sz="6" w:space="0"/>
            </w:tcBorders>
            <w:vAlign w:val="center"/>
          </w:tcPr>
          <w:p w14:paraId="706A1FE6">
            <w:pPr>
              <w:jc w:val="center"/>
            </w:pPr>
            <w:r>
              <w:rPr>
                <w:rFonts w:hint="eastAsia" w:ascii="宋体" w:hAnsi="宋体" w:cs="宋体"/>
                <w:sz w:val="18"/>
                <w:szCs w:val="18"/>
              </w:rPr>
              <w:t>△</w:t>
            </w:r>
          </w:p>
        </w:tc>
        <w:tc>
          <w:tcPr>
            <w:tcW w:w="709" w:type="dxa"/>
            <w:tcBorders>
              <w:top w:val="single" w:color="000000" w:sz="4" w:space="0"/>
              <w:left w:val="single" w:color="auto" w:sz="6" w:space="0"/>
              <w:bottom w:val="single" w:color="000000" w:sz="4" w:space="0"/>
              <w:right w:val="single" w:color="000000" w:sz="4" w:space="0"/>
            </w:tcBorders>
            <w:vAlign w:val="center"/>
          </w:tcPr>
          <w:p w14:paraId="18FE1B10">
            <w:pPr>
              <w:jc w:val="center"/>
            </w:pPr>
            <w:r>
              <w:rPr>
                <w:rFonts w:hint="eastAsia" w:ascii="宋体" w:hAnsi="宋体" w:cs="宋体"/>
                <w:sz w:val="18"/>
                <w:szCs w:val="18"/>
              </w:rPr>
              <w:t>△</w:t>
            </w:r>
          </w:p>
        </w:tc>
        <w:tc>
          <w:tcPr>
            <w:tcW w:w="709" w:type="dxa"/>
            <w:tcBorders>
              <w:top w:val="single" w:color="000000" w:sz="4" w:space="0"/>
              <w:left w:val="single" w:color="auto" w:sz="6" w:space="0"/>
              <w:bottom w:val="single" w:color="000000" w:sz="4" w:space="0"/>
              <w:right w:val="single" w:color="000000" w:sz="4" w:space="0"/>
            </w:tcBorders>
            <w:vAlign w:val="center"/>
          </w:tcPr>
          <w:p w14:paraId="173AFF9C">
            <w:pPr>
              <w:spacing w:line="360" w:lineRule="auto"/>
              <w:jc w:val="center"/>
              <w:rPr>
                <w:rFonts w:ascii="宋体" w:hAnsi="宋体" w:cs="宋体"/>
                <w:sz w:val="18"/>
                <w:szCs w:val="18"/>
              </w:rPr>
            </w:pPr>
            <w:r>
              <w:rPr>
                <w:rFonts w:hint="eastAsia" w:ascii="宋体" w:hAnsi="宋体" w:cs="宋体"/>
                <w:sz w:val="18"/>
                <w:szCs w:val="18"/>
              </w:rPr>
              <w:t>△</w:t>
            </w:r>
          </w:p>
        </w:tc>
      </w:tr>
      <w:tr w14:paraId="04ED08AC">
        <w:tblPrEx>
          <w:tblCellMar>
            <w:top w:w="0" w:type="dxa"/>
            <w:left w:w="0" w:type="dxa"/>
            <w:bottom w:w="0" w:type="dxa"/>
            <w:right w:w="0" w:type="dxa"/>
          </w:tblCellMar>
        </w:tblPrEx>
        <w:trPr>
          <w:trHeight w:val="539" w:hRule="exact"/>
        </w:trPr>
        <w:tc>
          <w:tcPr>
            <w:tcW w:w="2484" w:type="dxa"/>
            <w:tcBorders>
              <w:top w:val="single" w:color="000000" w:sz="4" w:space="0"/>
              <w:left w:val="single" w:color="000000" w:sz="4" w:space="0"/>
              <w:bottom w:val="single" w:color="000000" w:sz="4" w:space="0"/>
              <w:right w:val="single" w:color="000000" w:sz="4" w:space="0"/>
            </w:tcBorders>
            <w:vAlign w:val="center"/>
          </w:tcPr>
          <w:p w14:paraId="3A2FCA70">
            <w:pPr>
              <w:spacing w:line="360" w:lineRule="auto"/>
              <w:rPr>
                <w:rFonts w:ascii="宋体" w:hAnsi="宋体" w:cs="宋体"/>
                <w:sz w:val="18"/>
                <w:szCs w:val="18"/>
              </w:rPr>
            </w:pPr>
            <w:r>
              <w:rPr>
                <w:rFonts w:hint="eastAsia" w:ascii="宋体" w:hAnsi="宋体" w:cs="宋体"/>
                <w:sz w:val="18"/>
                <w:szCs w:val="18"/>
              </w:rPr>
              <w:t>10.2不符合和纠正措施</w:t>
            </w:r>
          </w:p>
        </w:tc>
        <w:tc>
          <w:tcPr>
            <w:tcW w:w="2765" w:type="dxa"/>
            <w:tcBorders>
              <w:top w:val="single" w:color="000000" w:sz="4" w:space="0"/>
              <w:left w:val="single" w:color="000000" w:sz="4" w:space="0"/>
              <w:bottom w:val="single" w:color="000000" w:sz="4" w:space="0"/>
              <w:right w:val="single" w:color="auto" w:sz="4" w:space="0"/>
            </w:tcBorders>
            <w:vAlign w:val="center"/>
          </w:tcPr>
          <w:p w14:paraId="6C40B193">
            <w:pPr>
              <w:spacing w:line="360" w:lineRule="auto"/>
              <w:rPr>
                <w:rFonts w:ascii="宋体" w:hAnsi="宋体" w:cs="宋体"/>
                <w:sz w:val="18"/>
                <w:szCs w:val="18"/>
              </w:rPr>
            </w:pPr>
            <w:r>
              <w:rPr>
                <w:rFonts w:hint="eastAsia" w:ascii="宋体" w:hAnsi="宋体" w:cs="宋体"/>
                <w:sz w:val="18"/>
                <w:szCs w:val="18"/>
              </w:rPr>
              <w:t>10.2不符合和纠正措施</w:t>
            </w:r>
          </w:p>
        </w:tc>
        <w:tc>
          <w:tcPr>
            <w:tcW w:w="3073" w:type="dxa"/>
            <w:tcBorders>
              <w:top w:val="single" w:color="000000" w:sz="4" w:space="0"/>
              <w:left w:val="single" w:color="000000" w:sz="4" w:space="0"/>
              <w:bottom w:val="single" w:color="000000" w:sz="4" w:space="0"/>
              <w:right w:val="single" w:color="auto" w:sz="4" w:space="0"/>
            </w:tcBorders>
            <w:vAlign w:val="center"/>
          </w:tcPr>
          <w:p w14:paraId="7F36FC45">
            <w:pPr>
              <w:spacing w:line="360" w:lineRule="auto"/>
              <w:rPr>
                <w:rFonts w:ascii="宋体" w:hAnsi="宋体" w:cs="宋体"/>
                <w:sz w:val="18"/>
                <w:szCs w:val="18"/>
              </w:rPr>
            </w:pPr>
            <w:r>
              <w:rPr>
                <w:rFonts w:hint="eastAsia" w:ascii="宋体" w:hAnsi="宋体" w:cs="宋体"/>
                <w:sz w:val="18"/>
                <w:szCs w:val="18"/>
              </w:rPr>
              <w:t>10.2事件、不符合和纠正措施</w:t>
            </w:r>
          </w:p>
        </w:tc>
        <w:tc>
          <w:tcPr>
            <w:tcW w:w="894" w:type="dxa"/>
            <w:tcBorders>
              <w:top w:val="single" w:color="000000" w:sz="4" w:space="0"/>
              <w:left w:val="single" w:color="000000" w:sz="4" w:space="0"/>
              <w:bottom w:val="single" w:color="000000" w:sz="4" w:space="0"/>
              <w:right w:val="single" w:color="000000" w:sz="4" w:space="0"/>
            </w:tcBorders>
            <w:vAlign w:val="center"/>
          </w:tcPr>
          <w:p w14:paraId="704FCC79">
            <w:pPr>
              <w:spacing w:line="360" w:lineRule="auto"/>
              <w:jc w:val="center"/>
              <w:rPr>
                <w:rFonts w:ascii="宋体" w:hAnsi="宋体" w:cs="宋体"/>
                <w:sz w:val="18"/>
                <w:szCs w:val="18"/>
              </w:rPr>
            </w:pPr>
            <w:r>
              <w:rPr>
                <w:rFonts w:hint="eastAsia" w:ascii="宋体" w:hAnsi="宋体" w:cs="宋体"/>
                <w:sz w:val="18"/>
                <w:szCs w:val="18"/>
              </w:rPr>
              <w:t>△</w:t>
            </w:r>
          </w:p>
        </w:tc>
        <w:tc>
          <w:tcPr>
            <w:tcW w:w="712" w:type="dxa"/>
            <w:tcBorders>
              <w:top w:val="single" w:color="000000" w:sz="4" w:space="0"/>
              <w:left w:val="single" w:color="000000" w:sz="4" w:space="0"/>
              <w:bottom w:val="single" w:color="000000" w:sz="4" w:space="0"/>
              <w:right w:val="single" w:color="000000" w:sz="4" w:space="0"/>
            </w:tcBorders>
            <w:vAlign w:val="center"/>
          </w:tcPr>
          <w:p w14:paraId="1282DBCC">
            <w:pPr>
              <w:spacing w:line="360" w:lineRule="auto"/>
              <w:jc w:val="center"/>
              <w:rPr>
                <w:rFonts w:ascii="宋体" w:hAnsi="宋体" w:cs="宋体"/>
                <w:sz w:val="18"/>
                <w:szCs w:val="18"/>
              </w:rPr>
            </w:pPr>
            <w:r>
              <w:rPr>
                <w:rFonts w:hint="eastAsia" w:ascii="宋体" w:hAnsi="宋体" w:cs="宋体"/>
                <w:sz w:val="18"/>
                <w:szCs w:val="18"/>
              </w:rPr>
              <w:t>△</w:t>
            </w:r>
          </w:p>
        </w:tc>
        <w:tc>
          <w:tcPr>
            <w:tcW w:w="709" w:type="dxa"/>
            <w:tcBorders>
              <w:top w:val="single" w:color="000000" w:sz="4" w:space="0"/>
              <w:left w:val="single" w:color="000000" w:sz="4" w:space="0"/>
              <w:bottom w:val="single" w:color="000000" w:sz="4" w:space="0"/>
              <w:right w:val="single" w:color="000000" w:sz="4" w:space="0"/>
            </w:tcBorders>
            <w:vAlign w:val="center"/>
          </w:tcPr>
          <w:p w14:paraId="41A191D3">
            <w:pPr>
              <w:spacing w:line="360" w:lineRule="auto"/>
              <w:jc w:val="center"/>
              <w:rPr>
                <w:rFonts w:ascii="宋体" w:hAnsi="宋体" w:cs="宋体"/>
                <w:sz w:val="18"/>
                <w:szCs w:val="18"/>
              </w:rPr>
            </w:pPr>
            <w:r>
              <w:rPr>
                <w:rFonts w:hint="eastAsia" w:ascii="宋体" w:hAnsi="宋体" w:cs="宋体"/>
                <w:sz w:val="18"/>
                <w:szCs w:val="18"/>
              </w:rPr>
              <w:t>★</w:t>
            </w:r>
          </w:p>
        </w:tc>
        <w:tc>
          <w:tcPr>
            <w:tcW w:w="709" w:type="dxa"/>
            <w:tcBorders>
              <w:top w:val="single" w:color="000000" w:sz="4" w:space="0"/>
              <w:left w:val="single" w:color="000000" w:sz="4" w:space="0"/>
              <w:bottom w:val="single" w:color="000000" w:sz="4" w:space="0"/>
              <w:right w:val="single" w:color="auto" w:sz="4" w:space="0"/>
            </w:tcBorders>
            <w:vAlign w:val="center"/>
          </w:tcPr>
          <w:p w14:paraId="42302D8A">
            <w:pPr>
              <w:jc w:val="center"/>
            </w:pPr>
            <w:r>
              <w:rPr>
                <w:rFonts w:hint="eastAsia" w:ascii="宋体" w:hAnsi="宋体" w:cs="宋体"/>
                <w:sz w:val="18"/>
                <w:szCs w:val="18"/>
              </w:rPr>
              <w:t>△</w:t>
            </w:r>
          </w:p>
        </w:tc>
        <w:tc>
          <w:tcPr>
            <w:tcW w:w="709" w:type="dxa"/>
            <w:tcBorders>
              <w:top w:val="single" w:color="000000" w:sz="4" w:space="0"/>
              <w:left w:val="single" w:color="auto" w:sz="4" w:space="0"/>
              <w:bottom w:val="single" w:color="000000" w:sz="4" w:space="0"/>
              <w:right w:val="single" w:color="auto" w:sz="6" w:space="0"/>
            </w:tcBorders>
            <w:vAlign w:val="center"/>
          </w:tcPr>
          <w:p w14:paraId="66070651">
            <w:pPr>
              <w:jc w:val="center"/>
            </w:pPr>
            <w:r>
              <w:rPr>
                <w:rFonts w:hint="eastAsia" w:ascii="宋体" w:hAnsi="宋体" w:cs="宋体"/>
                <w:sz w:val="18"/>
                <w:szCs w:val="18"/>
              </w:rPr>
              <w:t>△</w:t>
            </w:r>
          </w:p>
        </w:tc>
        <w:tc>
          <w:tcPr>
            <w:tcW w:w="709" w:type="dxa"/>
            <w:tcBorders>
              <w:top w:val="single" w:color="000000" w:sz="4" w:space="0"/>
              <w:left w:val="single" w:color="auto" w:sz="6" w:space="0"/>
              <w:bottom w:val="single" w:color="000000" w:sz="4" w:space="0"/>
              <w:right w:val="single" w:color="000000" w:sz="4" w:space="0"/>
            </w:tcBorders>
            <w:vAlign w:val="center"/>
          </w:tcPr>
          <w:p w14:paraId="61C0C143">
            <w:pPr>
              <w:jc w:val="center"/>
            </w:pPr>
            <w:r>
              <w:rPr>
                <w:rFonts w:hint="eastAsia" w:ascii="宋体" w:hAnsi="宋体" w:cs="宋体"/>
                <w:sz w:val="18"/>
                <w:szCs w:val="18"/>
              </w:rPr>
              <w:t>△</w:t>
            </w:r>
          </w:p>
        </w:tc>
        <w:tc>
          <w:tcPr>
            <w:tcW w:w="709" w:type="dxa"/>
            <w:tcBorders>
              <w:top w:val="single" w:color="000000" w:sz="4" w:space="0"/>
              <w:left w:val="single" w:color="auto" w:sz="6" w:space="0"/>
              <w:bottom w:val="single" w:color="000000" w:sz="4" w:space="0"/>
              <w:right w:val="single" w:color="000000" w:sz="4" w:space="0"/>
            </w:tcBorders>
            <w:vAlign w:val="center"/>
          </w:tcPr>
          <w:p w14:paraId="7863BD56">
            <w:pPr>
              <w:spacing w:line="360" w:lineRule="auto"/>
              <w:jc w:val="center"/>
              <w:rPr>
                <w:rFonts w:ascii="宋体" w:hAnsi="宋体" w:cs="宋体"/>
                <w:sz w:val="18"/>
                <w:szCs w:val="18"/>
              </w:rPr>
            </w:pPr>
            <w:r>
              <w:rPr>
                <w:rFonts w:hint="eastAsia" w:ascii="宋体" w:hAnsi="宋体" w:cs="宋体"/>
                <w:sz w:val="18"/>
                <w:szCs w:val="18"/>
              </w:rPr>
              <w:t>△</w:t>
            </w:r>
          </w:p>
        </w:tc>
      </w:tr>
      <w:tr w14:paraId="3069A687">
        <w:tblPrEx>
          <w:tblCellMar>
            <w:top w:w="0" w:type="dxa"/>
            <w:left w:w="0" w:type="dxa"/>
            <w:bottom w:w="0" w:type="dxa"/>
            <w:right w:w="0" w:type="dxa"/>
          </w:tblCellMar>
        </w:tblPrEx>
        <w:trPr>
          <w:trHeight w:val="539" w:hRule="exact"/>
        </w:trPr>
        <w:tc>
          <w:tcPr>
            <w:tcW w:w="2484" w:type="dxa"/>
            <w:tcBorders>
              <w:top w:val="single" w:color="000000" w:sz="4" w:space="0"/>
              <w:left w:val="single" w:color="000000" w:sz="4" w:space="0"/>
              <w:bottom w:val="single" w:color="000000" w:sz="4" w:space="0"/>
              <w:right w:val="single" w:color="000000" w:sz="4" w:space="0"/>
            </w:tcBorders>
            <w:vAlign w:val="center"/>
          </w:tcPr>
          <w:p w14:paraId="21236301">
            <w:pPr>
              <w:spacing w:line="360" w:lineRule="auto"/>
              <w:rPr>
                <w:rFonts w:ascii="宋体" w:hAnsi="宋体" w:cs="宋体"/>
                <w:sz w:val="18"/>
                <w:szCs w:val="18"/>
              </w:rPr>
            </w:pPr>
            <w:r>
              <w:rPr>
                <w:rFonts w:hint="eastAsia" w:ascii="宋体" w:hAnsi="宋体" w:cs="宋体"/>
                <w:sz w:val="18"/>
                <w:szCs w:val="18"/>
              </w:rPr>
              <w:t>10.3持续改进</w:t>
            </w:r>
          </w:p>
        </w:tc>
        <w:tc>
          <w:tcPr>
            <w:tcW w:w="2765" w:type="dxa"/>
            <w:tcBorders>
              <w:top w:val="single" w:color="000000" w:sz="4" w:space="0"/>
              <w:left w:val="single" w:color="000000" w:sz="4" w:space="0"/>
              <w:bottom w:val="single" w:color="000000" w:sz="4" w:space="0"/>
              <w:right w:val="single" w:color="auto" w:sz="4" w:space="0"/>
            </w:tcBorders>
            <w:vAlign w:val="center"/>
          </w:tcPr>
          <w:p w14:paraId="431BCA85">
            <w:pPr>
              <w:spacing w:line="360" w:lineRule="auto"/>
              <w:rPr>
                <w:rFonts w:ascii="宋体" w:hAnsi="宋体" w:cs="宋体"/>
                <w:sz w:val="18"/>
                <w:szCs w:val="18"/>
              </w:rPr>
            </w:pPr>
            <w:r>
              <w:rPr>
                <w:rFonts w:hint="eastAsia" w:ascii="宋体" w:hAnsi="宋体" w:cs="宋体"/>
                <w:sz w:val="18"/>
                <w:szCs w:val="18"/>
              </w:rPr>
              <w:t>10.3持续改进</w:t>
            </w:r>
          </w:p>
        </w:tc>
        <w:tc>
          <w:tcPr>
            <w:tcW w:w="3073" w:type="dxa"/>
            <w:tcBorders>
              <w:top w:val="single" w:color="000000" w:sz="4" w:space="0"/>
              <w:left w:val="single" w:color="000000" w:sz="4" w:space="0"/>
              <w:bottom w:val="single" w:color="000000" w:sz="4" w:space="0"/>
              <w:right w:val="single" w:color="auto" w:sz="4" w:space="0"/>
            </w:tcBorders>
            <w:vAlign w:val="center"/>
          </w:tcPr>
          <w:p w14:paraId="03F4E944">
            <w:pPr>
              <w:spacing w:line="360" w:lineRule="auto"/>
              <w:rPr>
                <w:rFonts w:ascii="宋体" w:hAnsi="宋体" w:cs="宋体"/>
                <w:sz w:val="18"/>
                <w:szCs w:val="18"/>
              </w:rPr>
            </w:pPr>
            <w:r>
              <w:rPr>
                <w:rFonts w:hint="eastAsia" w:ascii="宋体" w:hAnsi="宋体" w:cs="宋体"/>
                <w:sz w:val="18"/>
                <w:szCs w:val="18"/>
              </w:rPr>
              <w:t>10.3持续改进</w:t>
            </w:r>
          </w:p>
        </w:tc>
        <w:tc>
          <w:tcPr>
            <w:tcW w:w="894" w:type="dxa"/>
            <w:tcBorders>
              <w:top w:val="single" w:color="000000" w:sz="4" w:space="0"/>
              <w:left w:val="single" w:color="000000" w:sz="4" w:space="0"/>
              <w:bottom w:val="single" w:color="000000" w:sz="4" w:space="0"/>
              <w:right w:val="single" w:color="000000" w:sz="4" w:space="0"/>
            </w:tcBorders>
            <w:vAlign w:val="center"/>
          </w:tcPr>
          <w:p w14:paraId="2A7A0DF7">
            <w:pPr>
              <w:spacing w:line="360" w:lineRule="auto"/>
              <w:jc w:val="center"/>
              <w:rPr>
                <w:rFonts w:ascii="宋体" w:hAnsi="宋体" w:cs="宋体"/>
                <w:sz w:val="18"/>
                <w:szCs w:val="18"/>
              </w:rPr>
            </w:pPr>
            <w:r>
              <w:rPr>
                <w:rFonts w:hint="eastAsia" w:ascii="宋体" w:hAnsi="宋体" w:cs="宋体"/>
                <w:sz w:val="18"/>
                <w:szCs w:val="18"/>
              </w:rPr>
              <w:t>△</w:t>
            </w:r>
          </w:p>
        </w:tc>
        <w:tc>
          <w:tcPr>
            <w:tcW w:w="712" w:type="dxa"/>
            <w:tcBorders>
              <w:top w:val="single" w:color="000000" w:sz="4" w:space="0"/>
              <w:left w:val="single" w:color="000000" w:sz="4" w:space="0"/>
              <w:bottom w:val="single" w:color="000000" w:sz="4" w:space="0"/>
              <w:right w:val="single" w:color="000000" w:sz="4" w:space="0"/>
            </w:tcBorders>
            <w:vAlign w:val="center"/>
          </w:tcPr>
          <w:p w14:paraId="3B5495C7">
            <w:pPr>
              <w:spacing w:line="360" w:lineRule="auto"/>
              <w:jc w:val="center"/>
              <w:rPr>
                <w:rFonts w:ascii="宋体" w:hAnsi="宋体" w:cs="宋体"/>
                <w:sz w:val="18"/>
                <w:szCs w:val="18"/>
              </w:rPr>
            </w:pPr>
            <w:r>
              <w:rPr>
                <w:rFonts w:hint="eastAsia" w:ascii="宋体" w:hAnsi="宋体" w:cs="宋体"/>
                <w:sz w:val="18"/>
                <w:szCs w:val="18"/>
              </w:rPr>
              <w:t>△</w:t>
            </w:r>
          </w:p>
        </w:tc>
        <w:tc>
          <w:tcPr>
            <w:tcW w:w="709" w:type="dxa"/>
            <w:tcBorders>
              <w:top w:val="single" w:color="000000" w:sz="4" w:space="0"/>
              <w:left w:val="single" w:color="000000" w:sz="4" w:space="0"/>
              <w:bottom w:val="single" w:color="000000" w:sz="4" w:space="0"/>
              <w:right w:val="single" w:color="000000" w:sz="4" w:space="0"/>
            </w:tcBorders>
            <w:vAlign w:val="center"/>
          </w:tcPr>
          <w:p w14:paraId="46A5DE98">
            <w:pPr>
              <w:spacing w:line="360" w:lineRule="auto"/>
              <w:jc w:val="center"/>
              <w:rPr>
                <w:rFonts w:ascii="宋体" w:hAnsi="宋体" w:cs="宋体"/>
                <w:sz w:val="18"/>
                <w:szCs w:val="18"/>
              </w:rPr>
            </w:pPr>
            <w:r>
              <w:rPr>
                <w:rFonts w:hint="eastAsia" w:ascii="宋体" w:hAnsi="宋体" w:cs="宋体"/>
                <w:sz w:val="18"/>
                <w:szCs w:val="18"/>
              </w:rPr>
              <w:t>★</w:t>
            </w:r>
          </w:p>
        </w:tc>
        <w:tc>
          <w:tcPr>
            <w:tcW w:w="709" w:type="dxa"/>
            <w:tcBorders>
              <w:top w:val="single" w:color="000000" w:sz="4" w:space="0"/>
              <w:left w:val="single" w:color="000000" w:sz="4" w:space="0"/>
              <w:bottom w:val="single" w:color="000000" w:sz="4" w:space="0"/>
              <w:right w:val="single" w:color="auto" w:sz="4" w:space="0"/>
            </w:tcBorders>
            <w:vAlign w:val="center"/>
          </w:tcPr>
          <w:p w14:paraId="1E3122AC">
            <w:pPr>
              <w:jc w:val="center"/>
            </w:pPr>
            <w:r>
              <w:rPr>
                <w:rFonts w:hint="eastAsia" w:ascii="宋体" w:hAnsi="宋体" w:cs="宋体"/>
                <w:sz w:val="18"/>
                <w:szCs w:val="18"/>
              </w:rPr>
              <w:t>△</w:t>
            </w:r>
          </w:p>
        </w:tc>
        <w:tc>
          <w:tcPr>
            <w:tcW w:w="709" w:type="dxa"/>
            <w:tcBorders>
              <w:top w:val="single" w:color="000000" w:sz="4" w:space="0"/>
              <w:left w:val="single" w:color="auto" w:sz="4" w:space="0"/>
              <w:bottom w:val="single" w:color="000000" w:sz="4" w:space="0"/>
              <w:right w:val="single" w:color="auto" w:sz="6" w:space="0"/>
            </w:tcBorders>
            <w:vAlign w:val="center"/>
          </w:tcPr>
          <w:p w14:paraId="36515294">
            <w:pPr>
              <w:jc w:val="center"/>
            </w:pPr>
            <w:r>
              <w:rPr>
                <w:rFonts w:hint="eastAsia" w:ascii="宋体" w:hAnsi="宋体" w:cs="宋体"/>
                <w:sz w:val="18"/>
                <w:szCs w:val="18"/>
              </w:rPr>
              <w:t>△</w:t>
            </w:r>
          </w:p>
        </w:tc>
        <w:tc>
          <w:tcPr>
            <w:tcW w:w="709" w:type="dxa"/>
            <w:tcBorders>
              <w:top w:val="single" w:color="000000" w:sz="4" w:space="0"/>
              <w:left w:val="single" w:color="auto" w:sz="6" w:space="0"/>
              <w:bottom w:val="single" w:color="000000" w:sz="4" w:space="0"/>
              <w:right w:val="single" w:color="000000" w:sz="4" w:space="0"/>
            </w:tcBorders>
            <w:vAlign w:val="center"/>
          </w:tcPr>
          <w:p w14:paraId="1985D9D0">
            <w:pPr>
              <w:jc w:val="center"/>
            </w:pPr>
            <w:r>
              <w:rPr>
                <w:rFonts w:hint="eastAsia" w:ascii="宋体" w:hAnsi="宋体" w:cs="宋体"/>
                <w:sz w:val="18"/>
                <w:szCs w:val="18"/>
              </w:rPr>
              <w:t>△</w:t>
            </w:r>
          </w:p>
        </w:tc>
        <w:tc>
          <w:tcPr>
            <w:tcW w:w="709" w:type="dxa"/>
            <w:tcBorders>
              <w:top w:val="single" w:color="000000" w:sz="4" w:space="0"/>
              <w:left w:val="single" w:color="auto" w:sz="6" w:space="0"/>
              <w:bottom w:val="single" w:color="000000" w:sz="4" w:space="0"/>
              <w:right w:val="single" w:color="000000" w:sz="4" w:space="0"/>
            </w:tcBorders>
            <w:vAlign w:val="center"/>
          </w:tcPr>
          <w:p w14:paraId="57F96EEE">
            <w:pPr>
              <w:spacing w:line="360" w:lineRule="auto"/>
              <w:jc w:val="center"/>
              <w:rPr>
                <w:rFonts w:ascii="宋体" w:hAnsi="宋体" w:cs="宋体"/>
                <w:sz w:val="18"/>
                <w:szCs w:val="18"/>
              </w:rPr>
            </w:pPr>
            <w:r>
              <w:rPr>
                <w:rFonts w:hint="eastAsia" w:ascii="宋体" w:hAnsi="宋体" w:cs="宋体"/>
                <w:sz w:val="18"/>
                <w:szCs w:val="18"/>
              </w:rPr>
              <w:t>△</w:t>
            </w:r>
          </w:p>
        </w:tc>
      </w:tr>
      <w:tr w14:paraId="5FD9CE0D">
        <w:tblPrEx>
          <w:tblCellMar>
            <w:top w:w="0" w:type="dxa"/>
            <w:left w:w="0" w:type="dxa"/>
            <w:bottom w:w="0" w:type="dxa"/>
            <w:right w:w="0" w:type="dxa"/>
          </w:tblCellMar>
        </w:tblPrEx>
        <w:trPr>
          <w:trHeight w:val="539" w:hRule="exact"/>
        </w:trPr>
        <w:tc>
          <w:tcPr>
            <w:tcW w:w="2484" w:type="dxa"/>
            <w:tcBorders>
              <w:top w:val="single" w:color="000000" w:sz="4" w:space="0"/>
              <w:left w:val="single" w:color="000000" w:sz="4" w:space="0"/>
              <w:bottom w:val="single" w:color="000000" w:sz="4" w:space="0"/>
              <w:right w:val="single" w:color="000000" w:sz="4" w:space="0"/>
            </w:tcBorders>
            <w:vAlign w:val="center"/>
          </w:tcPr>
          <w:p w14:paraId="259D7E56">
            <w:pPr>
              <w:spacing w:line="360" w:lineRule="auto"/>
              <w:rPr>
                <w:rFonts w:ascii="宋体" w:hAnsi="宋体" w:cs="宋体"/>
                <w:sz w:val="18"/>
                <w:szCs w:val="18"/>
              </w:rPr>
            </w:pPr>
          </w:p>
        </w:tc>
        <w:tc>
          <w:tcPr>
            <w:tcW w:w="2765" w:type="dxa"/>
            <w:tcBorders>
              <w:top w:val="single" w:color="000000" w:sz="4" w:space="0"/>
              <w:left w:val="single" w:color="000000" w:sz="4" w:space="0"/>
              <w:bottom w:val="single" w:color="000000" w:sz="4" w:space="0"/>
              <w:right w:val="single" w:color="auto" w:sz="4" w:space="0"/>
            </w:tcBorders>
            <w:vAlign w:val="center"/>
          </w:tcPr>
          <w:p w14:paraId="3EAF8422">
            <w:pPr>
              <w:spacing w:line="360" w:lineRule="auto"/>
              <w:rPr>
                <w:rFonts w:ascii="宋体" w:hAnsi="宋体" w:cs="宋体"/>
                <w:sz w:val="18"/>
                <w:szCs w:val="18"/>
              </w:rPr>
            </w:pPr>
          </w:p>
        </w:tc>
        <w:tc>
          <w:tcPr>
            <w:tcW w:w="3073" w:type="dxa"/>
            <w:tcBorders>
              <w:top w:val="single" w:color="000000" w:sz="4" w:space="0"/>
              <w:left w:val="single" w:color="000000" w:sz="4" w:space="0"/>
              <w:bottom w:val="single" w:color="000000" w:sz="4" w:space="0"/>
              <w:right w:val="single" w:color="auto" w:sz="4" w:space="0"/>
            </w:tcBorders>
            <w:vAlign w:val="center"/>
          </w:tcPr>
          <w:p w14:paraId="59544966">
            <w:pPr>
              <w:spacing w:line="360" w:lineRule="auto"/>
              <w:rPr>
                <w:rFonts w:ascii="宋体" w:hAnsi="宋体" w:cs="宋体"/>
                <w:sz w:val="18"/>
                <w:szCs w:val="18"/>
              </w:rPr>
            </w:pPr>
          </w:p>
        </w:tc>
        <w:tc>
          <w:tcPr>
            <w:tcW w:w="894" w:type="dxa"/>
            <w:tcBorders>
              <w:top w:val="single" w:color="000000" w:sz="4" w:space="0"/>
              <w:left w:val="single" w:color="000000" w:sz="4" w:space="0"/>
              <w:bottom w:val="single" w:color="000000" w:sz="4" w:space="0"/>
              <w:right w:val="single" w:color="000000" w:sz="4" w:space="0"/>
            </w:tcBorders>
            <w:vAlign w:val="center"/>
          </w:tcPr>
          <w:p w14:paraId="09E25E39">
            <w:pPr>
              <w:spacing w:line="360" w:lineRule="auto"/>
              <w:jc w:val="center"/>
              <w:rPr>
                <w:rFonts w:ascii="宋体" w:hAnsi="宋体" w:cs="宋体"/>
                <w:sz w:val="18"/>
                <w:szCs w:val="18"/>
              </w:rPr>
            </w:pPr>
          </w:p>
        </w:tc>
        <w:tc>
          <w:tcPr>
            <w:tcW w:w="712" w:type="dxa"/>
            <w:tcBorders>
              <w:top w:val="single" w:color="000000" w:sz="4" w:space="0"/>
              <w:left w:val="single" w:color="000000" w:sz="4" w:space="0"/>
              <w:bottom w:val="single" w:color="000000" w:sz="4" w:space="0"/>
              <w:right w:val="single" w:color="000000" w:sz="4" w:space="0"/>
            </w:tcBorders>
            <w:vAlign w:val="center"/>
          </w:tcPr>
          <w:p w14:paraId="664D7BD0">
            <w:pPr>
              <w:spacing w:line="360" w:lineRule="auto"/>
              <w:jc w:val="center"/>
              <w:rPr>
                <w:rFonts w:ascii="宋体" w:hAnsi="宋体" w:cs="宋体"/>
                <w:sz w:val="18"/>
                <w:szCs w:val="18"/>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001FC523">
            <w:pPr>
              <w:spacing w:line="360" w:lineRule="auto"/>
              <w:jc w:val="center"/>
              <w:rPr>
                <w:rFonts w:ascii="宋体" w:hAnsi="宋体" w:cs="宋体"/>
                <w:sz w:val="18"/>
                <w:szCs w:val="18"/>
              </w:rPr>
            </w:pPr>
          </w:p>
        </w:tc>
        <w:tc>
          <w:tcPr>
            <w:tcW w:w="709" w:type="dxa"/>
            <w:tcBorders>
              <w:top w:val="single" w:color="000000" w:sz="4" w:space="0"/>
              <w:left w:val="single" w:color="000000" w:sz="4" w:space="0"/>
              <w:bottom w:val="single" w:color="000000" w:sz="4" w:space="0"/>
              <w:right w:val="single" w:color="auto" w:sz="4" w:space="0"/>
            </w:tcBorders>
            <w:vAlign w:val="center"/>
          </w:tcPr>
          <w:p w14:paraId="3FDBFE39">
            <w:pPr>
              <w:jc w:val="center"/>
              <w:rPr>
                <w:rFonts w:ascii="宋体" w:hAnsi="宋体" w:cs="宋体"/>
                <w:sz w:val="18"/>
                <w:szCs w:val="18"/>
              </w:rPr>
            </w:pPr>
          </w:p>
        </w:tc>
        <w:tc>
          <w:tcPr>
            <w:tcW w:w="709" w:type="dxa"/>
            <w:tcBorders>
              <w:top w:val="single" w:color="000000" w:sz="4" w:space="0"/>
              <w:left w:val="single" w:color="auto" w:sz="4" w:space="0"/>
              <w:bottom w:val="single" w:color="000000" w:sz="4" w:space="0"/>
              <w:right w:val="single" w:color="auto" w:sz="6" w:space="0"/>
            </w:tcBorders>
            <w:vAlign w:val="center"/>
          </w:tcPr>
          <w:p w14:paraId="00E4753E">
            <w:pPr>
              <w:jc w:val="center"/>
              <w:rPr>
                <w:rFonts w:ascii="宋体" w:hAnsi="宋体" w:cs="宋体"/>
                <w:sz w:val="18"/>
                <w:szCs w:val="18"/>
              </w:rPr>
            </w:pPr>
          </w:p>
        </w:tc>
        <w:tc>
          <w:tcPr>
            <w:tcW w:w="709" w:type="dxa"/>
            <w:tcBorders>
              <w:top w:val="single" w:color="000000" w:sz="4" w:space="0"/>
              <w:left w:val="single" w:color="auto" w:sz="6" w:space="0"/>
              <w:bottom w:val="single" w:color="000000" w:sz="4" w:space="0"/>
              <w:right w:val="single" w:color="000000" w:sz="4" w:space="0"/>
            </w:tcBorders>
            <w:vAlign w:val="center"/>
          </w:tcPr>
          <w:p w14:paraId="5B0EA599">
            <w:pPr>
              <w:jc w:val="center"/>
              <w:rPr>
                <w:rFonts w:ascii="宋体" w:hAnsi="宋体" w:cs="宋体"/>
                <w:sz w:val="18"/>
                <w:szCs w:val="18"/>
              </w:rPr>
            </w:pPr>
          </w:p>
        </w:tc>
        <w:tc>
          <w:tcPr>
            <w:tcW w:w="709" w:type="dxa"/>
            <w:tcBorders>
              <w:top w:val="single" w:color="000000" w:sz="4" w:space="0"/>
              <w:left w:val="single" w:color="auto" w:sz="6" w:space="0"/>
              <w:bottom w:val="single" w:color="000000" w:sz="4" w:space="0"/>
              <w:right w:val="single" w:color="000000" w:sz="4" w:space="0"/>
            </w:tcBorders>
            <w:vAlign w:val="center"/>
          </w:tcPr>
          <w:p w14:paraId="5FC42484">
            <w:pPr>
              <w:spacing w:line="360" w:lineRule="auto"/>
              <w:jc w:val="center"/>
              <w:rPr>
                <w:rFonts w:ascii="宋体" w:hAnsi="宋体" w:cs="宋体"/>
                <w:sz w:val="18"/>
                <w:szCs w:val="18"/>
              </w:rPr>
            </w:pPr>
          </w:p>
        </w:tc>
      </w:tr>
      <w:tr w14:paraId="0926CA0E">
        <w:tblPrEx>
          <w:tblCellMar>
            <w:top w:w="0" w:type="dxa"/>
            <w:left w:w="0" w:type="dxa"/>
            <w:bottom w:w="0" w:type="dxa"/>
            <w:right w:w="0" w:type="dxa"/>
          </w:tblCellMar>
        </w:tblPrEx>
        <w:trPr>
          <w:trHeight w:val="539" w:hRule="exact"/>
        </w:trPr>
        <w:tc>
          <w:tcPr>
            <w:tcW w:w="2484" w:type="dxa"/>
            <w:tcBorders>
              <w:top w:val="single" w:color="000000" w:sz="4" w:space="0"/>
              <w:left w:val="single" w:color="000000" w:sz="4" w:space="0"/>
              <w:bottom w:val="single" w:color="000000" w:sz="4" w:space="0"/>
              <w:right w:val="single" w:color="000000" w:sz="4" w:space="0"/>
            </w:tcBorders>
            <w:vAlign w:val="center"/>
          </w:tcPr>
          <w:p w14:paraId="6D716E19">
            <w:pPr>
              <w:spacing w:line="360" w:lineRule="auto"/>
              <w:rPr>
                <w:rFonts w:ascii="宋体" w:hAnsi="宋体" w:cs="宋体"/>
                <w:sz w:val="18"/>
                <w:szCs w:val="18"/>
              </w:rPr>
            </w:pPr>
          </w:p>
        </w:tc>
        <w:tc>
          <w:tcPr>
            <w:tcW w:w="2765" w:type="dxa"/>
            <w:tcBorders>
              <w:top w:val="single" w:color="000000" w:sz="4" w:space="0"/>
              <w:left w:val="single" w:color="000000" w:sz="4" w:space="0"/>
              <w:bottom w:val="single" w:color="000000" w:sz="4" w:space="0"/>
              <w:right w:val="single" w:color="auto" w:sz="4" w:space="0"/>
            </w:tcBorders>
            <w:vAlign w:val="center"/>
          </w:tcPr>
          <w:p w14:paraId="7D45EA99">
            <w:pPr>
              <w:spacing w:line="360" w:lineRule="auto"/>
              <w:rPr>
                <w:rFonts w:ascii="宋体" w:hAnsi="宋体" w:cs="宋体"/>
                <w:sz w:val="18"/>
                <w:szCs w:val="18"/>
              </w:rPr>
            </w:pPr>
          </w:p>
        </w:tc>
        <w:tc>
          <w:tcPr>
            <w:tcW w:w="3073" w:type="dxa"/>
            <w:tcBorders>
              <w:top w:val="single" w:color="000000" w:sz="4" w:space="0"/>
              <w:left w:val="single" w:color="000000" w:sz="4" w:space="0"/>
              <w:bottom w:val="single" w:color="000000" w:sz="4" w:space="0"/>
              <w:right w:val="single" w:color="auto" w:sz="4" w:space="0"/>
            </w:tcBorders>
            <w:vAlign w:val="center"/>
          </w:tcPr>
          <w:p w14:paraId="17AB6E53">
            <w:pPr>
              <w:spacing w:line="360" w:lineRule="auto"/>
              <w:rPr>
                <w:rFonts w:ascii="宋体" w:hAnsi="宋体" w:cs="宋体"/>
                <w:sz w:val="18"/>
                <w:szCs w:val="18"/>
              </w:rPr>
            </w:pPr>
          </w:p>
        </w:tc>
        <w:tc>
          <w:tcPr>
            <w:tcW w:w="894" w:type="dxa"/>
            <w:tcBorders>
              <w:top w:val="single" w:color="000000" w:sz="4" w:space="0"/>
              <w:left w:val="single" w:color="000000" w:sz="4" w:space="0"/>
              <w:bottom w:val="single" w:color="000000" w:sz="4" w:space="0"/>
              <w:right w:val="single" w:color="000000" w:sz="4" w:space="0"/>
            </w:tcBorders>
            <w:vAlign w:val="center"/>
          </w:tcPr>
          <w:p w14:paraId="04F46845">
            <w:pPr>
              <w:spacing w:line="360" w:lineRule="auto"/>
              <w:jc w:val="center"/>
              <w:rPr>
                <w:rFonts w:ascii="宋体" w:hAnsi="宋体" w:cs="宋体"/>
                <w:sz w:val="18"/>
                <w:szCs w:val="18"/>
              </w:rPr>
            </w:pPr>
          </w:p>
        </w:tc>
        <w:tc>
          <w:tcPr>
            <w:tcW w:w="712" w:type="dxa"/>
            <w:tcBorders>
              <w:top w:val="single" w:color="000000" w:sz="4" w:space="0"/>
              <w:left w:val="single" w:color="000000" w:sz="4" w:space="0"/>
              <w:bottom w:val="single" w:color="000000" w:sz="4" w:space="0"/>
              <w:right w:val="single" w:color="000000" w:sz="4" w:space="0"/>
            </w:tcBorders>
            <w:vAlign w:val="center"/>
          </w:tcPr>
          <w:p w14:paraId="23150A67">
            <w:pPr>
              <w:spacing w:line="360" w:lineRule="auto"/>
              <w:jc w:val="center"/>
              <w:rPr>
                <w:rFonts w:ascii="宋体" w:hAnsi="宋体" w:cs="宋体"/>
                <w:sz w:val="18"/>
                <w:szCs w:val="18"/>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1E6E2568">
            <w:pPr>
              <w:spacing w:line="360" w:lineRule="auto"/>
              <w:jc w:val="center"/>
              <w:rPr>
                <w:rFonts w:ascii="宋体" w:hAnsi="宋体" w:cs="宋体"/>
                <w:sz w:val="18"/>
                <w:szCs w:val="18"/>
              </w:rPr>
            </w:pPr>
          </w:p>
        </w:tc>
        <w:tc>
          <w:tcPr>
            <w:tcW w:w="709" w:type="dxa"/>
            <w:tcBorders>
              <w:top w:val="single" w:color="000000" w:sz="4" w:space="0"/>
              <w:left w:val="single" w:color="000000" w:sz="4" w:space="0"/>
              <w:bottom w:val="single" w:color="000000" w:sz="4" w:space="0"/>
              <w:right w:val="single" w:color="auto" w:sz="4" w:space="0"/>
            </w:tcBorders>
            <w:vAlign w:val="center"/>
          </w:tcPr>
          <w:p w14:paraId="0F95E948">
            <w:pPr>
              <w:jc w:val="center"/>
              <w:rPr>
                <w:rFonts w:ascii="宋体" w:hAnsi="宋体" w:cs="宋体"/>
                <w:sz w:val="18"/>
                <w:szCs w:val="18"/>
              </w:rPr>
            </w:pPr>
          </w:p>
        </w:tc>
        <w:tc>
          <w:tcPr>
            <w:tcW w:w="709" w:type="dxa"/>
            <w:tcBorders>
              <w:top w:val="single" w:color="000000" w:sz="4" w:space="0"/>
              <w:left w:val="single" w:color="auto" w:sz="4" w:space="0"/>
              <w:bottom w:val="single" w:color="000000" w:sz="4" w:space="0"/>
              <w:right w:val="single" w:color="auto" w:sz="6" w:space="0"/>
            </w:tcBorders>
            <w:vAlign w:val="center"/>
          </w:tcPr>
          <w:p w14:paraId="28CD9EAD">
            <w:pPr>
              <w:jc w:val="center"/>
              <w:rPr>
                <w:rFonts w:ascii="宋体" w:hAnsi="宋体" w:cs="宋体"/>
                <w:sz w:val="18"/>
                <w:szCs w:val="18"/>
              </w:rPr>
            </w:pPr>
          </w:p>
        </w:tc>
        <w:tc>
          <w:tcPr>
            <w:tcW w:w="709" w:type="dxa"/>
            <w:tcBorders>
              <w:top w:val="single" w:color="000000" w:sz="4" w:space="0"/>
              <w:left w:val="single" w:color="auto" w:sz="6" w:space="0"/>
              <w:bottom w:val="single" w:color="000000" w:sz="4" w:space="0"/>
              <w:right w:val="single" w:color="000000" w:sz="4" w:space="0"/>
            </w:tcBorders>
            <w:vAlign w:val="center"/>
          </w:tcPr>
          <w:p w14:paraId="38FF3D92">
            <w:pPr>
              <w:jc w:val="center"/>
              <w:rPr>
                <w:rFonts w:ascii="宋体" w:hAnsi="宋体" w:cs="宋体"/>
                <w:sz w:val="18"/>
                <w:szCs w:val="18"/>
              </w:rPr>
            </w:pPr>
          </w:p>
        </w:tc>
        <w:tc>
          <w:tcPr>
            <w:tcW w:w="709" w:type="dxa"/>
            <w:tcBorders>
              <w:top w:val="single" w:color="000000" w:sz="4" w:space="0"/>
              <w:left w:val="single" w:color="auto" w:sz="6" w:space="0"/>
              <w:bottom w:val="single" w:color="000000" w:sz="4" w:space="0"/>
              <w:right w:val="single" w:color="000000" w:sz="4" w:space="0"/>
            </w:tcBorders>
            <w:vAlign w:val="center"/>
          </w:tcPr>
          <w:p w14:paraId="3061F7B9">
            <w:pPr>
              <w:spacing w:line="360" w:lineRule="auto"/>
              <w:jc w:val="center"/>
              <w:rPr>
                <w:rFonts w:ascii="宋体" w:hAnsi="宋体" w:cs="宋体"/>
                <w:sz w:val="18"/>
                <w:szCs w:val="18"/>
              </w:rPr>
            </w:pPr>
          </w:p>
        </w:tc>
      </w:tr>
      <w:tr w14:paraId="1B4085C7">
        <w:tblPrEx>
          <w:tblCellMar>
            <w:top w:w="0" w:type="dxa"/>
            <w:left w:w="0" w:type="dxa"/>
            <w:bottom w:w="0" w:type="dxa"/>
            <w:right w:w="0" w:type="dxa"/>
          </w:tblCellMar>
        </w:tblPrEx>
        <w:trPr>
          <w:trHeight w:val="539" w:hRule="exact"/>
        </w:trPr>
        <w:tc>
          <w:tcPr>
            <w:tcW w:w="2484" w:type="dxa"/>
            <w:tcBorders>
              <w:top w:val="single" w:color="000000" w:sz="4" w:space="0"/>
              <w:left w:val="single" w:color="000000" w:sz="4" w:space="0"/>
              <w:bottom w:val="single" w:color="000000" w:sz="4" w:space="0"/>
              <w:right w:val="single" w:color="000000" w:sz="4" w:space="0"/>
            </w:tcBorders>
            <w:vAlign w:val="center"/>
          </w:tcPr>
          <w:p w14:paraId="02BBD203">
            <w:pPr>
              <w:spacing w:line="360" w:lineRule="auto"/>
              <w:rPr>
                <w:rFonts w:ascii="宋体" w:hAnsi="宋体" w:cs="宋体"/>
                <w:sz w:val="18"/>
                <w:szCs w:val="18"/>
              </w:rPr>
            </w:pPr>
          </w:p>
        </w:tc>
        <w:tc>
          <w:tcPr>
            <w:tcW w:w="2765" w:type="dxa"/>
            <w:tcBorders>
              <w:top w:val="single" w:color="000000" w:sz="4" w:space="0"/>
              <w:left w:val="single" w:color="000000" w:sz="4" w:space="0"/>
              <w:bottom w:val="single" w:color="000000" w:sz="4" w:space="0"/>
              <w:right w:val="single" w:color="auto" w:sz="4" w:space="0"/>
            </w:tcBorders>
            <w:vAlign w:val="center"/>
          </w:tcPr>
          <w:p w14:paraId="05ABC0BB">
            <w:pPr>
              <w:spacing w:line="360" w:lineRule="auto"/>
              <w:rPr>
                <w:rFonts w:ascii="宋体" w:hAnsi="宋体" w:cs="宋体"/>
                <w:sz w:val="18"/>
                <w:szCs w:val="18"/>
              </w:rPr>
            </w:pPr>
          </w:p>
        </w:tc>
        <w:tc>
          <w:tcPr>
            <w:tcW w:w="3073" w:type="dxa"/>
            <w:tcBorders>
              <w:top w:val="single" w:color="000000" w:sz="4" w:space="0"/>
              <w:left w:val="single" w:color="000000" w:sz="4" w:space="0"/>
              <w:bottom w:val="single" w:color="000000" w:sz="4" w:space="0"/>
              <w:right w:val="single" w:color="auto" w:sz="4" w:space="0"/>
            </w:tcBorders>
            <w:vAlign w:val="center"/>
          </w:tcPr>
          <w:p w14:paraId="2770F565">
            <w:pPr>
              <w:spacing w:line="360" w:lineRule="auto"/>
              <w:rPr>
                <w:rFonts w:ascii="宋体" w:hAnsi="宋体" w:cs="宋体"/>
                <w:sz w:val="18"/>
                <w:szCs w:val="18"/>
              </w:rPr>
            </w:pPr>
          </w:p>
        </w:tc>
        <w:tc>
          <w:tcPr>
            <w:tcW w:w="894" w:type="dxa"/>
            <w:tcBorders>
              <w:top w:val="single" w:color="000000" w:sz="4" w:space="0"/>
              <w:left w:val="single" w:color="000000" w:sz="4" w:space="0"/>
              <w:bottom w:val="single" w:color="000000" w:sz="4" w:space="0"/>
              <w:right w:val="single" w:color="000000" w:sz="4" w:space="0"/>
            </w:tcBorders>
            <w:vAlign w:val="center"/>
          </w:tcPr>
          <w:p w14:paraId="162A395B">
            <w:pPr>
              <w:spacing w:line="360" w:lineRule="auto"/>
              <w:jc w:val="center"/>
              <w:rPr>
                <w:rFonts w:ascii="宋体" w:hAnsi="宋体" w:cs="宋体"/>
                <w:sz w:val="18"/>
                <w:szCs w:val="18"/>
              </w:rPr>
            </w:pPr>
          </w:p>
        </w:tc>
        <w:tc>
          <w:tcPr>
            <w:tcW w:w="712" w:type="dxa"/>
            <w:tcBorders>
              <w:top w:val="single" w:color="000000" w:sz="4" w:space="0"/>
              <w:left w:val="single" w:color="000000" w:sz="4" w:space="0"/>
              <w:bottom w:val="single" w:color="000000" w:sz="4" w:space="0"/>
              <w:right w:val="single" w:color="000000" w:sz="4" w:space="0"/>
            </w:tcBorders>
            <w:vAlign w:val="center"/>
          </w:tcPr>
          <w:p w14:paraId="17F9F22B">
            <w:pPr>
              <w:spacing w:line="360" w:lineRule="auto"/>
              <w:jc w:val="center"/>
              <w:rPr>
                <w:rFonts w:ascii="宋体" w:hAnsi="宋体" w:cs="宋体"/>
                <w:sz w:val="18"/>
                <w:szCs w:val="18"/>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02AFC26A">
            <w:pPr>
              <w:spacing w:line="360" w:lineRule="auto"/>
              <w:jc w:val="center"/>
              <w:rPr>
                <w:rFonts w:ascii="宋体" w:hAnsi="宋体" w:cs="宋体"/>
                <w:sz w:val="18"/>
                <w:szCs w:val="18"/>
              </w:rPr>
            </w:pPr>
          </w:p>
        </w:tc>
        <w:tc>
          <w:tcPr>
            <w:tcW w:w="709" w:type="dxa"/>
            <w:tcBorders>
              <w:top w:val="single" w:color="000000" w:sz="4" w:space="0"/>
              <w:left w:val="single" w:color="000000" w:sz="4" w:space="0"/>
              <w:bottom w:val="single" w:color="000000" w:sz="4" w:space="0"/>
              <w:right w:val="single" w:color="auto" w:sz="4" w:space="0"/>
            </w:tcBorders>
            <w:vAlign w:val="center"/>
          </w:tcPr>
          <w:p w14:paraId="3B81F47E">
            <w:pPr>
              <w:jc w:val="center"/>
              <w:rPr>
                <w:rFonts w:ascii="宋体" w:hAnsi="宋体" w:cs="宋体"/>
                <w:sz w:val="18"/>
                <w:szCs w:val="18"/>
              </w:rPr>
            </w:pPr>
          </w:p>
        </w:tc>
        <w:tc>
          <w:tcPr>
            <w:tcW w:w="709" w:type="dxa"/>
            <w:tcBorders>
              <w:top w:val="single" w:color="000000" w:sz="4" w:space="0"/>
              <w:left w:val="single" w:color="auto" w:sz="4" w:space="0"/>
              <w:bottom w:val="single" w:color="000000" w:sz="4" w:space="0"/>
              <w:right w:val="single" w:color="auto" w:sz="6" w:space="0"/>
            </w:tcBorders>
            <w:vAlign w:val="center"/>
          </w:tcPr>
          <w:p w14:paraId="6E0B63CF">
            <w:pPr>
              <w:jc w:val="center"/>
              <w:rPr>
                <w:rFonts w:ascii="宋体" w:hAnsi="宋体" w:cs="宋体"/>
                <w:sz w:val="18"/>
                <w:szCs w:val="18"/>
              </w:rPr>
            </w:pPr>
          </w:p>
        </w:tc>
        <w:tc>
          <w:tcPr>
            <w:tcW w:w="709" w:type="dxa"/>
            <w:tcBorders>
              <w:top w:val="single" w:color="000000" w:sz="4" w:space="0"/>
              <w:left w:val="single" w:color="auto" w:sz="6" w:space="0"/>
              <w:bottom w:val="single" w:color="000000" w:sz="4" w:space="0"/>
              <w:right w:val="single" w:color="000000" w:sz="4" w:space="0"/>
            </w:tcBorders>
            <w:vAlign w:val="center"/>
          </w:tcPr>
          <w:p w14:paraId="17A723FD">
            <w:pPr>
              <w:jc w:val="center"/>
              <w:rPr>
                <w:rFonts w:ascii="宋体" w:hAnsi="宋体" w:cs="宋体"/>
                <w:sz w:val="18"/>
                <w:szCs w:val="18"/>
              </w:rPr>
            </w:pPr>
          </w:p>
        </w:tc>
        <w:tc>
          <w:tcPr>
            <w:tcW w:w="709" w:type="dxa"/>
            <w:tcBorders>
              <w:top w:val="single" w:color="000000" w:sz="4" w:space="0"/>
              <w:left w:val="single" w:color="auto" w:sz="6" w:space="0"/>
              <w:bottom w:val="single" w:color="000000" w:sz="4" w:space="0"/>
              <w:right w:val="single" w:color="000000" w:sz="4" w:space="0"/>
            </w:tcBorders>
            <w:vAlign w:val="center"/>
          </w:tcPr>
          <w:p w14:paraId="3F6FB220">
            <w:pPr>
              <w:spacing w:line="360" w:lineRule="auto"/>
              <w:jc w:val="center"/>
              <w:rPr>
                <w:rFonts w:ascii="宋体" w:hAnsi="宋体" w:cs="宋体"/>
                <w:sz w:val="18"/>
                <w:szCs w:val="18"/>
              </w:rPr>
            </w:pPr>
          </w:p>
        </w:tc>
      </w:tr>
      <w:tr w14:paraId="6E87A87E">
        <w:tblPrEx>
          <w:tblCellMar>
            <w:top w:w="0" w:type="dxa"/>
            <w:left w:w="0" w:type="dxa"/>
            <w:bottom w:w="0" w:type="dxa"/>
            <w:right w:w="0" w:type="dxa"/>
          </w:tblCellMar>
        </w:tblPrEx>
        <w:trPr>
          <w:trHeight w:val="539" w:hRule="exact"/>
        </w:trPr>
        <w:tc>
          <w:tcPr>
            <w:tcW w:w="2484" w:type="dxa"/>
            <w:tcBorders>
              <w:top w:val="single" w:color="000000" w:sz="4" w:space="0"/>
              <w:left w:val="single" w:color="000000" w:sz="4" w:space="0"/>
              <w:bottom w:val="single" w:color="000000" w:sz="4" w:space="0"/>
              <w:right w:val="single" w:color="000000" w:sz="4" w:space="0"/>
            </w:tcBorders>
            <w:vAlign w:val="center"/>
          </w:tcPr>
          <w:p w14:paraId="0FD4B662">
            <w:pPr>
              <w:spacing w:line="360" w:lineRule="auto"/>
              <w:rPr>
                <w:rFonts w:ascii="宋体" w:hAnsi="宋体" w:cs="宋体"/>
                <w:sz w:val="18"/>
                <w:szCs w:val="18"/>
              </w:rPr>
            </w:pPr>
          </w:p>
        </w:tc>
        <w:tc>
          <w:tcPr>
            <w:tcW w:w="2765" w:type="dxa"/>
            <w:tcBorders>
              <w:top w:val="single" w:color="000000" w:sz="4" w:space="0"/>
              <w:left w:val="single" w:color="000000" w:sz="4" w:space="0"/>
              <w:bottom w:val="single" w:color="000000" w:sz="4" w:space="0"/>
              <w:right w:val="single" w:color="auto" w:sz="4" w:space="0"/>
            </w:tcBorders>
            <w:vAlign w:val="center"/>
          </w:tcPr>
          <w:p w14:paraId="06EF818C">
            <w:pPr>
              <w:spacing w:line="360" w:lineRule="auto"/>
              <w:rPr>
                <w:rFonts w:ascii="宋体" w:hAnsi="宋体" w:cs="宋体"/>
                <w:sz w:val="18"/>
                <w:szCs w:val="18"/>
              </w:rPr>
            </w:pPr>
          </w:p>
        </w:tc>
        <w:tc>
          <w:tcPr>
            <w:tcW w:w="3073" w:type="dxa"/>
            <w:tcBorders>
              <w:top w:val="single" w:color="000000" w:sz="4" w:space="0"/>
              <w:left w:val="single" w:color="000000" w:sz="4" w:space="0"/>
              <w:bottom w:val="single" w:color="000000" w:sz="4" w:space="0"/>
              <w:right w:val="single" w:color="auto" w:sz="4" w:space="0"/>
            </w:tcBorders>
            <w:vAlign w:val="center"/>
          </w:tcPr>
          <w:p w14:paraId="2C66831C">
            <w:pPr>
              <w:spacing w:line="360" w:lineRule="auto"/>
              <w:rPr>
                <w:rFonts w:ascii="宋体" w:hAnsi="宋体" w:cs="宋体"/>
                <w:sz w:val="18"/>
                <w:szCs w:val="18"/>
              </w:rPr>
            </w:pPr>
          </w:p>
        </w:tc>
        <w:tc>
          <w:tcPr>
            <w:tcW w:w="894" w:type="dxa"/>
            <w:tcBorders>
              <w:top w:val="single" w:color="000000" w:sz="4" w:space="0"/>
              <w:left w:val="single" w:color="000000" w:sz="4" w:space="0"/>
              <w:bottom w:val="single" w:color="000000" w:sz="4" w:space="0"/>
              <w:right w:val="single" w:color="000000" w:sz="4" w:space="0"/>
            </w:tcBorders>
            <w:vAlign w:val="center"/>
          </w:tcPr>
          <w:p w14:paraId="52274E79">
            <w:pPr>
              <w:spacing w:line="360" w:lineRule="auto"/>
              <w:jc w:val="center"/>
              <w:rPr>
                <w:rFonts w:ascii="宋体" w:hAnsi="宋体" w:cs="宋体"/>
                <w:sz w:val="18"/>
                <w:szCs w:val="18"/>
              </w:rPr>
            </w:pPr>
          </w:p>
        </w:tc>
        <w:tc>
          <w:tcPr>
            <w:tcW w:w="712" w:type="dxa"/>
            <w:tcBorders>
              <w:top w:val="single" w:color="000000" w:sz="4" w:space="0"/>
              <w:left w:val="single" w:color="000000" w:sz="4" w:space="0"/>
              <w:bottom w:val="single" w:color="000000" w:sz="4" w:space="0"/>
              <w:right w:val="single" w:color="000000" w:sz="4" w:space="0"/>
            </w:tcBorders>
            <w:vAlign w:val="center"/>
          </w:tcPr>
          <w:p w14:paraId="11D57AF3">
            <w:pPr>
              <w:spacing w:line="360" w:lineRule="auto"/>
              <w:jc w:val="center"/>
              <w:rPr>
                <w:rFonts w:ascii="宋体" w:hAnsi="宋体" w:cs="宋体"/>
                <w:sz w:val="18"/>
                <w:szCs w:val="18"/>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5C42D73B">
            <w:pPr>
              <w:spacing w:line="360" w:lineRule="auto"/>
              <w:jc w:val="center"/>
              <w:rPr>
                <w:rFonts w:ascii="宋体" w:hAnsi="宋体" w:cs="宋体"/>
                <w:sz w:val="18"/>
                <w:szCs w:val="18"/>
              </w:rPr>
            </w:pPr>
          </w:p>
        </w:tc>
        <w:tc>
          <w:tcPr>
            <w:tcW w:w="709" w:type="dxa"/>
            <w:tcBorders>
              <w:top w:val="single" w:color="000000" w:sz="4" w:space="0"/>
              <w:left w:val="single" w:color="000000" w:sz="4" w:space="0"/>
              <w:bottom w:val="single" w:color="000000" w:sz="4" w:space="0"/>
              <w:right w:val="single" w:color="auto" w:sz="4" w:space="0"/>
            </w:tcBorders>
            <w:vAlign w:val="center"/>
          </w:tcPr>
          <w:p w14:paraId="6CCEAA81">
            <w:pPr>
              <w:jc w:val="center"/>
              <w:rPr>
                <w:rFonts w:ascii="宋体" w:hAnsi="宋体" w:cs="宋体"/>
                <w:sz w:val="18"/>
                <w:szCs w:val="18"/>
              </w:rPr>
            </w:pPr>
          </w:p>
        </w:tc>
        <w:tc>
          <w:tcPr>
            <w:tcW w:w="709" w:type="dxa"/>
            <w:tcBorders>
              <w:top w:val="single" w:color="000000" w:sz="4" w:space="0"/>
              <w:left w:val="single" w:color="auto" w:sz="4" w:space="0"/>
              <w:bottom w:val="single" w:color="000000" w:sz="4" w:space="0"/>
              <w:right w:val="single" w:color="auto" w:sz="6" w:space="0"/>
            </w:tcBorders>
            <w:vAlign w:val="center"/>
          </w:tcPr>
          <w:p w14:paraId="06B794F5">
            <w:pPr>
              <w:jc w:val="center"/>
              <w:rPr>
                <w:rFonts w:ascii="宋体" w:hAnsi="宋体" w:cs="宋体"/>
                <w:sz w:val="18"/>
                <w:szCs w:val="18"/>
              </w:rPr>
            </w:pPr>
          </w:p>
        </w:tc>
        <w:tc>
          <w:tcPr>
            <w:tcW w:w="709" w:type="dxa"/>
            <w:tcBorders>
              <w:top w:val="single" w:color="000000" w:sz="4" w:space="0"/>
              <w:left w:val="single" w:color="auto" w:sz="6" w:space="0"/>
              <w:bottom w:val="single" w:color="000000" w:sz="4" w:space="0"/>
              <w:right w:val="single" w:color="000000" w:sz="4" w:space="0"/>
            </w:tcBorders>
            <w:vAlign w:val="center"/>
          </w:tcPr>
          <w:p w14:paraId="27CA0D4A">
            <w:pPr>
              <w:jc w:val="center"/>
              <w:rPr>
                <w:rFonts w:ascii="宋体" w:hAnsi="宋体" w:cs="宋体"/>
                <w:sz w:val="18"/>
                <w:szCs w:val="18"/>
              </w:rPr>
            </w:pPr>
          </w:p>
        </w:tc>
        <w:tc>
          <w:tcPr>
            <w:tcW w:w="709" w:type="dxa"/>
            <w:tcBorders>
              <w:top w:val="single" w:color="000000" w:sz="4" w:space="0"/>
              <w:left w:val="single" w:color="auto" w:sz="6" w:space="0"/>
              <w:bottom w:val="single" w:color="000000" w:sz="4" w:space="0"/>
              <w:right w:val="single" w:color="000000" w:sz="4" w:space="0"/>
            </w:tcBorders>
            <w:vAlign w:val="center"/>
          </w:tcPr>
          <w:p w14:paraId="66CCD023">
            <w:pPr>
              <w:spacing w:line="360" w:lineRule="auto"/>
              <w:jc w:val="center"/>
              <w:rPr>
                <w:rFonts w:ascii="宋体" w:hAnsi="宋体" w:cs="宋体"/>
                <w:sz w:val="18"/>
                <w:szCs w:val="18"/>
              </w:rPr>
            </w:pPr>
          </w:p>
        </w:tc>
      </w:tr>
      <w:tr w14:paraId="0D438A1D">
        <w:tblPrEx>
          <w:tblCellMar>
            <w:top w:w="0" w:type="dxa"/>
            <w:left w:w="0" w:type="dxa"/>
            <w:bottom w:w="0" w:type="dxa"/>
            <w:right w:w="0" w:type="dxa"/>
          </w:tblCellMar>
        </w:tblPrEx>
        <w:trPr>
          <w:trHeight w:val="539" w:hRule="exact"/>
        </w:trPr>
        <w:tc>
          <w:tcPr>
            <w:tcW w:w="2484" w:type="dxa"/>
            <w:tcBorders>
              <w:top w:val="single" w:color="000000" w:sz="4" w:space="0"/>
              <w:left w:val="single" w:color="000000" w:sz="4" w:space="0"/>
              <w:bottom w:val="single" w:color="000000" w:sz="4" w:space="0"/>
              <w:right w:val="single" w:color="000000" w:sz="4" w:space="0"/>
            </w:tcBorders>
            <w:vAlign w:val="center"/>
          </w:tcPr>
          <w:p w14:paraId="36588C46">
            <w:pPr>
              <w:spacing w:line="360" w:lineRule="auto"/>
              <w:rPr>
                <w:rFonts w:ascii="宋体" w:hAnsi="宋体" w:cs="宋体"/>
                <w:sz w:val="18"/>
                <w:szCs w:val="18"/>
              </w:rPr>
            </w:pPr>
          </w:p>
        </w:tc>
        <w:tc>
          <w:tcPr>
            <w:tcW w:w="2765" w:type="dxa"/>
            <w:tcBorders>
              <w:top w:val="single" w:color="000000" w:sz="4" w:space="0"/>
              <w:left w:val="single" w:color="000000" w:sz="4" w:space="0"/>
              <w:bottom w:val="single" w:color="000000" w:sz="4" w:space="0"/>
              <w:right w:val="single" w:color="auto" w:sz="4" w:space="0"/>
            </w:tcBorders>
            <w:vAlign w:val="center"/>
          </w:tcPr>
          <w:p w14:paraId="37D1B3E5">
            <w:pPr>
              <w:spacing w:line="360" w:lineRule="auto"/>
              <w:rPr>
                <w:rFonts w:ascii="宋体" w:hAnsi="宋体" w:cs="宋体"/>
                <w:sz w:val="18"/>
                <w:szCs w:val="18"/>
              </w:rPr>
            </w:pPr>
          </w:p>
        </w:tc>
        <w:tc>
          <w:tcPr>
            <w:tcW w:w="3073" w:type="dxa"/>
            <w:tcBorders>
              <w:top w:val="single" w:color="000000" w:sz="4" w:space="0"/>
              <w:left w:val="single" w:color="000000" w:sz="4" w:space="0"/>
              <w:bottom w:val="single" w:color="000000" w:sz="4" w:space="0"/>
              <w:right w:val="single" w:color="auto" w:sz="4" w:space="0"/>
            </w:tcBorders>
            <w:vAlign w:val="center"/>
          </w:tcPr>
          <w:p w14:paraId="371F276C">
            <w:pPr>
              <w:spacing w:line="360" w:lineRule="auto"/>
              <w:rPr>
                <w:rFonts w:ascii="宋体" w:hAnsi="宋体" w:cs="宋体"/>
                <w:sz w:val="18"/>
                <w:szCs w:val="18"/>
              </w:rPr>
            </w:pPr>
          </w:p>
        </w:tc>
        <w:tc>
          <w:tcPr>
            <w:tcW w:w="894" w:type="dxa"/>
            <w:tcBorders>
              <w:top w:val="single" w:color="000000" w:sz="4" w:space="0"/>
              <w:left w:val="single" w:color="000000" w:sz="4" w:space="0"/>
              <w:bottom w:val="single" w:color="000000" w:sz="4" w:space="0"/>
              <w:right w:val="single" w:color="000000" w:sz="4" w:space="0"/>
            </w:tcBorders>
            <w:vAlign w:val="center"/>
          </w:tcPr>
          <w:p w14:paraId="2966501B">
            <w:pPr>
              <w:spacing w:line="360" w:lineRule="auto"/>
              <w:jc w:val="center"/>
              <w:rPr>
                <w:rFonts w:ascii="宋体" w:hAnsi="宋体" w:cs="宋体"/>
                <w:sz w:val="18"/>
                <w:szCs w:val="18"/>
              </w:rPr>
            </w:pPr>
          </w:p>
        </w:tc>
        <w:tc>
          <w:tcPr>
            <w:tcW w:w="712" w:type="dxa"/>
            <w:tcBorders>
              <w:top w:val="single" w:color="000000" w:sz="4" w:space="0"/>
              <w:left w:val="single" w:color="000000" w:sz="4" w:space="0"/>
              <w:bottom w:val="single" w:color="000000" w:sz="4" w:space="0"/>
              <w:right w:val="single" w:color="000000" w:sz="4" w:space="0"/>
            </w:tcBorders>
            <w:vAlign w:val="center"/>
          </w:tcPr>
          <w:p w14:paraId="5892D686">
            <w:pPr>
              <w:spacing w:line="360" w:lineRule="auto"/>
              <w:jc w:val="center"/>
              <w:rPr>
                <w:rFonts w:ascii="宋体" w:hAnsi="宋体" w:cs="宋体"/>
                <w:sz w:val="18"/>
                <w:szCs w:val="18"/>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63A1A913">
            <w:pPr>
              <w:spacing w:line="360" w:lineRule="auto"/>
              <w:jc w:val="center"/>
              <w:rPr>
                <w:rFonts w:ascii="宋体" w:hAnsi="宋体" w:cs="宋体"/>
                <w:sz w:val="18"/>
                <w:szCs w:val="18"/>
              </w:rPr>
            </w:pPr>
          </w:p>
        </w:tc>
        <w:tc>
          <w:tcPr>
            <w:tcW w:w="709" w:type="dxa"/>
            <w:tcBorders>
              <w:top w:val="single" w:color="000000" w:sz="4" w:space="0"/>
              <w:left w:val="single" w:color="000000" w:sz="4" w:space="0"/>
              <w:bottom w:val="single" w:color="000000" w:sz="4" w:space="0"/>
              <w:right w:val="single" w:color="auto" w:sz="4" w:space="0"/>
            </w:tcBorders>
            <w:vAlign w:val="center"/>
          </w:tcPr>
          <w:p w14:paraId="6DD52695">
            <w:pPr>
              <w:jc w:val="center"/>
              <w:rPr>
                <w:rFonts w:ascii="宋体" w:hAnsi="宋体" w:cs="宋体"/>
                <w:sz w:val="18"/>
                <w:szCs w:val="18"/>
              </w:rPr>
            </w:pPr>
          </w:p>
        </w:tc>
        <w:tc>
          <w:tcPr>
            <w:tcW w:w="709" w:type="dxa"/>
            <w:tcBorders>
              <w:top w:val="single" w:color="000000" w:sz="4" w:space="0"/>
              <w:left w:val="single" w:color="auto" w:sz="4" w:space="0"/>
              <w:bottom w:val="single" w:color="000000" w:sz="4" w:space="0"/>
              <w:right w:val="single" w:color="auto" w:sz="6" w:space="0"/>
            </w:tcBorders>
            <w:vAlign w:val="center"/>
          </w:tcPr>
          <w:p w14:paraId="2A3F43FE">
            <w:pPr>
              <w:jc w:val="center"/>
              <w:rPr>
                <w:rFonts w:ascii="宋体" w:hAnsi="宋体" w:cs="宋体"/>
                <w:sz w:val="18"/>
                <w:szCs w:val="18"/>
              </w:rPr>
            </w:pPr>
          </w:p>
        </w:tc>
        <w:tc>
          <w:tcPr>
            <w:tcW w:w="709" w:type="dxa"/>
            <w:tcBorders>
              <w:top w:val="single" w:color="000000" w:sz="4" w:space="0"/>
              <w:left w:val="single" w:color="auto" w:sz="6" w:space="0"/>
              <w:bottom w:val="single" w:color="000000" w:sz="4" w:space="0"/>
              <w:right w:val="single" w:color="000000" w:sz="4" w:space="0"/>
            </w:tcBorders>
            <w:vAlign w:val="center"/>
          </w:tcPr>
          <w:p w14:paraId="4F58A90D">
            <w:pPr>
              <w:jc w:val="center"/>
              <w:rPr>
                <w:rFonts w:ascii="宋体" w:hAnsi="宋体" w:cs="宋体"/>
                <w:sz w:val="18"/>
                <w:szCs w:val="18"/>
              </w:rPr>
            </w:pPr>
          </w:p>
        </w:tc>
        <w:tc>
          <w:tcPr>
            <w:tcW w:w="709" w:type="dxa"/>
            <w:tcBorders>
              <w:top w:val="single" w:color="000000" w:sz="4" w:space="0"/>
              <w:left w:val="single" w:color="auto" w:sz="6" w:space="0"/>
              <w:bottom w:val="single" w:color="000000" w:sz="4" w:space="0"/>
              <w:right w:val="single" w:color="000000" w:sz="4" w:space="0"/>
            </w:tcBorders>
            <w:vAlign w:val="center"/>
          </w:tcPr>
          <w:p w14:paraId="7767D6F9">
            <w:pPr>
              <w:spacing w:line="360" w:lineRule="auto"/>
              <w:jc w:val="center"/>
              <w:rPr>
                <w:rFonts w:ascii="宋体" w:hAnsi="宋体" w:cs="宋体"/>
                <w:sz w:val="18"/>
                <w:szCs w:val="18"/>
              </w:rPr>
            </w:pPr>
          </w:p>
        </w:tc>
      </w:tr>
      <w:tr w14:paraId="3708C48A">
        <w:tblPrEx>
          <w:tblCellMar>
            <w:top w:w="0" w:type="dxa"/>
            <w:left w:w="0" w:type="dxa"/>
            <w:bottom w:w="0" w:type="dxa"/>
            <w:right w:w="0" w:type="dxa"/>
          </w:tblCellMar>
        </w:tblPrEx>
        <w:trPr>
          <w:trHeight w:val="539" w:hRule="exact"/>
        </w:trPr>
        <w:tc>
          <w:tcPr>
            <w:tcW w:w="2484" w:type="dxa"/>
            <w:tcBorders>
              <w:top w:val="single" w:color="000000" w:sz="4" w:space="0"/>
              <w:left w:val="single" w:color="000000" w:sz="4" w:space="0"/>
              <w:bottom w:val="single" w:color="000000" w:sz="4" w:space="0"/>
              <w:right w:val="single" w:color="000000" w:sz="4" w:space="0"/>
            </w:tcBorders>
            <w:vAlign w:val="center"/>
          </w:tcPr>
          <w:p w14:paraId="228AA81B">
            <w:pPr>
              <w:spacing w:line="360" w:lineRule="auto"/>
              <w:rPr>
                <w:rFonts w:ascii="宋体" w:hAnsi="宋体" w:cs="宋体"/>
                <w:sz w:val="18"/>
                <w:szCs w:val="18"/>
              </w:rPr>
            </w:pPr>
          </w:p>
        </w:tc>
        <w:tc>
          <w:tcPr>
            <w:tcW w:w="2765" w:type="dxa"/>
            <w:tcBorders>
              <w:top w:val="single" w:color="000000" w:sz="4" w:space="0"/>
              <w:left w:val="single" w:color="000000" w:sz="4" w:space="0"/>
              <w:bottom w:val="single" w:color="000000" w:sz="4" w:space="0"/>
              <w:right w:val="single" w:color="auto" w:sz="4" w:space="0"/>
            </w:tcBorders>
            <w:vAlign w:val="center"/>
          </w:tcPr>
          <w:p w14:paraId="0870C8FC">
            <w:pPr>
              <w:spacing w:line="360" w:lineRule="auto"/>
              <w:rPr>
                <w:rFonts w:ascii="宋体" w:hAnsi="宋体" w:cs="宋体"/>
                <w:sz w:val="18"/>
                <w:szCs w:val="18"/>
              </w:rPr>
            </w:pPr>
          </w:p>
        </w:tc>
        <w:tc>
          <w:tcPr>
            <w:tcW w:w="3073" w:type="dxa"/>
            <w:tcBorders>
              <w:top w:val="single" w:color="000000" w:sz="4" w:space="0"/>
              <w:left w:val="single" w:color="000000" w:sz="4" w:space="0"/>
              <w:bottom w:val="single" w:color="000000" w:sz="4" w:space="0"/>
              <w:right w:val="single" w:color="auto" w:sz="4" w:space="0"/>
            </w:tcBorders>
            <w:vAlign w:val="center"/>
          </w:tcPr>
          <w:p w14:paraId="5E92E79F">
            <w:pPr>
              <w:spacing w:line="360" w:lineRule="auto"/>
              <w:rPr>
                <w:rFonts w:ascii="宋体" w:hAnsi="宋体" w:cs="宋体"/>
                <w:sz w:val="18"/>
                <w:szCs w:val="18"/>
              </w:rPr>
            </w:pPr>
          </w:p>
        </w:tc>
        <w:tc>
          <w:tcPr>
            <w:tcW w:w="894" w:type="dxa"/>
            <w:tcBorders>
              <w:top w:val="single" w:color="000000" w:sz="4" w:space="0"/>
              <w:left w:val="single" w:color="000000" w:sz="4" w:space="0"/>
              <w:bottom w:val="single" w:color="000000" w:sz="4" w:space="0"/>
              <w:right w:val="single" w:color="000000" w:sz="4" w:space="0"/>
            </w:tcBorders>
            <w:vAlign w:val="center"/>
          </w:tcPr>
          <w:p w14:paraId="5F0DBA13">
            <w:pPr>
              <w:spacing w:line="360" w:lineRule="auto"/>
              <w:jc w:val="center"/>
              <w:rPr>
                <w:rFonts w:ascii="宋体" w:hAnsi="宋体" w:cs="宋体"/>
                <w:sz w:val="18"/>
                <w:szCs w:val="18"/>
              </w:rPr>
            </w:pPr>
          </w:p>
        </w:tc>
        <w:tc>
          <w:tcPr>
            <w:tcW w:w="712" w:type="dxa"/>
            <w:tcBorders>
              <w:top w:val="single" w:color="000000" w:sz="4" w:space="0"/>
              <w:left w:val="single" w:color="000000" w:sz="4" w:space="0"/>
              <w:bottom w:val="single" w:color="000000" w:sz="4" w:space="0"/>
              <w:right w:val="single" w:color="000000" w:sz="4" w:space="0"/>
            </w:tcBorders>
            <w:vAlign w:val="center"/>
          </w:tcPr>
          <w:p w14:paraId="18768F72">
            <w:pPr>
              <w:spacing w:line="360" w:lineRule="auto"/>
              <w:jc w:val="center"/>
              <w:rPr>
                <w:rFonts w:ascii="宋体" w:hAnsi="宋体" w:cs="宋体"/>
                <w:sz w:val="18"/>
                <w:szCs w:val="18"/>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779C8028">
            <w:pPr>
              <w:spacing w:line="360" w:lineRule="auto"/>
              <w:jc w:val="center"/>
              <w:rPr>
                <w:rFonts w:ascii="宋体" w:hAnsi="宋体" w:cs="宋体"/>
                <w:sz w:val="18"/>
                <w:szCs w:val="18"/>
              </w:rPr>
            </w:pPr>
          </w:p>
        </w:tc>
        <w:tc>
          <w:tcPr>
            <w:tcW w:w="709" w:type="dxa"/>
            <w:tcBorders>
              <w:top w:val="single" w:color="000000" w:sz="4" w:space="0"/>
              <w:left w:val="single" w:color="000000" w:sz="4" w:space="0"/>
              <w:bottom w:val="single" w:color="000000" w:sz="4" w:space="0"/>
              <w:right w:val="single" w:color="auto" w:sz="4" w:space="0"/>
            </w:tcBorders>
            <w:vAlign w:val="center"/>
          </w:tcPr>
          <w:p w14:paraId="19584D0D">
            <w:pPr>
              <w:jc w:val="center"/>
              <w:rPr>
                <w:rFonts w:ascii="宋体" w:hAnsi="宋体" w:cs="宋体"/>
                <w:sz w:val="18"/>
                <w:szCs w:val="18"/>
              </w:rPr>
            </w:pPr>
          </w:p>
        </w:tc>
        <w:tc>
          <w:tcPr>
            <w:tcW w:w="709" w:type="dxa"/>
            <w:tcBorders>
              <w:top w:val="single" w:color="000000" w:sz="4" w:space="0"/>
              <w:left w:val="single" w:color="auto" w:sz="4" w:space="0"/>
              <w:bottom w:val="single" w:color="000000" w:sz="4" w:space="0"/>
              <w:right w:val="single" w:color="auto" w:sz="6" w:space="0"/>
            </w:tcBorders>
            <w:vAlign w:val="center"/>
          </w:tcPr>
          <w:p w14:paraId="75425F76">
            <w:pPr>
              <w:jc w:val="center"/>
              <w:rPr>
                <w:rFonts w:ascii="宋体" w:hAnsi="宋体" w:cs="宋体"/>
                <w:sz w:val="18"/>
                <w:szCs w:val="18"/>
              </w:rPr>
            </w:pPr>
          </w:p>
        </w:tc>
        <w:tc>
          <w:tcPr>
            <w:tcW w:w="709" w:type="dxa"/>
            <w:tcBorders>
              <w:top w:val="single" w:color="000000" w:sz="4" w:space="0"/>
              <w:left w:val="single" w:color="auto" w:sz="6" w:space="0"/>
              <w:bottom w:val="single" w:color="000000" w:sz="4" w:space="0"/>
              <w:right w:val="single" w:color="000000" w:sz="4" w:space="0"/>
            </w:tcBorders>
            <w:vAlign w:val="center"/>
          </w:tcPr>
          <w:p w14:paraId="3CDA6849">
            <w:pPr>
              <w:jc w:val="center"/>
              <w:rPr>
                <w:rFonts w:ascii="宋体" w:hAnsi="宋体" w:cs="宋体"/>
                <w:sz w:val="18"/>
                <w:szCs w:val="18"/>
              </w:rPr>
            </w:pPr>
          </w:p>
        </w:tc>
        <w:tc>
          <w:tcPr>
            <w:tcW w:w="709" w:type="dxa"/>
            <w:tcBorders>
              <w:top w:val="single" w:color="000000" w:sz="4" w:space="0"/>
              <w:left w:val="single" w:color="auto" w:sz="6" w:space="0"/>
              <w:bottom w:val="single" w:color="000000" w:sz="4" w:space="0"/>
              <w:right w:val="single" w:color="000000" w:sz="4" w:space="0"/>
            </w:tcBorders>
            <w:vAlign w:val="center"/>
          </w:tcPr>
          <w:p w14:paraId="58F4494A">
            <w:pPr>
              <w:spacing w:line="360" w:lineRule="auto"/>
              <w:jc w:val="center"/>
              <w:rPr>
                <w:rFonts w:ascii="宋体" w:hAnsi="宋体" w:cs="宋体"/>
                <w:sz w:val="18"/>
                <w:szCs w:val="18"/>
              </w:rPr>
            </w:pPr>
          </w:p>
        </w:tc>
      </w:tr>
    </w:tbl>
    <w:p w14:paraId="150DD39C">
      <w:pPr>
        <w:spacing w:line="400" w:lineRule="exact"/>
        <w:rPr>
          <w:rFonts w:asciiTheme="minorEastAsia" w:hAnsiTheme="minorEastAsia"/>
          <w:sz w:val="28"/>
          <w:szCs w:val="28"/>
        </w:rPr>
        <w:sectPr>
          <w:pgSz w:w="16839" w:h="11907" w:orient="landscape"/>
          <w:pgMar w:top="1417" w:right="1417" w:bottom="1134" w:left="1134" w:header="1418" w:footer="850" w:gutter="0"/>
          <w:cols w:space="0" w:num="1"/>
          <w:docGrid w:type="lines" w:linePitch="322" w:charSpace="0"/>
        </w:sectPr>
      </w:pPr>
    </w:p>
    <w:p w14:paraId="09672E4E">
      <w:pPr>
        <w:pStyle w:val="2"/>
        <w:spacing w:before="0" w:after="0" w:line="480" w:lineRule="auto"/>
        <w:rPr>
          <w:rFonts w:cs="宋体" w:asciiTheme="minorEastAsia" w:hAnsiTheme="minorEastAsia"/>
          <w:sz w:val="24"/>
          <w:szCs w:val="24"/>
        </w:rPr>
      </w:pPr>
      <w:r>
        <w:rPr>
          <w:rFonts w:hint="eastAsia" w:cs="宋体" w:asciiTheme="minorEastAsia" w:hAnsiTheme="minorEastAsia"/>
          <w:sz w:val="24"/>
          <w:szCs w:val="24"/>
        </w:rPr>
        <w:t>1.0  目的、适用范围</w:t>
      </w:r>
      <w:r>
        <w:rPr>
          <w:rFonts w:hint="eastAsia" w:cs="宋体" w:asciiTheme="minorEastAsia" w:hAnsiTheme="minorEastAsia"/>
          <w:sz w:val="24"/>
          <w:szCs w:val="24"/>
        </w:rPr>
        <w:tab/>
      </w:r>
    </w:p>
    <w:p w14:paraId="576DF683">
      <w:pPr>
        <w:spacing w:line="360" w:lineRule="auto"/>
        <w:rPr>
          <w:rFonts w:cs="宋体" w:asciiTheme="minorEastAsia" w:hAnsiTheme="minorEastAsia"/>
          <w:b/>
          <w:sz w:val="24"/>
          <w:szCs w:val="24"/>
        </w:rPr>
      </w:pPr>
      <w:r>
        <w:rPr>
          <w:rFonts w:hint="eastAsia" w:cs="宋体" w:asciiTheme="minorEastAsia" w:hAnsiTheme="minorEastAsia"/>
          <w:b/>
          <w:sz w:val="24"/>
          <w:szCs w:val="24"/>
        </w:rPr>
        <w:t>1.1 目的</w:t>
      </w:r>
    </w:p>
    <w:p w14:paraId="2D607658">
      <w:pPr>
        <w:widowControl/>
        <w:spacing w:line="360" w:lineRule="auto"/>
        <w:ind w:firstLine="480" w:firstLineChars="200"/>
        <w:jc w:val="left"/>
        <w:rPr>
          <w:rFonts w:cs="宋体" w:asciiTheme="minorEastAsia" w:hAnsiTheme="minorEastAsia"/>
          <w:sz w:val="24"/>
          <w:szCs w:val="24"/>
        </w:rPr>
      </w:pPr>
      <w:r>
        <w:rPr>
          <w:rFonts w:hint="eastAsia" w:cs="宋体" w:asciiTheme="minorEastAsia" w:hAnsiTheme="minorEastAsia"/>
          <w:sz w:val="24"/>
          <w:szCs w:val="24"/>
        </w:rPr>
        <w:t xml:space="preserve">本手册依据 </w:t>
      </w:r>
      <w:r>
        <w:rPr>
          <w:rFonts w:hint="eastAsia" w:ascii="宋体" w:hAnsi="宋体" w:eastAsia="宋体" w:cs="宋体"/>
          <w:sz w:val="24"/>
          <w:szCs w:val="24"/>
          <w:lang w:val="de-DE"/>
        </w:rPr>
        <w:t>GB/T19001-2016</w:t>
      </w:r>
      <w:r>
        <w:rPr>
          <w:rFonts w:hint="eastAsia" w:ascii="宋体" w:hAnsi="宋体" w:eastAsia="宋体" w:cs="宋体"/>
          <w:sz w:val="24"/>
          <w:szCs w:val="24"/>
        </w:rPr>
        <w:t>、</w:t>
      </w:r>
      <w:r>
        <w:rPr>
          <w:rFonts w:hint="eastAsia" w:ascii="宋体" w:hAnsi="宋体" w:eastAsia="宋体" w:cs="宋体"/>
          <w:sz w:val="24"/>
          <w:szCs w:val="24"/>
          <w:lang w:val="de-DE"/>
        </w:rPr>
        <w:t>GB/T24001-2016</w:t>
      </w:r>
      <w:r>
        <w:rPr>
          <w:rFonts w:hint="eastAsia" w:ascii="宋体" w:hAnsi="宋体" w:eastAsia="宋体" w:cs="宋体"/>
          <w:sz w:val="24"/>
          <w:szCs w:val="24"/>
        </w:rPr>
        <w:t>、</w:t>
      </w:r>
      <w:r>
        <w:rPr>
          <w:rFonts w:hint="eastAsia" w:ascii="宋体" w:hAnsi="宋体" w:eastAsia="宋体" w:cs="宋体"/>
          <w:sz w:val="24"/>
          <w:szCs w:val="24"/>
          <w:lang w:val="de-DE"/>
        </w:rPr>
        <w:t>GB/T45001-2020</w:t>
      </w:r>
      <w:r>
        <w:rPr>
          <w:rFonts w:hint="eastAsia" w:cs="宋体" w:asciiTheme="minorEastAsia" w:hAnsiTheme="minorEastAsia"/>
          <w:sz w:val="24"/>
          <w:szCs w:val="24"/>
        </w:rPr>
        <w:t>建立、实施并有效保持本公司的质量/环境/职业健康安全管理体系，用以证实本企业有能力稳定的提供满足顾客和适用的法规要求的产品——</w:t>
      </w:r>
      <w:r>
        <w:rPr>
          <w:rFonts w:hint="eastAsia" w:ascii="宋体" w:hAnsi="宋体" w:eastAsia="宋体" w:cs="宋体"/>
          <w:i w:val="0"/>
          <w:iCs w:val="0"/>
          <w:caps w:val="0"/>
          <w:color w:val="FF0000"/>
          <w:spacing w:val="0"/>
          <w:sz w:val="24"/>
          <w:szCs w:val="24"/>
          <w:shd w:val="clear" w:fill="FFFFFF"/>
          <w:lang w:eastAsia="zh-CN"/>
        </w:rPr>
        <w:t>教学家具、办公家具、公寓家具、部队家具的生产</w:t>
      </w:r>
      <w:r>
        <w:rPr>
          <w:rFonts w:hint="eastAsia" w:cs="宋体" w:asciiTheme="minorEastAsia" w:hAnsiTheme="minorEastAsia"/>
          <w:sz w:val="24"/>
          <w:szCs w:val="24"/>
        </w:rPr>
        <w:t>。并通过持续改进和预防不合格的过程，自我完善，追求卓越，从而达到顾客满意；同时为公司提升环境绩效，履行合规义务，实现环境目标；也旨在控制公司职业健康安全风险，改进职业健康安全绩效。使公司环境、职业健康安全管理制度的完善、有效，从而为全球的环境保护和职业健康安全做出更大贡献。</w:t>
      </w:r>
    </w:p>
    <w:p w14:paraId="6D71274C">
      <w:pPr>
        <w:spacing w:line="360" w:lineRule="auto"/>
        <w:rPr>
          <w:rFonts w:cs="宋体" w:asciiTheme="minorEastAsia" w:hAnsiTheme="minorEastAsia"/>
          <w:b/>
          <w:sz w:val="24"/>
          <w:szCs w:val="24"/>
        </w:rPr>
      </w:pPr>
      <w:r>
        <w:rPr>
          <w:rFonts w:hint="eastAsia" w:cs="宋体" w:asciiTheme="minorEastAsia" w:hAnsiTheme="minorEastAsia"/>
          <w:b/>
          <w:sz w:val="24"/>
          <w:szCs w:val="24"/>
        </w:rPr>
        <w:t>1.2 适用范围</w:t>
      </w:r>
    </w:p>
    <w:p w14:paraId="53CB5C18">
      <w:pPr>
        <w:widowControl/>
        <w:spacing w:line="360" w:lineRule="auto"/>
        <w:ind w:firstLine="480" w:firstLineChars="200"/>
        <w:jc w:val="left"/>
        <w:rPr>
          <w:rFonts w:cs="宋体" w:asciiTheme="minorEastAsia" w:hAnsiTheme="minorEastAsia"/>
          <w:sz w:val="24"/>
          <w:szCs w:val="24"/>
        </w:rPr>
      </w:pPr>
      <w:r>
        <w:rPr>
          <w:rFonts w:hint="eastAsia" w:cs="宋体" w:asciiTheme="minorEastAsia" w:hAnsiTheme="minorEastAsia"/>
          <w:sz w:val="24"/>
          <w:szCs w:val="24"/>
        </w:rPr>
        <w:t>本手册规定了公司质量/环境/职业健康安全方针、管理体系的要求，适用于</w:t>
      </w:r>
      <w:r>
        <w:rPr>
          <w:rFonts w:hint="eastAsia" w:ascii="宋体" w:hAnsi="宋体" w:eastAsia="宋体" w:cs="宋体"/>
          <w:i w:val="0"/>
          <w:iCs w:val="0"/>
          <w:caps w:val="0"/>
          <w:color w:val="FF0000"/>
          <w:spacing w:val="0"/>
          <w:sz w:val="24"/>
          <w:szCs w:val="24"/>
          <w:shd w:val="clear" w:fill="FFFFFF"/>
          <w:lang w:eastAsia="zh-CN"/>
        </w:rPr>
        <w:t>教学家具、办公家具、公寓家具、部队家具的生产</w:t>
      </w:r>
      <w:r>
        <w:rPr>
          <w:rFonts w:hint="eastAsia" w:cs="宋体" w:asciiTheme="minorEastAsia" w:hAnsiTheme="minorEastAsia"/>
          <w:sz w:val="24"/>
          <w:szCs w:val="24"/>
        </w:rPr>
        <w:t>所涉及的各职能部门，并通过体系的有效应用，包括体系持续改进的过程以及保证符合顾客与法令法律法规要求，以增强顾客满意。</w:t>
      </w:r>
    </w:p>
    <w:p w14:paraId="3F906E07">
      <w:pPr>
        <w:pStyle w:val="19"/>
        <w:spacing w:line="360" w:lineRule="auto"/>
        <w:ind w:firstLine="480"/>
        <w:rPr>
          <w:rFonts w:cs="宋体" w:asciiTheme="minorEastAsia" w:hAnsiTheme="minorEastAsia"/>
          <w:color w:val="auto"/>
          <w:sz w:val="24"/>
          <w:szCs w:val="24"/>
        </w:rPr>
      </w:pPr>
      <w:r>
        <w:rPr>
          <w:rFonts w:hint="eastAsia" w:cs="宋体" w:asciiTheme="minorEastAsia" w:hAnsiTheme="minorEastAsia"/>
          <w:color w:val="auto"/>
          <w:sz w:val="24"/>
          <w:szCs w:val="24"/>
        </w:rPr>
        <w:t>本手册亦可用于需要证实公司有能力稳定地提供满足顾客与适用的法律法规要求的产品——</w:t>
      </w:r>
      <w:r>
        <w:rPr>
          <w:rFonts w:hint="eastAsia" w:ascii="宋体" w:hAnsi="宋体" w:eastAsia="宋体" w:cs="宋体"/>
          <w:i w:val="0"/>
          <w:iCs w:val="0"/>
          <w:caps w:val="0"/>
          <w:color w:val="FF0000"/>
          <w:spacing w:val="0"/>
          <w:sz w:val="24"/>
          <w:szCs w:val="24"/>
          <w:shd w:val="clear" w:fill="FFFFFF"/>
          <w:lang w:eastAsia="zh-CN"/>
        </w:rPr>
        <w:t>教学家具、办公家具、公寓家具、部队家具的生产</w:t>
      </w:r>
      <w:r>
        <w:rPr>
          <w:rFonts w:hint="eastAsia" w:cs="宋体" w:asciiTheme="minorEastAsia" w:hAnsiTheme="minorEastAsia"/>
          <w:color w:val="auto"/>
          <w:sz w:val="24"/>
          <w:szCs w:val="24"/>
        </w:rPr>
        <w:t>的场合。</w:t>
      </w:r>
    </w:p>
    <w:p w14:paraId="3A79D20A">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本手册也适用于第二方或第三方审核本公司质量管理、环境管理和职业健康安全管理能力的依据之一。</w:t>
      </w:r>
    </w:p>
    <w:p w14:paraId="51DEE08E">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本手册的解释权归公司总经理。</w:t>
      </w:r>
    </w:p>
    <w:p w14:paraId="470C7F9A">
      <w:pPr>
        <w:spacing w:line="360" w:lineRule="auto"/>
        <w:rPr>
          <w:rFonts w:cs="宋体" w:asciiTheme="minorEastAsia" w:hAnsiTheme="minorEastAsia"/>
          <w:b/>
          <w:sz w:val="24"/>
          <w:szCs w:val="24"/>
        </w:rPr>
      </w:pPr>
      <w:r>
        <w:rPr>
          <w:rFonts w:hint="eastAsia" w:cs="宋体" w:asciiTheme="minorEastAsia" w:hAnsiTheme="minorEastAsia"/>
          <w:b/>
          <w:sz w:val="24"/>
          <w:szCs w:val="24"/>
        </w:rPr>
        <w:t>1.3 不适用说明</w:t>
      </w:r>
    </w:p>
    <w:p w14:paraId="5FAD1669">
      <w:pPr>
        <w:spacing w:line="360" w:lineRule="auto"/>
        <w:rPr>
          <w:rFonts w:cs="宋体" w:asciiTheme="minorEastAsia" w:hAnsiTheme="minorEastAsia"/>
          <w:sz w:val="24"/>
          <w:szCs w:val="24"/>
        </w:rPr>
      </w:pPr>
      <w:r>
        <w:rPr>
          <w:rFonts w:hint="eastAsia" w:asciiTheme="minorEastAsia" w:hAnsiTheme="minorEastAsia"/>
          <w:sz w:val="24"/>
          <w:szCs w:val="24"/>
        </w:rPr>
        <w:t xml:space="preserve">    </w:t>
      </w:r>
      <w:r>
        <w:rPr>
          <w:rFonts w:hint="eastAsia" w:cs="宋体" w:asciiTheme="minorEastAsia" w:hAnsiTheme="minorEastAsia"/>
          <w:sz w:val="24"/>
          <w:szCs w:val="24"/>
        </w:rPr>
        <w:t>无。</w:t>
      </w:r>
    </w:p>
    <w:p w14:paraId="169127D6">
      <w:pPr>
        <w:spacing w:line="360" w:lineRule="auto"/>
        <w:ind w:right="-57"/>
        <w:rPr>
          <w:rFonts w:asciiTheme="minorEastAsia" w:hAnsiTheme="minorEastAsia"/>
          <w:sz w:val="24"/>
          <w:szCs w:val="24"/>
        </w:rPr>
      </w:pPr>
      <w:r>
        <w:rPr>
          <w:rFonts w:hint="eastAsia" w:asciiTheme="minorEastAsia" w:hAnsiTheme="minorEastAsia"/>
          <w:sz w:val="24"/>
          <w:szCs w:val="24"/>
        </w:rPr>
        <w:t xml:space="preserve">  </w:t>
      </w:r>
    </w:p>
    <w:p w14:paraId="642F74D6">
      <w:pPr>
        <w:spacing w:line="360" w:lineRule="auto"/>
        <w:rPr>
          <w:rFonts w:cs="宋体" w:asciiTheme="minorEastAsia" w:hAnsiTheme="minorEastAsia"/>
          <w:b/>
          <w:sz w:val="24"/>
          <w:szCs w:val="24"/>
        </w:rPr>
      </w:pPr>
      <w:r>
        <w:rPr>
          <w:rFonts w:hint="eastAsia" w:cs="宋体" w:asciiTheme="minorEastAsia" w:hAnsiTheme="minorEastAsia"/>
          <w:b/>
          <w:sz w:val="24"/>
          <w:szCs w:val="24"/>
        </w:rPr>
        <w:t>1.4 管理手册的管理</w:t>
      </w:r>
    </w:p>
    <w:p w14:paraId="066AF211">
      <w:pPr>
        <w:spacing w:line="360" w:lineRule="auto"/>
        <w:rPr>
          <w:rFonts w:cs="宋体" w:asciiTheme="minorEastAsia" w:hAnsiTheme="minorEastAsia"/>
          <w:kern w:val="0"/>
          <w:sz w:val="24"/>
          <w:szCs w:val="24"/>
        </w:rPr>
      </w:pPr>
      <w:r>
        <w:rPr>
          <w:rFonts w:hint="eastAsia" w:cs="宋体" w:asciiTheme="minorEastAsia" w:hAnsiTheme="minorEastAsia"/>
          <w:kern w:val="0"/>
          <w:sz w:val="24"/>
          <w:szCs w:val="24"/>
        </w:rPr>
        <w:t>1.4.1 在总经理领导下，由管理者代表协调，办公室负责本管理手册的管理。</w:t>
      </w:r>
    </w:p>
    <w:p w14:paraId="34ACFFE1">
      <w:pPr>
        <w:spacing w:line="360" w:lineRule="auto"/>
        <w:rPr>
          <w:rFonts w:cs="宋体" w:asciiTheme="minorEastAsia" w:hAnsiTheme="minorEastAsia"/>
          <w:sz w:val="24"/>
          <w:szCs w:val="24"/>
        </w:rPr>
      </w:pPr>
      <w:r>
        <w:rPr>
          <w:rFonts w:hint="eastAsia" w:cs="宋体" w:asciiTheme="minorEastAsia" w:hAnsiTheme="minorEastAsia"/>
          <w:kern w:val="0"/>
          <w:sz w:val="24"/>
          <w:szCs w:val="24"/>
        </w:rPr>
        <w:t>1.4.2 本管理手册持有者应妥善保管，不得丢失、更改、涂抹、转让，以保持“法规”的严肃性。</w:t>
      </w:r>
    </w:p>
    <w:p w14:paraId="458FF3FA">
      <w:pPr>
        <w:spacing w:line="360" w:lineRule="auto"/>
        <w:rPr>
          <w:rFonts w:cs="宋体" w:asciiTheme="minorEastAsia" w:hAnsiTheme="minorEastAsia"/>
          <w:b/>
          <w:sz w:val="24"/>
          <w:szCs w:val="24"/>
        </w:rPr>
      </w:pPr>
    </w:p>
    <w:p w14:paraId="62904716">
      <w:pPr>
        <w:pStyle w:val="2"/>
        <w:spacing w:before="0" w:after="0" w:line="480" w:lineRule="auto"/>
        <w:rPr>
          <w:rFonts w:cs="宋体" w:asciiTheme="minorEastAsia" w:hAnsiTheme="minorEastAsia"/>
          <w:sz w:val="24"/>
          <w:szCs w:val="24"/>
        </w:rPr>
      </w:pPr>
      <w:r>
        <w:rPr>
          <w:rFonts w:hint="eastAsia" w:cs="宋体" w:asciiTheme="minorEastAsia" w:hAnsiTheme="minorEastAsia"/>
          <w:sz w:val="24"/>
          <w:szCs w:val="24"/>
        </w:rPr>
        <w:t>2.0 引用标准</w:t>
      </w:r>
    </w:p>
    <w:p w14:paraId="0C4506F7">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下列标准所包含的条文，经本手册引用而成为本手册的正式要求。在使用本手册时应注意使用这些标准的最新版本。</w:t>
      </w:r>
    </w:p>
    <w:p w14:paraId="63FE37BE">
      <w:pPr>
        <w:spacing w:line="360" w:lineRule="auto"/>
        <w:ind w:firstLine="523" w:firstLineChars="218"/>
        <w:rPr>
          <w:rFonts w:cs="宋体" w:asciiTheme="minorEastAsia" w:hAnsiTheme="minorEastAsia"/>
          <w:sz w:val="24"/>
          <w:szCs w:val="24"/>
        </w:rPr>
      </w:pPr>
      <w:r>
        <w:rPr>
          <w:rFonts w:hint="eastAsia" w:ascii="宋体" w:hAnsi="宋体" w:eastAsia="宋体" w:cs="宋体"/>
          <w:sz w:val="24"/>
          <w:szCs w:val="24"/>
          <w:lang w:val="de-DE"/>
        </w:rPr>
        <w:t>GB/T19001-2016</w:t>
      </w:r>
      <w:r>
        <w:rPr>
          <w:rFonts w:hint="eastAsia" w:cs="宋体" w:asciiTheme="minorEastAsia" w:hAnsiTheme="minorEastAsia"/>
          <w:sz w:val="24"/>
          <w:szCs w:val="24"/>
        </w:rPr>
        <w:t xml:space="preserve"> 《质量管理体系</w:t>
      </w:r>
      <w:r>
        <w:rPr>
          <w:rFonts w:hint="eastAsia" w:cs="宋体" w:asciiTheme="minorEastAsia" w:hAnsiTheme="minorEastAsia"/>
          <w:sz w:val="24"/>
          <w:szCs w:val="24"/>
        </w:rPr>
        <w:tab/>
      </w:r>
      <w:r>
        <w:rPr>
          <w:rFonts w:hint="eastAsia" w:cs="宋体" w:asciiTheme="minorEastAsia" w:hAnsiTheme="minorEastAsia"/>
          <w:sz w:val="24"/>
          <w:szCs w:val="24"/>
        </w:rPr>
        <w:t xml:space="preserve">要求》 </w:t>
      </w:r>
    </w:p>
    <w:p w14:paraId="75DC94AD">
      <w:pPr>
        <w:spacing w:line="360" w:lineRule="auto"/>
        <w:ind w:firstLine="523" w:firstLineChars="218"/>
        <w:rPr>
          <w:rFonts w:cs="宋体" w:asciiTheme="minorEastAsia" w:hAnsiTheme="minorEastAsia"/>
          <w:sz w:val="24"/>
          <w:szCs w:val="24"/>
        </w:rPr>
      </w:pPr>
      <w:r>
        <w:rPr>
          <w:rFonts w:hint="eastAsia" w:ascii="宋体" w:hAnsi="宋体" w:eastAsia="宋体" w:cs="宋体"/>
          <w:sz w:val="24"/>
          <w:szCs w:val="24"/>
          <w:lang w:val="de-DE"/>
        </w:rPr>
        <w:t>GB/T24001-2016</w:t>
      </w:r>
      <w:r>
        <w:rPr>
          <w:rFonts w:hint="eastAsia" w:cs="宋体" w:asciiTheme="minorEastAsia" w:hAnsiTheme="minorEastAsia"/>
          <w:sz w:val="24"/>
          <w:szCs w:val="24"/>
        </w:rPr>
        <w:t>《环境管理体系  要求及使用指南》</w:t>
      </w:r>
    </w:p>
    <w:p w14:paraId="36934B1F">
      <w:pPr>
        <w:spacing w:line="360" w:lineRule="auto"/>
        <w:ind w:firstLine="523" w:firstLineChars="218"/>
        <w:rPr>
          <w:rFonts w:cs="宋体" w:asciiTheme="minorEastAsia" w:hAnsiTheme="minorEastAsia"/>
          <w:sz w:val="24"/>
          <w:szCs w:val="24"/>
        </w:rPr>
      </w:pPr>
      <w:r>
        <w:rPr>
          <w:rFonts w:hint="eastAsia" w:ascii="宋体" w:hAnsi="宋体" w:eastAsia="宋体" w:cs="宋体"/>
          <w:sz w:val="24"/>
          <w:szCs w:val="24"/>
          <w:lang w:val="de-DE"/>
        </w:rPr>
        <w:t>GB/T45001-2020</w:t>
      </w:r>
      <w:r>
        <w:rPr>
          <w:rFonts w:hint="eastAsia" w:cs="宋体" w:asciiTheme="minorEastAsia" w:hAnsiTheme="minorEastAsia"/>
          <w:sz w:val="24"/>
          <w:szCs w:val="24"/>
        </w:rPr>
        <w:t>《职业健康安全管理体系  要求及使用指南》</w:t>
      </w:r>
    </w:p>
    <w:p w14:paraId="7171193C">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质量、环境、职业健康安全相关的标准、法律法规</w:t>
      </w:r>
    </w:p>
    <w:p w14:paraId="3272643C">
      <w:pPr>
        <w:spacing w:line="360" w:lineRule="auto"/>
        <w:rPr>
          <w:rFonts w:cs="宋体" w:asciiTheme="minorEastAsia" w:hAnsiTheme="minorEastAsia"/>
          <w:sz w:val="24"/>
          <w:szCs w:val="24"/>
        </w:rPr>
      </w:pPr>
      <w:r>
        <w:rPr>
          <w:rFonts w:hint="eastAsia" w:cs="宋体" w:asciiTheme="minorEastAsia" w:hAnsiTheme="minorEastAsia"/>
          <w:sz w:val="24"/>
          <w:szCs w:val="24"/>
        </w:rPr>
        <w:t>3.0  引用标准、名词及术语定义</w:t>
      </w:r>
    </w:p>
    <w:p w14:paraId="4122E96F">
      <w:pPr>
        <w:spacing w:line="360" w:lineRule="auto"/>
        <w:rPr>
          <w:rFonts w:cs="宋体" w:asciiTheme="minorEastAsia" w:hAnsiTheme="minorEastAsia"/>
          <w:sz w:val="24"/>
          <w:szCs w:val="24"/>
        </w:rPr>
      </w:pPr>
      <w:r>
        <w:rPr>
          <w:rFonts w:hint="eastAsia" w:cs="宋体" w:asciiTheme="minorEastAsia" w:hAnsiTheme="minorEastAsia"/>
          <w:sz w:val="24"/>
          <w:szCs w:val="24"/>
        </w:rPr>
        <w:t xml:space="preserve">3.1本手册及程序文件引用了 </w:t>
      </w:r>
      <w:r>
        <w:rPr>
          <w:rFonts w:hint="eastAsia" w:ascii="宋体" w:hAnsi="宋体" w:eastAsia="宋体" w:cs="宋体"/>
          <w:sz w:val="24"/>
          <w:szCs w:val="24"/>
          <w:lang w:val="de-DE"/>
        </w:rPr>
        <w:t>GB/T19001-2016</w:t>
      </w:r>
      <w:r>
        <w:rPr>
          <w:rFonts w:hint="eastAsia" w:ascii="宋体"/>
          <w:sz w:val="22"/>
        </w:rPr>
        <w:t>《质量管理体系 要求》</w:t>
      </w:r>
      <w:r>
        <w:rPr>
          <w:rFonts w:hint="eastAsia" w:cs="宋体" w:asciiTheme="minorEastAsia" w:hAnsiTheme="minorEastAsia"/>
          <w:sz w:val="24"/>
          <w:szCs w:val="24"/>
        </w:rPr>
        <w:t>的术语</w:t>
      </w:r>
    </w:p>
    <w:p w14:paraId="077B06E3">
      <w:pPr>
        <w:spacing w:line="360" w:lineRule="auto"/>
        <w:rPr>
          <w:rFonts w:cs="宋体" w:asciiTheme="minorEastAsia" w:hAnsiTheme="minorEastAsia"/>
          <w:sz w:val="24"/>
          <w:szCs w:val="24"/>
        </w:rPr>
      </w:pPr>
      <w:r>
        <w:rPr>
          <w:rFonts w:hint="eastAsia" w:cs="宋体" w:asciiTheme="minorEastAsia" w:hAnsiTheme="minorEastAsia"/>
          <w:sz w:val="24"/>
          <w:szCs w:val="24"/>
        </w:rPr>
        <w:t>3.2 缩略语</w:t>
      </w:r>
    </w:p>
    <w:p w14:paraId="73464D1E">
      <w:pPr>
        <w:spacing w:line="360" w:lineRule="auto"/>
        <w:ind w:firstLine="480"/>
        <w:rPr>
          <w:rFonts w:cs="宋体" w:asciiTheme="minorEastAsia" w:hAnsiTheme="minorEastAsia"/>
          <w:sz w:val="24"/>
          <w:szCs w:val="24"/>
        </w:rPr>
      </w:pPr>
      <w:r>
        <w:rPr>
          <w:rFonts w:hint="eastAsia" w:cs="宋体" w:asciiTheme="minorEastAsia" w:hAnsiTheme="minorEastAsia"/>
          <w:sz w:val="24"/>
          <w:szCs w:val="24"/>
        </w:rPr>
        <w:t>QES：质量/环境/职业健康安全管理体系</w:t>
      </w:r>
    </w:p>
    <w:p w14:paraId="315EEA26">
      <w:pPr>
        <w:spacing w:line="360" w:lineRule="auto"/>
        <w:ind w:firstLine="480"/>
        <w:rPr>
          <w:rFonts w:cs="宋体" w:asciiTheme="minorEastAsia" w:hAnsiTheme="minorEastAsia"/>
          <w:sz w:val="24"/>
          <w:szCs w:val="24"/>
        </w:rPr>
      </w:pPr>
      <w:r>
        <w:rPr>
          <w:rFonts w:hint="eastAsia" w:cs="宋体" w:asciiTheme="minorEastAsia" w:hAnsiTheme="minorEastAsia"/>
          <w:color w:val="FF0000"/>
          <w:sz w:val="24"/>
          <w:szCs w:val="24"/>
          <w:lang w:val="en-US" w:eastAsia="zh-CN"/>
        </w:rPr>
        <w:t>YS</w:t>
      </w:r>
      <w:r>
        <w:rPr>
          <w:rFonts w:hint="eastAsia" w:cs="宋体" w:asciiTheme="minorEastAsia" w:hAnsiTheme="minorEastAsia"/>
          <w:color w:val="FF0000"/>
          <w:sz w:val="24"/>
          <w:szCs w:val="24"/>
        </w:rPr>
        <w:t>：为“</w:t>
      </w:r>
      <w:r>
        <w:rPr>
          <w:rFonts w:hint="eastAsia" w:cs="宋体" w:asciiTheme="minorEastAsia" w:hAnsiTheme="minorEastAsia"/>
          <w:color w:val="FF0000"/>
          <w:sz w:val="24"/>
          <w:szCs w:val="24"/>
          <w:lang w:val="en-US" w:eastAsia="zh-CN"/>
        </w:rPr>
        <w:t>霸州市煜森家具有限公司</w:t>
      </w:r>
      <w:r>
        <w:rPr>
          <w:rFonts w:hint="eastAsia" w:cs="宋体" w:asciiTheme="minorEastAsia" w:hAnsiTheme="minorEastAsia"/>
          <w:color w:val="FF0000"/>
          <w:sz w:val="24"/>
          <w:szCs w:val="24"/>
        </w:rPr>
        <w:t>”</w:t>
      </w:r>
      <w:r>
        <w:rPr>
          <w:rFonts w:hint="eastAsia" w:cs="宋体" w:asciiTheme="minorEastAsia" w:hAnsiTheme="minorEastAsia"/>
          <w:sz w:val="24"/>
          <w:szCs w:val="24"/>
        </w:rPr>
        <w:t>的字母代号。</w:t>
      </w:r>
    </w:p>
    <w:p w14:paraId="1801E57B">
      <w:pPr>
        <w:spacing w:line="360" w:lineRule="auto"/>
        <w:ind w:firstLine="523" w:firstLineChars="218"/>
        <w:rPr>
          <w:rFonts w:cs="宋体" w:asciiTheme="minorEastAsia" w:hAnsiTheme="minorEastAsia"/>
          <w:sz w:val="24"/>
          <w:szCs w:val="24"/>
        </w:rPr>
      </w:pPr>
    </w:p>
    <w:p w14:paraId="3825360D">
      <w:pPr>
        <w:spacing w:line="360" w:lineRule="auto"/>
        <w:rPr>
          <w:rFonts w:cs="宋体" w:asciiTheme="minorEastAsia" w:hAnsiTheme="minorEastAsia"/>
          <w:sz w:val="24"/>
          <w:szCs w:val="24"/>
        </w:rPr>
      </w:pPr>
    </w:p>
    <w:p w14:paraId="6D4828F2">
      <w:pPr>
        <w:spacing w:line="360" w:lineRule="auto"/>
        <w:rPr>
          <w:rFonts w:cs="宋体" w:asciiTheme="minorEastAsia" w:hAnsiTheme="minorEastAsia"/>
          <w:sz w:val="24"/>
          <w:szCs w:val="24"/>
        </w:rPr>
      </w:pPr>
    </w:p>
    <w:p w14:paraId="5F01B563">
      <w:pPr>
        <w:spacing w:line="360" w:lineRule="auto"/>
        <w:rPr>
          <w:rFonts w:cs="宋体" w:asciiTheme="minorEastAsia" w:hAnsiTheme="minorEastAsia"/>
          <w:sz w:val="24"/>
          <w:szCs w:val="24"/>
        </w:rPr>
      </w:pPr>
    </w:p>
    <w:p w14:paraId="63522347">
      <w:pPr>
        <w:spacing w:line="360" w:lineRule="auto"/>
        <w:rPr>
          <w:rFonts w:cs="宋体" w:asciiTheme="minorEastAsia" w:hAnsiTheme="minorEastAsia"/>
          <w:sz w:val="24"/>
          <w:szCs w:val="24"/>
        </w:rPr>
      </w:pPr>
      <w:r>
        <w:rPr>
          <w:rFonts w:hint="eastAsia" w:cs="宋体" w:asciiTheme="minorEastAsia" w:hAnsiTheme="minorEastAsia"/>
          <w:sz w:val="24"/>
          <w:szCs w:val="24"/>
        </w:rPr>
        <w:br w:type="page"/>
      </w:r>
    </w:p>
    <w:p w14:paraId="60336162">
      <w:pPr>
        <w:pStyle w:val="2"/>
        <w:spacing w:before="0" w:after="0" w:line="480" w:lineRule="auto"/>
        <w:rPr>
          <w:rFonts w:cs="宋体" w:asciiTheme="minorEastAsia" w:hAnsiTheme="minorEastAsia"/>
          <w:sz w:val="24"/>
          <w:szCs w:val="24"/>
        </w:rPr>
      </w:pPr>
      <w:r>
        <w:rPr>
          <w:rFonts w:hint="eastAsia" w:cs="宋体" w:asciiTheme="minorEastAsia" w:hAnsiTheme="minorEastAsia"/>
          <w:sz w:val="24"/>
          <w:szCs w:val="24"/>
        </w:rPr>
        <w:t>4 组织环境</w:t>
      </w:r>
    </w:p>
    <w:p w14:paraId="5136F1F3">
      <w:pPr>
        <w:pStyle w:val="3"/>
        <w:spacing w:before="0" w:after="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4.1  理解组织及其所处的环境</w:t>
      </w:r>
    </w:p>
    <w:p w14:paraId="003DD9F1">
      <w:pPr>
        <w:spacing w:line="360" w:lineRule="auto"/>
        <w:jc w:val="left"/>
        <w:rPr>
          <w:rFonts w:cs="宋体" w:asciiTheme="minorEastAsia" w:hAnsiTheme="minorEastAsia"/>
          <w:b/>
          <w:bCs/>
          <w:sz w:val="24"/>
          <w:szCs w:val="24"/>
        </w:rPr>
      </w:pPr>
      <w:r>
        <w:rPr>
          <w:rFonts w:hint="eastAsia" w:cs="宋体" w:asciiTheme="minorEastAsia" w:hAnsiTheme="minorEastAsia"/>
          <w:b/>
          <w:bCs/>
          <w:sz w:val="24"/>
          <w:szCs w:val="24"/>
        </w:rPr>
        <w:t>4.1.1 公司战略和方向</w:t>
      </w:r>
    </w:p>
    <w:p w14:paraId="296A2F08">
      <w:pPr>
        <w:spacing w:line="360" w:lineRule="auto"/>
        <w:ind w:firstLine="480"/>
        <w:rPr>
          <w:rFonts w:cs="宋体" w:asciiTheme="minorEastAsia" w:hAnsiTheme="minorEastAsia"/>
          <w:sz w:val="24"/>
          <w:szCs w:val="24"/>
        </w:rPr>
      </w:pPr>
      <w:r>
        <w:rPr>
          <w:rFonts w:hint="eastAsia" w:cs="宋体" w:asciiTheme="minorEastAsia" w:hAnsiTheme="minorEastAsia"/>
          <w:color w:val="FF0000"/>
          <w:sz w:val="24"/>
          <w:szCs w:val="24"/>
          <w:lang w:val="en-US" w:eastAsia="zh-CN"/>
        </w:rPr>
        <w:t>霸州市煜森家具有限公司</w:t>
      </w:r>
      <w:r>
        <w:rPr>
          <w:rFonts w:hint="eastAsia" w:cs="宋体" w:asciiTheme="minorEastAsia" w:hAnsiTheme="minorEastAsia"/>
          <w:color w:val="FF0000"/>
          <w:sz w:val="24"/>
          <w:szCs w:val="24"/>
        </w:rPr>
        <w:t>业务范围主要是</w:t>
      </w:r>
      <w:r>
        <w:rPr>
          <w:rFonts w:hint="eastAsia" w:ascii="宋体" w:hAnsi="宋体" w:eastAsia="宋体" w:cs="宋体"/>
          <w:i w:val="0"/>
          <w:iCs w:val="0"/>
          <w:caps w:val="0"/>
          <w:color w:val="FF0000"/>
          <w:spacing w:val="0"/>
          <w:sz w:val="24"/>
          <w:szCs w:val="24"/>
          <w:shd w:val="clear" w:fill="FFFFFF"/>
          <w:lang w:eastAsia="zh-CN"/>
        </w:rPr>
        <w:t>教学家具、办公家具、公寓家具、部队家具的生产</w:t>
      </w:r>
      <w:r>
        <w:rPr>
          <w:rFonts w:hint="eastAsia" w:cs="宋体" w:asciiTheme="minorEastAsia" w:hAnsiTheme="minorEastAsia"/>
          <w:sz w:val="24"/>
          <w:szCs w:val="24"/>
        </w:rPr>
        <w:t>。公司秉承“求实、求新、求质、求效”的企业精神，努力践行“管理无盲点，服务无挑剔”的服务宗旨。</w:t>
      </w:r>
      <w:r>
        <w:rPr>
          <w:rFonts w:hint="eastAsia" w:asciiTheme="minorEastAsia" w:hAnsiTheme="minorEastAsia"/>
          <w:sz w:val="24"/>
          <w:szCs w:val="24"/>
        </w:rPr>
        <w:t>通过实践及全体员工的共同努力，不断摸索和总结经验，赢得了市民和服务单位的好评，使公司的服务业务不断拓展和壮大，收到了良好的经济效益、生态效益和社会效益。</w:t>
      </w:r>
    </w:p>
    <w:p w14:paraId="230F3CFB">
      <w:pPr>
        <w:spacing w:line="360" w:lineRule="auto"/>
        <w:ind w:firstLine="480"/>
        <w:rPr>
          <w:rFonts w:cs="宋体" w:asciiTheme="minorEastAsia" w:hAnsiTheme="minorEastAsia"/>
          <w:sz w:val="24"/>
          <w:szCs w:val="24"/>
        </w:rPr>
      </w:pPr>
      <w:r>
        <w:rPr>
          <w:rFonts w:hint="eastAsia" w:cs="宋体" w:asciiTheme="minorEastAsia" w:hAnsiTheme="minorEastAsia"/>
          <w:sz w:val="24"/>
          <w:szCs w:val="24"/>
        </w:rPr>
        <w:t>4.1.2 内部因素和外部因素</w:t>
      </w:r>
    </w:p>
    <w:p w14:paraId="3BC9CBE7">
      <w:pPr>
        <w:spacing w:line="360" w:lineRule="auto"/>
        <w:ind w:firstLine="480"/>
        <w:rPr>
          <w:rFonts w:cs="宋体" w:asciiTheme="minorEastAsia" w:hAnsiTheme="minorEastAsia"/>
          <w:bCs/>
          <w:kern w:val="10"/>
          <w:sz w:val="24"/>
          <w:szCs w:val="24"/>
        </w:rPr>
      </w:pPr>
      <w:r>
        <w:rPr>
          <w:rFonts w:hint="eastAsia" w:cs="宋体" w:asciiTheme="minorEastAsia" w:hAnsiTheme="minorEastAsia"/>
          <w:bCs/>
          <w:kern w:val="10"/>
          <w:sz w:val="24"/>
          <w:szCs w:val="24"/>
        </w:rPr>
        <w:t>（1）公司根据自身实际进行内部因素和外部因素的识别、分析，对影响其实现质量和环境安全管理体系预期结果的各种外部和内部因素进行必要的管控。这些内部因素和外部因素可以包括需要考虑的正面和负面要素或条件。</w:t>
      </w:r>
    </w:p>
    <w:p w14:paraId="6FEF7792">
      <w:pPr>
        <w:spacing w:line="360" w:lineRule="auto"/>
        <w:ind w:firstLine="480"/>
        <w:rPr>
          <w:rFonts w:cs="宋体" w:asciiTheme="minorEastAsia" w:hAnsiTheme="minorEastAsia"/>
          <w:bCs/>
          <w:kern w:val="10"/>
          <w:sz w:val="24"/>
          <w:szCs w:val="24"/>
        </w:rPr>
      </w:pPr>
      <w:r>
        <w:rPr>
          <w:rFonts w:hint="eastAsia" w:cs="宋体" w:asciiTheme="minorEastAsia" w:hAnsiTheme="minorEastAsia"/>
          <w:bCs/>
          <w:kern w:val="10"/>
          <w:sz w:val="24"/>
          <w:szCs w:val="24"/>
        </w:rPr>
        <w:t>（2）内部环境因素要考虑公司的内部管理、价值观、企业文化、企业的知识和管理绩效等相关因素。</w:t>
      </w:r>
    </w:p>
    <w:p w14:paraId="6712AE88">
      <w:pPr>
        <w:spacing w:line="360" w:lineRule="auto"/>
        <w:ind w:firstLine="480"/>
        <w:rPr>
          <w:rFonts w:cs="宋体" w:asciiTheme="minorEastAsia" w:hAnsiTheme="minorEastAsia"/>
          <w:bCs/>
          <w:kern w:val="10"/>
          <w:sz w:val="24"/>
          <w:szCs w:val="24"/>
        </w:rPr>
      </w:pPr>
      <w:r>
        <w:rPr>
          <w:rFonts w:hint="eastAsia" w:cs="宋体" w:asciiTheme="minorEastAsia" w:hAnsiTheme="minorEastAsia"/>
          <w:bCs/>
          <w:kern w:val="10"/>
          <w:sz w:val="24"/>
          <w:szCs w:val="24"/>
        </w:rPr>
        <w:t>（3）外部因素要考虑国际、国内、本地的各种法律法规、技术、行业竞争、市场环境、外部文化、社会因素和经济因素等相关因素。</w:t>
      </w:r>
    </w:p>
    <w:p w14:paraId="033E3C38">
      <w:pPr>
        <w:spacing w:line="360" w:lineRule="auto"/>
        <w:ind w:firstLine="480"/>
        <w:rPr>
          <w:rFonts w:cs="宋体" w:asciiTheme="minorEastAsia" w:hAnsiTheme="minorEastAsia"/>
          <w:bCs/>
          <w:kern w:val="10"/>
          <w:sz w:val="24"/>
          <w:szCs w:val="24"/>
        </w:rPr>
      </w:pPr>
      <w:r>
        <w:rPr>
          <w:rFonts w:hint="eastAsia" w:cs="宋体" w:asciiTheme="minorEastAsia" w:hAnsiTheme="minorEastAsia"/>
          <w:bCs/>
          <w:kern w:val="10"/>
          <w:sz w:val="24"/>
          <w:szCs w:val="24"/>
        </w:rPr>
        <w:t>（4）内外部因素包括受公司影响的环境状况或能够影响公司的环境状况。</w:t>
      </w:r>
    </w:p>
    <w:p w14:paraId="027DFC07">
      <w:pPr>
        <w:spacing w:line="360" w:lineRule="auto"/>
        <w:ind w:firstLine="480"/>
        <w:rPr>
          <w:rFonts w:cs="宋体" w:asciiTheme="minorEastAsia" w:hAnsiTheme="minorEastAsia"/>
          <w:bCs/>
          <w:kern w:val="10"/>
          <w:sz w:val="24"/>
          <w:szCs w:val="24"/>
        </w:rPr>
      </w:pPr>
      <w:r>
        <w:rPr>
          <w:rFonts w:hint="eastAsia" w:cs="宋体" w:asciiTheme="minorEastAsia" w:hAnsiTheme="minorEastAsia"/>
          <w:bCs/>
          <w:kern w:val="10"/>
          <w:sz w:val="24"/>
          <w:szCs w:val="24"/>
        </w:rPr>
        <w:t>（5）公司每年定期对这些内部和外部因素的相关信息进行监视和评审，以便及时调整公司战略，应对不断变化的市场。</w:t>
      </w:r>
    </w:p>
    <w:p w14:paraId="1BA81AC5">
      <w:pPr>
        <w:adjustRightInd w:val="0"/>
        <w:snapToGrid w:val="0"/>
        <w:spacing w:line="360" w:lineRule="auto"/>
        <w:rPr>
          <w:rFonts w:cs="宋体" w:asciiTheme="minorEastAsia" w:hAnsiTheme="minorEastAsia"/>
          <w:sz w:val="24"/>
          <w:szCs w:val="24"/>
        </w:rPr>
      </w:pPr>
      <w:r>
        <w:rPr>
          <w:rFonts w:hint="eastAsia" w:cs="宋体" w:asciiTheme="minorEastAsia" w:hAnsiTheme="minorEastAsia"/>
          <w:b/>
          <w:sz w:val="24"/>
          <w:szCs w:val="24"/>
        </w:rPr>
        <w:t xml:space="preserve">4.1.3 公司的组织结构 </w:t>
      </w:r>
      <w:r>
        <w:rPr>
          <w:rFonts w:hint="eastAsia" w:cs="宋体" w:asciiTheme="minorEastAsia" w:hAnsiTheme="minorEastAsia"/>
          <w:sz w:val="24"/>
          <w:szCs w:val="24"/>
        </w:rPr>
        <w:t>（见0.6 公司组织结构）</w:t>
      </w:r>
    </w:p>
    <w:p w14:paraId="7C0EFF09">
      <w:pPr>
        <w:pStyle w:val="3"/>
        <w:spacing w:before="0" w:after="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4.2  理解工作人员和相关方的需求和期望</w:t>
      </w:r>
    </w:p>
    <w:p w14:paraId="6AB0E586">
      <w:pPr>
        <w:adjustRightInd w:val="0"/>
        <w:snapToGrid w:val="0"/>
        <w:spacing w:line="360" w:lineRule="auto"/>
        <w:ind w:right="-43"/>
        <w:rPr>
          <w:rFonts w:cs="宋体" w:asciiTheme="minorEastAsia" w:hAnsiTheme="minorEastAsia"/>
          <w:sz w:val="24"/>
          <w:szCs w:val="24"/>
        </w:rPr>
      </w:pPr>
      <w:r>
        <w:rPr>
          <w:rFonts w:hint="eastAsia" w:cs="宋体" w:asciiTheme="minorEastAsia" w:hAnsiTheme="minorEastAsia"/>
          <w:sz w:val="24"/>
          <w:szCs w:val="24"/>
        </w:rPr>
        <w:t xml:space="preserve">4.2.1由于相关方对公司持续提供符合顾客要求和适用法律法规要求的服务的能力产生影响或潜在影响，因此，公司应按相关程序的确定： </w:t>
      </w:r>
    </w:p>
    <w:p w14:paraId="549ABD38">
      <w:pPr>
        <w:adjustRightInd w:val="0"/>
        <w:snapToGrid w:val="0"/>
        <w:spacing w:line="360" w:lineRule="auto"/>
        <w:ind w:right="-43" w:firstLine="480" w:firstLineChars="200"/>
        <w:rPr>
          <w:rFonts w:cs="宋体" w:asciiTheme="minorEastAsia" w:hAnsiTheme="minorEastAsia"/>
          <w:sz w:val="24"/>
          <w:szCs w:val="24"/>
        </w:rPr>
      </w:pPr>
      <w:r>
        <w:rPr>
          <w:rFonts w:hint="eastAsia" w:cs="宋体" w:asciiTheme="minorEastAsia" w:hAnsiTheme="minorEastAsia"/>
          <w:sz w:val="24"/>
          <w:szCs w:val="24"/>
        </w:rPr>
        <w:t xml:space="preserve">a）与质量和环境安全管理体系有关的相关方，如顾客、股东、银行、外部供应商、员工及监管部门等； </w:t>
      </w:r>
    </w:p>
    <w:p w14:paraId="6ECC20AB">
      <w:pPr>
        <w:adjustRightInd w:val="0"/>
        <w:snapToGrid w:val="0"/>
        <w:spacing w:line="360" w:lineRule="auto"/>
        <w:ind w:right="-43" w:firstLine="480" w:firstLineChars="200"/>
        <w:rPr>
          <w:rFonts w:cs="宋体" w:asciiTheme="minorEastAsia" w:hAnsiTheme="minorEastAsia"/>
          <w:sz w:val="24"/>
          <w:szCs w:val="24"/>
        </w:rPr>
      </w:pPr>
      <w:r>
        <w:rPr>
          <w:rFonts w:hint="eastAsia" w:cs="宋体" w:asciiTheme="minorEastAsia" w:hAnsiTheme="minorEastAsia"/>
          <w:sz w:val="24"/>
          <w:szCs w:val="24"/>
        </w:rPr>
        <w:t xml:space="preserve">b）按相关文件的规定要求，确定这些相关方的需求和期望（即要求）。 </w:t>
      </w:r>
    </w:p>
    <w:p w14:paraId="77BEB191">
      <w:pPr>
        <w:adjustRightInd w:val="0"/>
        <w:snapToGrid w:val="0"/>
        <w:spacing w:line="360" w:lineRule="auto"/>
        <w:ind w:right="-43" w:firstLine="480" w:firstLineChars="200"/>
        <w:rPr>
          <w:rFonts w:cs="宋体" w:asciiTheme="minorEastAsia" w:hAnsiTheme="minorEastAsia"/>
          <w:sz w:val="24"/>
          <w:szCs w:val="24"/>
        </w:rPr>
      </w:pPr>
      <w:r>
        <w:rPr>
          <w:rFonts w:hint="eastAsia" w:cs="宋体" w:asciiTheme="minorEastAsia" w:hAnsiTheme="minorEastAsia"/>
          <w:sz w:val="24"/>
          <w:szCs w:val="24"/>
        </w:rPr>
        <w:t>c）这些相关方的需求和期望中哪些将成为其合规义务。</w:t>
      </w:r>
    </w:p>
    <w:p w14:paraId="7974867D">
      <w:pPr>
        <w:adjustRightInd w:val="0"/>
        <w:snapToGrid w:val="0"/>
        <w:spacing w:line="360" w:lineRule="auto"/>
        <w:ind w:right="-43" w:firstLine="480" w:firstLineChars="200"/>
        <w:rPr>
          <w:rFonts w:cs="宋体" w:asciiTheme="minorEastAsia" w:hAnsiTheme="minorEastAsia"/>
          <w:sz w:val="24"/>
          <w:szCs w:val="24"/>
        </w:rPr>
      </w:pPr>
      <w:r>
        <w:rPr>
          <w:rFonts w:hint="eastAsia" w:cs="宋体" w:asciiTheme="minorEastAsia" w:hAnsiTheme="minorEastAsia"/>
          <w:sz w:val="24"/>
          <w:szCs w:val="24"/>
        </w:rPr>
        <w:t>d)</w:t>
      </w:r>
      <w:r>
        <w:rPr>
          <w:rFonts w:hint="eastAsia" w:cs="宋体" w:asciiTheme="minorEastAsia" w:hAnsiTheme="minorEastAsia"/>
          <w:sz w:val="24"/>
          <w:szCs w:val="24"/>
        </w:rPr>
        <w:tab/>
      </w:r>
      <w:r>
        <w:rPr>
          <w:rFonts w:hint="eastAsia" w:cs="宋体" w:asciiTheme="minorEastAsia" w:hAnsiTheme="minorEastAsia"/>
          <w:sz w:val="24"/>
          <w:szCs w:val="24"/>
        </w:rPr>
        <w:t>工作人员：</w:t>
      </w:r>
    </w:p>
    <w:p w14:paraId="5183EE2F">
      <w:pPr>
        <w:adjustRightInd w:val="0"/>
        <w:snapToGrid w:val="0"/>
        <w:spacing w:line="360" w:lineRule="auto"/>
        <w:ind w:right="-43" w:firstLine="480" w:firstLineChars="200"/>
        <w:rPr>
          <w:rFonts w:cs="宋体" w:asciiTheme="minorEastAsia" w:hAnsiTheme="minorEastAsia"/>
          <w:sz w:val="24"/>
          <w:szCs w:val="24"/>
        </w:rPr>
      </w:pPr>
      <w:r>
        <w:rPr>
          <w:rFonts w:hint="eastAsia" w:cs="宋体" w:asciiTheme="minorEastAsia" w:hAnsiTheme="minorEastAsia"/>
          <w:sz w:val="24"/>
          <w:szCs w:val="24"/>
        </w:rPr>
        <w:t>1）基本需求：环境影响的需求：基本的生活保障、职业安全、)平等的地位、得到他人的尊重、得到领导或组织的肯定、获得晋升机会、体现自身价值的奖励、具有竞争力的薪酬、培训与发展机会。</w:t>
      </w:r>
    </w:p>
    <w:p w14:paraId="060A0847">
      <w:pPr>
        <w:adjustRightInd w:val="0"/>
        <w:snapToGrid w:val="0"/>
        <w:spacing w:line="360" w:lineRule="auto"/>
        <w:ind w:right="-43" w:firstLine="480" w:firstLineChars="200"/>
        <w:rPr>
          <w:rFonts w:cs="宋体" w:asciiTheme="minorEastAsia" w:hAnsiTheme="minorEastAsia"/>
          <w:sz w:val="24"/>
          <w:szCs w:val="24"/>
        </w:rPr>
      </w:pPr>
      <w:r>
        <w:rPr>
          <w:rFonts w:hint="eastAsia" w:cs="宋体" w:asciiTheme="minorEastAsia" w:hAnsiTheme="minorEastAsia"/>
          <w:sz w:val="24"/>
          <w:szCs w:val="24"/>
        </w:rPr>
        <w:t>2）个性影响的需求：对组织的归属感、平等的机会、优于他人的收入或地位、富有挑战性的工作、工作内容丰富化、经常性的岗位轮换、学习与发展机会、能够实现自身理想的机会、承担重要责任的机会；</w:t>
      </w:r>
    </w:p>
    <w:p w14:paraId="37C51C35">
      <w:pPr>
        <w:adjustRightInd w:val="0"/>
        <w:snapToGrid w:val="0"/>
        <w:spacing w:line="360" w:lineRule="auto"/>
        <w:ind w:right="-43" w:firstLine="480" w:firstLineChars="200"/>
        <w:rPr>
          <w:rFonts w:cs="宋体" w:asciiTheme="minorEastAsia" w:hAnsiTheme="minorEastAsia"/>
          <w:sz w:val="24"/>
          <w:szCs w:val="24"/>
        </w:rPr>
      </w:pPr>
      <w:r>
        <w:rPr>
          <w:rFonts w:hint="eastAsia" w:cs="宋体" w:asciiTheme="minorEastAsia" w:hAnsiTheme="minorEastAsia"/>
          <w:sz w:val="24"/>
          <w:szCs w:val="24"/>
        </w:rPr>
        <w:t>e） 有贷款的银行：持续稳定的发展，经营情况好，按时还贷、企业信誉好；</w:t>
      </w:r>
    </w:p>
    <w:p w14:paraId="2C0FE749">
      <w:pPr>
        <w:adjustRightInd w:val="0"/>
        <w:snapToGrid w:val="0"/>
        <w:spacing w:line="360" w:lineRule="auto"/>
        <w:ind w:right="-43" w:firstLine="480" w:firstLineChars="200"/>
        <w:rPr>
          <w:rFonts w:cs="宋体" w:asciiTheme="minorEastAsia" w:hAnsiTheme="minorEastAsia"/>
          <w:sz w:val="24"/>
          <w:szCs w:val="24"/>
        </w:rPr>
      </w:pPr>
      <w:r>
        <w:rPr>
          <w:rFonts w:hint="eastAsia" w:cs="宋体" w:asciiTheme="minorEastAsia" w:hAnsiTheme="minorEastAsia"/>
          <w:sz w:val="24"/>
          <w:szCs w:val="24"/>
        </w:rPr>
        <w:t>f） 政府和社会：负责任的企业、有良知的企业、无污染的企业、持续发展的企业。</w:t>
      </w:r>
    </w:p>
    <w:p w14:paraId="092556A8">
      <w:pPr>
        <w:adjustRightInd w:val="0"/>
        <w:snapToGrid w:val="0"/>
        <w:spacing w:line="360" w:lineRule="auto"/>
        <w:ind w:right="-43" w:firstLine="480" w:firstLineChars="200"/>
        <w:rPr>
          <w:rFonts w:cs="宋体" w:asciiTheme="minorEastAsia" w:hAnsiTheme="minorEastAsia"/>
          <w:sz w:val="24"/>
          <w:szCs w:val="24"/>
        </w:rPr>
      </w:pPr>
      <w:r>
        <w:rPr>
          <w:rFonts w:hint="eastAsia" w:cs="宋体" w:asciiTheme="minorEastAsia" w:hAnsiTheme="minorEastAsia"/>
          <w:sz w:val="24"/>
          <w:szCs w:val="24"/>
        </w:rPr>
        <w:t>高层领导应对这些需求和期望在年度工作总结时评价公司满足这些希求和期望的状况，不断提升满足这些需求和期望的能力，全体员工对相关方的需求和期望应当理解，并在工作中加以落实。</w:t>
      </w:r>
    </w:p>
    <w:p w14:paraId="587BE097">
      <w:pPr>
        <w:adjustRightInd w:val="0"/>
        <w:snapToGrid w:val="0"/>
        <w:spacing w:line="360" w:lineRule="auto"/>
        <w:ind w:right="-43"/>
        <w:rPr>
          <w:rFonts w:cs="宋体" w:asciiTheme="minorEastAsia" w:hAnsiTheme="minorEastAsia"/>
          <w:sz w:val="24"/>
          <w:szCs w:val="24"/>
        </w:rPr>
      </w:pPr>
      <w:r>
        <w:rPr>
          <w:rFonts w:hint="eastAsia" w:cs="宋体" w:asciiTheme="minorEastAsia" w:hAnsiTheme="minorEastAsia"/>
          <w:sz w:val="24"/>
          <w:szCs w:val="24"/>
        </w:rPr>
        <w:t>4.2.2公司各部门按相关文件规定对这些相关方及其要求的相关信息进行定期的监视和评审，以便及时调整公司战略，适应市场的需求。</w:t>
      </w:r>
    </w:p>
    <w:p w14:paraId="59F6BD37">
      <w:pPr>
        <w:pStyle w:val="3"/>
        <w:spacing w:before="0" w:after="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4.3  确定管理体系的范围</w:t>
      </w:r>
    </w:p>
    <w:p w14:paraId="204865E6">
      <w:pPr>
        <w:adjustRightInd w:val="0"/>
        <w:snapToGrid w:val="0"/>
        <w:spacing w:line="360" w:lineRule="auto"/>
        <w:ind w:right="-43"/>
        <w:rPr>
          <w:rFonts w:cs="宋体" w:asciiTheme="minorEastAsia" w:hAnsiTheme="minorEastAsia"/>
          <w:sz w:val="24"/>
          <w:szCs w:val="24"/>
        </w:rPr>
      </w:pPr>
      <w:r>
        <w:rPr>
          <w:rFonts w:hint="eastAsia" w:cs="宋体" w:asciiTheme="minorEastAsia" w:hAnsiTheme="minorEastAsia"/>
          <w:sz w:val="24"/>
          <w:szCs w:val="24"/>
        </w:rPr>
        <w:t xml:space="preserve">4.3.1 公司质量/环境/职业健康安全管理体系的边界和适用性决定了质量/环境/职业健康安全管理体系的控制范围。 </w:t>
      </w:r>
    </w:p>
    <w:p w14:paraId="4DBE77E9">
      <w:pPr>
        <w:adjustRightInd w:val="0"/>
        <w:snapToGrid w:val="0"/>
        <w:spacing w:line="360" w:lineRule="auto"/>
        <w:ind w:right="-43"/>
        <w:rPr>
          <w:rFonts w:cs="宋体" w:asciiTheme="minorEastAsia" w:hAnsiTheme="minorEastAsia"/>
          <w:sz w:val="24"/>
          <w:szCs w:val="24"/>
        </w:rPr>
      </w:pPr>
      <w:r>
        <w:rPr>
          <w:rFonts w:hint="eastAsia" w:cs="宋体" w:asciiTheme="minorEastAsia" w:hAnsiTheme="minorEastAsia"/>
          <w:sz w:val="24"/>
          <w:szCs w:val="24"/>
        </w:rPr>
        <w:t xml:space="preserve">4.3.2 在确定公司质量/环境/职业健康安全管理体系范围时，公司考虑了以下几方面： </w:t>
      </w:r>
    </w:p>
    <w:p w14:paraId="55AB78BB">
      <w:pPr>
        <w:adjustRightInd w:val="0"/>
        <w:snapToGrid w:val="0"/>
        <w:spacing w:line="360" w:lineRule="auto"/>
        <w:ind w:right="-43" w:firstLine="523" w:firstLineChars="218"/>
        <w:rPr>
          <w:rFonts w:cs="宋体" w:asciiTheme="minorEastAsia" w:hAnsiTheme="minorEastAsia"/>
          <w:sz w:val="24"/>
          <w:szCs w:val="24"/>
        </w:rPr>
      </w:pPr>
      <w:r>
        <w:rPr>
          <w:rFonts w:hint="eastAsia" w:cs="宋体" w:asciiTheme="minorEastAsia" w:hAnsiTheme="minorEastAsia"/>
          <w:sz w:val="24"/>
          <w:szCs w:val="24"/>
        </w:rPr>
        <w:t xml:space="preserve">a）各种内部和外部因素，见4.1； </w:t>
      </w:r>
    </w:p>
    <w:p w14:paraId="6F53FC97">
      <w:pPr>
        <w:adjustRightInd w:val="0"/>
        <w:snapToGrid w:val="0"/>
        <w:spacing w:line="360" w:lineRule="auto"/>
        <w:ind w:right="-43" w:firstLine="523" w:firstLineChars="218"/>
        <w:rPr>
          <w:rFonts w:cs="宋体" w:asciiTheme="minorEastAsia" w:hAnsiTheme="minorEastAsia"/>
          <w:sz w:val="24"/>
          <w:szCs w:val="24"/>
        </w:rPr>
      </w:pPr>
      <w:r>
        <w:rPr>
          <w:rFonts w:hint="eastAsia" w:cs="宋体" w:asciiTheme="minorEastAsia" w:hAnsiTheme="minorEastAsia"/>
          <w:sz w:val="24"/>
          <w:szCs w:val="24"/>
        </w:rPr>
        <w:t xml:space="preserve">b）相关方的要求及相关的合规义务，见4.2； </w:t>
      </w:r>
    </w:p>
    <w:p w14:paraId="5CBFD63D">
      <w:pPr>
        <w:adjustRightInd w:val="0"/>
        <w:snapToGrid w:val="0"/>
        <w:spacing w:line="360" w:lineRule="auto"/>
        <w:ind w:right="-43" w:firstLine="523" w:firstLineChars="218"/>
        <w:rPr>
          <w:rFonts w:cs="宋体" w:asciiTheme="minorEastAsia" w:hAnsiTheme="minorEastAsia"/>
          <w:sz w:val="24"/>
          <w:szCs w:val="24"/>
        </w:rPr>
      </w:pPr>
      <w:r>
        <w:rPr>
          <w:rFonts w:hint="eastAsia" w:cs="宋体" w:asciiTheme="minorEastAsia" w:hAnsiTheme="minorEastAsia"/>
          <w:sz w:val="24"/>
          <w:szCs w:val="24"/>
        </w:rPr>
        <w:t>c）其组织单元、职能和物理边界；</w:t>
      </w:r>
    </w:p>
    <w:p w14:paraId="07544123">
      <w:pPr>
        <w:adjustRightInd w:val="0"/>
        <w:snapToGrid w:val="0"/>
        <w:spacing w:line="360" w:lineRule="auto"/>
        <w:ind w:right="-43" w:firstLine="523" w:firstLineChars="218"/>
        <w:rPr>
          <w:rFonts w:cs="宋体" w:asciiTheme="minorEastAsia" w:hAnsiTheme="minorEastAsia"/>
          <w:sz w:val="24"/>
          <w:szCs w:val="24"/>
        </w:rPr>
      </w:pPr>
      <w:r>
        <w:rPr>
          <w:rFonts w:hint="eastAsia" w:cs="宋体" w:asciiTheme="minorEastAsia" w:hAnsiTheme="minorEastAsia"/>
          <w:sz w:val="24"/>
          <w:szCs w:val="24"/>
        </w:rPr>
        <w:t xml:space="preserve">d）组织的产品、活动和服务。 </w:t>
      </w:r>
    </w:p>
    <w:p w14:paraId="77D58987">
      <w:pPr>
        <w:adjustRightInd w:val="0"/>
        <w:snapToGrid w:val="0"/>
        <w:spacing w:line="360" w:lineRule="auto"/>
        <w:ind w:right="-43" w:firstLine="523" w:firstLineChars="218"/>
        <w:rPr>
          <w:rFonts w:cs="宋体" w:asciiTheme="minorEastAsia" w:hAnsiTheme="minorEastAsia"/>
          <w:sz w:val="24"/>
          <w:szCs w:val="24"/>
        </w:rPr>
      </w:pPr>
      <w:r>
        <w:rPr>
          <w:rFonts w:hint="eastAsia" w:cs="宋体" w:asciiTheme="minorEastAsia" w:hAnsiTheme="minorEastAsia"/>
          <w:sz w:val="24"/>
          <w:szCs w:val="24"/>
        </w:rPr>
        <w:t>e）其实施控制与施加影响的权限和能力。</w:t>
      </w:r>
    </w:p>
    <w:p w14:paraId="460FC2DF">
      <w:pPr>
        <w:widowControl/>
        <w:spacing w:line="360" w:lineRule="auto"/>
        <w:jc w:val="left"/>
        <w:rPr>
          <w:rFonts w:cs="宋体" w:asciiTheme="minorEastAsia" w:hAnsiTheme="minorEastAsia"/>
          <w:sz w:val="24"/>
          <w:szCs w:val="24"/>
        </w:rPr>
      </w:pPr>
      <w:r>
        <w:rPr>
          <w:rFonts w:hint="eastAsia" w:cs="宋体" w:asciiTheme="minorEastAsia" w:hAnsiTheme="minorEastAsia"/>
          <w:sz w:val="24"/>
          <w:szCs w:val="24"/>
        </w:rPr>
        <w:t>4.3.3 确定了公司质量/环境/职业健康安全管理体系适用范围。包含实现适用范围的过程、相关环境和职业健康安全管理活动及公司管理体系涉及的各职能部门。对确定的适用范围的全部要求，公司予以实施。</w:t>
      </w:r>
    </w:p>
    <w:p w14:paraId="33927C5C">
      <w:pPr>
        <w:adjustRightInd w:val="0"/>
        <w:snapToGrid w:val="0"/>
        <w:spacing w:line="360" w:lineRule="auto"/>
        <w:ind w:right="-43"/>
        <w:rPr>
          <w:rFonts w:cs="宋体" w:asciiTheme="minorEastAsia" w:hAnsiTheme="minorEastAsia"/>
          <w:sz w:val="24"/>
          <w:szCs w:val="24"/>
        </w:rPr>
      </w:pPr>
      <w:r>
        <w:rPr>
          <w:rFonts w:hint="eastAsia" w:cs="宋体" w:asciiTheme="minorEastAsia" w:hAnsiTheme="minorEastAsia"/>
          <w:sz w:val="24"/>
          <w:szCs w:val="24"/>
        </w:rPr>
        <w:t>4.3.4 相关范围描述和适用条款都以文件信息加以保持，并可为相关方获取。</w:t>
      </w:r>
    </w:p>
    <w:p w14:paraId="60706CCF">
      <w:pPr>
        <w:adjustRightInd w:val="0"/>
        <w:snapToGrid w:val="0"/>
        <w:spacing w:line="360" w:lineRule="auto"/>
        <w:ind w:right="-43"/>
        <w:rPr>
          <w:rFonts w:cs="宋体" w:asciiTheme="minorEastAsia" w:hAnsiTheme="minorEastAsia"/>
          <w:sz w:val="24"/>
          <w:szCs w:val="24"/>
        </w:rPr>
      </w:pPr>
      <w:r>
        <w:rPr>
          <w:rFonts w:hint="eastAsia" w:cs="宋体" w:asciiTheme="minorEastAsia" w:hAnsiTheme="minorEastAsia"/>
          <w:sz w:val="24"/>
          <w:szCs w:val="24"/>
        </w:rPr>
        <w:t>4.3.5 如果公司的质量/环境/职业健康安全管理体系的应用范围不适用本标准的某些要求，应说明理由。那些不适用公司的质量/环境/职业健康安全管理体系的要求，不能影响组织确保服务合格以及增强顾客满意的能力或责任，否则不能声称符合本标准。</w:t>
      </w:r>
    </w:p>
    <w:p w14:paraId="3C58D9C2">
      <w:pPr>
        <w:pStyle w:val="3"/>
        <w:spacing w:before="0" w:after="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4.4  管理体系及其过程</w:t>
      </w:r>
    </w:p>
    <w:p w14:paraId="59875A6B">
      <w:pPr>
        <w:spacing w:line="360" w:lineRule="auto"/>
        <w:rPr>
          <w:rFonts w:cs="宋体" w:asciiTheme="minorEastAsia" w:hAnsiTheme="minorEastAsia"/>
          <w:sz w:val="24"/>
          <w:szCs w:val="24"/>
        </w:rPr>
      </w:pPr>
      <w:r>
        <w:rPr>
          <w:rFonts w:hint="eastAsia" w:cs="宋体" w:asciiTheme="minorEastAsia" w:hAnsiTheme="minorEastAsia"/>
          <w:sz w:val="24"/>
          <w:szCs w:val="24"/>
        </w:rPr>
        <w:t>4.4.1 公司按</w:t>
      </w:r>
      <w:r>
        <w:rPr>
          <w:rFonts w:hint="eastAsia" w:ascii="宋体" w:hAnsi="宋体" w:eastAsia="宋体" w:cs="宋体"/>
          <w:sz w:val="24"/>
          <w:szCs w:val="24"/>
          <w:lang w:val="de-DE"/>
        </w:rPr>
        <w:t>GB/T19001-2016</w:t>
      </w:r>
      <w:r>
        <w:rPr>
          <w:rFonts w:hint="eastAsia" w:ascii="宋体" w:hAnsi="宋体" w:eastAsia="宋体" w:cs="宋体"/>
          <w:sz w:val="24"/>
          <w:szCs w:val="24"/>
        </w:rPr>
        <w:t>、</w:t>
      </w:r>
      <w:r>
        <w:rPr>
          <w:rFonts w:hint="eastAsia" w:ascii="宋体" w:hAnsi="宋体" w:eastAsia="宋体" w:cs="宋体"/>
          <w:sz w:val="24"/>
          <w:szCs w:val="24"/>
          <w:lang w:val="de-DE"/>
        </w:rPr>
        <w:t>GB/T24001-2016</w:t>
      </w:r>
      <w:r>
        <w:rPr>
          <w:rFonts w:hint="eastAsia" w:ascii="宋体" w:hAnsi="宋体" w:eastAsia="宋体" w:cs="宋体"/>
          <w:sz w:val="24"/>
          <w:szCs w:val="24"/>
        </w:rPr>
        <w:t>、</w:t>
      </w:r>
      <w:r>
        <w:rPr>
          <w:rFonts w:hint="eastAsia" w:ascii="宋体" w:hAnsi="宋体" w:eastAsia="宋体" w:cs="宋体"/>
          <w:sz w:val="24"/>
          <w:szCs w:val="24"/>
          <w:lang w:val="de-DE"/>
        </w:rPr>
        <w:t>GB/T45001-2020</w:t>
      </w:r>
      <w:r>
        <w:rPr>
          <w:rFonts w:hint="eastAsia" w:cs="宋体" w:asciiTheme="minorEastAsia" w:hAnsiTheme="minorEastAsia"/>
          <w:sz w:val="24"/>
          <w:szCs w:val="24"/>
        </w:rPr>
        <w:t>标准要求建立管理体系，将其形成管理手册，加以实施和保持，并持续改进其有效性。通过运行管理体系达到以下目的：</w:t>
      </w:r>
    </w:p>
    <w:p w14:paraId="4B70B56D">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a) 确定质量/环境/职业健康安全管理体系过程所需的输入和期望的输出及其在整个企业中的应用；</w:t>
      </w:r>
    </w:p>
    <w:p w14:paraId="4B7DF91B">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b) 确定这些过程的顺序和相互作用及其所需的准则和方法（包括监视、测量和相关绩效指标）；见“质量/环境/职业健康安全管理体系及其过程相互作用图”。</w:t>
      </w:r>
    </w:p>
    <w:p w14:paraId="6BB1799E">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c) 将上述过程融入企业其它各项日常业务过程中，以确保这些过程的运行和控制有效；</w:t>
      </w:r>
    </w:p>
    <w:p w14:paraId="2A46F334">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d) 确保为管理体系提供必要的资源和信息，以支持这些过程的运行和监视；</w:t>
      </w:r>
    </w:p>
    <w:p w14:paraId="7AD576D1">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e) 规定这些过程相关的职责和权限；</w:t>
      </w:r>
    </w:p>
    <w:p w14:paraId="3E4A0207">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f) 评价和应对过程中可能遇到的风险和机遇；</w:t>
      </w:r>
    </w:p>
    <w:p w14:paraId="6A794857">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g) 通过适当方式对过程实施监视、测量和分析，实施所需的变更，对结果进行评价以确保过程的预期效果；</w:t>
      </w:r>
    </w:p>
    <w:p w14:paraId="20CA5E9C">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h) 对过程和管理体系实施必要的措施，以实现所策划的结果和持续改进。</w:t>
      </w:r>
    </w:p>
    <w:p w14:paraId="2CF78DC7">
      <w:pPr>
        <w:autoSpaceDE w:val="0"/>
        <w:autoSpaceDN w:val="0"/>
        <w:adjustRightInd w:val="0"/>
        <w:spacing w:line="360" w:lineRule="auto"/>
        <w:jc w:val="left"/>
        <w:rPr>
          <w:rFonts w:cs="宋体" w:asciiTheme="minorEastAsia" w:hAnsiTheme="minorEastAsia"/>
          <w:kern w:val="0"/>
          <w:sz w:val="24"/>
          <w:szCs w:val="24"/>
        </w:rPr>
      </w:pPr>
      <w:r>
        <w:rPr>
          <w:rFonts w:hint="eastAsia" w:cs="宋体" w:asciiTheme="minorEastAsia" w:hAnsiTheme="minorEastAsia"/>
          <w:kern w:val="0"/>
          <w:sz w:val="24"/>
          <w:szCs w:val="24"/>
        </w:rPr>
        <w:t>4.4.2 根据标准要求，结合企业实际需要，企业必须：</w:t>
      </w:r>
    </w:p>
    <w:p w14:paraId="463E12B4">
      <w:pPr>
        <w:autoSpaceDE w:val="0"/>
        <w:autoSpaceDN w:val="0"/>
        <w:adjustRightInd w:val="0"/>
        <w:spacing w:line="360" w:lineRule="auto"/>
        <w:ind w:firstLine="410" w:firstLineChars="171"/>
        <w:jc w:val="left"/>
        <w:rPr>
          <w:rFonts w:cs="宋体" w:asciiTheme="minorEastAsia" w:hAnsiTheme="minorEastAsia"/>
          <w:kern w:val="0"/>
          <w:sz w:val="24"/>
          <w:szCs w:val="24"/>
        </w:rPr>
      </w:pPr>
      <w:r>
        <w:rPr>
          <w:rFonts w:hint="eastAsia" w:cs="宋体" w:asciiTheme="minorEastAsia" w:hAnsiTheme="minorEastAsia"/>
          <w:kern w:val="0"/>
          <w:sz w:val="24"/>
          <w:szCs w:val="24"/>
        </w:rPr>
        <w:t>a）根据服务过程控制要求，制定相应的程序文件、管理规范、操作规范等体系文件，支持</w:t>
      </w:r>
      <w:r>
        <w:rPr>
          <w:rFonts w:hint="eastAsia" w:cs="宋体" w:asciiTheme="minorEastAsia" w:hAnsiTheme="minorEastAsia"/>
          <w:sz w:val="24"/>
          <w:szCs w:val="24"/>
        </w:rPr>
        <w:t>质量/环境/职业健康安全管理</w:t>
      </w:r>
      <w:r>
        <w:rPr>
          <w:rFonts w:hint="eastAsia" w:cs="宋体" w:asciiTheme="minorEastAsia" w:hAnsiTheme="minorEastAsia"/>
          <w:kern w:val="0"/>
          <w:sz w:val="24"/>
          <w:szCs w:val="24"/>
        </w:rPr>
        <w:t xml:space="preserve">体系各过程运行，同时保留相关的记录等信息。 </w:t>
      </w:r>
    </w:p>
    <w:p w14:paraId="7F9CD89E">
      <w:pPr>
        <w:adjustRightInd w:val="0"/>
        <w:snapToGrid w:val="0"/>
        <w:spacing w:line="360" w:lineRule="auto"/>
        <w:ind w:right="-43"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b）保留确认过程按策划进行的证据文件。见“0.7</w:t>
      </w:r>
      <w:r>
        <w:rPr>
          <w:rFonts w:hint="eastAsia" w:cs="宋体" w:asciiTheme="minorEastAsia" w:hAnsiTheme="minorEastAsia"/>
          <w:sz w:val="24"/>
          <w:szCs w:val="24"/>
        </w:rPr>
        <w:t>质量/环境/职业健康安全</w:t>
      </w:r>
      <w:r>
        <w:rPr>
          <w:rFonts w:hint="eastAsia" w:cs="宋体" w:asciiTheme="minorEastAsia" w:hAnsiTheme="minorEastAsia"/>
          <w:kern w:val="0"/>
          <w:sz w:val="24"/>
          <w:szCs w:val="24"/>
        </w:rPr>
        <w:t>管理体系职能分配表”</w:t>
      </w:r>
    </w:p>
    <w:p w14:paraId="7456DEC5">
      <w:pPr>
        <w:adjustRightInd w:val="0"/>
        <w:snapToGrid w:val="0"/>
        <w:spacing w:line="360" w:lineRule="auto"/>
        <w:ind w:right="-43"/>
        <w:rPr>
          <w:rFonts w:cs="宋体" w:asciiTheme="minorEastAsia" w:hAnsiTheme="minorEastAsia"/>
          <w:sz w:val="24"/>
          <w:szCs w:val="24"/>
        </w:rPr>
      </w:pPr>
      <w:r>
        <w:rPr>
          <w:rFonts w:hint="eastAsia" w:cs="宋体" w:asciiTheme="minorEastAsia" w:hAnsiTheme="minorEastAsia"/>
          <w:sz w:val="24"/>
          <w:szCs w:val="24"/>
        </w:rPr>
        <w:t>4.4.3 为使公司质量/环境/职业健康安全管理体系有效运行，并持续改进，各部门应：</w:t>
      </w:r>
    </w:p>
    <w:p w14:paraId="4D7912BC">
      <w:pPr>
        <w:adjustRightInd w:val="0"/>
        <w:snapToGrid w:val="0"/>
        <w:spacing w:line="360" w:lineRule="auto"/>
        <w:ind w:right="-43" w:firstLine="523" w:firstLineChars="218"/>
        <w:rPr>
          <w:rFonts w:cs="宋体" w:asciiTheme="minorEastAsia" w:hAnsiTheme="minorEastAsia"/>
          <w:sz w:val="24"/>
          <w:szCs w:val="24"/>
        </w:rPr>
      </w:pPr>
      <w:r>
        <w:rPr>
          <w:rFonts w:hint="eastAsia" w:cs="宋体" w:asciiTheme="minorEastAsia" w:hAnsiTheme="minorEastAsia"/>
          <w:sz w:val="24"/>
          <w:szCs w:val="24"/>
        </w:rPr>
        <w:t>1)按质量/环境/职业健康安全管理体系文件中的规定贯彻实施，文件中的规定与实 际运作应保持一致。</w:t>
      </w:r>
    </w:p>
    <w:p w14:paraId="32AAC6F1">
      <w:pPr>
        <w:adjustRightInd w:val="0"/>
        <w:snapToGrid w:val="0"/>
        <w:spacing w:line="360" w:lineRule="auto"/>
        <w:ind w:right="-43" w:firstLine="523" w:firstLineChars="218"/>
        <w:rPr>
          <w:rFonts w:cs="宋体" w:asciiTheme="minorEastAsia" w:hAnsiTheme="minorEastAsia"/>
          <w:sz w:val="24"/>
          <w:szCs w:val="24"/>
        </w:rPr>
      </w:pPr>
      <w:r>
        <w:rPr>
          <w:rFonts w:hint="eastAsia" w:cs="宋体" w:asciiTheme="minorEastAsia" w:hAnsiTheme="minorEastAsia"/>
          <w:sz w:val="24"/>
          <w:szCs w:val="24"/>
        </w:rPr>
        <w:t>2)随着质量/环境/职业健康安全管理体系的变化，质量/环境/职业健康安全管理方针、目标的变化，应定期评审，及时修订质量/环境/职业健康安全管理体系文件，确保其有效性、充分性和适宜性。</w:t>
      </w:r>
    </w:p>
    <w:p w14:paraId="1E4B7B97">
      <w:pPr>
        <w:adjustRightInd w:val="0"/>
        <w:snapToGrid w:val="0"/>
        <w:spacing w:line="360" w:lineRule="auto"/>
        <w:ind w:right="-43" w:firstLine="523" w:firstLineChars="218"/>
        <w:rPr>
          <w:rFonts w:cs="宋体" w:asciiTheme="minorEastAsia" w:hAnsiTheme="minorEastAsia"/>
          <w:sz w:val="24"/>
          <w:szCs w:val="24"/>
        </w:rPr>
      </w:pPr>
      <w:r>
        <w:rPr>
          <w:rFonts w:hint="eastAsia" w:cs="宋体" w:asciiTheme="minorEastAsia" w:hAnsiTheme="minorEastAsia"/>
          <w:sz w:val="24"/>
          <w:szCs w:val="24"/>
        </w:rPr>
        <w:t>3)质量/环境/职业健康安全管理体系建立后，应不断完善，持续改进，提高有效性和效率。</w:t>
      </w:r>
    </w:p>
    <w:p w14:paraId="1E60F2DE">
      <w:pPr>
        <w:pStyle w:val="32"/>
        <w:spacing w:line="360" w:lineRule="auto"/>
        <w:rPr>
          <w:color w:val="auto"/>
          <w:sz w:val="22"/>
          <w:szCs w:val="22"/>
        </w:rPr>
      </w:pPr>
      <w:r>
        <w:rPr>
          <w:rFonts w:hint="eastAsia" w:cs="Arial"/>
          <w:color w:val="auto"/>
          <w:sz w:val="22"/>
          <w:szCs w:val="22"/>
        </w:rPr>
        <w:t>4.4.4</w:t>
      </w:r>
      <w:r>
        <w:rPr>
          <w:rFonts w:hint="eastAsia"/>
          <w:color w:val="auto"/>
          <w:sz w:val="22"/>
          <w:szCs w:val="22"/>
        </w:rPr>
        <w:t>过程方法</w:t>
      </w:r>
    </w:p>
    <w:p w14:paraId="003BE1ED">
      <w:pPr>
        <w:widowControl/>
        <w:spacing w:line="360" w:lineRule="auto"/>
        <w:ind w:right="-80" w:rightChars="-38" w:firstLine="440" w:firstLineChars="200"/>
        <w:jc w:val="left"/>
        <w:rPr>
          <w:rFonts w:ascii="宋体"/>
          <w:sz w:val="22"/>
        </w:rPr>
      </w:pPr>
      <w:r>
        <w:rPr>
          <w:rFonts w:hint="eastAsia" w:ascii="宋体"/>
          <w:sz w:val="22"/>
        </w:rPr>
        <w:t xml:space="preserve">1）公司将过程方法应用于质量管理体系。组织应： </w:t>
      </w:r>
    </w:p>
    <w:p w14:paraId="32D490D5">
      <w:pPr>
        <w:widowControl/>
        <w:spacing w:line="360" w:lineRule="auto"/>
        <w:ind w:left="-105" w:right="-80" w:rightChars="-38" w:firstLine="525"/>
        <w:jc w:val="left"/>
        <w:rPr>
          <w:rFonts w:ascii="宋体"/>
          <w:sz w:val="22"/>
        </w:rPr>
      </w:pPr>
      <w:r>
        <w:rPr>
          <w:rFonts w:hint="eastAsia" w:ascii="宋体"/>
          <w:sz w:val="22"/>
        </w:rPr>
        <w:t xml:space="preserve">a) 公司现有运行过程进行识别，确定主要过程； </w:t>
      </w:r>
    </w:p>
    <w:p w14:paraId="7B7D8BA3">
      <w:pPr>
        <w:widowControl/>
        <w:spacing w:line="360" w:lineRule="auto"/>
        <w:ind w:left="-105" w:right="-80" w:rightChars="-38" w:firstLine="525"/>
        <w:jc w:val="left"/>
        <w:rPr>
          <w:rFonts w:ascii="宋体"/>
          <w:sz w:val="22"/>
        </w:rPr>
      </w:pPr>
      <w:r>
        <w:rPr>
          <w:rFonts w:hint="eastAsia" w:ascii="宋体"/>
          <w:sz w:val="22"/>
        </w:rPr>
        <w:t xml:space="preserve">b) 主要过程的输入和输出要求； </w:t>
      </w:r>
    </w:p>
    <w:p w14:paraId="3DA61CBC">
      <w:pPr>
        <w:widowControl/>
        <w:spacing w:line="360" w:lineRule="auto"/>
        <w:ind w:left="-105" w:right="-80" w:rightChars="-38" w:firstLine="525"/>
        <w:jc w:val="left"/>
        <w:rPr>
          <w:rFonts w:ascii="宋体"/>
          <w:sz w:val="22"/>
        </w:rPr>
      </w:pPr>
      <w:r>
        <w:rPr>
          <w:rFonts w:hint="eastAsia" w:ascii="宋体"/>
          <w:sz w:val="22"/>
        </w:rPr>
        <w:t>c) 对过程之间的关系进行清理；</w:t>
      </w:r>
    </w:p>
    <w:p w14:paraId="7D2996BD">
      <w:pPr>
        <w:widowControl/>
        <w:spacing w:line="360" w:lineRule="auto"/>
        <w:ind w:left="-105" w:right="-80" w:rightChars="-38" w:firstLine="525"/>
        <w:jc w:val="left"/>
        <w:rPr>
          <w:rFonts w:ascii="宋体"/>
          <w:sz w:val="22"/>
        </w:rPr>
      </w:pPr>
      <w:r>
        <w:rPr>
          <w:rFonts w:hint="eastAsia" w:ascii="宋体"/>
          <w:sz w:val="22"/>
        </w:rPr>
        <w:t xml:space="preserve">d) 过程失效的情况，包括过程失效对产品和顾客满意带来的风险； </w:t>
      </w:r>
    </w:p>
    <w:p w14:paraId="75049116">
      <w:pPr>
        <w:widowControl/>
        <w:spacing w:line="360" w:lineRule="auto"/>
        <w:ind w:left="-105" w:right="-80" w:rightChars="-38" w:firstLine="525"/>
        <w:jc w:val="left"/>
        <w:rPr>
          <w:rFonts w:ascii="宋体"/>
          <w:sz w:val="22"/>
        </w:rPr>
      </w:pPr>
      <w:r>
        <w:rPr>
          <w:rFonts w:hint="eastAsia" w:ascii="宋体"/>
          <w:sz w:val="22"/>
        </w:rPr>
        <w:t xml:space="preserve">e) 确定所需的准则、方法、测量及相关的绩效指标，以确保这些过程的有效运行和控制； </w:t>
      </w:r>
    </w:p>
    <w:p w14:paraId="1EFA43A7">
      <w:pPr>
        <w:widowControl/>
        <w:spacing w:line="360" w:lineRule="auto"/>
        <w:ind w:left="-105" w:right="-80" w:rightChars="-38" w:firstLine="525"/>
        <w:jc w:val="left"/>
        <w:rPr>
          <w:rFonts w:ascii="宋体"/>
          <w:sz w:val="22"/>
        </w:rPr>
      </w:pPr>
      <w:r>
        <w:rPr>
          <w:rFonts w:hint="eastAsia" w:ascii="宋体"/>
          <w:sz w:val="22"/>
        </w:rPr>
        <w:t xml:space="preserve">f) 确定人力、设备、财力、环境等资源； </w:t>
      </w:r>
    </w:p>
    <w:p w14:paraId="0C077482">
      <w:pPr>
        <w:widowControl/>
        <w:spacing w:line="360" w:lineRule="auto"/>
        <w:ind w:left="-105" w:right="-80" w:rightChars="-38" w:firstLine="525"/>
        <w:jc w:val="left"/>
        <w:rPr>
          <w:rFonts w:ascii="宋体"/>
          <w:sz w:val="22"/>
        </w:rPr>
      </w:pPr>
      <w:r>
        <w:rPr>
          <w:rFonts w:hint="eastAsia" w:ascii="宋体"/>
          <w:sz w:val="22"/>
        </w:rPr>
        <w:t xml:space="preserve">g) 规定岗位、职责和权限； </w:t>
      </w:r>
    </w:p>
    <w:p w14:paraId="500B16FC">
      <w:pPr>
        <w:widowControl/>
        <w:spacing w:line="360" w:lineRule="auto"/>
        <w:ind w:left="-105" w:right="-80" w:rightChars="-38" w:firstLine="525"/>
        <w:jc w:val="left"/>
        <w:rPr>
          <w:rFonts w:ascii="宋体"/>
          <w:sz w:val="22"/>
        </w:rPr>
      </w:pPr>
      <w:r>
        <w:rPr>
          <w:rFonts w:hint="eastAsia" w:ascii="宋体"/>
          <w:sz w:val="22"/>
        </w:rPr>
        <w:t xml:space="preserve">h) 根据各种管理规程和措施，进行有效的实施，以保证预期结果的实现； </w:t>
      </w:r>
    </w:p>
    <w:p w14:paraId="0B5D9103">
      <w:pPr>
        <w:pStyle w:val="32"/>
        <w:spacing w:line="360" w:lineRule="auto"/>
        <w:ind w:left="-105" w:firstLine="525"/>
        <w:rPr>
          <w:color w:val="auto"/>
          <w:sz w:val="22"/>
          <w:szCs w:val="22"/>
        </w:rPr>
      </w:pPr>
      <w:r>
        <w:rPr>
          <w:rFonts w:hint="eastAsia"/>
          <w:color w:val="auto"/>
          <w:sz w:val="22"/>
          <w:szCs w:val="22"/>
        </w:rPr>
        <w:t>i) 在适当的时机后阶段，进行监视、测量和分析，必要时进行变更，保证实现预期，并持续改进、不断提升</w:t>
      </w:r>
      <w:r>
        <w:rPr>
          <w:color w:val="auto"/>
          <w:sz w:val="22"/>
          <w:szCs w:val="22"/>
        </w:rPr>
        <w:t>，力争</w:t>
      </w:r>
      <w:r>
        <w:rPr>
          <w:rFonts w:hint="eastAsia"/>
          <w:color w:val="auto"/>
          <w:sz w:val="22"/>
          <w:szCs w:val="22"/>
        </w:rPr>
        <w:t>过程改进有效率达到100%。</w:t>
      </w:r>
    </w:p>
    <w:p w14:paraId="5A1B00A7">
      <w:pPr>
        <w:spacing w:line="360" w:lineRule="auto"/>
        <w:rPr>
          <w:rFonts w:ascii="宋体"/>
          <w:sz w:val="22"/>
        </w:rPr>
      </w:pPr>
      <w:r>
        <w:rPr>
          <w:sz w:val="22"/>
        </w:rPr>
        <w:t xml:space="preserve">    2）</w:t>
      </w:r>
      <w:r>
        <w:rPr>
          <w:rFonts w:hint="eastAsia" w:ascii="宋体"/>
          <w:sz w:val="22"/>
        </w:rPr>
        <w:t xml:space="preserve">与过程有关的名词解释                                                                                                      </w:t>
      </w:r>
    </w:p>
    <w:p w14:paraId="33A8EF1B">
      <w:pPr>
        <w:numPr>
          <w:ilvl w:val="0"/>
          <w:numId w:val="2"/>
        </w:numPr>
        <w:spacing w:line="360" w:lineRule="auto"/>
        <w:ind w:left="420" w:firstLine="0"/>
        <w:rPr>
          <w:rFonts w:ascii="宋体"/>
          <w:sz w:val="22"/>
        </w:rPr>
      </w:pPr>
      <w:r>
        <w:rPr>
          <w:rFonts w:hint="eastAsia" w:ascii="宋体"/>
          <w:b/>
          <w:sz w:val="22"/>
        </w:rPr>
        <w:t xml:space="preserve">过程： </w:t>
      </w:r>
      <w:r>
        <w:rPr>
          <w:rFonts w:hint="eastAsia" w:ascii="宋体"/>
          <w:sz w:val="22"/>
        </w:rPr>
        <w:t>一组将输入转化为输出的相互关联的或相互作用的活动。过程是为顾客（内部的或外部的）提供产品或服务的一系列活动，过程开始于输入，以输出为结束。</w:t>
      </w:r>
    </w:p>
    <w:p w14:paraId="09964918">
      <w:pPr>
        <w:numPr>
          <w:ilvl w:val="0"/>
          <w:numId w:val="2"/>
        </w:numPr>
        <w:spacing w:line="360" w:lineRule="auto"/>
        <w:ind w:left="420" w:firstLine="0"/>
        <w:rPr>
          <w:rFonts w:ascii="宋体"/>
          <w:sz w:val="22"/>
        </w:rPr>
      </w:pPr>
      <w:r>
        <w:rPr>
          <w:rFonts w:hint="eastAsia" w:ascii="宋体"/>
          <w:sz w:val="22"/>
        </w:rPr>
        <w:t>公司的质量管理体系按类型分为：顾客导向过程、支持过程、管理过程。</w:t>
      </w:r>
    </w:p>
    <w:p w14:paraId="0BD8E2AE">
      <w:pPr>
        <w:numPr>
          <w:ilvl w:val="0"/>
          <w:numId w:val="3"/>
        </w:numPr>
        <w:tabs>
          <w:tab w:val="left" w:pos="105"/>
        </w:tabs>
        <w:spacing w:line="360" w:lineRule="auto"/>
        <w:ind w:firstLine="0"/>
        <w:rPr>
          <w:rFonts w:ascii="宋体"/>
          <w:sz w:val="22"/>
        </w:rPr>
      </w:pPr>
      <w:r>
        <w:rPr>
          <w:rFonts w:hint="eastAsia" w:ascii="宋体"/>
          <w:b/>
          <w:sz w:val="22"/>
        </w:rPr>
        <w:t>顾客导向过程</w:t>
      </w:r>
      <w:r>
        <w:rPr>
          <w:rFonts w:hint="eastAsia" w:ascii="宋体"/>
          <w:sz w:val="22"/>
        </w:rPr>
        <w:t>：通过输入和输出直接和外部顾客联系的过程，直接对顾客产生影响，是给公司直接带来效益的过程。</w:t>
      </w:r>
    </w:p>
    <w:p w14:paraId="267D1B4A">
      <w:pPr>
        <w:numPr>
          <w:ilvl w:val="0"/>
          <w:numId w:val="3"/>
        </w:numPr>
        <w:tabs>
          <w:tab w:val="left" w:pos="105"/>
        </w:tabs>
        <w:spacing w:line="360" w:lineRule="auto"/>
        <w:ind w:firstLine="0"/>
        <w:rPr>
          <w:rFonts w:ascii="宋体"/>
          <w:sz w:val="22"/>
        </w:rPr>
      </w:pPr>
      <w:r>
        <w:rPr>
          <w:rFonts w:hint="eastAsia" w:ascii="宋体"/>
          <w:b/>
          <w:sz w:val="22"/>
        </w:rPr>
        <w:t>支持过程</w:t>
      </w:r>
      <w:r>
        <w:rPr>
          <w:rFonts w:hint="eastAsia" w:ascii="宋体"/>
          <w:sz w:val="22"/>
        </w:rPr>
        <w:t>：提供主要资源或能力，为了实现公司的经营目标，支持顾客导向过程实现预计目标的过程，支持过程是实现顾客导向过程功能的必要过程。</w:t>
      </w:r>
    </w:p>
    <w:p w14:paraId="69DE4FFE">
      <w:pPr>
        <w:numPr>
          <w:ilvl w:val="0"/>
          <w:numId w:val="3"/>
        </w:numPr>
        <w:tabs>
          <w:tab w:val="left" w:pos="105"/>
        </w:tabs>
        <w:spacing w:line="360" w:lineRule="auto"/>
        <w:ind w:firstLine="0"/>
        <w:rPr>
          <w:rFonts w:ascii="宋体"/>
          <w:sz w:val="22"/>
        </w:rPr>
      </w:pPr>
      <w:r>
        <w:rPr>
          <w:rFonts w:hint="eastAsia" w:ascii="宋体"/>
          <w:b/>
          <w:sz w:val="22"/>
        </w:rPr>
        <w:t>管理过程</w:t>
      </w:r>
      <w:r>
        <w:rPr>
          <w:rFonts w:hint="eastAsia" w:ascii="宋体"/>
          <w:sz w:val="22"/>
        </w:rPr>
        <w:t>：用来衡量和评价顾客导向过程和支持过程的有效性和效率，组织策划将顾客要求转化为组织衡量的目标和指标，确定公司组织结构，产生公司决策和目标及更改等过程。</w:t>
      </w:r>
    </w:p>
    <w:p w14:paraId="4C9E3F33">
      <w:pPr>
        <w:ind w:firstLine="435"/>
        <w:jc w:val="center"/>
        <w:rPr>
          <w:b/>
          <w:sz w:val="30"/>
          <w:szCs w:val="30"/>
        </w:rPr>
      </w:pPr>
      <w:r>
        <w:rPr>
          <w:rFonts w:hint="eastAsia"/>
          <w:b/>
          <w:sz w:val="30"/>
          <w:szCs w:val="30"/>
        </w:rPr>
        <w:t>过程相互关系矩阵表</w:t>
      </w:r>
    </w:p>
    <w:tbl>
      <w:tblPr>
        <w:tblStyle w:val="13"/>
        <w:tblW w:w="633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16"/>
        <w:gridCol w:w="2884"/>
        <w:gridCol w:w="788"/>
        <w:gridCol w:w="591"/>
        <w:gridCol w:w="838"/>
        <w:gridCol w:w="617"/>
      </w:tblGrid>
      <w:tr w14:paraId="17024E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616" w:type="dxa"/>
            <w:tcBorders>
              <w:top w:val="single" w:color="auto" w:sz="4" w:space="0"/>
            </w:tcBorders>
            <w:vAlign w:val="center"/>
          </w:tcPr>
          <w:p w14:paraId="17339C51">
            <w:pPr>
              <w:ind w:right="-105" w:rightChars="-50"/>
              <w:rPr>
                <w:rFonts w:ascii="宋体" w:hAnsi="宋体"/>
                <w:sz w:val="24"/>
              </w:rPr>
            </w:pPr>
            <w:r>
              <w:rPr>
                <w:rFonts w:hint="eastAsia" w:ascii="宋体" w:hAnsi="宋体"/>
                <w:sz w:val="24"/>
              </w:rPr>
              <w:t>M1</w:t>
            </w:r>
          </w:p>
        </w:tc>
        <w:tc>
          <w:tcPr>
            <w:tcW w:w="2884" w:type="dxa"/>
            <w:tcBorders>
              <w:top w:val="single" w:color="auto" w:sz="4" w:space="0"/>
            </w:tcBorders>
            <w:vAlign w:val="center"/>
          </w:tcPr>
          <w:p w14:paraId="63F2205D">
            <w:pPr>
              <w:rPr>
                <w:rFonts w:ascii="宋体" w:hAnsi="宋体"/>
                <w:sz w:val="24"/>
              </w:rPr>
            </w:pPr>
            <w:r>
              <w:rPr>
                <w:rFonts w:hint="eastAsia" w:ascii="宋体" w:hAnsi="宋体"/>
                <w:sz w:val="24"/>
              </w:rPr>
              <w:t>策划</w:t>
            </w:r>
            <w:r>
              <w:rPr>
                <w:rFonts w:ascii="宋体" w:hAnsi="宋体"/>
                <w:sz w:val="24"/>
              </w:rPr>
              <w:t>过程</w:t>
            </w:r>
          </w:p>
        </w:tc>
        <w:tc>
          <w:tcPr>
            <w:tcW w:w="788" w:type="dxa"/>
            <w:tcBorders>
              <w:top w:val="single" w:color="auto" w:sz="4" w:space="0"/>
            </w:tcBorders>
            <w:vAlign w:val="center"/>
          </w:tcPr>
          <w:p w14:paraId="14D55531">
            <w:pPr>
              <w:jc w:val="center"/>
              <w:rPr>
                <w:rFonts w:ascii="宋体" w:hAnsi="宋体"/>
                <w:b/>
                <w:bCs/>
                <w:sz w:val="22"/>
              </w:rPr>
            </w:pPr>
            <w:r>
              <w:rPr>
                <w:rFonts w:hint="eastAsia" w:ascii="宋体" w:hAnsi="宋体"/>
                <w:b/>
                <w:bCs/>
                <w:sz w:val="22"/>
              </w:rPr>
              <w:t>╀</w:t>
            </w:r>
          </w:p>
        </w:tc>
        <w:tc>
          <w:tcPr>
            <w:tcW w:w="591" w:type="dxa"/>
            <w:tcBorders>
              <w:top w:val="single" w:color="auto" w:sz="4" w:space="0"/>
            </w:tcBorders>
            <w:vAlign w:val="center"/>
          </w:tcPr>
          <w:p w14:paraId="264D8E13">
            <w:pPr>
              <w:jc w:val="center"/>
              <w:rPr>
                <w:rFonts w:ascii="宋体" w:hAnsi="宋体"/>
                <w:b/>
                <w:bCs/>
                <w:sz w:val="22"/>
              </w:rPr>
            </w:pPr>
            <w:r>
              <w:rPr>
                <w:rFonts w:hint="eastAsia" w:ascii="宋体" w:hAnsi="宋体"/>
                <w:b/>
                <w:bCs/>
                <w:sz w:val="22"/>
              </w:rPr>
              <w:t>╀</w:t>
            </w:r>
          </w:p>
        </w:tc>
        <w:tc>
          <w:tcPr>
            <w:tcW w:w="838" w:type="dxa"/>
            <w:tcBorders>
              <w:top w:val="single" w:color="auto" w:sz="4" w:space="0"/>
            </w:tcBorders>
            <w:vAlign w:val="center"/>
          </w:tcPr>
          <w:p w14:paraId="0B49E60C">
            <w:pPr>
              <w:jc w:val="center"/>
              <w:rPr>
                <w:rFonts w:ascii="宋体" w:hAnsi="宋体"/>
                <w:b/>
                <w:bCs/>
                <w:sz w:val="22"/>
              </w:rPr>
            </w:pPr>
            <w:r>
              <w:rPr>
                <w:rFonts w:hint="eastAsia" w:ascii="宋体" w:hAnsi="宋体"/>
                <w:b/>
                <w:bCs/>
                <w:sz w:val="22"/>
              </w:rPr>
              <w:t>╀</w:t>
            </w:r>
          </w:p>
        </w:tc>
        <w:tc>
          <w:tcPr>
            <w:tcW w:w="617" w:type="dxa"/>
            <w:tcBorders>
              <w:top w:val="single" w:color="auto" w:sz="4" w:space="0"/>
            </w:tcBorders>
            <w:vAlign w:val="center"/>
          </w:tcPr>
          <w:p w14:paraId="7101AECD">
            <w:pPr>
              <w:jc w:val="center"/>
              <w:rPr>
                <w:rFonts w:ascii="宋体" w:hAnsi="宋体"/>
                <w:b/>
                <w:bCs/>
                <w:sz w:val="22"/>
              </w:rPr>
            </w:pPr>
            <w:r>
              <w:rPr>
                <w:rFonts w:hint="eastAsia" w:ascii="宋体" w:hAnsi="宋体"/>
                <w:b/>
                <w:bCs/>
                <w:sz w:val="22"/>
              </w:rPr>
              <w:t>╀</w:t>
            </w:r>
          </w:p>
        </w:tc>
      </w:tr>
      <w:tr w14:paraId="74A3BA2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616" w:type="dxa"/>
            <w:tcBorders>
              <w:bottom w:val="single" w:color="auto" w:sz="4" w:space="0"/>
            </w:tcBorders>
            <w:vAlign w:val="center"/>
          </w:tcPr>
          <w:p w14:paraId="26D63A59">
            <w:pPr>
              <w:ind w:right="-105" w:rightChars="-50"/>
              <w:rPr>
                <w:rFonts w:ascii="宋体" w:hAnsi="宋体"/>
                <w:sz w:val="24"/>
              </w:rPr>
            </w:pPr>
            <w:r>
              <w:rPr>
                <w:rFonts w:hint="eastAsia" w:ascii="宋体" w:hAnsi="宋体"/>
                <w:sz w:val="24"/>
              </w:rPr>
              <w:t>M2</w:t>
            </w:r>
          </w:p>
        </w:tc>
        <w:tc>
          <w:tcPr>
            <w:tcW w:w="2884" w:type="dxa"/>
            <w:vAlign w:val="center"/>
          </w:tcPr>
          <w:p w14:paraId="3681CFB6">
            <w:pPr>
              <w:rPr>
                <w:rFonts w:ascii="宋体" w:hAnsi="宋体"/>
                <w:sz w:val="24"/>
              </w:rPr>
            </w:pPr>
            <w:r>
              <w:rPr>
                <w:rFonts w:hint="eastAsia" w:ascii="宋体" w:hAnsi="宋体"/>
                <w:sz w:val="24"/>
              </w:rPr>
              <w:t>管理评审</w:t>
            </w:r>
          </w:p>
        </w:tc>
        <w:tc>
          <w:tcPr>
            <w:tcW w:w="788" w:type="dxa"/>
            <w:vAlign w:val="center"/>
          </w:tcPr>
          <w:p w14:paraId="1EF1A1D2">
            <w:pPr>
              <w:jc w:val="center"/>
              <w:rPr>
                <w:rFonts w:ascii="宋体" w:hAnsi="宋体"/>
                <w:b/>
                <w:bCs/>
                <w:sz w:val="22"/>
              </w:rPr>
            </w:pPr>
            <w:r>
              <w:rPr>
                <w:rFonts w:hint="eastAsia" w:ascii="宋体" w:hAnsi="宋体"/>
                <w:b/>
                <w:bCs/>
                <w:sz w:val="22"/>
              </w:rPr>
              <w:t>╀</w:t>
            </w:r>
          </w:p>
        </w:tc>
        <w:tc>
          <w:tcPr>
            <w:tcW w:w="591" w:type="dxa"/>
            <w:vAlign w:val="center"/>
          </w:tcPr>
          <w:p w14:paraId="25EA3A65">
            <w:pPr>
              <w:jc w:val="center"/>
              <w:rPr>
                <w:rFonts w:ascii="宋体" w:hAnsi="宋体"/>
                <w:b/>
                <w:bCs/>
                <w:sz w:val="22"/>
              </w:rPr>
            </w:pPr>
            <w:r>
              <w:rPr>
                <w:rFonts w:hint="eastAsia" w:ascii="宋体" w:hAnsi="宋体"/>
                <w:b/>
                <w:bCs/>
                <w:sz w:val="22"/>
              </w:rPr>
              <w:t>╀</w:t>
            </w:r>
          </w:p>
        </w:tc>
        <w:tc>
          <w:tcPr>
            <w:tcW w:w="838" w:type="dxa"/>
            <w:vAlign w:val="center"/>
          </w:tcPr>
          <w:p w14:paraId="0846A706">
            <w:pPr>
              <w:jc w:val="center"/>
              <w:rPr>
                <w:rFonts w:ascii="宋体" w:hAnsi="宋体"/>
                <w:b/>
                <w:bCs/>
                <w:sz w:val="22"/>
              </w:rPr>
            </w:pPr>
            <w:r>
              <w:rPr>
                <w:rFonts w:hint="eastAsia" w:ascii="宋体" w:hAnsi="宋体"/>
                <w:b/>
                <w:bCs/>
                <w:sz w:val="22"/>
              </w:rPr>
              <w:t>╀</w:t>
            </w:r>
          </w:p>
        </w:tc>
        <w:tc>
          <w:tcPr>
            <w:tcW w:w="617" w:type="dxa"/>
            <w:vAlign w:val="center"/>
          </w:tcPr>
          <w:p w14:paraId="31887DAE">
            <w:pPr>
              <w:jc w:val="center"/>
              <w:rPr>
                <w:rFonts w:ascii="宋体" w:hAnsi="宋体"/>
                <w:b/>
                <w:bCs/>
                <w:sz w:val="22"/>
              </w:rPr>
            </w:pPr>
            <w:r>
              <w:rPr>
                <w:rFonts w:hint="eastAsia" w:ascii="宋体" w:hAnsi="宋体"/>
                <w:b/>
                <w:bCs/>
                <w:sz w:val="22"/>
              </w:rPr>
              <w:t>╀</w:t>
            </w:r>
          </w:p>
        </w:tc>
      </w:tr>
      <w:tr w14:paraId="6838C4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616" w:type="dxa"/>
            <w:tcBorders>
              <w:top w:val="single" w:color="auto" w:sz="4" w:space="0"/>
              <w:bottom w:val="single" w:color="auto" w:sz="4" w:space="0"/>
              <w:right w:val="single" w:color="auto" w:sz="4" w:space="0"/>
            </w:tcBorders>
            <w:vAlign w:val="center"/>
          </w:tcPr>
          <w:p w14:paraId="66E56F54">
            <w:pPr>
              <w:ind w:right="-105" w:rightChars="-50"/>
              <w:rPr>
                <w:rFonts w:ascii="宋体" w:hAnsi="宋体"/>
                <w:sz w:val="24"/>
              </w:rPr>
            </w:pPr>
            <w:r>
              <w:rPr>
                <w:rFonts w:hint="eastAsia" w:ascii="宋体" w:hAnsi="宋体"/>
                <w:sz w:val="24"/>
              </w:rPr>
              <w:t>M3</w:t>
            </w:r>
          </w:p>
        </w:tc>
        <w:tc>
          <w:tcPr>
            <w:tcW w:w="2884" w:type="dxa"/>
            <w:tcBorders>
              <w:left w:val="single" w:color="auto" w:sz="4" w:space="0"/>
            </w:tcBorders>
            <w:vAlign w:val="center"/>
          </w:tcPr>
          <w:p w14:paraId="51F95F50">
            <w:pPr>
              <w:rPr>
                <w:rFonts w:ascii="宋体" w:hAnsi="宋体"/>
                <w:sz w:val="24"/>
              </w:rPr>
            </w:pPr>
            <w:r>
              <w:rPr>
                <w:rFonts w:hint="eastAsia" w:ascii="宋体" w:hAnsi="宋体"/>
                <w:sz w:val="24"/>
              </w:rPr>
              <w:t>顾客满意度测量控制</w:t>
            </w:r>
          </w:p>
        </w:tc>
        <w:tc>
          <w:tcPr>
            <w:tcW w:w="788" w:type="dxa"/>
            <w:vAlign w:val="center"/>
          </w:tcPr>
          <w:p w14:paraId="3F91B8AB">
            <w:pPr>
              <w:jc w:val="center"/>
              <w:rPr>
                <w:rFonts w:ascii="宋体" w:hAnsi="宋体"/>
                <w:b/>
                <w:bCs/>
                <w:sz w:val="22"/>
              </w:rPr>
            </w:pPr>
            <w:r>
              <w:rPr>
                <w:rFonts w:hint="eastAsia" w:ascii="宋体" w:hAnsi="宋体"/>
                <w:b/>
                <w:bCs/>
                <w:sz w:val="22"/>
              </w:rPr>
              <w:t>╀</w:t>
            </w:r>
          </w:p>
        </w:tc>
        <w:tc>
          <w:tcPr>
            <w:tcW w:w="591" w:type="dxa"/>
            <w:vAlign w:val="center"/>
          </w:tcPr>
          <w:p w14:paraId="5A93BEC6">
            <w:pPr>
              <w:jc w:val="center"/>
              <w:rPr>
                <w:rFonts w:ascii="宋体" w:hAnsi="宋体"/>
                <w:b/>
                <w:bCs/>
                <w:sz w:val="22"/>
              </w:rPr>
            </w:pPr>
            <w:r>
              <w:rPr>
                <w:rFonts w:hint="eastAsia" w:ascii="宋体" w:hAnsi="宋体"/>
                <w:b/>
                <w:bCs/>
                <w:sz w:val="22"/>
              </w:rPr>
              <w:t>╀</w:t>
            </w:r>
          </w:p>
        </w:tc>
        <w:tc>
          <w:tcPr>
            <w:tcW w:w="838" w:type="dxa"/>
            <w:vAlign w:val="center"/>
          </w:tcPr>
          <w:p w14:paraId="0F30E570">
            <w:pPr>
              <w:jc w:val="center"/>
              <w:rPr>
                <w:rFonts w:ascii="宋体" w:hAnsi="宋体"/>
                <w:b/>
                <w:bCs/>
                <w:sz w:val="22"/>
              </w:rPr>
            </w:pPr>
            <w:r>
              <w:rPr>
                <w:rFonts w:hint="eastAsia" w:ascii="宋体" w:hAnsi="宋体"/>
                <w:b/>
                <w:bCs/>
                <w:sz w:val="22"/>
              </w:rPr>
              <w:t>╀</w:t>
            </w:r>
          </w:p>
        </w:tc>
        <w:tc>
          <w:tcPr>
            <w:tcW w:w="617" w:type="dxa"/>
            <w:vAlign w:val="center"/>
          </w:tcPr>
          <w:p w14:paraId="03949427">
            <w:pPr>
              <w:jc w:val="center"/>
              <w:rPr>
                <w:rFonts w:ascii="宋体" w:hAnsi="宋体"/>
                <w:b/>
                <w:bCs/>
                <w:sz w:val="22"/>
              </w:rPr>
            </w:pPr>
            <w:r>
              <w:rPr>
                <w:rFonts w:hint="eastAsia" w:ascii="宋体" w:hAnsi="宋体"/>
                <w:b/>
                <w:bCs/>
                <w:sz w:val="22"/>
              </w:rPr>
              <w:t>╀</w:t>
            </w:r>
          </w:p>
        </w:tc>
      </w:tr>
      <w:tr w14:paraId="240460A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616" w:type="dxa"/>
            <w:tcBorders>
              <w:top w:val="single" w:color="auto" w:sz="4" w:space="0"/>
              <w:bottom w:val="single" w:color="auto" w:sz="4" w:space="0"/>
              <w:right w:val="single" w:color="auto" w:sz="4" w:space="0"/>
            </w:tcBorders>
            <w:vAlign w:val="center"/>
          </w:tcPr>
          <w:p w14:paraId="577B0ACE">
            <w:pPr>
              <w:ind w:right="-105" w:rightChars="-50"/>
              <w:rPr>
                <w:rFonts w:ascii="宋体" w:hAnsi="宋体"/>
                <w:sz w:val="24"/>
              </w:rPr>
            </w:pPr>
            <w:r>
              <w:rPr>
                <w:rFonts w:hint="eastAsia" w:ascii="宋体" w:hAnsi="宋体"/>
                <w:sz w:val="24"/>
              </w:rPr>
              <w:t>M4</w:t>
            </w:r>
          </w:p>
        </w:tc>
        <w:tc>
          <w:tcPr>
            <w:tcW w:w="2884" w:type="dxa"/>
            <w:tcBorders>
              <w:left w:val="single" w:color="auto" w:sz="4" w:space="0"/>
            </w:tcBorders>
            <w:vAlign w:val="center"/>
          </w:tcPr>
          <w:p w14:paraId="0C672F2A">
            <w:pPr>
              <w:rPr>
                <w:rFonts w:ascii="宋体" w:hAnsi="宋体"/>
                <w:sz w:val="24"/>
              </w:rPr>
            </w:pPr>
            <w:r>
              <w:rPr>
                <w:rFonts w:hint="eastAsia" w:ascii="宋体" w:hAnsi="宋体"/>
                <w:sz w:val="24"/>
                <w:szCs w:val="20"/>
              </w:rPr>
              <w:t>内部审核</w:t>
            </w:r>
          </w:p>
        </w:tc>
        <w:tc>
          <w:tcPr>
            <w:tcW w:w="788" w:type="dxa"/>
            <w:vAlign w:val="center"/>
          </w:tcPr>
          <w:p w14:paraId="31B194ED">
            <w:pPr>
              <w:jc w:val="center"/>
              <w:rPr>
                <w:rFonts w:ascii="宋体" w:hAnsi="宋体"/>
                <w:b/>
                <w:bCs/>
                <w:sz w:val="22"/>
              </w:rPr>
            </w:pPr>
            <w:r>
              <w:rPr>
                <w:rFonts w:hint="eastAsia" w:ascii="宋体" w:hAnsi="宋体"/>
                <w:b/>
                <w:bCs/>
                <w:sz w:val="22"/>
              </w:rPr>
              <w:t>╀</w:t>
            </w:r>
          </w:p>
        </w:tc>
        <w:tc>
          <w:tcPr>
            <w:tcW w:w="591" w:type="dxa"/>
            <w:vAlign w:val="center"/>
          </w:tcPr>
          <w:p w14:paraId="269D9F98">
            <w:pPr>
              <w:jc w:val="center"/>
              <w:rPr>
                <w:rFonts w:ascii="宋体" w:hAnsi="宋体"/>
                <w:b/>
                <w:bCs/>
                <w:sz w:val="22"/>
              </w:rPr>
            </w:pPr>
            <w:r>
              <w:rPr>
                <w:rFonts w:hint="eastAsia" w:ascii="宋体" w:hAnsi="宋体"/>
                <w:b/>
                <w:bCs/>
                <w:sz w:val="22"/>
              </w:rPr>
              <w:t>╀</w:t>
            </w:r>
          </w:p>
        </w:tc>
        <w:tc>
          <w:tcPr>
            <w:tcW w:w="838" w:type="dxa"/>
            <w:vAlign w:val="center"/>
          </w:tcPr>
          <w:p w14:paraId="48BC1030">
            <w:pPr>
              <w:jc w:val="center"/>
              <w:rPr>
                <w:rFonts w:ascii="宋体" w:hAnsi="宋体"/>
                <w:b/>
                <w:bCs/>
                <w:sz w:val="22"/>
              </w:rPr>
            </w:pPr>
            <w:r>
              <w:rPr>
                <w:rFonts w:hint="eastAsia" w:ascii="宋体" w:hAnsi="宋体"/>
                <w:b/>
                <w:bCs/>
                <w:sz w:val="22"/>
              </w:rPr>
              <w:t>╀</w:t>
            </w:r>
          </w:p>
        </w:tc>
        <w:tc>
          <w:tcPr>
            <w:tcW w:w="617" w:type="dxa"/>
            <w:vAlign w:val="center"/>
          </w:tcPr>
          <w:p w14:paraId="25B0CBC1">
            <w:pPr>
              <w:jc w:val="center"/>
              <w:rPr>
                <w:rFonts w:ascii="宋体" w:hAnsi="宋体"/>
                <w:b/>
                <w:bCs/>
                <w:sz w:val="22"/>
              </w:rPr>
            </w:pPr>
            <w:r>
              <w:rPr>
                <w:rFonts w:hint="eastAsia" w:ascii="宋体" w:hAnsi="宋体"/>
                <w:b/>
                <w:bCs/>
                <w:sz w:val="22"/>
              </w:rPr>
              <w:t>╀</w:t>
            </w:r>
          </w:p>
        </w:tc>
      </w:tr>
      <w:tr w14:paraId="3F92B2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616" w:type="dxa"/>
            <w:tcBorders>
              <w:top w:val="single" w:color="auto" w:sz="4" w:space="0"/>
              <w:bottom w:val="single" w:color="auto" w:sz="4" w:space="0"/>
            </w:tcBorders>
            <w:vAlign w:val="center"/>
          </w:tcPr>
          <w:p w14:paraId="7C5C6504">
            <w:pPr>
              <w:ind w:right="-105" w:rightChars="-50"/>
              <w:rPr>
                <w:rFonts w:ascii="宋体" w:hAnsi="宋体"/>
                <w:sz w:val="24"/>
              </w:rPr>
            </w:pPr>
            <w:r>
              <w:rPr>
                <w:rFonts w:hint="eastAsia" w:ascii="宋体" w:hAnsi="宋体"/>
                <w:sz w:val="24"/>
              </w:rPr>
              <w:t>M5</w:t>
            </w:r>
          </w:p>
        </w:tc>
        <w:tc>
          <w:tcPr>
            <w:tcW w:w="2884" w:type="dxa"/>
            <w:tcBorders>
              <w:top w:val="single" w:color="auto" w:sz="4" w:space="0"/>
              <w:bottom w:val="single" w:color="auto" w:sz="4" w:space="0"/>
            </w:tcBorders>
            <w:vAlign w:val="center"/>
          </w:tcPr>
          <w:p w14:paraId="139D0D27">
            <w:pPr>
              <w:rPr>
                <w:rFonts w:ascii="宋体" w:hAnsi="宋体"/>
                <w:sz w:val="24"/>
              </w:rPr>
            </w:pPr>
            <w:r>
              <w:rPr>
                <w:rFonts w:hint="eastAsia" w:ascii="宋体" w:hAnsi="宋体"/>
                <w:sz w:val="24"/>
              </w:rPr>
              <w:t>持续改进过程</w:t>
            </w:r>
          </w:p>
        </w:tc>
        <w:tc>
          <w:tcPr>
            <w:tcW w:w="788" w:type="dxa"/>
            <w:tcBorders>
              <w:top w:val="single" w:color="auto" w:sz="4" w:space="0"/>
              <w:bottom w:val="single" w:color="auto" w:sz="4" w:space="0"/>
            </w:tcBorders>
            <w:vAlign w:val="center"/>
          </w:tcPr>
          <w:p w14:paraId="6782C0F5">
            <w:pPr>
              <w:jc w:val="center"/>
              <w:rPr>
                <w:rFonts w:ascii="宋体" w:hAnsi="宋体"/>
                <w:b/>
                <w:bCs/>
                <w:sz w:val="22"/>
              </w:rPr>
            </w:pPr>
            <w:r>
              <w:rPr>
                <w:rFonts w:hint="eastAsia" w:ascii="宋体" w:hAnsi="宋体"/>
                <w:b/>
                <w:bCs/>
                <w:sz w:val="22"/>
              </w:rPr>
              <w:t>╀</w:t>
            </w:r>
          </w:p>
        </w:tc>
        <w:tc>
          <w:tcPr>
            <w:tcW w:w="591" w:type="dxa"/>
            <w:tcBorders>
              <w:top w:val="single" w:color="auto" w:sz="4" w:space="0"/>
              <w:bottom w:val="single" w:color="auto" w:sz="4" w:space="0"/>
            </w:tcBorders>
            <w:vAlign w:val="center"/>
          </w:tcPr>
          <w:p w14:paraId="2EC79693">
            <w:pPr>
              <w:jc w:val="center"/>
              <w:rPr>
                <w:rFonts w:ascii="宋体" w:hAnsi="宋体"/>
                <w:b/>
                <w:bCs/>
                <w:sz w:val="22"/>
              </w:rPr>
            </w:pPr>
            <w:r>
              <w:rPr>
                <w:rFonts w:hint="eastAsia" w:ascii="宋体" w:hAnsi="宋体"/>
                <w:b/>
                <w:bCs/>
                <w:sz w:val="22"/>
              </w:rPr>
              <w:t>╀</w:t>
            </w:r>
          </w:p>
        </w:tc>
        <w:tc>
          <w:tcPr>
            <w:tcW w:w="838" w:type="dxa"/>
            <w:tcBorders>
              <w:top w:val="single" w:color="auto" w:sz="4" w:space="0"/>
              <w:bottom w:val="single" w:color="auto" w:sz="4" w:space="0"/>
            </w:tcBorders>
            <w:vAlign w:val="center"/>
          </w:tcPr>
          <w:p w14:paraId="2A86303A">
            <w:pPr>
              <w:jc w:val="center"/>
              <w:rPr>
                <w:rFonts w:ascii="宋体" w:hAnsi="宋体"/>
                <w:b/>
                <w:bCs/>
                <w:sz w:val="22"/>
              </w:rPr>
            </w:pPr>
            <w:r>
              <w:rPr>
                <w:rFonts w:hint="eastAsia" w:ascii="宋体" w:hAnsi="宋体"/>
                <w:b/>
                <w:bCs/>
                <w:sz w:val="22"/>
              </w:rPr>
              <w:t>╀</w:t>
            </w:r>
          </w:p>
        </w:tc>
        <w:tc>
          <w:tcPr>
            <w:tcW w:w="617" w:type="dxa"/>
            <w:tcBorders>
              <w:top w:val="single" w:color="auto" w:sz="4" w:space="0"/>
              <w:bottom w:val="single" w:color="auto" w:sz="4" w:space="0"/>
            </w:tcBorders>
            <w:vAlign w:val="center"/>
          </w:tcPr>
          <w:p w14:paraId="6E71FF28">
            <w:pPr>
              <w:jc w:val="center"/>
              <w:rPr>
                <w:rFonts w:ascii="宋体" w:hAnsi="宋体"/>
                <w:b/>
                <w:bCs/>
                <w:sz w:val="22"/>
              </w:rPr>
            </w:pPr>
            <w:r>
              <w:rPr>
                <w:rFonts w:hint="eastAsia" w:ascii="宋体" w:hAnsi="宋体"/>
                <w:b/>
                <w:bCs/>
                <w:sz w:val="22"/>
              </w:rPr>
              <w:t>╀</w:t>
            </w:r>
          </w:p>
        </w:tc>
      </w:tr>
      <w:tr w14:paraId="0DE14E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3500" w:type="dxa"/>
            <w:gridSpan w:val="2"/>
            <w:vMerge w:val="restart"/>
            <w:tcBorders>
              <w:top w:val="double" w:color="auto" w:sz="4" w:space="0"/>
            </w:tcBorders>
            <w:vAlign w:val="bottom"/>
          </w:tcPr>
          <w:p w14:paraId="679D0C53">
            <w:pPr>
              <w:spacing w:before="161" w:beforeLines="50" w:line="240" w:lineRule="exact"/>
              <w:rPr>
                <w:rFonts w:ascii="宋体" w:hAnsi="宋体"/>
                <w:sz w:val="20"/>
              </w:rPr>
            </w:pPr>
            <w:r>
              <w:rPr>
                <w:rFonts w:ascii="宋体" w:hAnsi="宋体"/>
                <w:sz w:val="20"/>
              </w:rPr>
              <w:pict>
                <v:line id="直接连接符 2" o:spid="_x0000_s1030" o:spt="20" style="position:absolute;left:0pt;flip:y;margin-left:-5.95pt;margin-top:-0.5pt;height:47.2pt;width:170.8pt;z-index:251659264;mso-width-relative:page;mso-height-relative:page;" coordsize="21600,21600" o:gfxdata="UEsDBAoAAAAAAIdO4kAAAAAAAAAAAAAAAAAEAAAAZHJzL1BLAwQUAAAACACHTuJAhKLe1dcAAAAJ&#10;AQAADwAAAGRycy9kb3ducmV2LnhtbE2PwU7DMAyG70i8Q2QkblvSFgEtTSeEgAsSEqPbOW1MW9E4&#10;VZN14+3xTnCz5U+/v7/cnNwoFpzD4ElDslYgkFpvB+o01J8vq3sQIRqyZvSEGn4wwKa6vChNYf2R&#10;PnDZxk5wCIXCaOhjnAopQ9ujM2HtJyS+ffnZmcjr3Ek7myOHu1GmSt1KZwbiD72Z8KnH9nt7cBoe&#10;92/P2fvSOD/avKt31tXqNdX6+ipRDyAinuIfDGd9VoeKnRp/IBvEqGGVJDmj54E7MZCl+R2IRkOe&#10;3YCsSvm/QfULUEsDBBQAAAAIAIdO4kAktUAc1QEAAGsDAAAOAAAAZHJzL2Uyb0RvYy54bWytU8GO&#10;0zAQvSPxD5bvNE20rWjUdA9dLZcFKu3C3XXsxML2WLbbpD/BDyBxgxNH7vwNy2cwdkt3gRsih1HG&#10;M/M87814eTkaTfbCBwW2oeVkSomwHFplu4a+ubt+9pySEJltmQYrGnoQgV6unj5ZDq4WFfSgW+EJ&#10;gthQD66hfYyuLorAe2FYmIATFoMSvGERXd8VrWcDohtdVNPpvBjAt84DFyHg6dUxSFcZX0rB42sp&#10;g4hENxR7i9n6bLfJFqslqzvPXK/4qQ32D10Ypixeeoa6YpGRnVd/QRnFPQSQccLBFCCl4iJzQDbl&#10;9A82tz1zInNBcYI7yxT+Hyx/td94otqGVpRYZnBE9x++fn//6ce3j2jvv3wmVRJpcKHG3LXd+EST&#10;j/bW3QB/F4iFdc9sJ3KzdweHCGWqKH4rSU5weNV2eAkt5rBdhKzYKL0hUiv3NhUmcFSFjHlEh/OI&#10;xBgJx8OqnC/KOU6SY2y2WFxc5BkWrE44qdr5EF8IMCT9NFQrmyRkNdvfhJj6ekhJxxauldZ5DbQl&#10;Q0MXs2qWCwJo1aZgSgu+2661J3uWFil/mSRGHqd52Nn2eIm2Jw0S7aOAW2gPG/9LG5xo7ua0fWll&#10;Hvu5+uGNrH4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hKLe1dcAAAAJAQAADwAAAAAAAAABACAA&#10;AAAiAAAAZHJzL2Rvd25yZXYueG1sUEsBAhQAFAAAAAgAh07iQCS1QBzVAQAAawMAAA4AAAAAAAAA&#10;AQAgAAAAJgEAAGRycy9lMm9Eb2MueG1sUEsFBgAAAAAGAAYAWQEAAG0FAAAAAA==&#10;">
                  <v:path arrowok="t"/>
                  <v:fill focussize="0,0"/>
                  <v:stroke/>
                  <v:imagedata o:title=""/>
                  <o:lock v:ext="edit"/>
                </v:line>
              </w:pict>
            </w:r>
            <w:r>
              <w:rPr>
                <w:rFonts w:hint="eastAsia" w:ascii="宋体" w:hAnsi="宋体"/>
                <w:sz w:val="20"/>
              </w:rPr>
              <w:t>上部表头是MP—</w:t>
            </w:r>
          </w:p>
          <w:p w14:paraId="1960D758">
            <w:pPr>
              <w:spacing w:line="240" w:lineRule="exact"/>
              <w:rPr>
                <w:rFonts w:ascii="宋体" w:hAnsi="宋体"/>
                <w:sz w:val="20"/>
              </w:rPr>
            </w:pPr>
            <w:r>
              <w:rPr>
                <w:rFonts w:hint="eastAsia" w:ascii="宋体" w:hAnsi="宋体"/>
                <w:sz w:val="20"/>
              </w:rPr>
              <w:t>管理过程             横向表头是</w:t>
            </w:r>
          </w:p>
          <w:p w14:paraId="107F29B3">
            <w:pPr>
              <w:spacing w:line="240" w:lineRule="exact"/>
              <w:ind w:firstLine="1200" w:firstLineChars="600"/>
              <w:rPr>
                <w:rFonts w:ascii="宋体" w:hAnsi="宋体"/>
                <w:sz w:val="20"/>
              </w:rPr>
            </w:pPr>
            <w:r>
              <w:rPr>
                <w:rFonts w:hint="eastAsia" w:ascii="宋体" w:hAnsi="宋体"/>
                <w:sz w:val="20"/>
              </w:rPr>
              <w:t>COP—顾客导向过程</w:t>
            </w:r>
          </w:p>
          <w:p w14:paraId="16327F2C">
            <w:pPr>
              <w:spacing w:line="240" w:lineRule="exact"/>
              <w:ind w:left="1598" w:leftChars="475" w:hanging="600" w:hangingChars="300"/>
              <w:rPr>
                <w:rFonts w:ascii="宋体" w:hAnsi="宋体"/>
                <w:sz w:val="20"/>
              </w:rPr>
            </w:pPr>
            <w:r>
              <w:rPr>
                <w:rFonts w:hint="eastAsia" w:ascii="宋体" w:hAnsi="宋体"/>
                <w:sz w:val="20"/>
              </w:rPr>
              <w:t>╂</w:t>
            </w:r>
            <w:r>
              <w:rPr>
                <w:rFonts w:ascii="宋体" w:hAnsi="宋体"/>
                <w:sz w:val="20"/>
              </w:rPr>
              <w:pict>
                <v:line id="直接连接符 1" o:spid="_x0000_s1031" o:spt="20" style="position:absolute;left:0pt;margin-left:-6.15pt;margin-top:2.5pt;height:46.4pt;width:170.8pt;z-index:251660288;mso-width-relative:page;mso-height-relative:page;" coordsize="21600,21600" o:gfxdata="UEsDBAoAAAAAAIdO4kAAAAAAAAAAAAAAAAAEAAAAZHJzL1BLAwQUAAAACACHTuJAGgRX7dYAAAAI&#10;AQAADwAAAGRycy9kb3ducmV2LnhtbE2PO0/DQBCEeyT+w2mRaKLk/BCQGJ9TAO5oCCDajW+xLXx7&#10;ju/ygF/PUoVyNKOZb8r1yQ3qQFPoPRtIFwko4sbbnlsDb6/1fAkqRGSLg2cy8E0B1tXlRYmF9Ud+&#10;ocMmtkpKOBRooItxLLQOTUcOw8KPxOJ9+slhFDm12k54lHI36CxJbrXDnmWhw5EeOmq+NntnINTv&#10;tKt/Zs0s+chbT9nu8fkJjbm+SpN7UJFO8RyGP3xBh0qYtn7PNqjBwDzNcokauJFL4ufZSvTWwOpu&#10;Cboq9f8D1S9QSwMEFAAAAAgAh07iQPRA1PDNAQAAYQMAAA4AAABkcnMvZTJvRG9jLnhtbK1TwY7T&#10;MBC9I/EPlu80TaRWbdR0D10tlwUq7fIBru0kFrbHst0m/Ql+AIkbnDhy529YPoOxuy0s3BA5jOKZ&#10;Ny8z7zmrq9FocpA+KLANLSdTSqTlIJTtGvr2/ubFgpIQmRVMg5UNPcpAr9bPn60GV8sKetBCeoIk&#10;NtSDa2gfo6uLIvBeGhYm4KTFYgvesIhH3xXCswHZjS6q6XReDOCF88BlCJi9PhXpOvO3reTxTdsG&#10;GYluKM4Wc/Q57lIs1itWd565XvHHMdg/TGGYsvjRC9U1i4zsvfqLyijuIUAbJxxMAW2ruMw74Dbl&#10;9I9t7nrmZN4FxQnuIlP4f7T89WHriRLoHSWWGbTo4cPX7+8//fj2EePDl8+kTCINLtSI3ditT2vy&#10;0d65W+DvArGw6ZntZB72/uiQIXcUT1rSITj81G54BQIxbB8hKza23iRK1IKM2ZjjxRg5RsIxWZXz&#10;ZTlH/zjWZotltcjOFaw+dzsf4ksJhqSXhmplk3CsZofbEHF+hJ4hKW3hRmmdzdeWDA1dzqpZbgig&#10;lUjFBAu+2220JweWrk9+khhI9gTmYW/FKa8tls/LnmTbgThufSqnPPqYCR7vXLoov58z6tefsf4J&#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GgRX7dYAAAAIAQAADwAAAAAAAAABACAAAAAiAAAAZHJz&#10;L2Rvd25yZXYueG1sUEsBAhQAFAAAAAgAh07iQPRA1PDNAQAAYQMAAA4AAAAAAAAAAQAgAAAAJQEA&#10;AGRycy9lMm9Eb2MueG1sUEsFBgAAAAAGAAYAWQEAAGQFAAAAAA==&#10;">
                  <v:path arrowok="t"/>
                  <v:fill focussize="0,0"/>
                  <v:stroke/>
                  <v:imagedata o:title=""/>
                  <o:lock v:ext="edit"/>
                </v:line>
              </w:pict>
            </w:r>
            <w:r>
              <w:rPr>
                <w:rFonts w:hint="eastAsia" w:ascii="宋体" w:hAnsi="宋体"/>
                <w:sz w:val="20"/>
              </w:rPr>
              <w:t>表示它们之间有很</w:t>
            </w:r>
          </w:p>
          <w:p w14:paraId="326DCC64">
            <w:pPr>
              <w:spacing w:line="240" w:lineRule="exact"/>
              <w:ind w:left="1596" w:leftChars="665" w:hanging="200" w:hangingChars="100"/>
              <w:rPr>
                <w:rFonts w:ascii="宋体" w:hAnsi="宋体"/>
                <w:sz w:val="20"/>
              </w:rPr>
            </w:pPr>
            <w:r>
              <w:rPr>
                <w:rFonts w:hint="eastAsia" w:ascii="宋体" w:hAnsi="宋体"/>
                <w:sz w:val="20"/>
              </w:rPr>
              <w:t>紧密的相互关系</w:t>
            </w:r>
          </w:p>
          <w:p w14:paraId="0C9E8F91">
            <w:pPr>
              <w:spacing w:line="240" w:lineRule="exact"/>
              <w:rPr>
                <w:rFonts w:ascii="宋体" w:hAnsi="宋体"/>
                <w:sz w:val="20"/>
              </w:rPr>
            </w:pPr>
            <w:r>
              <w:rPr>
                <w:rFonts w:hint="eastAsia" w:ascii="宋体" w:hAnsi="宋体"/>
                <w:sz w:val="20"/>
              </w:rPr>
              <w:t>下部表头是</w:t>
            </w:r>
          </w:p>
          <w:p w14:paraId="0299B5B4">
            <w:pPr>
              <w:spacing w:line="240" w:lineRule="exact"/>
              <w:rPr>
                <w:rFonts w:ascii="宋体" w:hAnsi="宋体"/>
                <w:sz w:val="20"/>
              </w:rPr>
            </w:pPr>
            <w:r>
              <w:rPr>
                <w:rFonts w:hint="eastAsia" w:ascii="宋体" w:hAnsi="宋体"/>
                <w:sz w:val="20"/>
              </w:rPr>
              <w:t>SP—支持过程</w:t>
            </w:r>
          </w:p>
        </w:tc>
        <w:tc>
          <w:tcPr>
            <w:tcW w:w="788" w:type="dxa"/>
            <w:tcBorders>
              <w:top w:val="double" w:color="auto" w:sz="4" w:space="0"/>
              <w:bottom w:val="single" w:color="auto" w:sz="4" w:space="0"/>
            </w:tcBorders>
            <w:shd w:val="clear" w:color="auto" w:fill="auto"/>
            <w:vAlign w:val="center"/>
          </w:tcPr>
          <w:p w14:paraId="53DE987F">
            <w:pPr>
              <w:jc w:val="center"/>
              <w:rPr>
                <w:rFonts w:ascii="宋体" w:hAnsi="宋体"/>
                <w:b/>
                <w:bCs/>
                <w:sz w:val="22"/>
                <w:shd w:val="pct10" w:color="auto" w:fill="FFFFFF"/>
              </w:rPr>
            </w:pPr>
            <w:r>
              <w:rPr>
                <w:rFonts w:hint="eastAsia" w:ascii="宋体" w:hAnsi="宋体"/>
                <w:b/>
                <w:bCs/>
                <w:sz w:val="22"/>
                <w:shd w:val="pct10" w:color="auto" w:fill="FFFFFF"/>
              </w:rPr>
              <w:t>C1</w:t>
            </w:r>
          </w:p>
        </w:tc>
        <w:tc>
          <w:tcPr>
            <w:tcW w:w="591" w:type="dxa"/>
            <w:tcBorders>
              <w:top w:val="double" w:color="auto" w:sz="4" w:space="0"/>
              <w:bottom w:val="single" w:color="auto" w:sz="4" w:space="0"/>
            </w:tcBorders>
            <w:shd w:val="clear" w:color="auto" w:fill="auto"/>
            <w:vAlign w:val="center"/>
          </w:tcPr>
          <w:p w14:paraId="671CB745">
            <w:pPr>
              <w:jc w:val="center"/>
              <w:rPr>
                <w:rFonts w:ascii="宋体" w:hAnsi="宋体"/>
                <w:b/>
                <w:bCs/>
                <w:sz w:val="22"/>
                <w:shd w:val="pct10" w:color="auto" w:fill="FFFFFF"/>
              </w:rPr>
            </w:pPr>
            <w:r>
              <w:rPr>
                <w:rFonts w:hint="eastAsia" w:ascii="宋体" w:hAnsi="宋体"/>
                <w:b/>
                <w:bCs/>
                <w:sz w:val="22"/>
                <w:shd w:val="pct10" w:color="auto" w:fill="FFFFFF"/>
              </w:rPr>
              <w:t>C2</w:t>
            </w:r>
          </w:p>
        </w:tc>
        <w:tc>
          <w:tcPr>
            <w:tcW w:w="838" w:type="dxa"/>
            <w:tcBorders>
              <w:top w:val="double" w:color="auto" w:sz="4" w:space="0"/>
              <w:bottom w:val="single" w:color="auto" w:sz="4" w:space="0"/>
            </w:tcBorders>
            <w:shd w:val="clear" w:color="auto" w:fill="auto"/>
            <w:vAlign w:val="center"/>
          </w:tcPr>
          <w:p w14:paraId="773BBABF">
            <w:pPr>
              <w:spacing w:line="240" w:lineRule="exact"/>
              <w:ind w:left="-105" w:leftChars="-50" w:right="-105" w:rightChars="-50"/>
              <w:jc w:val="center"/>
              <w:rPr>
                <w:rFonts w:ascii="宋体" w:hAnsi="宋体"/>
                <w:b/>
                <w:bCs/>
                <w:sz w:val="22"/>
                <w:shd w:val="pct10" w:color="auto" w:fill="FFFFFF"/>
              </w:rPr>
            </w:pPr>
            <w:r>
              <w:rPr>
                <w:rFonts w:hint="eastAsia" w:ascii="宋体" w:hAnsi="宋体"/>
                <w:b/>
                <w:bCs/>
                <w:sz w:val="22"/>
                <w:shd w:val="pct10" w:color="auto" w:fill="FFFFFF"/>
              </w:rPr>
              <w:t>C3</w:t>
            </w:r>
          </w:p>
        </w:tc>
        <w:tc>
          <w:tcPr>
            <w:tcW w:w="617" w:type="dxa"/>
            <w:tcBorders>
              <w:top w:val="double" w:color="auto" w:sz="4" w:space="0"/>
              <w:bottom w:val="single" w:color="auto" w:sz="4" w:space="0"/>
            </w:tcBorders>
            <w:shd w:val="clear" w:color="auto" w:fill="auto"/>
            <w:vAlign w:val="center"/>
          </w:tcPr>
          <w:p w14:paraId="7A1FEF77">
            <w:pPr>
              <w:spacing w:line="240" w:lineRule="exact"/>
              <w:ind w:left="-105" w:leftChars="-50" w:right="-105" w:rightChars="-50"/>
              <w:jc w:val="center"/>
              <w:rPr>
                <w:rFonts w:ascii="宋体" w:hAnsi="宋体"/>
                <w:b/>
                <w:bCs/>
                <w:sz w:val="22"/>
                <w:shd w:val="pct10" w:color="auto" w:fill="FFFFFF"/>
              </w:rPr>
            </w:pPr>
            <w:r>
              <w:rPr>
                <w:rFonts w:hint="eastAsia" w:ascii="宋体" w:hAnsi="宋体"/>
                <w:b/>
                <w:bCs/>
                <w:sz w:val="22"/>
                <w:shd w:val="pct10" w:color="auto" w:fill="FFFFFF"/>
              </w:rPr>
              <w:t>C4</w:t>
            </w:r>
          </w:p>
        </w:tc>
      </w:tr>
      <w:tr w14:paraId="5396CA9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441" w:hRule="atLeast"/>
          <w:jc w:val="center"/>
        </w:trPr>
        <w:tc>
          <w:tcPr>
            <w:tcW w:w="3500" w:type="dxa"/>
            <w:gridSpan w:val="2"/>
            <w:vMerge w:val="continue"/>
            <w:tcBorders>
              <w:bottom w:val="double" w:color="auto" w:sz="4" w:space="0"/>
            </w:tcBorders>
            <w:vAlign w:val="center"/>
          </w:tcPr>
          <w:p w14:paraId="69F5DF80">
            <w:pPr>
              <w:spacing w:line="220" w:lineRule="exact"/>
              <w:rPr>
                <w:rFonts w:ascii="宋体" w:hAnsi="宋体"/>
                <w:sz w:val="31"/>
              </w:rPr>
            </w:pPr>
          </w:p>
        </w:tc>
        <w:tc>
          <w:tcPr>
            <w:tcW w:w="788" w:type="dxa"/>
            <w:tcBorders>
              <w:top w:val="single" w:color="auto" w:sz="4" w:space="0"/>
              <w:bottom w:val="double" w:color="auto" w:sz="4" w:space="0"/>
            </w:tcBorders>
            <w:shd w:val="clear" w:color="auto" w:fill="auto"/>
            <w:vAlign w:val="center"/>
          </w:tcPr>
          <w:p w14:paraId="50360E87">
            <w:pPr>
              <w:jc w:val="center"/>
              <w:rPr>
                <w:rFonts w:ascii="宋体" w:hAnsi="宋体"/>
                <w:b/>
                <w:bCs/>
                <w:sz w:val="24"/>
              </w:rPr>
            </w:pPr>
            <w:r>
              <w:rPr>
                <w:rFonts w:hint="eastAsia" w:ascii="宋体" w:hAnsi="宋体"/>
                <w:b/>
                <w:bCs/>
                <w:sz w:val="24"/>
              </w:rPr>
              <w:t>市场营销</w:t>
            </w:r>
          </w:p>
          <w:p w14:paraId="6ADBFCA0">
            <w:pPr>
              <w:jc w:val="center"/>
              <w:rPr>
                <w:rFonts w:ascii="宋体" w:hAnsi="宋体"/>
                <w:sz w:val="24"/>
                <w:shd w:val="pct10" w:color="auto" w:fill="FFFFFF"/>
              </w:rPr>
            </w:pPr>
          </w:p>
        </w:tc>
        <w:tc>
          <w:tcPr>
            <w:tcW w:w="591" w:type="dxa"/>
            <w:tcBorders>
              <w:top w:val="single" w:color="auto" w:sz="4" w:space="0"/>
              <w:bottom w:val="double" w:color="auto" w:sz="4" w:space="0"/>
            </w:tcBorders>
            <w:shd w:val="clear" w:color="auto" w:fill="auto"/>
            <w:vAlign w:val="center"/>
          </w:tcPr>
          <w:p w14:paraId="73F5F64E">
            <w:pPr>
              <w:ind w:left="-105" w:leftChars="-50" w:right="-105" w:rightChars="-50"/>
              <w:jc w:val="center"/>
              <w:rPr>
                <w:rFonts w:ascii="宋体" w:hAnsi="宋体"/>
                <w:b/>
                <w:bCs/>
                <w:sz w:val="24"/>
              </w:rPr>
            </w:pPr>
            <w:r>
              <w:rPr>
                <w:rFonts w:hint="eastAsia" w:ascii="宋体" w:hAnsi="宋体"/>
                <w:b/>
                <w:bCs/>
                <w:sz w:val="24"/>
              </w:rPr>
              <w:t>生产</w:t>
            </w:r>
          </w:p>
          <w:p w14:paraId="71D5CB0A">
            <w:pPr>
              <w:ind w:left="-105" w:leftChars="-50" w:right="-105" w:rightChars="-50"/>
              <w:jc w:val="center"/>
              <w:rPr>
                <w:rFonts w:ascii="宋体" w:hAnsi="宋体"/>
                <w:b/>
                <w:bCs/>
                <w:sz w:val="24"/>
              </w:rPr>
            </w:pPr>
            <w:r>
              <w:rPr>
                <w:rFonts w:hint="eastAsia" w:ascii="宋体" w:hAnsi="宋体"/>
                <w:b/>
                <w:bCs/>
                <w:sz w:val="24"/>
              </w:rPr>
              <w:t>销售</w:t>
            </w:r>
            <w:r>
              <w:rPr>
                <w:rFonts w:ascii="宋体" w:hAnsi="宋体"/>
                <w:b/>
                <w:bCs/>
                <w:sz w:val="24"/>
              </w:rPr>
              <w:t>过程</w:t>
            </w:r>
          </w:p>
        </w:tc>
        <w:tc>
          <w:tcPr>
            <w:tcW w:w="838" w:type="dxa"/>
            <w:tcBorders>
              <w:top w:val="single" w:color="auto" w:sz="4" w:space="0"/>
              <w:bottom w:val="double" w:color="auto" w:sz="4" w:space="0"/>
            </w:tcBorders>
            <w:shd w:val="clear" w:color="auto" w:fill="auto"/>
            <w:vAlign w:val="center"/>
          </w:tcPr>
          <w:p w14:paraId="34DD71F0">
            <w:pPr>
              <w:ind w:left="-105" w:leftChars="-50" w:right="-105" w:rightChars="-50"/>
              <w:jc w:val="center"/>
              <w:rPr>
                <w:rFonts w:ascii="宋体" w:hAnsi="宋体"/>
                <w:b/>
                <w:bCs/>
                <w:sz w:val="24"/>
              </w:rPr>
            </w:pPr>
            <w:r>
              <w:rPr>
                <w:rFonts w:hint="eastAsia" w:ascii="宋体" w:hAnsi="宋体"/>
                <w:b/>
                <w:bCs/>
                <w:sz w:val="24"/>
              </w:rPr>
              <w:t>产</w:t>
            </w:r>
            <w:r>
              <w:rPr>
                <w:rFonts w:ascii="宋体" w:hAnsi="宋体"/>
                <w:b/>
                <w:bCs/>
                <w:sz w:val="24"/>
              </w:rPr>
              <w:t>品和服务的</w:t>
            </w:r>
            <w:r>
              <w:rPr>
                <w:rFonts w:hint="eastAsia" w:ascii="宋体" w:hAnsi="宋体"/>
                <w:b/>
                <w:bCs/>
                <w:sz w:val="24"/>
              </w:rPr>
              <w:t>交</w:t>
            </w:r>
            <w:r>
              <w:rPr>
                <w:rFonts w:ascii="宋体" w:hAnsi="宋体"/>
                <w:b/>
                <w:bCs/>
                <w:sz w:val="24"/>
              </w:rPr>
              <w:t>付</w:t>
            </w:r>
          </w:p>
        </w:tc>
        <w:tc>
          <w:tcPr>
            <w:tcW w:w="617" w:type="dxa"/>
            <w:tcBorders>
              <w:top w:val="single" w:color="auto" w:sz="4" w:space="0"/>
              <w:bottom w:val="double" w:color="auto" w:sz="4" w:space="0"/>
            </w:tcBorders>
            <w:shd w:val="clear" w:color="auto" w:fill="auto"/>
            <w:vAlign w:val="center"/>
          </w:tcPr>
          <w:p w14:paraId="33C80927">
            <w:pPr>
              <w:ind w:left="-105" w:leftChars="-50" w:right="-105" w:rightChars="-50"/>
              <w:jc w:val="center"/>
              <w:rPr>
                <w:rFonts w:ascii="宋体" w:hAnsi="宋体"/>
                <w:b/>
                <w:bCs/>
                <w:sz w:val="24"/>
              </w:rPr>
            </w:pPr>
            <w:r>
              <w:rPr>
                <w:rFonts w:hint="eastAsia" w:ascii="宋体" w:hAnsi="宋体"/>
                <w:b/>
                <w:bCs/>
                <w:sz w:val="24"/>
              </w:rPr>
              <w:t>顾</w:t>
            </w:r>
          </w:p>
          <w:p w14:paraId="6680D1A6">
            <w:pPr>
              <w:ind w:left="-105" w:leftChars="-50" w:right="-105" w:rightChars="-50"/>
              <w:jc w:val="center"/>
              <w:rPr>
                <w:rFonts w:ascii="宋体" w:hAnsi="宋体"/>
                <w:b/>
                <w:bCs/>
                <w:sz w:val="24"/>
              </w:rPr>
            </w:pPr>
            <w:r>
              <w:rPr>
                <w:rFonts w:hint="eastAsia" w:ascii="宋体" w:hAnsi="宋体"/>
                <w:b/>
                <w:bCs/>
                <w:sz w:val="24"/>
              </w:rPr>
              <w:t>客</w:t>
            </w:r>
          </w:p>
          <w:p w14:paraId="3F2BF289">
            <w:pPr>
              <w:ind w:left="-105" w:leftChars="-50" w:right="-105" w:rightChars="-50"/>
              <w:jc w:val="center"/>
              <w:rPr>
                <w:rFonts w:ascii="宋体" w:hAnsi="宋体"/>
                <w:b/>
                <w:bCs/>
                <w:sz w:val="24"/>
              </w:rPr>
            </w:pPr>
            <w:r>
              <w:rPr>
                <w:rFonts w:hint="eastAsia" w:ascii="宋体" w:hAnsi="宋体"/>
                <w:b/>
                <w:bCs/>
                <w:sz w:val="24"/>
              </w:rPr>
              <w:t>反</w:t>
            </w:r>
          </w:p>
          <w:p w14:paraId="5420CC93">
            <w:pPr>
              <w:ind w:left="-105" w:leftChars="-50" w:right="-105" w:rightChars="-50"/>
              <w:jc w:val="center"/>
              <w:rPr>
                <w:rFonts w:ascii="宋体" w:hAnsi="宋体"/>
                <w:b/>
                <w:bCs/>
                <w:sz w:val="24"/>
              </w:rPr>
            </w:pPr>
            <w:r>
              <w:rPr>
                <w:rFonts w:hint="eastAsia" w:ascii="宋体" w:hAnsi="宋体"/>
                <w:b/>
                <w:bCs/>
                <w:sz w:val="24"/>
              </w:rPr>
              <w:t>馈</w:t>
            </w:r>
          </w:p>
        </w:tc>
      </w:tr>
      <w:tr w14:paraId="10134F3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616" w:type="dxa"/>
            <w:tcBorders>
              <w:top w:val="double" w:color="auto" w:sz="4" w:space="0"/>
              <w:bottom w:val="single" w:color="auto" w:sz="4" w:space="0"/>
            </w:tcBorders>
            <w:vAlign w:val="center"/>
          </w:tcPr>
          <w:p w14:paraId="3C500862">
            <w:pPr>
              <w:rPr>
                <w:rFonts w:ascii="宋体" w:hAnsi="宋体"/>
                <w:sz w:val="24"/>
              </w:rPr>
            </w:pPr>
            <w:r>
              <w:rPr>
                <w:rFonts w:hint="eastAsia" w:ascii="宋体" w:hAnsi="宋体"/>
                <w:sz w:val="24"/>
              </w:rPr>
              <w:t>S1</w:t>
            </w:r>
          </w:p>
        </w:tc>
        <w:tc>
          <w:tcPr>
            <w:tcW w:w="2884" w:type="dxa"/>
            <w:tcBorders>
              <w:top w:val="double" w:color="auto" w:sz="4" w:space="0"/>
              <w:bottom w:val="single" w:color="auto" w:sz="4" w:space="0"/>
            </w:tcBorders>
            <w:vAlign w:val="center"/>
          </w:tcPr>
          <w:p w14:paraId="4B9A173B">
            <w:pPr>
              <w:spacing w:line="400" w:lineRule="exact"/>
              <w:rPr>
                <w:rFonts w:ascii="宋体" w:hAnsi="宋体"/>
                <w:sz w:val="24"/>
                <w:szCs w:val="18"/>
              </w:rPr>
            </w:pPr>
            <w:r>
              <w:rPr>
                <w:rFonts w:hint="eastAsia" w:ascii="宋体" w:hAnsi="宋体"/>
                <w:sz w:val="24"/>
                <w:szCs w:val="18"/>
              </w:rPr>
              <w:t>文件、记录控制及</w:t>
            </w:r>
            <w:r>
              <w:rPr>
                <w:rFonts w:ascii="宋体" w:hAnsi="宋体"/>
                <w:sz w:val="24"/>
                <w:szCs w:val="18"/>
              </w:rPr>
              <w:t>知识管理</w:t>
            </w:r>
          </w:p>
        </w:tc>
        <w:tc>
          <w:tcPr>
            <w:tcW w:w="788" w:type="dxa"/>
            <w:tcBorders>
              <w:top w:val="double" w:color="auto" w:sz="4" w:space="0"/>
              <w:bottom w:val="single" w:color="auto" w:sz="4" w:space="0"/>
            </w:tcBorders>
            <w:vAlign w:val="center"/>
          </w:tcPr>
          <w:p w14:paraId="69BC04DD">
            <w:pPr>
              <w:rPr>
                <w:rFonts w:ascii="宋体" w:hAnsi="宋体"/>
                <w:sz w:val="24"/>
              </w:rPr>
            </w:pPr>
            <w:r>
              <w:rPr>
                <w:rFonts w:hint="eastAsia" w:ascii="宋体" w:hAnsi="宋体"/>
                <w:b/>
                <w:bCs/>
                <w:sz w:val="22"/>
              </w:rPr>
              <w:t>╀</w:t>
            </w:r>
          </w:p>
        </w:tc>
        <w:tc>
          <w:tcPr>
            <w:tcW w:w="591" w:type="dxa"/>
            <w:tcBorders>
              <w:top w:val="double" w:color="auto" w:sz="4" w:space="0"/>
              <w:bottom w:val="single" w:color="auto" w:sz="4" w:space="0"/>
            </w:tcBorders>
            <w:vAlign w:val="center"/>
          </w:tcPr>
          <w:p w14:paraId="1FCD5445">
            <w:pPr>
              <w:rPr>
                <w:rFonts w:ascii="宋体" w:hAnsi="宋体"/>
                <w:sz w:val="24"/>
              </w:rPr>
            </w:pPr>
            <w:r>
              <w:rPr>
                <w:rFonts w:hint="eastAsia" w:ascii="宋体" w:hAnsi="宋体"/>
                <w:b/>
                <w:bCs/>
                <w:sz w:val="22"/>
              </w:rPr>
              <w:t>╀</w:t>
            </w:r>
          </w:p>
        </w:tc>
        <w:tc>
          <w:tcPr>
            <w:tcW w:w="838" w:type="dxa"/>
            <w:tcBorders>
              <w:top w:val="double" w:color="auto" w:sz="4" w:space="0"/>
              <w:bottom w:val="single" w:color="auto" w:sz="4" w:space="0"/>
            </w:tcBorders>
            <w:vAlign w:val="center"/>
          </w:tcPr>
          <w:p w14:paraId="42C5DE1D">
            <w:pPr>
              <w:rPr>
                <w:rFonts w:ascii="宋体" w:hAnsi="宋体"/>
                <w:sz w:val="24"/>
              </w:rPr>
            </w:pPr>
            <w:r>
              <w:rPr>
                <w:rFonts w:hint="eastAsia" w:ascii="宋体" w:hAnsi="宋体"/>
                <w:b/>
                <w:bCs/>
                <w:sz w:val="22"/>
              </w:rPr>
              <w:t>╀</w:t>
            </w:r>
          </w:p>
        </w:tc>
        <w:tc>
          <w:tcPr>
            <w:tcW w:w="617" w:type="dxa"/>
            <w:tcBorders>
              <w:top w:val="double" w:color="auto" w:sz="4" w:space="0"/>
              <w:bottom w:val="single" w:color="auto" w:sz="4" w:space="0"/>
            </w:tcBorders>
            <w:vAlign w:val="center"/>
          </w:tcPr>
          <w:p w14:paraId="328B1901">
            <w:pPr>
              <w:rPr>
                <w:rFonts w:ascii="宋体" w:hAnsi="宋体"/>
                <w:sz w:val="24"/>
              </w:rPr>
            </w:pPr>
            <w:r>
              <w:rPr>
                <w:rFonts w:hint="eastAsia" w:ascii="宋体" w:hAnsi="宋体"/>
                <w:b/>
                <w:bCs/>
                <w:sz w:val="22"/>
              </w:rPr>
              <w:t>╀</w:t>
            </w:r>
          </w:p>
        </w:tc>
      </w:tr>
      <w:tr w14:paraId="79F8F5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616" w:type="dxa"/>
            <w:tcBorders>
              <w:top w:val="single" w:color="auto" w:sz="4" w:space="0"/>
            </w:tcBorders>
            <w:vAlign w:val="center"/>
          </w:tcPr>
          <w:p w14:paraId="4D60B7F9">
            <w:pPr>
              <w:rPr>
                <w:rFonts w:ascii="宋体" w:hAnsi="宋体"/>
                <w:sz w:val="24"/>
              </w:rPr>
            </w:pPr>
            <w:r>
              <w:rPr>
                <w:rFonts w:hint="eastAsia" w:ascii="宋体" w:hAnsi="宋体"/>
                <w:sz w:val="24"/>
              </w:rPr>
              <w:t>S2</w:t>
            </w:r>
          </w:p>
        </w:tc>
        <w:tc>
          <w:tcPr>
            <w:tcW w:w="2884" w:type="dxa"/>
            <w:tcBorders>
              <w:top w:val="single" w:color="auto" w:sz="4" w:space="0"/>
            </w:tcBorders>
          </w:tcPr>
          <w:p w14:paraId="473CC13C">
            <w:pPr>
              <w:spacing w:line="400" w:lineRule="exact"/>
              <w:rPr>
                <w:rFonts w:ascii="宋体" w:hAnsi="宋体"/>
                <w:sz w:val="24"/>
                <w:szCs w:val="18"/>
              </w:rPr>
            </w:pPr>
            <w:r>
              <w:rPr>
                <w:rFonts w:hint="eastAsia" w:ascii="宋体" w:hAnsi="宋体"/>
                <w:sz w:val="24"/>
                <w:szCs w:val="18"/>
              </w:rPr>
              <w:t>人力资源管理</w:t>
            </w:r>
          </w:p>
        </w:tc>
        <w:tc>
          <w:tcPr>
            <w:tcW w:w="788" w:type="dxa"/>
            <w:vAlign w:val="center"/>
          </w:tcPr>
          <w:p w14:paraId="04001A0E">
            <w:pPr>
              <w:rPr>
                <w:rFonts w:ascii="宋体" w:hAnsi="宋体"/>
                <w:sz w:val="24"/>
              </w:rPr>
            </w:pPr>
            <w:r>
              <w:rPr>
                <w:rFonts w:hint="eastAsia" w:ascii="宋体" w:hAnsi="宋体"/>
                <w:b/>
                <w:bCs/>
                <w:sz w:val="22"/>
              </w:rPr>
              <w:t>╀</w:t>
            </w:r>
          </w:p>
        </w:tc>
        <w:tc>
          <w:tcPr>
            <w:tcW w:w="591" w:type="dxa"/>
            <w:vAlign w:val="center"/>
          </w:tcPr>
          <w:p w14:paraId="77D1CDAC">
            <w:pPr>
              <w:rPr>
                <w:rFonts w:ascii="宋体" w:hAnsi="宋体"/>
                <w:sz w:val="24"/>
              </w:rPr>
            </w:pPr>
            <w:r>
              <w:rPr>
                <w:rFonts w:hint="eastAsia" w:ascii="宋体" w:hAnsi="宋体"/>
                <w:b/>
                <w:bCs/>
                <w:sz w:val="22"/>
              </w:rPr>
              <w:t>╀</w:t>
            </w:r>
          </w:p>
        </w:tc>
        <w:tc>
          <w:tcPr>
            <w:tcW w:w="838" w:type="dxa"/>
            <w:vAlign w:val="center"/>
          </w:tcPr>
          <w:p w14:paraId="1EDD3859">
            <w:pPr>
              <w:rPr>
                <w:rFonts w:ascii="宋体" w:hAnsi="宋体"/>
                <w:sz w:val="24"/>
              </w:rPr>
            </w:pPr>
            <w:r>
              <w:rPr>
                <w:rFonts w:hint="eastAsia" w:ascii="宋体" w:hAnsi="宋体"/>
                <w:b/>
                <w:bCs/>
                <w:sz w:val="22"/>
              </w:rPr>
              <w:t>╀</w:t>
            </w:r>
          </w:p>
        </w:tc>
        <w:tc>
          <w:tcPr>
            <w:tcW w:w="617" w:type="dxa"/>
            <w:vAlign w:val="center"/>
          </w:tcPr>
          <w:p w14:paraId="696F52CA">
            <w:pPr>
              <w:rPr>
                <w:rFonts w:ascii="宋体" w:hAnsi="宋体"/>
                <w:sz w:val="24"/>
              </w:rPr>
            </w:pPr>
            <w:r>
              <w:rPr>
                <w:rFonts w:hint="eastAsia" w:ascii="宋体" w:hAnsi="宋体"/>
                <w:b/>
                <w:bCs/>
                <w:sz w:val="22"/>
              </w:rPr>
              <w:t>╀</w:t>
            </w:r>
          </w:p>
        </w:tc>
      </w:tr>
      <w:tr w14:paraId="5F8C559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616" w:type="dxa"/>
            <w:vAlign w:val="center"/>
          </w:tcPr>
          <w:p w14:paraId="689D32FD">
            <w:pPr>
              <w:rPr>
                <w:rFonts w:ascii="宋体" w:hAnsi="宋体"/>
                <w:sz w:val="24"/>
              </w:rPr>
            </w:pPr>
            <w:r>
              <w:rPr>
                <w:rFonts w:hint="eastAsia" w:ascii="宋体" w:hAnsi="宋体"/>
                <w:sz w:val="24"/>
              </w:rPr>
              <w:t>S3</w:t>
            </w:r>
          </w:p>
        </w:tc>
        <w:tc>
          <w:tcPr>
            <w:tcW w:w="2884" w:type="dxa"/>
          </w:tcPr>
          <w:p w14:paraId="3C0A8820">
            <w:pPr>
              <w:spacing w:line="400" w:lineRule="exact"/>
              <w:rPr>
                <w:rFonts w:ascii="宋体" w:hAnsi="宋体"/>
                <w:sz w:val="24"/>
                <w:szCs w:val="18"/>
              </w:rPr>
            </w:pPr>
            <w:r>
              <w:rPr>
                <w:rFonts w:hint="eastAsia" w:ascii="宋体" w:hAnsi="宋体"/>
                <w:sz w:val="24"/>
                <w:szCs w:val="18"/>
              </w:rPr>
              <w:t>采购控制</w:t>
            </w:r>
          </w:p>
        </w:tc>
        <w:tc>
          <w:tcPr>
            <w:tcW w:w="788" w:type="dxa"/>
            <w:vAlign w:val="center"/>
          </w:tcPr>
          <w:p w14:paraId="0A5AFC85">
            <w:pPr>
              <w:rPr>
                <w:rFonts w:ascii="宋体" w:hAnsi="宋体"/>
                <w:sz w:val="24"/>
              </w:rPr>
            </w:pPr>
          </w:p>
        </w:tc>
        <w:tc>
          <w:tcPr>
            <w:tcW w:w="591" w:type="dxa"/>
            <w:vAlign w:val="center"/>
          </w:tcPr>
          <w:p w14:paraId="78479AC8">
            <w:pPr>
              <w:rPr>
                <w:rFonts w:ascii="宋体" w:hAnsi="宋体"/>
                <w:sz w:val="24"/>
              </w:rPr>
            </w:pPr>
            <w:r>
              <w:rPr>
                <w:rFonts w:hint="eastAsia" w:ascii="宋体" w:hAnsi="宋体"/>
                <w:b/>
                <w:bCs/>
                <w:sz w:val="22"/>
              </w:rPr>
              <w:t>╀</w:t>
            </w:r>
          </w:p>
        </w:tc>
        <w:tc>
          <w:tcPr>
            <w:tcW w:w="838" w:type="dxa"/>
            <w:vAlign w:val="center"/>
          </w:tcPr>
          <w:p w14:paraId="1CBC6294">
            <w:pPr>
              <w:rPr>
                <w:rFonts w:ascii="宋体" w:hAnsi="宋体"/>
                <w:sz w:val="24"/>
              </w:rPr>
            </w:pPr>
          </w:p>
        </w:tc>
        <w:tc>
          <w:tcPr>
            <w:tcW w:w="617" w:type="dxa"/>
            <w:vAlign w:val="center"/>
          </w:tcPr>
          <w:p w14:paraId="754F151B">
            <w:pPr>
              <w:rPr>
                <w:rFonts w:ascii="宋体" w:hAnsi="宋体"/>
                <w:sz w:val="24"/>
              </w:rPr>
            </w:pPr>
            <w:r>
              <w:rPr>
                <w:rFonts w:hint="eastAsia" w:ascii="宋体" w:hAnsi="宋体"/>
                <w:b/>
                <w:bCs/>
                <w:sz w:val="22"/>
              </w:rPr>
              <w:t>╀</w:t>
            </w:r>
          </w:p>
        </w:tc>
      </w:tr>
      <w:tr w14:paraId="106728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616" w:type="dxa"/>
            <w:vAlign w:val="center"/>
          </w:tcPr>
          <w:p w14:paraId="594210F7">
            <w:pPr>
              <w:rPr>
                <w:rFonts w:ascii="宋体" w:hAnsi="宋体"/>
                <w:sz w:val="24"/>
              </w:rPr>
            </w:pPr>
            <w:r>
              <w:rPr>
                <w:rFonts w:hint="eastAsia" w:ascii="宋体" w:hAnsi="宋体"/>
                <w:sz w:val="24"/>
              </w:rPr>
              <w:t>S4</w:t>
            </w:r>
          </w:p>
        </w:tc>
        <w:tc>
          <w:tcPr>
            <w:tcW w:w="2884" w:type="dxa"/>
          </w:tcPr>
          <w:p w14:paraId="4217F7FE">
            <w:pPr>
              <w:spacing w:line="400" w:lineRule="exact"/>
              <w:rPr>
                <w:rFonts w:ascii="宋体" w:hAnsi="宋体"/>
                <w:sz w:val="24"/>
              </w:rPr>
            </w:pPr>
            <w:r>
              <w:rPr>
                <w:rFonts w:hint="eastAsia" w:ascii="宋体" w:hAnsi="宋体"/>
                <w:sz w:val="24"/>
              </w:rPr>
              <w:t>监测和测量控制</w:t>
            </w:r>
          </w:p>
        </w:tc>
        <w:tc>
          <w:tcPr>
            <w:tcW w:w="788" w:type="dxa"/>
            <w:vAlign w:val="center"/>
          </w:tcPr>
          <w:p w14:paraId="78224C66">
            <w:pPr>
              <w:rPr>
                <w:rFonts w:ascii="宋体" w:hAnsi="宋体"/>
                <w:sz w:val="24"/>
              </w:rPr>
            </w:pPr>
          </w:p>
        </w:tc>
        <w:tc>
          <w:tcPr>
            <w:tcW w:w="591" w:type="dxa"/>
            <w:vAlign w:val="center"/>
          </w:tcPr>
          <w:p w14:paraId="3AF17CDC">
            <w:pPr>
              <w:rPr>
                <w:rFonts w:ascii="宋体" w:hAnsi="宋体"/>
                <w:sz w:val="24"/>
              </w:rPr>
            </w:pPr>
            <w:r>
              <w:rPr>
                <w:rFonts w:hint="eastAsia" w:ascii="宋体" w:hAnsi="宋体"/>
                <w:b/>
                <w:bCs/>
                <w:sz w:val="22"/>
              </w:rPr>
              <w:t>╀</w:t>
            </w:r>
          </w:p>
        </w:tc>
        <w:tc>
          <w:tcPr>
            <w:tcW w:w="838" w:type="dxa"/>
            <w:vAlign w:val="center"/>
          </w:tcPr>
          <w:p w14:paraId="6CCB2BD0">
            <w:pPr>
              <w:rPr>
                <w:rFonts w:ascii="宋体" w:hAnsi="宋体"/>
                <w:sz w:val="24"/>
              </w:rPr>
            </w:pPr>
            <w:r>
              <w:rPr>
                <w:rFonts w:hint="eastAsia" w:ascii="宋体" w:hAnsi="宋体"/>
                <w:b/>
                <w:bCs/>
                <w:sz w:val="22"/>
              </w:rPr>
              <w:t>╀</w:t>
            </w:r>
          </w:p>
        </w:tc>
        <w:tc>
          <w:tcPr>
            <w:tcW w:w="617" w:type="dxa"/>
            <w:vAlign w:val="center"/>
          </w:tcPr>
          <w:p w14:paraId="062CD83A">
            <w:pPr>
              <w:rPr>
                <w:rFonts w:ascii="宋体" w:hAnsi="宋体"/>
                <w:sz w:val="24"/>
              </w:rPr>
            </w:pPr>
            <w:r>
              <w:rPr>
                <w:rFonts w:hint="eastAsia" w:ascii="宋体" w:hAnsi="宋体"/>
                <w:b/>
                <w:bCs/>
                <w:sz w:val="22"/>
              </w:rPr>
              <w:t>╀</w:t>
            </w:r>
          </w:p>
        </w:tc>
      </w:tr>
      <w:tr w14:paraId="3FA6EF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616" w:type="dxa"/>
            <w:vAlign w:val="center"/>
          </w:tcPr>
          <w:p w14:paraId="4205D8E7">
            <w:pPr>
              <w:rPr>
                <w:rFonts w:ascii="宋体" w:hAnsi="宋体"/>
                <w:sz w:val="24"/>
              </w:rPr>
            </w:pPr>
            <w:r>
              <w:rPr>
                <w:rFonts w:hint="eastAsia" w:ascii="宋体" w:hAnsi="宋体"/>
                <w:sz w:val="24"/>
              </w:rPr>
              <w:t>S5</w:t>
            </w:r>
          </w:p>
        </w:tc>
        <w:tc>
          <w:tcPr>
            <w:tcW w:w="2884" w:type="dxa"/>
          </w:tcPr>
          <w:p w14:paraId="5672E3DB">
            <w:pPr>
              <w:spacing w:line="400" w:lineRule="exact"/>
              <w:rPr>
                <w:rFonts w:ascii="宋体" w:hAnsi="宋体"/>
                <w:sz w:val="24"/>
              </w:rPr>
            </w:pPr>
            <w:r>
              <w:rPr>
                <w:rFonts w:hint="eastAsia" w:ascii="宋体" w:hAnsi="宋体"/>
                <w:sz w:val="24"/>
              </w:rPr>
              <w:t>不</w:t>
            </w:r>
            <w:r>
              <w:rPr>
                <w:rFonts w:ascii="宋体" w:hAnsi="宋体"/>
                <w:sz w:val="24"/>
              </w:rPr>
              <w:t>合格控制</w:t>
            </w:r>
          </w:p>
        </w:tc>
        <w:tc>
          <w:tcPr>
            <w:tcW w:w="788" w:type="dxa"/>
            <w:vAlign w:val="center"/>
          </w:tcPr>
          <w:p w14:paraId="60B6E644">
            <w:pPr>
              <w:rPr>
                <w:rFonts w:ascii="宋体" w:hAnsi="宋体"/>
                <w:sz w:val="24"/>
              </w:rPr>
            </w:pPr>
          </w:p>
        </w:tc>
        <w:tc>
          <w:tcPr>
            <w:tcW w:w="591" w:type="dxa"/>
            <w:vAlign w:val="center"/>
          </w:tcPr>
          <w:p w14:paraId="4763A027">
            <w:pPr>
              <w:rPr>
                <w:rFonts w:ascii="宋体" w:hAnsi="宋体"/>
                <w:sz w:val="24"/>
              </w:rPr>
            </w:pPr>
            <w:r>
              <w:rPr>
                <w:rFonts w:hint="eastAsia" w:ascii="宋体" w:hAnsi="宋体"/>
                <w:b/>
                <w:bCs/>
                <w:sz w:val="22"/>
              </w:rPr>
              <w:t>╀</w:t>
            </w:r>
          </w:p>
        </w:tc>
        <w:tc>
          <w:tcPr>
            <w:tcW w:w="838" w:type="dxa"/>
            <w:vAlign w:val="center"/>
          </w:tcPr>
          <w:p w14:paraId="43139647">
            <w:pPr>
              <w:rPr>
                <w:rFonts w:ascii="宋体" w:hAnsi="宋体"/>
                <w:sz w:val="24"/>
              </w:rPr>
            </w:pPr>
            <w:r>
              <w:rPr>
                <w:rFonts w:hint="eastAsia" w:ascii="宋体" w:hAnsi="宋体"/>
                <w:b/>
                <w:bCs/>
                <w:sz w:val="22"/>
              </w:rPr>
              <w:t>╀</w:t>
            </w:r>
          </w:p>
        </w:tc>
        <w:tc>
          <w:tcPr>
            <w:tcW w:w="617" w:type="dxa"/>
            <w:vAlign w:val="center"/>
          </w:tcPr>
          <w:p w14:paraId="13D055B2">
            <w:pPr>
              <w:rPr>
                <w:rFonts w:ascii="宋体" w:hAnsi="宋体"/>
                <w:sz w:val="24"/>
              </w:rPr>
            </w:pPr>
            <w:r>
              <w:rPr>
                <w:rFonts w:hint="eastAsia" w:ascii="宋体" w:hAnsi="宋体"/>
                <w:b/>
                <w:bCs/>
                <w:sz w:val="22"/>
              </w:rPr>
              <w:t>╀</w:t>
            </w:r>
          </w:p>
        </w:tc>
      </w:tr>
      <w:tr w14:paraId="27754DB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616" w:type="dxa"/>
            <w:tcBorders>
              <w:top w:val="single" w:color="auto" w:sz="4" w:space="0"/>
              <w:bottom w:val="single" w:color="auto" w:sz="4" w:space="0"/>
            </w:tcBorders>
            <w:vAlign w:val="center"/>
          </w:tcPr>
          <w:p w14:paraId="10F3BBDD">
            <w:pPr>
              <w:rPr>
                <w:rFonts w:ascii="宋体" w:hAnsi="宋体"/>
                <w:sz w:val="24"/>
              </w:rPr>
            </w:pPr>
            <w:r>
              <w:rPr>
                <w:rFonts w:hint="eastAsia" w:ascii="宋体" w:hAnsi="宋体"/>
                <w:sz w:val="24"/>
              </w:rPr>
              <w:t>S6</w:t>
            </w:r>
          </w:p>
        </w:tc>
        <w:tc>
          <w:tcPr>
            <w:tcW w:w="2884" w:type="dxa"/>
            <w:tcBorders>
              <w:top w:val="single" w:color="auto" w:sz="4" w:space="0"/>
              <w:bottom w:val="single" w:color="auto" w:sz="4" w:space="0"/>
            </w:tcBorders>
          </w:tcPr>
          <w:p w14:paraId="7DB5CF9A">
            <w:pPr>
              <w:spacing w:line="420" w:lineRule="exact"/>
              <w:rPr>
                <w:rFonts w:ascii="宋体" w:hAnsi="宋体"/>
                <w:bCs/>
                <w:sz w:val="24"/>
              </w:rPr>
            </w:pPr>
            <w:r>
              <w:rPr>
                <w:rFonts w:hint="eastAsia" w:ascii="宋体" w:hAnsi="宋体"/>
                <w:sz w:val="24"/>
              </w:rPr>
              <w:t>数据分析</w:t>
            </w:r>
          </w:p>
        </w:tc>
        <w:tc>
          <w:tcPr>
            <w:tcW w:w="788" w:type="dxa"/>
            <w:vAlign w:val="center"/>
          </w:tcPr>
          <w:p w14:paraId="50C92AF1">
            <w:pPr>
              <w:rPr>
                <w:rFonts w:ascii="宋体" w:hAnsi="宋体"/>
                <w:sz w:val="24"/>
              </w:rPr>
            </w:pPr>
            <w:r>
              <w:rPr>
                <w:rFonts w:hint="eastAsia" w:ascii="宋体" w:hAnsi="宋体"/>
                <w:b/>
                <w:bCs/>
                <w:sz w:val="22"/>
              </w:rPr>
              <w:t>╀</w:t>
            </w:r>
          </w:p>
        </w:tc>
        <w:tc>
          <w:tcPr>
            <w:tcW w:w="591" w:type="dxa"/>
            <w:vAlign w:val="center"/>
          </w:tcPr>
          <w:p w14:paraId="45D5DE0F">
            <w:pPr>
              <w:rPr>
                <w:rFonts w:ascii="宋体" w:hAnsi="宋体"/>
                <w:sz w:val="24"/>
              </w:rPr>
            </w:pPr>
            <w:r>
              <w:rPr>
                <w:rFonts w:hint="eastAsia" w:ascii="宋体" w:hAnsi="宋体"/>
                <w:b/>
                <w:bCs/>
                <w:sz w:val="22"/>
              </w:rPr>
              <w:t>╀</w:t>
            </w:r>
          </w:p>
        </w:tc>
        <w:tc>
          <w:tcPr>
            <w:tcW w:w="838" w:type="dxa"/>
            <w:vAlign w:val="center"/>
          </w:tcPr>
          <w:p w14:paraId="03F9D597">
            <w:pPr>
              <w:rPr>
                <w:rFonts w:ascii="宋体" w:hAnsi="宋体"/>
                <w:sz w:val="24"/>
              </w:rPr>
            </w:pPr>
            <w:r>
              <w:rPr>
                <w:rFonts w:hint="eastAsia" w:ascii="宋体" w:hAnsi="宋体"/>
                <w:b/>
                <w:bCs/>
                <w:sz w:val="22"/>
              </w:rPr>
              <w:t>╀</w:t>
            </w:r>
          </w:p>
        </w:tc>
        <w:tc>
          <w:tcPr>
            <w:tcW w:w="617" w:type="dxa"/>
            <w:vAlign w:val="center"/>
          </w:tcPr>
          <w:p w14:paraId="5A63B970">
            <w:pPr>
              <w:rPr>
                <w:rFonts w:ascii="宋体" w:hAnsi="宋体"/>
                <w:sz w:val="24"/>
              </w:rPr>
            </w:pPr>
            <w:r>
              <w:rPr>
                <w:rFonts w:hint="eastAsia" w:ascii="宋体" w:hAnsi="宋体"/>
                <w:b/>
                <w:bCs/>
                <w:sz w:val="22"/>
              </w:rPr>
              <w:t>╀</w:t>
            </w:r>
          </w:p>
        </w:tc>
      </w:tr>
      <w:tr w14:paraId="793BDC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616" w:type="dxa"/>
            <w:tcBorders>
              <w:top w:val="single" w:color="auto" w:sz="4" w:space="0"/>
              <w:bottom w:val="single" w:color="auto" w:sz="4" w:space="0"/>
            </w:tcBorders>
            <w:vAlign w:val="center"/>
          </w:tcPr>
          <w:p w14:paraId="1F42DC36">
            <w:pPr>
              <w:rPr>
                <w:rFonts w:ascii="宋体" w:hAnsi="宋体"/>
                <w:sz w:val="24"/>
              </w:rPr>
            </w:pPr>
            <w:r>
              <w:rPr>
                <w:rFonts w:hint="eastAsia" w:ascii="宋体" w:hAnsi="宋体"/>
                <w:sz w:val="24"/>
              </w:rPr>
              <w:t>S7</w:t>
            </w:r>
          </w:p>
        </w:tc>
        <w:tc>
          <w:tcPr>
            <w:tcW w:w="2884" w:type="dxa"/>
            <w:tcBorders>
              <w:top w:val="single" w:color="auto" w:sz="4" w:space="0"/>
              <w:bottom w:val="single" w:color="auto" w:sz="4" w:space="0"/>
            </w:tcBorders>
          </w:tcPr>
          <w:p w14:paraId="7EC91FCA">
            <w:pPr>
              <w:spacing w:line="400" w:lineRule="exact"/>
              <w:rPr>
                <w:rFonts w:ascii="宋体" w:hAnsi="宋体"/>
                <w:sz w:val="24"/>
              </w:rPr>
            </w:pPr>
            <w:r>
              <w:rPr>
                <w:rFonts w:hint="eastAsia" w:ascii="宋体" w:hAnsi="宋体"/>
                <w:sz w:val="24"/>
              </w:rPr>
              <w:t>运</w:t>
            </w:r>
            <w:r>
              <w:rPr>
                <w:rFonts w:ascii="宋体" w:hAnsi="宋体"/>
                <w:sz w:val="24"/>
              </w:rPr>
              <w:t>行控制</w:t>
            </w:r>
          </w:p>
        </w:tc>
        <w:tc>
          <w:tcPr>
            <w:tcW w:w="788" w:type="dxa"/>
          </w:tcPr>
          <w:p w14:paraId="4959CE1E">
            <w:pPr>
              <w:rPr>
                <w:rFonts w:ascii="宋体" w:hAnsi="宋体"/>
              </w:rPr>
            </w:pPr>
            <w:r>
              <w:rPr>
                <w:rFonts w:hint="eastAsia" w:ascii="宋体" w:hAnsi="宋体"/>
                <w:b/>
                <w:bCs/>
                <w:sz w:val="22"/>
              </w:rPr>
              <w:t>╀</w:t>
            </w:r>
          </w:p>
        </w:tc>
        <w:tc>
          <w:tcPr>
            <w:tcW w:w="591" w:type="dxa"/>
          </w:tcPr>
          <w:p w14:paraId="65353A37">
            <w:pPr>
              <w:rPr>
                <w:rFonts w:ascii="宋体" w:hAnsi="宋体"/>
              </w:rPr>
            </w:pPr>
            <w:r>
              <w:rPr>
                <w:rFonts w:hint="eastAsia" w:ascii="宋体" w:hAnsi="宋体"/>
                <w:b/>
                <w:bCs/>
                <w:sz w:val="22"/>
              </w:rPr>
              <w:t>╀</w:t>
            </w:r>
          </w:p>
        </w:tc>
        <w:tc>
          <w:tcPr>
            <w:tcW w:w="838" w:type="dxa"/>
          </w:tcPr>
          <w:p w14:paraId="7292A46E">
            <w:pPr>
              <w:rPr>
                <w:rFonts w:ascii="宋体" w:hAnsi="宋体"/>
              </w:rPr>
            </w:pPr>
            <w:r>
              <w:rPr>
                <w:rFonts w:hint="eastAsia" w:ascii="宋体" w:hAnsi="宋体"/>
                <w:b/>
                <w:bCs/>
                <w:sz w:val="22"/>
              </w:rPr>
              <w:t>╀</w:t>
            </w:r>
          </w:p>
        </w:tc>
        <w:tc>
          <w:tcPr>
            <w:tcW w:w="617" w:type="dxa"/>
          </w:tcPr>
          <w:p w14:paraId="0D328AE5">
            <w:pPr>
              <w:rPr>
                <w:rFonts w:ascii="宋体" w:hAnsi="宋体"/>
              </w:rPr>
            </w:pPr>
            <w:r>
              <w:rPr>
                <w:rFonts w:hint="eastAsia" w:ascii="宋体" w:hAnsi="宋体"/>
                <w:b/>
                <w:bCs/>
                <w:sz w:val="22"/>
              </w:rPr>
              <w:t>╀</w:t>
            </w:r>
          </w:p>
        </w:tc>
      </w:tr>
    </w:tbl>
    <w:p w14:paraId="48C0EF51">
      <w:pPr>
        <w:spacing w:line="400" w:lineRule="exact"/>
        <w:rPr>
          <w:sz w:val="24"/>
          <w:szCs w:val="18"/>
        </w:rPr>
      </w:pPr>
      <w:r>
        <w:rPr>
          <w:sz w:val="24"/>
          <w:szCs w:val="18"/>
        </w:rPr>
        <w:t>c</w:t>
      </w:r>
      <w:r>
        <w:rPr>
          <w:rFonts w:hint="eastAsia"/>
          <w:sz w:val="24"/>
          <w:szCs w:val="18"/>
        </w:rPr>
        <w:t>）为了确保这些过程的有效运行和控制，公司定义了所需的准则和方法；</w:t>
      </w:r>
    </w:p>
    <w:p w14:paraId="07A51D09">
      <w:pPr>
        <w:spacing w:line="400" w:lineRule="exact"/>
        <w:rPr>
          <w:sz w:val="24"/>
          <w:szCs w:val="18"/>
        </w:rPr>
      </w:pPr>
      <w:r>
        <w:rPr>
          <w:sz w:val="24"/>
          <w:szCs w:val="18"/>
        </w:rPr>
        <w:t>d</w:t>
      </w:r>
      <w:r>
        <w:rPr>
          <w:rFonts w:hint="eastAsia"/>
          <w:sz w:val="24"/>
          <w:szCs w:val="18"/>
        </w:rPr>
        <w:t>）确保过程所需的资源和信息的获得；</w:t>
      </w:r>
    </w:p>
    <w:p w14:paraId="79809791">
      <w:pPr>
        <w:spacing w:line="400" w:lineRule="exact"/>
        <w:rPr>
          <w:sz w:val="24"/>
          <w:szCs w:val="18"/>
        </w:rPr>
      </w:pPr>
      <w:r>
        <w:rPr>
          <w:rFonts w:hint="eastAsia"/>
          <w:sz w:val="24"/>
          <w:szCs w:val="18"/>
        </w:rPr>
        <w:t>e）监测并分析这些过程；</w:t>
      </w:r>
    </w:p>
    <w:p w14:paraId="24308CB4">
      <w:pPr>
        <w:spacing w:line="400" w:lineRule="exact"/>
        <w:rPr>
          <w:sz w:val="24"/>
          <w:szCs w:val="18"/>
        </w:rPr>
      </w:pPr>
      <w:r>
        <w:rPr>
          <w:rFonts w:hint="eastAsia"/>
          <w:sz w:val="24"/>
          <w:szCs w:val="18"/>
        </w:rPr>
        <w:t>f）实现过程策划的预定目标并持续改进这些过程。</w:t>
      </w:r>
    </w:p>
    <w:p w14:paraId="1CC251D7">
      <w:pPr>
        <w:spacing w:line="400" w:lineRule="exact"/>
        <w:rPr>
          <w:rStyle w:val="27"/>
          <w:rFonts w:cs="宋体" w:asciiTheme="minorEastAsia" w:hAnsiTheme="minorEastAsia"/>
          <w:sz w:val="24"/>
          <w:szCs w:val="15"/>
        </w:rPr>
      </w:pPr>
      <w:r>
        <w:rPr>
          <w:rFonts w:hint="eastAsia"/>
          <w:sz w:val="24"/>
          <w:szCs w:val="18"/>
        </w:rPr>
        <w:t>g)本</w:t>
      </w:r>
      <w:r>
        <w:rPr>
          <w:sz w:val="24"/>
          <w:szCs w:val="18"/>
        </w:rPr>
        <w:t>公司对每个过程</w:t>
      </w:r>
      <w:r>
        <w:rPr>
          <w:rFonts w:hint="eastAsia"/>
          <w:sz w:val="24"/>
          <w:szCs w:val="18"/>
        </w:rPr>
        <w:t>制订管</w:t>
      </w:r>
      <w:r>
        <w:rPr>
          <w:sz w:val="24"/>
          <w:szCs w:val="18"/>
        </w:rPr>
        <w:t>控文</w:t>
      </w:r>
      <w:r>
        <w:rPr>
          <w:rFonts w:hint="eastAsia"/>
          <w:sz w:val="24"/>
          <w:szCs w:val="18"/>
        </w:rPr>
        <w:t>件</w:t>
      </w:r>
      <w:r>
        <w:rPr>
          <w:sz w:val="24"/>
          <w:szCs w:val="18"/>
        </w:rPr>
        <w:t>与绩效指标</w:t>
      </w:r>
      <w:r>
        <w:rPr>
          <w:rFonts w:hint="eastAsia"/>
          <w:sz w:val="24"/>
          <w:szCs w:val="18"/>
        </w:rPr>
        <w:t>进行</w:t>
      </w:r>
      <w:r>
        <w:rPr>
          <w:sz w:val="24"/>
          <w:szCs w:val="18"/>
        </w:rPr>
        <w:t>控制</w:t>
      </w:r>
      <w:r>
        <w:rPr>
          <w:rFonts w:hint="eastAsia"/>
          <w:sz w:val="24"/>
          <w:szCs w:val="18"/>
        </w:rPr>
        <w:t>。</w:t>
      </w:r>
    </w:p>
    <w:p w14:paraId="761214C9">
      <w:pPr>
        <w:spacing w:line="360" w:lineRule="auto"/>
        <w:rPr>
          <w:rFonts w:cs="宋体" w:asciiTheme="minorEastAsia" w:hAnsiTheme="minorEastAsia"/>
          <w:b/>
          <w:sz w:val="28"/>
          <w:szCs w:val="28"/>
        </w:rPr>
      </w:pPr>
      <w:r>
        <w:rPr>
          <w:rStyle w:val="27"/>
          <w:rFonts w:hint="eastAsia" w:cs="宋体" w:asciiTheme="minorEastAsia" w:hAnsiTheme="minorEastAsia"/>
          <w:sz w:val="24"/>
          <w:szCs w:val="15"/>
        </w:rPr>
        <w:t>5 领导作用</w:t>
      </w:r>
    </w:p>
    <w:p w14:paraId="217A3999">
      <w:pPr>
        <w:pStyle w:val="3"/>
        <w:spacing w:before="0" w:after="0" w:line="360" w:lineRule="auto"/>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5.1 领导作用、承诺和工作人员参与</w:t>
      </w:r>
    </w:p>
    <w:p w14:paraId="33B21E84">
      <w:pPr>
        <w:spacing w:line="360" w:lineRule="auto"/>
        <w:rPr>
          <w:rFonts w:cs="宋体" w:asciiTheme="minorEastAsia" w:hAnsiTheme="minorEastAsia"/>
          <w:sz w:val="24"/>
          <w:szCs w:val="24"/>
        </w:rPr>
      </w:pPr>
      <w:r>
        <w:rPr>
          <w:rFonts w:hint="eastAsia" w:cs="宋体" w:asciiTheme="minorEastAsia" w:hAnsiTheme="minorEastAsia"/>
          <w:sz w:val="24"/>
          <w:szCs w:val="24"/>
        </w:rPr>
        <w:t xml:space="preserve">5.1.1 总则 </w:t>
      </w:r>
    </w:p>
    <w:p w14:paraId="627E4F6F">
      <w:pPr>
        <w:spacing w:line="360" w:lineRule="auto"/>
        <w:ind w:firstLine="480" w:firstLineChars="200"/>
        <w:rPr>
          <w:rFonts w:cs="宋体" w:asciiTheme="minorEastAsia" w:hAnsiTheme="minorEastAsia"/>
          <w:sz w:val="24"/>
          <w:szCs w:val="24"/>
        </w:rPr>
      </w:pPr>
      <w:r>
        <w:rPr>
          <w:rFonts w:hint="eastAsia" w:cs="宋体" w:asciiTheme="minorEastAsia" w:hAnsiTheme="minorEastAsia"/>
          <w:sz w:val="24"/>
          <w:szCs w:val="24"/>
        </w:rPr>
        <w:t>本公司总经理承诺在</w:t>
      </w:r>
      <w:r>
        <w:rPr>
          <w:rFonts w:hint="eastAsia" w:cs="宋体" w:asciiTheme="minorEastAsia" w:hAnsiTheme="minorEastAsia"/>
          <w:kern w:val="0"/>
          <w:sz w:val="24"/>
        </w:rPr>
        <w:t>质量/环境/职业健康安全</w:t>
      </w:r>
      <w:r>
        <w:rPr>
          <w:rFonts w:hint="eastAsia" w:cs="宋体" w:asciiTheme="minorEastAsia" w:hAnsiTheme="minorEastAsia"/>
          <w:sz w:val="24"/>
          <w:szCs w:val="24"/>
        </w:rPr>
        <w:t>管理过程中实施以下活动：</w:t>
      </w:r>
    </w:p>
    <w:p w14:paraId="583EA491">
      <w:pPr>
        <w:spacing w:line="360" w:lineRule="auto"/>
        <w:ind w:firstLine="523" w:firstLineChars="218"/>
        <w:rPr>
          <w:rFonts w:cs="宋体" w:asciiTheme="minorEastAsia" w:hAnsiTheme="minorEastAsia"/>
          <w:kern w:val="0"/>
          <w:sz w:val="24"/>
        </w:rPr>
      </w:pPr>
      <w:r>
        <w:rPr>
          <w:rFonts w:hint="eastAsia" w:cs="宋体" w:asciiTheme="minorEastAsia" w:hAnsiTheme="minorEastAsia"/>
          <w:sz w:val="24"/>
          <w:szCs w:val="24"/>
        </w:rPr>
        <w:t>a) 制定公司质量方针、环境方针和职业健康安全方针，并确保方针与组织的战略方向保持一致以及方针在公司内得到理解和实施。</w:t>
      </w:r>
      <w:r>
        <w:rPr>
          <w:rFonts w:hint="eastAsia" w:cs="宋体" w:asciiTheme="minorEastAsia" w:hAnsiTheme="minorEastAsia"/>
          <w:kern w:val="0"/>
          <w:sz w:val="24"/>
        </w:rPr>
        <w:t>对质量/环境/职业健康安全管理体系的有效性承担责任；</w:t>
      </w:r>
    </w:p>
    <w:p w14:paraId="732A65DF">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b) 在相关职能、层次、过程上建立公司质量目标、环境目标和职业健康安全目标，定期对目标的完成情况进行分析、总结以及改进，确保</w:t>
      </w:r>
      <w:r>
        <w:rPr>
          <w:rFonts w:hint="eastAsia" w:cs="宋体" w:asciiTheme="minorEastAsia" w:hAnsiTheme="minorEastAsia"/>
          <w:kern w:val="0"/>
          <w:sz w:val="24"/>
        </w:rPr>
        <w:t>与组织环境和战略方向相一致；</w:t>
      </w:r>
    </w:p>
    <w:p w14:paraId="1D6DFACA">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c) 建立公司培训系统，定期制定培训计划，理解满足顾客和法律法规要求的重要性，提高全体员工的过程方法的意识，传达有效的体系管理以及满足管理体系、服务要求的重要性，</w:t>
      </w:r>
      <w:r>
        <w:rPr>
          <w:rFonts w:hint="eastAsia" w:cs="宋体" w:asciiTheme="minorEastAsia" w:hAnsiTheme="minorEastAsia"/>
          <w:kern w:val="0"/>
          <w:sz w:val="24"/>
        </w:rPr>
        <w:t>确保质量/环境/职业健康安全管理体系要求融入与组织的业务过程；</w:t>
      </w:r>
    </w:p>
    <w:p w14:paraId="257C82F6">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d) 建立合理的公司组织结构,确保管理体系所需资源能被获得。</w:t>
      </w:r>
    </w:p>
    <w:p w14:paraId="2791A581">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——确保质量/环境/职业健康安全管理体系所需资源的配置和获得。 在服务经营活动中，严格遵守当地政府的法律法规和其他要求，将质量、健康安全和环境作为整个服务经营活动的一部分，在决策、部署服务经营活动中的事项时：</w:t>
      </w:r>
    </w:p>
    <w:p w14:paraId="3AC30481">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——首先考虑环境和职业健康安全的要求，优先安排这方面的事宜；</w:t>
      </w:r>
    </w:p>
    <w:p w14:paraId="6A0A38AC">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——持续保障环境和职业健康安全的投入，提供必需的资源；</w:t>
      </w:r>
    </w:p>
    <w:p w14:paraId="7FBA7F54">
      <w:pPr>
        <w:spacing w:line="360" w:lineRule="auto"/>
        <w:ind w:firstLine="523" w:firstLineChars="218"/>
        <w:rPr>
          <w:rFonts w:cs="宋体" w:asciiTheme="minorEastAsia" w:hAnsiTheme="minorEastAsia"/>
          <w:kern w:val="0"/>
          <w:sz w:val="24"/>
        </w:rPr>
      </w:pPr>
      <w:r>
        <w:rPr>
          <w:rFonts w:hint="eastAsia" w:cs="宋体" w:asciiTheme="minorEastAsia" w:hAnsiTheme="minorEastAsia"/>
          <w:sz w:val="24"/>
          <w:szCs w:val="24"/>
        </w:rPr>
        <w:t xml:space="preserve">e) </w:t>
      </w:r>
      <w:r>
        <w:rPr>
          <w:rFonts w:hint="eastAsia" w:cs="宋体" w:asciiTheme="minorEastAsia" w:hAnsiTheme="minorEastAsia"/>
          <w:kern w:val="0"/>
          <w:sz w:val="24"/>
        </w:rPr>
        <w:t>促进使用过程方法和基于风险的思维。</w:t>
      </w:r>
    </w:p>
    <w:p w14:paraId="4CE06DF8">
      <w:pPr>
        <w:spacing w:line="360" w:lineRule="auto"/>
        <w:ind w:firstLine="523" w:firstLineChars="218"/>
        <w:rPr>
          <w:rFonts w:cs="宋体" w:asciiTheme="minorEastAsia" w:hAnsiTheme="minorEastAsia"/>
          <w:kern w:val="0"/>
          <w:sz w:val="24"/>
        </w:rPr>
      </w:pPr>
      <w:r>
        <w:rPr>
          <w:rFonts w:hint="eastAsia" w:cs="宋体" w:asciiTheme="minorEastAsia" w:hAnsiTheme="minorEastAsia"/>
          <w:sz w:val="24"/>
          <w:szCs w:val="24"/>
        </w:rPr>
        <w:t>——在质量/环境/职业健康安全管理体系中使用过程方法，对各个过程进行风险评估，制定各类风险应急预案，确保风险受控；</w:t>
      </w:r>
    </w:p>
    <w:p w14:paraId="213899C2">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——持续治理事故隐患，为公司经营活动提供合格的安全服务条件；</w:t>
      </w:r>
    </w:p>
    <w:p w14:paraId="410F444C">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——全面开展风险管理，及时识别作业场所和活动中的环境因素和危险源，将风险控制在可接受的程度。</w:t>
      </w:r>
    </w:p>
    <w:p w14:paraId="673C9FE7">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f) 建立有效的沟通渠道，在各个层次上理解</w:t>
      </w:r>
      <w:r>
        <w:rPr>
          <w:rFonts w:hint="eastAsia" w:cs="宋体" w:asciiTheme="minorEastAsia" w:hAnsiTheme="minorEastAsia"/>
          <w:kern w:val="0"/>
          <w:sz w:val="24"/>
        </w:rPr>
        <w:t>符合质量/环境/职业健康安全管理体系要求的重要性。</w:t>
      </w:r>
      <w:r>
        <w:rPr>
          <w:rFonts w:hint="eastAsia" w:cs="宋体" w:asciiTheme="minorEastAsia" w:hAnsiTheme="minorEastAsia"/>
          <w:sz w:val="24"/>
          <w:szCs w:val="24"/>
        </w:rPr>
        <w:t>吸纳、指导和支持员工参与对公司管理体系的有效性作出贡献，增强体系持续改进和创新；</w:t>
      </w:r>
    </w:p>
    <w:p w14:paraId="34E6DA38">
      <w:pPr>
        <w:spacing w:line="360" w:lineRule="auto"/>
        <w:ind w:firstLine="523" w:firstLineChars="218"/>
        <w:rPr>
          <w:rFonts w:cs="宋体" w:asciiTheme="minorEastAsia" w:hAnsiTheme="minorEastAsia"/>
          <w:kern w:val="0"/>
          <w:sz w:val="24"/>
        </w:rPr>
      </w:pPr>
      <w:r>
        <w:rPr>
          <w:rFonts w:hint="eastAsia" w:cs="宋体" w:asciiTheme="minorEastAsia" w:hAnsiTheme="minorEastAsia"/>
          <w:kern w:val="0"/>
          <w:sz w:val="24"/>
        </w:rPr>
        <w:t>g）确保实现质量/环境/职业健康安全管理体系的预期结果；</w:t>
      </w:r>
    </w:p>
    <w:p w14:paraId="11AA985A">
      <w:pPr>
        <w:autoSpaceDE w:val="0"/>
        <w:autoSpaceDN w:val="0"/>
        <w:adjustRightInd w:val="0"/>
        <w:snapToGrid w:val="0"/>
        <w:spacing w:line="360" w:lineRule="auto"/>
        <w:ind w:firstLine="523" w:firstLineChars="218"/>
        <w:jc w:val="left"/>
        <w:rPr>
          <w:rFonts w:cs="宋体" w:asciiTheme="minorEastAsia" w:hAnsiTheme="minorEastAsia"/>
          <w:kern w:val="0"/>
          <w:sz w:val="24"/>
        </w:rPr>
      </w:pPr>
      <w:r>
        <w:rPr>
          <w:rFonts w:hint="eastAsia" w:cs="宋体" w:asciiTheme="minorEastAsia" w:hAnsiTheme="minorEastAsia"/>
          <w:kern w:val="0"/>
          <w:sz w:val="24"/>
        </w:rPr>
        <w:t>h）</w:t>
      </w:r>
      <w:r>
        <w:rPr>
          <w:rFonts w:hint="eastAsia" w:cs="宋体" w:asciiTheme="minorEastAsia" w:hAnsiTheme="minorEastAsia"/>
          <w:sz w:val="24"/>
          <w:szCs w:val="24"/>
        </w:rPr>
        <w:t>创造良好的文化氛围，鼓励所有员工参与环境和职业健康安全活动，奖励表现突出的员工，</w:t>
      </w:r>
      <w:r>
        <w:rPr>
          <w:rFonts w:hint="eastAsia" w:cs="宋体" w:asciiTheme="minorEastAsia" w:hAnsiTheme="minorEastAsia"/>
          <w:kern w:val="0"/>
          <w:sz w:val="24"/>
        </w:rPr>
        <w:t xml:space="preserve">促使、指导和支持员工努力提高质量/环境/职业健康安全管理体系的有效性； </w:t>
      </w:r>
    </w:p>
    <w:p w14:paraId="40E64FC0">
      <w:pPr>
        <w:autoSpaceDE w:val="0"/>
        <w:autoSpaceDN w:val="0"/>
        <w:adjustRightInd w:val="0"/>
        <w:snapToGrid w:val="0"/>
        <w:spacing w:line="360" w:lineRule="auto"/>
        <w:ind w:firstLine="523" w:firstLineChars="218"/>
        <w:jc w:val="left"/>
        <w:rPr>
          <w:rFonts w:cs="宋体" w:asciiTheme="minorEastAsia" w:hAnsiTheme="minorEastAsia"/>
          <w:kern w:val="0"/>
          <w:sz w:val="24"/>
        </w:rPr>
      </w:pPr>
      <w:r>
        <w:rPr>
          <w:rFonts w:hint="eastAsia" w:cs="宋体" w:asciiTheme="minorEastAsia" w:hAnsiTheme="minorEastAsia"/>
          <w:kern w:val="0"/>
          <w:sz w:val="24"/>
        </w:rPr>
        <w:t>i）通过监视和测量、绩效评价等方法，推动改进；</w:t>
      </w:r>
      <w:r>
        <w:rPr>
          <w:rFonts w:hint="eastAsia" w:cs="宋体" w:asciiTheme="minorEastAsia" w:hAnsiTheme="minorEastAsia"/>
          <w:sz w:val="24"/>
          <w:szCs w:val="24"/>
        </w:rPr>
        <w:t>全面推行质量/环境/职业健康安全管理体系，持续提高管理绩效。</w:t>
      </w:r>
    </w:p>
    <w:p w14:paraId="1BFF73E1">
      <w:pPr>
        <w:autoSpaceDE w:val="0"/>
        <w:autoSpaceDN w:val="0"/>
        <w:adjustRightInd w:val="0"/>
        <w:snapToGrid w:val="0"/>
        <w:spacing w:line="360" w:lineRule="auto"/>
        <w:ind w:firstLine="523" w:firstLineChars="218"/>
        <w:jc w:val="left"/>
        <w:rPr>
          <w:rFonts w:cs="宋体" w:asciiTheme="minorEastAsia" w:hAnsiTheme="minorEastAsia"/>
          <w:kern w:val="0"/>
          <w:sz w:val="24"/>
        </w:rPr>
      </w:pPr>
      <w:r>
        <w:rPr>
          <w:rFonts w:hint="eastAsia" w:cs="宋体" w:asciiTheme="minorEastAsia" w:hAnsiTheme="minorEastAsia"/>
          <w:kern w:val="0"/>
          <w:sz w:val="24"/>
        </w:rPr>
        <w:t>j）支持其他管理者履行其相关领域的职责。</w:t>
      </w:r>
    </w:p>
    <w:p w14:paraId="52B84F4B">
      <w:pPr>
        <w:autoSpaceDE w:val="0"/>
        <w:autoSpaceDN w:val="0"/>
        <w:adjustRightInd w:val="0"/>
        <w:snapToGrid w:val="0"/>
        <w:spacing w:line="360" w:lineRule="auto"/>
        <w:ind w:firstLine="523" w:firstLineChars="218"/>
        <w:jc w:val="left"/>
        <w:rPr>
          <w:rFonts w:cs="宋体" w:asciiTheme="minorEastAsia" w:hAnsiTheme="minorEastAsia"/>
          <w:kern w:val="0"/>
          <w:sz w:val="24"/>
        </w:rPr>
      </w:pPr>
      <w:r>
        <w:rPr>
          <w:rFonts w:cs="宋体" w:asciiTheme="minorEastAsia" w:hAnsiTheme="minorEastAsia"/>
          <w:kern w:val="0"/>
          <w:sz w:val="24"/>
        </w:rPr>
        <w:t>k</w:t>
      </w:r>
      <w:r>
        <w:rPr>
          <w:rFonts w:hint="eastAsia" w:cs="宋体" w:asciiTheme="minorEastAsia" w:hAnsiTheme="minorEastAsia"/>
          <w:kern w:val="0"/>
          <w:sz w:val="24"/>
        </w:rPr>
        <w:t>）支持健康委员会的建立和运行，确保企业建立和实施工作人员协商和参与的过程，保护工作人员不因报告事件、危险源、风险和机遇而遭受报复。</w:t>
      </w:r>
    </w:p>
    <w:p w14:paraId="5F784238">
      <w:pPr>
        <w:autoSpaceDE w:val="0"/>
        <w:autoSpaceDN w:val="0"/>
        <w:adjustRightInd w:val="0"/>
        <w:snapToGrid w:val="0"/>
        <w:spacing w:line="360" w:lineRule="auto"/>
        <w:ind w:firstLine="525" w:firstLineChars="218"/>
        <w:jc w:val="left"/>
        <w:rPr>
          <w:rFonts w:cs="宋体" w:asciiTheme="minorEastAsia" w:hAnsiTheme="minorEastAsia"/>
          <w:b/>
          <w:kern w:val="0"/>
          <w:sz w:val="24"/>
        </w:rPr>
      </w:pPr>
      <w:r>
        <w:rPr>
          <w:rFonts w:hint="eastAsia" w:cs="宋体" w:asciiTheme="minorEastAsia" w:hAnsiTheme="minorEastAsia"/>
          <w:b/>
          <w:kern w:val="0"/>
          <w:sz w:val="24"/>
        </w:rPr>
        <w:t xml:space="preserve">5.1.2 以顾客为关注焦点 </w:t>
      </w:r>
    </w:p>
    <w:p w14:paraId="4221FADB">
      <w:pPr>
        <w:autoSpaceDE w:val="0"/>
        <w:autoSpaceDN w:val="0"/>
        <w:adjustRightInd w:val="0"/>
        <w:snapToGrid w:val="0"/>
        <w:spacing w:line="360" w:lineRule="auto"/>
        <w:ind w:firstLine="523" w:firstLineChars="218"/>
        <w:jc w:val="left"/>
        <w:rPr>
          <w:rFonts w:cs="宋体" w:asciiTheme="minorEastAsia" w:hAnsiTheme="minorEastAsia"/>
          <w:kern w:val="0"/>
          <w:sz w:val="24"/>
        </w:rPr>
      </w:pPr>
      <w:r>
        <w:rPr>
          <w:rFonts w:hint="eastAsia" w:cs="宋体" w:asciiTheme="minorEastAsia" w:hAnsiTheme="minorEastAsia"/>
          <w:kern w:val="0"/>
          <w:sz w:val="24"/>
        </w:rPr>
        <w:t xml:space="preserve">公司总经理应证实其以顾客为关注焦点的领导作用和承诺,通过： </w:t>
      </w:r>
    </w:p>
    <w:p w14:paraId="435FED97">
      <w:pPr>
        <w:autoSpaceDE w:val="0"/>
        <w:autoSpaceDN w:val="0"/>
        <w:adjustRightInd w:val="0"/>
        <w:snapToGrid w:val="0"/>
        <w:spacing w:line="360" w:lineRule="auto"/>
        <w:ind w:firstLine="523" w:firstLineChars="218"/>
        <w:jc w:val="left"/>
        <w:rPr>
          <w:rFonts w:cs="宋体" w:asciiTheme="minorEastAsia" w:hAnsiTheme="minorEastAsia"/>
          <w:kern w:val="0"/>
          <w:sz w:val="24"/>
        </w:rPr>
      </w:pPr>
      <w:r>
        <w:rPr>
          <w:rFonts w:hint="eastAsia" w:cs="宋体" w:asciiTheme="minorEastAsia" w:hAnsiTheme="minorEastAsia"/>
          <w:kern w:val="0"/>
          <w:sz w:val="24"/>
        </w:rPr>
        <w:t>a）确定、理解并持续满足顾客要求以及适用的法律法规要求；办公室编制适用的与</w:t>
      </w:r>
      <w:r>
        <w:rPr>
          <w:rFonts w:hint="eastAsia" w:ascii="宋体" w:hAnsi="宋体" w:eastAsia="宋体" w:cs="宋体"/>
          <w:i w:val="0"/>
          <w:iCs w:val="0"/>
          <w:caps w:val="0"/>
          <w:color w:val="FF0000"/>
          <w:spacing w:val="0"/>
          <w:sz w:val="24"/>
          <w:szCs w:val="24"/>
          <w:shd w:val="clear" w:fill="FFFFFF"/>
          <w:lang w:eastAsia="zh-CN"/>
        </w:rPr>
        <w:t>教学家具、办公家具、公寓家具、部队家具的生产</w:t>
      </w:r>
      <w:r>
        <w:rPr>
          <w:rFonts w:hint="eastAsia" w:cs="宋体" w:asciiTheme="minorEastAsia" w:hAnsiTheme="minorEastAsia"/>
          <w:kern w:val="0"/>
          <w:sz w:val="24"/>
          <w:szCs w:val="24"/>
        </w:rPr>
        <w:t>有</w:t>
      </w:r>
      <w:r>
        <w:rPr>
          <w:rFonts w:hint="eastAsia" w:cs="宋体" w:asciiTheme="minorEastAsia" w:hAnsiTheme="minorEastAsia"/>
          <w:kern w:val="0"/>
          <w:sz w:val="24"/>
        </w:rPr>
        <w:t>关的法律、法规清单；</w:t>
      </w:r>
    </w:p>
    <w:p w14:paraId="37EA38B3">
      <w:pPr>
        <w:autoSpaceDE w:val="0"/>
        <w:autoSpaceDN w:val="0"/>
        <w:adjustRightInd w:val="0"/>
        <w:snapToGrid w:val="0"/>
        <w:spacing w:line="360" w:lineRule="auto"/>
        <w:ind w:firstLine="523" w:firstLineChars="218"/>
        <w:jc w:val="left"/>
        <w:rPr>
          <w:rFonts w:cs="宋体" w:asciiTheme="minorEastAsia" w:hAnsiTheme="minorEastAsia"/>
          <w:kern w:val="0"/>
          <w:sz w:val="24"/>
        </w:rPr>
      </w:pPr>
      <w:r>
        <w:rPr>
          <w:rFonts w:hint="eastAsia" w:cs="宋体" w:asciiTheme="minorEastAsia" w:hAnsiTheme="minorEastAsia"/>
          <w:kern w:val="0"/>
          <w:sz w:val="24"/>
        </w:rPr>
        <w:t>b）确定和应对能够影响公司经营服务符合性以及增强顾客满意的风险和机遇；</w:t>
      </w:r>
    </w:p>
    <w:p w14:paraId="53734247">
      <w:pPr>
        <w:autoSpaceDE w:val="0"/>
        <w:autoSpaceDN w:val="0"/>
        <w:adjustRightInd w:val="0"/>
        <w:snapToGrid w:val="0"/>
        <w:spacing w:line="360" w:lineRule="auto"/>
        <w:ind w:firstLine="523" w:firstLineChars="218"/>
        <w:jc w:val="left"/>
        <w:rPr>
          <w:rFonts w:cs="宋体" w:asciiTheme="minorEastAsia" w:hAnsiTheme="minorEastAsia"/>
          <w:kern w:val="0"/>
          <w:sz w:val="24"/>
        </w:rPr>
      </w:pPr>
      <w:r>
        <w:rPr>
          <w:rFonts w:hint="eastAsia" w:cs="宋体" w:asciiTheme="minorEastAsia" w:hAnsiTheme="minorEastAsia"/>
          <w:kern w:val="0"/>
          <w:sz w:val="24"/>
        </w:rPr>
        <w:t>c）始终致力于增强顾客满意。</w:t>
      </w:r>
    </w:p>
    <w:p w14:paraId="02D35947">
      <w:pPr>
        <w:autoSpaceDE w:val="0"/>
        <w:autoSpaceDN w:val="0"/>
        <w:adjustRightInd w:val="0"/>
        <w:snapToGrid w:val="0"/>
        <w:spacing w:line="360" w:lineRule="auto"/>
        <w:ind w:firstLine="523" w:firstLineChars="218"/>
        <w:jc w:val="left"/>
        <w:rPr>
          <w:rFonts w:cs="宋体" w:asciiTheme="minorEastAsia" w:hAnsiTheme="minorEastAsia"/>
          <w:kern w:val="0"/>
          <w:sz w:val="24"/>
        </w:rPr>
      </w:pPr>
      <w:r>
        <w:rPr>
          <w:rFonts w:hint="eastAsia" w:cs="宋体" w:asciiTheme="minorEastAsia" w:hAnsiTheme="minorEastAsia"/>
          <w:kern w:val="0"/>
          <w:sz w:val="24"/>
        </w:rPr>
        <w:t>d）</w:t>
      </w:r>
      <w:r>
        <w:rPr>
          <w:rFonts w:hint="eastAsia" w:asciiTheme="minorEastAsia" w:hAnsiTheme="minorEastAsia"/>
          <w:sz w:val="24"/>
        </w:rPr>
        <w:t>总经理授权办公室按照各自的职责分别收集和分析有关的信息，</w:t>
      </w:r>
      <w:r>
        <w:rPr>
          <w:rFonts w:hint="eastAsia" w:cs="宋体" w:asciiTheme="minorEastAsia" w:hAnsiTheme="minorEastAsia"/>
          <w:kern w:val="0"/>
          <w:sz w:val="24"/>
        </w:rPr>
        <w:t>执行《</w:t>
      </w:r>
      <w:r>
        <w:rPr>
          <w:rFonts w:hint="eastAsia"/>
          <w:sz w:val="24"/>
          <w:szCs w:val="24"/>
        </w:rPr>
        <w:t>与服务有关要求的评审程序</w:t>
      </w:r>
      <w:r>
        <w:rPr>
          <w:rFonts w:hint="eastAsia" w:cs="宋体" w:asciiTheme="minorEastAsia" w:hAnsiTheme="minorEastAsia"/>
          <w:kern w:val="0"/>
          <w:sz w:val="24"/>
        </w:rPr>
        <w:t>》的有关要求，</w:t>
      </w:r>
      <w:r>
        <w:rPr>
          <w:rFonts w:hint="eastAsia" w:asciiTheme="minorEastAsia" w:hAnsiTheme="minorEastAsia"/>
          <w:sz w:val="24"/>
        </w:rPr>
        <w:t>了解顾客的需求和期望，以使服务过程及相关过程得到持续改进。</w:t>
      </w:r>
    </w:p>
    <w:p w14:paraId="0A237FCB">
      <w:pPr>
        <w:pStyle w:val="3"/>
        <w:spacing w:before="0" w:after="0" w:line="360" w:lineRule="auto"/>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5.2 质量/环境/职业健康安全方针</w:t>
      </w:r>
    </w:p>
    <w:p w14:paraId="616BDAB5">
      <w:pPr>
        <w:autoSpaceDE w:val="0"/>
        <w:autoSpaceDN w:val="0"/>
        <w:adjustRightInd w:val="0"/>
        <w:snapToGrid w:val="0"/>
        <w:spacing w:line="360" w:lineRule="auto"/>
        <w:jc w:val="left"/>
        <w:rPr>
          <w:rFonts w:cs="宋体" w:asciiTheme="minorEastAsia" w:hAnsiTheme="minorEastAsia"/>
          <w:b/>
          <w:kern w:val="0"/>
          <w:sz w:val="24"/>
        </w:rPr>
      </w:pPr>
      <w:r>
        <w:rPr>
          <w:rFonts w:hint="eastAsia" w:cs="宋体" w:asciiTheme="minorEastAsia" w:hAnsiTheme="minorEastAsia"/>
          <w:b/>
          <w:kern w:val="0"/>
          <w:sz w:val="24"/>
        </w:rPr>
        <w:t xml:space="preserve">5.2.1 制定质量/环境/职业健康安全方针 </w:t>
      </w:r>
    </w:p>
    <w:p w14:paraId="107D32F9">
      <w:pPr>
        <w:spacing w:line="360" w:lineRule="auto"/>
        <w:ind w:firstLine="480" w:firstLineChars="200"/>
        <w:rPr>
          <w:rFonts w:cs="宋体" w:asciiTheme="minorEastAsia" w:hAnsiTheme="minorEastAsia"/>
          <w:sz w:val="24"/>
        </w:rPr>
      </w:pPr>
      <w:r>
        <w:rPr>
          <w:rFonts w:hint="eastAsia" w:cs="宋体" w:asciiTheme="minorEastAsia" w:hAnsiTheme="minorEastAsia"/>
          <w:sz w:val="24"/>
        </w:rPr>
        <w:t>1）公司质量/环境/职业健康安全方针见质量手册0.4章节。</w:t>
      </w:r>
    </w:p>
    <w:p w14:paraId="22BB68EE">
      <w:pPr>
        <w:spacing w:line="360" w:lineRule="auto"/>
        <w:ind w:firstLine="480" w:firstLineChars="200"/>
        <w:rPr>
          <w:rFonts w:cs="宋体" w:asciiTheme="minorEastAsia" w:hAnsiTheme="minorEastAsia"/>
          <w:kern w:val="0"/>
          <w:sz w:val="24"/>
        </w:rPr>
      </w:pPr>
      <w:r>
        <w:rPr>
          <w:rFonts w:hint="eastAsia" w:cs="宋体" w:asciiTheme="minorEastAsia" w:hAnsiTheme="minorEastAsia"/>
          <w:sz w:val="24"/>
        </w:rPr>
        <w:t>2）公司质量/环境/职业健康安全方针由总经理制定、批准、发布，</w:t>
      </w:r>
      <w:r>
        <w:rPr>
          <w:rFonts w:hint="eastAsia" w:cs="宋体" w:asciiTheme="minorEastAsia" w:hAnsiTheme="minorEastAsia"/>
          <w:kern w:val="0"/>
          <w:sz w:val="24"/>
        </w:rPr>
        <w:t>质量/环境/职业健康安全方针的</w:t>
      </w:r>
      <w:r>
        <w:rPr>
          <w:rFonts w:hint="eastAsia" w:cs="宋体" w:asciiTheme="minorEastAsia" w:hAnsiTheme="minorEastAsia"/>
          <w:sz w:val="24"/>
        </w:rPr>
        <w:t>制定</w:t>
      </w:r>
      <w:r>
        <w:rPr>
          <w:rFonts w:hint="eastAsia" w:cs="宋体" w:asciiTheme="minorEastAsia" w:hAnsiTheme="minorEastAsia"/>
          <w:kern w:val="0"/>
          <w:sz w:val="24"/>
        </w:rPr>
        <w:t xml:space="preserve">应： </w:t>
      </w:r>
    </w:p>
    <w:p w14:paraId="1CB2DCC8">
      <w:pPr>
        <w:autoSpaceDE w:val="0"/>
        <w:autoSpaceDN w:val="0"/>
        <w:adjustRightInd w:val="0"/>
        <w:snapToGrid w:val="0"/>
        <w:spacing w:line="360" w:lineRule="auto"/>
        <w:ind w:firstLine="480" w:firstLineChars="200"/>
        <w:jc w:val="left"/>
        <w:rPr>
          <w:rFonts w:cs="宋体" w:asciiTheme="minorEastAsia" w:hAnsiTheme="minorEastAsia"/>
          <w:kern w:val="0"/>
          <w:sz w:val="24"/>
        </w:rPr>
      </w:pPr>
      <w:r>
        <w:rPr>
          <w:rFonts w:hint="eastAsia" w:cs="宋体" w:asciiTheme="minorEastAsia" w:hAnsiTheme="minorEastAsia"/>
          <w:kern w:val="0"/>
          <w:sz w:val="24"/>
        </w:rPr>
        <w:t>a）适应组织的宗旨和组织所处环境（</w:t>
      </w:r>
      <w:r>
        <w:rPr>
          <w:rFonts w:hint="eastAsia" w:cs="宋体" w:asciiTheme="minorEastAsia" w:hAnsiTheme="minorEastAsia"/>
          <w:sz w:val="24"/>
        </w:rPr>
        <w:t>包括其活动、服务的性质、规模和环境影响）</w:t>
      </w:r>
      <w:r>
        <w:rPr>
          <w:rFonts w:hint="eastAsia" w:cs="宋体" w:asciiTheme="minorEastAsia" w:hAnsiTheme="minorEastAsia"/>
          <w:kern w:val="0"/>
          <w:sz w:val="24"/>
        </w:rPr>
        <w:t xml:space="preserve">，并支持其战略方向； </w:t>
      </w:r>
    </w:p>
    <w:p w14:paraId="1E1712DB">
      <w:pPr>
        <w:autoSpaceDE w:val="0"/>
        <w:autoSpaceDN w:val="0"/>
        <w:adjustRightInd w:val="0"/>
        <w:snapToGrid w:val="0"/>
        <w:spacing w:line="360" w:lineRule="auto"/>
        <w:ind w:firstLine="480" w:firstLineChars="200"/>
        <w:jc w:val="left"/>
        <w:rPr>
          <w:rFonts w:cs="宋体" w:asciiTheme="minorEastAsia" w:hAnsiTheme="minorEastAsia"/>
          <w:kern w:val="0"/>
          <w:sz w:val="24"/>
        </w:rPr>
      </w:pPr>
      <w:r>
        <w:rPr>
          <w:rFonts w:hint="eastAsia" w:cs="宋体" w:asciiTheme="minorEastAsia" w:hAnsiTheme="minorEastAsia"/>
          <w:kern w:val="0"/>
          <w:sz w:val="24"/>
        </w:rPr>
        <w:t xml:space="preserve">b）为制定质量目标和环境目标提供框架； </w:t>
      </w:r>
    </w:p>
    <w:p w14:paraId="41695D6D">
      <w:pPr>
        <w:autoSpaceDE w:val="0"/>
        <w:autoSpaceDN w:val="0"/>
        <w:adjustRightInd w:val="0"/>
        <w:snapToGrid w:val="0"/>
        <w:spacing w:line="360" w:lineRule="auto"/>
        <w:ind w:firstLine="480" w:firstLineChars="200"/>
        <w:jc w:val="left"/>
        <w:rPr>
          <w:rFonts w:cs="宋体" w:asciiTheme="minorEastAsia" w:hAnsiTheme="minorEastAsia"/>
          <w:kern w:val="0"/>
          <w:sz w:val="24"/>
        </w:rPr>
      </w:pPr>
      <w:r>
        <w:rPr>
          <w:rFonts w:hint="eastAsia" w:cs="宋体" w:asciiTheme="minorEastAsia" w:hAnsiTheme="minorEastAsia"/>
          <w:kern w:val="0"/>
          <w:sz w:val="24"/>
        </w:rPr>
        <w:t xml:space="preserve">c）包括满足适用要求的承诺； </w:t>
      </w:r>
    </w:p>
    <w:p w14:paraId="03647E6D">
      <w:pPr>
        <w:autoSpaceDE w:val="0"/>
        <w:autoSpaceDN w:val="0"/>
        <w:adjustRightInd w:val="0"/>
        <w:snapToGrid w:val="0"/>
        <w:spacing w:line="360" w:lineRule="auto"/>
        <w:ind w:left="443" w:leftChars="211"/>
        <w:jc w:val="left"/>
        <w:rPr>
          <w:rFonts w:cs="宋体" w:asciiTheme="minorEastAsia" w:hAnsiTheme="minorEastAsia"/>
          <w:kern w:val="0"/>
          <w:sz w:val="24"/>
        </w:rPr>
      </w:pPr>
      <w:r>
        <w:rPr>
          <w:rFonts w:hint="eastAsia" w:cs="宋体" w:asciiTheme="minorEastAsia" w:hAnsiTheme="minorEastAsia"/>
          <w:kern w:val="0"/>
          <w:sz w:val="24"/>
        </w:rPr>
        <w:t>------</w:t>
      </w:r>
      <w:r>
        <w:rPr>
          <w:rFonts w:hint="eastAsia" w:cs="宋体" w:asciiTheme="minorEastAsia" w:hAnsiTheme="minorEastAsia"/>
          <w:sz w:val="24"/>
        </w:rPr>
        <w:t>包括保护环境和消除危险源的承诺，其中包含污染预防、降低职业健康安全风险、工作人员及其代表（若有）的协商和参与及其他与组织所处环境和安全有关的特定承诺；</w:t>
      </w:r>
    </w:p>
    <w:p w14:paraId="131DB907">
      <w:pPr>
        <w:autoSpaceDE w:val="0"/>
        <w:autoSpaceDN w:val="0"/>
        <w:adjustRightInd w:val="0"/>
        <w:snapToGrid w:val="0"/>
        <w:spacing w:line="360" w:lineRule="auto"/>
        <w:ind w:firstLine="480" w:firstLineChars="200"/>
        <w:jc w:val="left"/>
        <w:rPr>
          <w:rFonts w:cs="宋体" w:asciiTheme="minorEastAsia" w:hAnsiTheme="minorEastAsia"/>
          <w:kern w:val="0"/>
          <w:sz w:val="24"/>
        </w:rPr>
      </w:pPr>
      <w:r>
        <w:rPr>
          <w:rFonts w:hint="eastAsia" w:cs="宋体" w:asciiTheme="minorEastAsia" w:hAnsiTheme="minorEastAsia"/>
          <w:kern w:val="0"/>
          <w:sz w:val="24"/>
        </w:rPr>
        <w:t>------</w:t>
      </w:r>
      <w:r>
        <w:rPr>
          <w:rFonts w:hint="eastAsia" w:cs="宋体" w:asciiTheme="minorEastAsia" w:hAnsiTheme="minorEastAsia"/>
          <w:sz w:val="24"/>
        </w:rPr>
        <w:t>包括履行其合规性义务的承诺；</w:t>
      </w:r>
    </w:p>
    <w:p w14:paraId="1AD98A51">
      <w:pPr>
        <w:autoSpaceDE w:val="0"/>
        <w:autoSpaceDN w:val="0"/>
        <w:adjustRightInd w:val="0"/>
        <w:snapToGrid w:val="0"/>
        <w:spacing w:line="360" w:lineRule="auto"/>
        <w:ind w:firstLine="480" w:firstLineChars="200"/>
        <w:jc w:val="left"/>
        <w:rPr>
          <w:rFonts w:cs="宋体" w:asciiTheme="minorEastAsia" w:hAnsiTheme="minorEastAsia"/>
          <w:kern w:val="0"/>
          <w:sz w:val="24"/>
        </w:rPr>
      </w:pPr>
      <w:r>
        <w:rPr>
          <w:rFonts w:hint="eastAsia" w:cs="宋体" w:asciiTheme="minorEastAsia" w:hAnsiTheme="minorEastAsia"/>
          <w:kern w:val="0"/>
          <w:sz w:val="24"/>
        </w:rPr>
        <w:t>d）包括持续改进质量/环境/职业健康安全管理体系</w:t>
      </w:r>
      <w:r>
        <w:rPr>
          <w:rFonts w:hint="eastAsia" w:cs="宋体" w:asciiTheme="minorEastAsia" w:hAnsiTheme="minorEastAsia"/>
          <w:sz w:val="24"/>
        </w:rPr>
        <w:t>以提高质量/环境</w:t>
      </w:r>
      <w:r>
        <w:rPr>
          <w:rFonts w:hint="eastAsia" w:cs="宋体" w:asciiTheme="minorEastAsia" w:hAnsiTheme="minorEastAsia"/>
          <w:kern w:val="0"/>
          <w:sz w:val="24"/>
        </w:rPr>
        <w:t>/职业健康安全</w:t>
      </w:r>
      <w:r>
        <w:rPr>
          <w:rFonts w:hint="eastAsia" w:cs="宋体" w:asciiTheme="minorEastAsia" w:hAnsiTheme="minorEastAsia"/>
          <w:sz w:val="24"/>
        </w:rPr>
        <w:t>管理绩效</w:t>
      </w:r>
      <w:r>
        <w:rPr>
          <w:rFonts w:hint="eastAsia" w:cs="宋体" w:asciiTheme="minorEastAsia" w:hAnsiTheme="minorEastAsia"/>
          <w:kern w:val="0"/>
          <w:sz w:val="24"/>
        </w:rPr>
        <w:t xml:space="preserve">的承诺。 </w:t>
      </w:r>
    </w:p>
    <w:p w14:paraId="77704159">
      <w:pPr>
        <w:autoSpaceDE w:val="0"/>
        <w:autoSpaceDN w:val="0"/>
        <w:adjustRightInd w:val="0"/>
        <w:snapToGrid w:val="0"/>
        <w:spacing w:line="360" w:lineRule="auto"/>
        <w:jc w:val="left"/>
        <w:rPr>
          <w:rFonts w:cs="宋体" w:asciiTheme="minorEastAsia" w:hAnsiTheme="minorEastAsia"/>
          <w:b/>
          <w:kern w:val="0"/>
          <w:sz w:val="24"/>
        </w:rPr>
      </w:pPr>
      <w:r>
        <w:rPr>
          <w:rFonts w:hint="eastAsia" w:cs="宋体" w:asciiTheme="minorEastAsia" w:hAnsiTheme="minorEastAsia"/>
          <w:b/>
          <w:kern w:val="0"/>
          <w:sz w:val="24"/>
        </w:rPr>
        <w:t xml:space="preserve">5.2.2 沟通质量/环境/职业健康安全方针 </w:t>
      </w:r>
    </w:p>
    <w:p w14:paraId="5F886733">
      <w:pPr>
        <w:spacing w:line="360" w:lineRule="auto"/>
        <w:ind w:firstLine="480" w:firstLineChars="200"/>
        <w:rPr>
          <w:rFonts w:cs="宋体" w:asciiTheme="minorEastAsia" w:hAnsiTheme="minorEastAsia"/>
          <w:sz w:val="24"/>
        </w:rPr>
      </w:pPr>
      <w:r>
        <w:rPr>
          <w:rFonts w:hint="eastAsia" w:cs="宋体" w:asciiTheme="minorEastAsia" w:hAnsiTheme="minorEastAsia"/>
          <w:sz w:val="24"/>
        </w:rPr>
        <w:t>1）质量/环境/职业健康安全方针以文件的形式发布，在公司内部以板报、内部网络、宣传画等形式，以便让员工及时知晓。</w:t>
      </w:r>
    </w:p>
    <w:p w14:paraId="28C91CB2">
      <w:pPr>
        <w:spacing w:line="360" w:lineRule="auto"/>
        <w:ind w:firstLine="480" w:firstLineChars="200"/>
        <w:rPr>
          <w:rFonts w:cs="宋体" w:asciiTheme="minorEastAsia" w:hAnsiTheme="minorEastAsia"/>
          <w:sz w:val="24"/>
        </w:rPr>
      </w:pPr>
      <w:r>
        <w:rPr>
          <w:rFonts w:hint="eastAsia" w:cs="宋体" w:asciiTheme="minorEastAsia" w:hAnsiTheme="minorEastAsia"/>
          <w:sz w:val="24"/>
        </w:rPr>
        <w:t>2）公司应将质量/环境/职业健康安全方针对全体员工进行宣讲、教育，确保每个员工熟悉、理解并贯彻执行。</w:t>
      </w:r>
    </w:p>
    <w:p w14:paraId="15EF0353">
      <w:pPr>
        <w:spacing w:line="360" w:lineRule="auto"/>
        <w:ind w:firstLine="480" w:firstLineChars="200"/>
        <w:rPr>
          <w:rFonts w:cs="宋体" w:asciiTheme="minorEastAsia" w:hAnsiTheme="minorEastAsia"/>
          <w:sz w:val="24"/>
        </w:rPr>
      </w:pPr>
      <w:r>
        <w:rPr>
          <w:rFonts w:hint="eastAsia" w:cs="宋体" w:asciiTheme="minorEastAsia" w:hAnsiTheme="minorEastAsia"/>
          <w:sz w:val="24"/>
        </w:rPr>
        <w:t>3）必要时，质量/环境/职业健康安全方针及质量政策要求向相关方提供，告知相关方。</w:t>
      </w:r>
    </w:p>
    <w:p w14:paraId="321EAD26">
      <w:pPr>
        <w:spacing w:line="360" w:lineRule="auto"/>
        <w:ind w:firstLine="480" w:firstLineChars="200"/>
        <w:rPr>
          <w:rFonts w:cs="宋体" w:asciiTheme="minorEastAsia" w:hAnsiTheme="minorEastAsia"/>
          <w:sz w:val="24"/>
        </w:rPr>
      </w:pPr>
      <w:r>
        <w:rPr>
          <w:rFonts w:hint="eastAsia" w:cs="宋体" w:asciiTheme="minorEastAsia" w:hAnsiTheme="minorEastAsia"/>
          <w:sz w:val="24"/>
        </w:rPr>
        <w:t>4）公司应通过管理评审对质量/环境/职业健康安全方针进行适宜性评审和修订，以反映不断变化的内部、外部条件和信息。</w:t>
      </w:r>
    </w:p>
    <w:p w14:paraId="0663FBDF">
      <w:pPr>
        <w:pStyle w:val="3"/>
        <w:spacing w:before="0" w:after="0" w:line="360" w:lineRule="auto"/>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5.3 组织的岗位（角色）、职责和权限</w:t>
      </w:r>
    </w:p>
    <w:p w14:paraId="127F4FE5">
      <w:pPr>
        <w:spacing w:line="360" w:lineRule="auto"/>
        <w:rPr>
          <w:rFonts w:cs="宋体" w:asciiTheme="minorEastAsia" w:hAnsiTheme="minorEastAsia"/>
          <w:sz w:val="24"/>
          <w:szCs w:val="24"/>
        </w:rPr>
      </w:pPr>
      <w:r>
        <w:rPr>
          <w:rFonts w:hint="eastAsia" w:cs="宋体" w:asciiTheme="minorEastAsia" w:hAnsiTheme="minorEastAsia"/>
          <w:sz w:val="24"/>
          <w:szCs w:val="24"/>
        </w:rPr>
        <w:t>5.3.1 为了有效的实施</w:t>
      </w:r>
      <w:r>
        <w:rPr>
          <w:rFonts w:hint="eastAsia" w:cs="宋体" w:asciiTheme="minorEastAsia" w:hAnsiTheme="minorEastAsia"/>
          <w:sz w:val="24"/>
        </w:rPr>
        <w:t>质量/环境/职业健康安全</w:t>
      </w:r>
      <w:r>
        <w:rPr>
          <w:rFonts w:hint="eastAsia" w:cs="宋体" w:asciiTheme="minorEastAsia" w:hAnsiTheme="minorEastAsia"/>
          <w:sz w:val="24"/>
          <w:szCs w:val="24"/>
        </w:rPr>
        <w:t>管理，本公司确定了组织结构(见附件0.6)，规定了各级各岗位人员职责、权限和相互关系，并在公司内对各级员工进行了必要的传达，见</w:t>
      </w:r>
      <w:r>
        <w:rPr>
          <w:rFonts w:hint="eastAsia" w:cs="宋体" w:asciiTheme="minorEastAsia" w:hAnsiTheme="minorEastAsia"/>
          <w:kern w:val="0"/>
          <w:sz w:val="24"/>
          <w:szCs w:val="24"/>
        </w:rPr>
        <w:t>“0.7</w:t>
      </w:r>
      <w:r>
        <w:rPr>
          <w:rFonts w:hint="eastAsia" w:cs="宋体" w:asciiTheme="minorEastAsia" w:hAnsiTheme="minorEastAsia"/>
          <w:sz w:val="24"/>
          <w:szCs w:val="24"/>
        </w:rPr>
        <w:t>质量/环境/职业健康安全</w:t>
      </w:r>
      <w:r>
        <w:rPr>
          <w:rFonts w:hint="eastAsia" w:cs="宋体" w:asciiTheme="minorEastAsia" w:hAnsiTheme="minorEastAsia"/>
          <w:kern w:val="0"/>
          <w:sz w:val="24"/>
          <w:szCs w:val="24"/>
        </w:rPr>
        <w:t>管理体系职能分配表”</w:t>
      </w:r>
      <w:r>
        <w:rPr>
          <w:rFonts w:hint="eastAsia" w:cs="宋体" w:asciiTheme="minorEastAsia" w:hAnsiTheme="minorEastAsia"/>
          <w:sz w:val="24"/>
          <w:szCs w:val="24"/>
        </w:rPr>
        <w:t>。</w:t>
      </w:r>
    </w:p>
    <w:p w14:paraId="102D3BB2">
      <w:pPr>
        <w:spacing w:line="360" w:lineRule="auto"/>
        <w:rPr>
          <w:rFonts w:cs="宋体" w:asciiTheme="minorEastAsia" w:hAnsiTheme="minorEastAsia"/>
          <w:sz w:val="24"/>
          <w:szCs w:val="24"/>
        </w:rPr>
      </w:pPr>
      <w:r>
        <w:rPr>
          <w:rFonts w:hint="eastAsia" w:cs="宋体" w:asciiTheme="minorEastAsia" w:hAnsiTheme="minorEastAsia"/>
          <w:sz w:val="24"/>
          <w:szCs w:val="24"/>
        </w:rPr>
        <w:t xml:space="preserve">5.3.2 公司在确定各主要岗位职责权限时遵循了以下要求： </w:t>
      </w:r>
    </w:p>
    <w:p w14:paraId="68A70606">
      <w:pPr>
        <w:spacing w:line="360" w:lineRule="auto"/>
        <w:ind w:firstLine="480" w:firstLineChars="200"/>
        <w:rPr>
          <w:rFonts w:cs="宋体" w:asciiTheme="minorEastAsia" w:hAnsiTheme="minorEastAsia"/>
          <w:sz w:val="24"/>
          <w:szCs w:val="24"/>
        </w:rPr>
      </w:pPr>
      <w:r>
        <w:rPr>
          <w:rFonts w:hint="eastAsia" w:cs="宋体" w:asciiTheme="minorEastAsia" w:hAnsiTheme="minorEastAsia"/>
          <w:sz w:val="24"/>
          <w:szCs w:val="24"/>
        </w:rPr>
        <w:t>a) 确保</w:t>
      </w:r>
      <w:r>
        <w:rPr>
          <w:rFonts w:hint="eastAsia" w:cs="宋体" w:asciiTheme="minorEastAsia" w:hAnsiTheme="minorEastAsia"/>
          <w:sz w:val="24"/>
        </w:rPr>
        <w:t>质量/环境/职业健康安全</w:t>
      </w:r>
      <w:r>
        <w:rPr>
          <w:rFonts w:hint="eastAsia" w:cs="宋体" w:asciiTheme="minorEastAsia" w:hAnsiTheme="minorEastAsia"/>
          <w:sz w:val="24"/>
          <w:szCs w:val="24"/>
        </w:rPr>
        <w:t xml:space="preserve">管理符合标准的要求并各负其责； </w:t>
      </w:r>
    </w:p>
    <w:p w14:paraId="1F8ACD40">
      <w:pPr>
        <w:spacing w:line="360" w:lineRule="auto"/>
        <w:ind w:firstLine="480" w:firstLineChars="200"/>
        <w:rPr>
          <w:rFonts w:cs="宋体" w:asciiTheme="minorEastAsia" w:hAnsiTheme="minorEastAsia"/>
          <w:sz w:val="24"/>
          <w:szCs w:val="24"/>
        </w:rPr>
      </w:pPr>
      <w:r>
        <w:rPr>
          <w:rFonts w:hint="eastAsia" w:cs="宋体" w:asciiTheme="minorEastAsia" w:hAnsiTheme="minorEastAsia"/>
          <w:sz w:val="24"/>
          <w:szCs w:val="24"/>
        </w:rPr>
        <w:t>b)</w:t>
      </w:r>
      <w:r>
        <w:rPr>
          <w:rFonts w:hint="eastAsia" w:cs="宋体" w:asciiTheme="minorEastAsia" w:hAnsiTheme="minorEastAsia"/>
          <w:sz w:val="24"/>
        </w:rPr>
        <w:t xml:space="preserve"> 质量/环境/职业健康安全</w:t>
      </w:r>
      <w:r>
        <w:rPr>
          <w:rFonts w:hint="eastAsia" w:cs="宋体" w:asciiTheme="minorEastAsia" w:hAnsiTheme="minorEastAsia"/>
          <w:sz w:val="24"/>
          <w:szCs w:val="24"/>
        </w:rPr>
        <w:t xml:space="preserve">管理体系要求得到充分执行，结果符合期望的要求； </w:t>
      </w:r>
    </w:p>
    <w:p w14:paraId="25634D36">
      <w:pPr>
        <w:spacing w:line="360" w:lineRule="auto"/>
        <w:ind w:firstLine="480" w:firstLineChars="200"/>
        <w:rPr>
          <w:rFonts w:cs="宋体" w:asciiTheme="minorEastAsia" w:hAnsiTheme="minorEastAsia"/>
          <w:sz w:val="24"/>
          <w:szCs w:val="24"/>
        </w:rPr>
      </w:pPr>
      <w:r>
        <w:rPr>
          <w:rFonts w:hint="eastAsia" w:cs="宋体" w:asciiTheme="minorEastAsia" w:hAnsiTheme="minorEastAsia"/>
          <w:sz w:val="24"/>
          <w:szCs w:val="24"/>
        </w:rPr>
        <w:t xml:space="preserve">c) 由管理者代表负责定期向最高管理者报告体系运行绩效及提出改进的需求； </w:t>
      </w:r>
    </w:p>
    <w:p w14:paraId="1536ECEF">
      <w:pPr>
        <w:spacing w:line="360" w:lineRule="auto"/>
        <w:ind w:firstLine="480" w:firstLineChars="200"/>
        <w:rPr>
          <w:rFonts w:cs="宋体" w:asciiTheme="minorEastAsia" w:hAnsiTheme="minorEastAsia"/>
          <w:spacing w:val="-3"/>
          <w:sz w:val="24"/>
          <w:szCs w:val="24"/>
        </w:rPr>
      </w:pPr>
      <w:r>
        <w:rPr>
          <w:rFonts w:hint="eastAsia" w:cs="宋体" w:asciiTheme="minorEastAsia" w:hAnsiTheme="minorEastAsia"/>
          <w:sz w:val="24"/>
          <w:szCs w:val="24"/>
        </w:rPr>
        <w:t xml:space="preserve">d) </w:t>
      </w:r>
      <w:r>
        <w:rPr>
          <w:rFonts w:hint="eastAsia" w:cs="宋体" w:asciiTheme="minorEastAsia" w:hAnsiTheme="minorEastAsia"/>
          <w:spacing w:val="-3"/>
          <w:sz w:val="24"/>
          <w:szCs w:val="24"/>
        </w:rPr>
        <w:t xml:space="preserve">职责的充分履行，可以确保组织内理解以顾客为关注焦点，并提高顾客满意的意识； </w:t>
      </w:r>
    </w:p>
    <w:p w14:paraId="6A0AA03D">
      <w:pPr>
        <w:spacing w:line="360" w:lineRule="auto"/>
        <w:ind w:firstLine="480" w:firstLineChars="200"/>
        <w:rPr>
          <w:rFonts w:cs="宋体" w:asciiTheme="minorEastAsia" w:hAnsiTheme="minorEastAsia"/>
          <w:sz w:val="24"/>
          <w:szCs w:val="24"/>
        </w:rPr>
      </w:pPr>
      <w:r>
        <w:rPr>
          <w:rFonts w:hint="eastAsia" w:cs="宋体" w:asciiTheme="minorEastAsia" w:hAnsiTheme="minorEastAsia"/>
          <w:sz w:val="24"/>
          <w:szCs w:val="24"/>
        </w:rPr>
        <w:t>f) 确保在策划和实施</w:t>
      </w:r>
      <w:r>
        <w:rPr>
          <w:rFonts w:hint="eastAsia" w:cs="宋体" w:asciiTheme="minorEastAsia" w:hAnsiTheme="minorEastAsia"/>
          <w:sz w:val="24"/>
        </w:rPr>
        <w:t>质量/环境/职业健康安全管理</w:t>
      </w:r>
      <w:r>
        <w:rPr>
          <w:rFonts w:hint="eastAsia" w:cs="宋体" w:asciiTheme="minorEastAsia" w:hAnsiTheme="minorEastAsia"/>
          <w:sz w:val="24"/>
          <w:szCs w:val="24"/>
        </w:rPr>
        <w:t>体系变更时保持其完整性。</w:t>
      </w:r>
    </w:p>
    <w:p w14:paraId="75219267">
      <w:pPr>
        <w:spacing w:line="360" w:lineRule="auto"/>
        <w:rPr>
          <w:rFonts w:cs="宋体" w:asciiTheme="minorEastAsia" w:hAnsiTheme="minorEastAsia"/>
          <w:b/>
          <w:sz w:val="24"/>
          <w:szCs w:val="24"/>
        </w:rPr>
      </w:pPr>
      <w:r>
        <w:rPr>
          <w:rFonts w:hint="eastAsia" w:cs="宋体" w:asciiTheme="minorEastAsia" w:hAnsiTheme="minorEastAsia"/>
          <w:b/>
          <w:sz w:val="24"/>
          <w:szCs w:val="24"/>
        </w:rPr>
        <w:t>5.3.3 各级岗位（角色）职责和权限</w:t>
      </w:r>
    </w:p>
    <w:p w14:paraId="475AE399">
      <w:pPr>
        <w:pStyle w:val="19"/>
        <w:spacing w:line="360" w:lineRule="auto"/>
        <w:ind w:left="1015" w:leftChars="232" w:hanging="528" w:hangingChars="220"/>
        <w:rPr>
          <w:rFonts w:asciiTheme="minorEastAsia" w:hAnsiTheme="minorEastAsia"/>
          <w:color w:val="auto"/>
          <w:sz w:val="24"/>
        </w:rPr>
      </w:pPr>
      <w:bookmarkStart w:id="2" w:name="OLE_LINK18"/>
      <w:r>
        <w:rPr>
          <w:rFonts w:hint="eastAsia" w:asciiTheme="minorEastAsia" w:hAnsiTheme="minorEastAsia"/>
          <w:color w:val="auto"/>
          <w:sz w:val="24"/>
        </w:rPr>
        <w:t xml:space="preserve">(1)  </w:t>
      </w:r>
      <w:bookmarkEnd w:id="2"/>
      <w:r>
        <w:rPr>
          <w:rFonts w:hint="eastAsia" w:asciiTheme="minorEastAsia" w:hAnsiTheme="minorEastAsia"/>
          <w:color w:val="auto"/>
          <w:sz w:val="24"/>
        </w:rPr>
        <w:t>总经理：</w:t>
      </w:r>
    </w:p>
    <w:p w14:paraId="1F220FB6">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a) 负责质量/环境/职业健康安全体系的策划，负责公开的质量/环境/职业健康安全承诺，向公司传达满足顾客和法律法规要求的重要性，并遵守环境保护和安全方面的法律法规，制定质量/环境/职业健康安全方针，并签署批准、颁布；主持质量/环境/职业健康安全体系的管理评审工作；</w:t>
      </w:r>
    </w:p>
    <w:p w14:paraId="61BB5FB6">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b) 任命管理者代表，负责确定公司的组织结构及各部门负责人的职责和权限；</w:t>
      </w:r>
    </w:p>
    <w:p w14:paraId="7665334D">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c) 负责批准《管理手册》、“质量/环境/职业健康安全目标”和“培训计划”；</w:t>
      </w:r>
    </w:p>
    <w:p w14:paraId="06A4F5BA">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d) 确保提供建立、实施并保持质量环境和职业健康安全管理体系所必要的资源；</w:t>
      </w:r>
    </w:p>
    <w:p w14:paraId="6076CCB8">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e) 负责特殊合同的批准和签订，审批“合格供方名录”，对重大质量/环境/职业健康安全事故负责；</w:t>
      </w:r>
    </w:p>
    <w:p w14:paraId="2F9383A4">
      <w:pPr>
        <w:spacing w:line="360" w:lineRule="auto"/>
        <w:ind w:firstLine="523" w:firstLineChars="218"/>
        <w:rPr>
          <w:rFonts w:cs="宋体" w:asciiTheme="minorEastAsia" w:hAnsiTheme="minorEastAsia"/>
          <w:sz w:val="24"/>
          <w:szCs w:val="24"/>
        </w:rPr>
      </w:pPr>
      <w:bookmarkStart w:id="3" w:name="OLE_LINK4"/>
      <w:r>
        <w:rPr>
          <w:rFonts w:hint="eastAsia" w:cs="宋体" w:asciiTheme="minorEastAsia" w:hAnsiTheme="minorEastAsia"/>
          <w:sz w:val="24"/>
          <w:szCs w:val="24"/>
        </w:rPr>
        <w:t xml:space="preserve">f) </w:t>
      </w:r>
      <w:bookmarkEnd w:id="3"/>
      <w:r>
        <w:rPr>
          <w:rFonts w:hint="eastAsia" w:cs="宋体" w:asciiTheme="minorEastAsia" w:hAnsiTheme="minorEastAsia"/>
          <w:sz w:val="24"/>
          <w:szCs w:val="24"/>
        </w:rPr>
        <w:t>指挥对质量/环境/职业健康安全造成影响的潜在紧急情况和事故的处置及采取响应措施。</w:t>
      </w:r>
    </w:p>
    <w:p w14:paraId="1D9DF966">
      <w:pPr>
        <w:spacing w:line="360" w:lineRule="auto"/>
        <w:ind w:firstLine="523" w:firstLineChars="218"/>
        <w:rPr>
          <w:rFonts w:cs="宋体" w:asciiTheme="minorEastAsia" w:hAnsiTheme="minorEastAsia"/>
          <w:sz w:val="24"/>
          <w:szCs w:val="24"/>
        </w:rPr>
      </w:pPr>
      <w:bookmarkStart w:id="4" w:name="OLE_LINK6"/>
      <w:r>
        <w:rPr>
          <w:rFonts w:hint="eastAsia" w:cs="宋体" w:asciiTheme="minorEastAsia" w:hAnsiTheme="minorEastAsia"/>
          <w:sz w:val="24"/>
          <w:szCs w:val="24"/>
        </w:rPr>
        <w:t xml:space="preserve">g) </w:t>
      </w:r>
      <w:bookmarkEnd w:id="4"/>
      <w:r>
        <w:rPr>
          <w:rFonts w:hint="eastAsia" w:cs="宋体" w:asciiTheme="minorEastAsia" w:hAnsiTheme="minorEastAsia"/>
          <w:sz w:val="24"/>
          <w:szCs w:val="24"/>
        </w:rPr>
        <w:t>对总的产品质量负责，并直接对顾客负责。副总经理在总经理的领导下，对分管的工作负责。</w:t>
      </w:r>
    </w:p>
    <w:p w14:paraId="4F9ED5EA">
      <w:pPr>
        <w:pStyle w:val="19"/>
        <w:spacing w:line="360" w:lineRule="auto"/>
        <w:ind w:left="1015" w:leftChars="232" w:hanging="528" w:hangingChars="220"/>
        <w:rPr>
          <w:rFonts w:asciiTheme="minorEastAsia" w:hAnsiTheme="minorEastAsia"/>
          <w:color w:val="auto"/>
          <w:sz w:val="24"/>
        </w:rPr>
      </w:pPr>
      <w:r>
        <w:rPr>
          <w:rFonts w:hint="eastAsia" w:asciiTheme="minorEastAsia" w:hAnsiTheme="minorEastAsia"/>
          <w:color w:val="auto"/>
          <w:sz w:val="24"/>
        </w:rPr>
        <w:t>(2)  管理者代表：</w:t>
      </w:r>
    </w:p>
    <w:p w14:paraId="1250B737">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具体见：“0.2管理者代表授权书”</w:t>
      </w:r>
    </w:p>
    <w:p w14:paraId="5A2274B6">
      <w:pPr>
        <w:pStyle w:val="19"/>
        <w:spacing w:line="360" w:lineRule="auto"/>
        <w:ind w:left="1015" w:leftChars="232" w:hanging="528" w:hangingChars="220"/>
        <w:rPr>
          <w:rFonts w:asciiTheme="minorEastAsia" w:hAnsiTheme="minorEastAsia"/>
          <w:color w:val="auto"/>
          <w:sz w:val="24"/>
        </w:rPr>
      </w:pPr>
      <w:bookmarkStart w:id="5" w:name="OLE_LINK7"/>
      <w:r>
        <w:rPr>
          <w:rFonts w:hint="eastAsia" w:asciiTheme="minorEastAsia" w:hAnsiTheme="minorEastAsia"/>
          <w:color w:val="auto"/>
          <w:sz w:val="24"/>
        </w:rPr>
        <w:t xml:space="preserve">(3)  </w:t>
      </w:r>
      <w:bookmarkEnd w:id="5"/>
      <w:r>
        <w:rPr>
          <w:rFonts w:hint="eastAsia" w:asciiTheme="minorEastAsia" w:hAnsiTheme="minorEastAsia"/>
          <w:color w:val="auto"/>
          <w:sz w:val="24"/>
        </w:rPr>
        <w:t>办公室：</w:t>
      </w:r>
    </w:p>
    <w:p w14:paraId="23A99086">
      <w:pPr>
        <w:spacing w:line="360" w:lineRule="auto"/>
        <w:ind w:firstLine="523" w:firstLineChars="218"/>
        <w:rPr>
          <w:rFonts w:cs="宋体" w:asciiTheme="minorEastAsia" w:hAnsiTheme="minorEastAsia"/>
          <w:sz w:val="24"/>
          <w:szCs w:val="24"/>
        </w:rPr>
      </w:pPr>
      <w:bookmarkStart w:id="6" w:name="OLE_LINK21"/>
      <w:r>
        <w:rPr>
          <w:rFonts w:hint="eastAsia" w:cs="宋体" w:asciiTheme="minorEastAsia" w:hAnsiTheme="minorEastAsia"/>
          <w:sz w:val="24"/>
          <w:szCs w:val="24"/>
        </w:rPr>
        <w:t xml:space="preserve">• </w:t>
      </w:r>
      <w:bookmarkEnd w:id="6"/>
      <w:r>
        <w:rPr>
          <w:rFonts w:hint="eastAsia" w:cs="宋体" w:asciiTheme="minorEastAsia" w:hAnsiTheme="minorEastAsia"/>
          <w:sz w:val="24"/>
          <w:szCs w:val="24"/>
        </w:rPr>
        <w:t>负责组织协调和督促检查全公司的管理和质量</w:t>
      </w:r>
      <w:bookmarkStart w:id="7" w:name="OLE_LINK29"/>
      <w:r>
        <w:rPr>
          <w:rFonts w:hint="eastAsia" w:cs="宋体" w:asciiTheme="minorEastAsia" w:hAnsiTheme="minorEastAsia"/>
          <w:sz w:val="24"/>
          <w:szCs w:val="24"/>
        </w:rPr>
        <w:t>/环境/职业健康安全</w:t>
      </w:r>
      <w:bookmarkEnd w:id="7"/>
      <w:r>
        <w:rPr>
          <w:rFonts w:hint="eastAsia" w:cs="宋体" w:asciiTheme="minorEastAsia" w:hAnsiTheme="minorEastAsia"/>
          <w:sz w:val="24"/>
          <w:szCs w:val="24"/>
        </w:rPr>
        <w:t>管理工作；</w:t>
      </w:r>
    </w:p>
    <w:p w14:paraId="25C88344">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归口管理质量环境安全管理体系文件、技术标准类文件和其他管理类文件；</w:t>
      </w:r>
    </w:p>
    <w:p w14:paraId="3583526A">
      <w:pPr>
        <w:spacing w:line="360" w:lineRule="auto"/>
        <w:ind w:firstLine="523" w:firstLineChars="218"/>
        <w:rPr>
          <w:rFonts w:cs="宋体" w:asciiTheme="minorEastAsia" w:hAnsiTheme="minorEastAsia"/>
          <w:sz w:val="24"/>
          <w:szCs w:val="24"/>
        </w:rPr>
      </w:pPr>
      <w:bookmarkStart w:id="8" w:name="OLE_LINK17"/>
      <w:r>
        <w:rPr>
          <w:rFonts w:hint="eastAsia" w:cs="宋体" w:asciiTheme="minorEastAsia" w:hAnsiTheme="minorEastAsia"/>
          <w:sz w:val="24"/>
          <w:szCs w:val="24"/>
        </w:rPr>
        <w:t xml:space="preserve">• </w:t>
      </w:r>
      <w:bookmarkEnd w:id="8"/>
      <w:r>
        <w:rPr>
          <w:rFonts w:hint="eastAsia" w:cs="宋体" w:asciiTheme="minorEastAsia" w:hAnsiTheme="minorEastAsia"/>
          <w:sz w:val="24"/>
          <w:szCs w:val="24"/>
        </w:rPr>
        <w:t>负责公司档案的管理工作包括组织产品文件和质量/环境/职业健康安全管理体系运行文件的记录的归档管理；</w:t>
      </w:r>
    </w:p>
    <w:p w14:paraId="45177786">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负责公司各类资质的申报、文件的管理更新；</w:t>
      </w:r>
    </w:p>
    <w:p w14:paraId="022ADD4C">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参与对供方的评价，需要时组织对供方管理体系的审核；</w:t>
      </w:r>
    </w:p>
    <w:p w14:paraId="44E80CCC">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组织技术标准、规范的购置、发放；</w:t>
      </w:r>
    </w:p>
    <w:p w14:paraId="0045EFCA">
      <w:pPr>
        <w:spacing w:line="360" w:lineRule="auto"/>
        <w:ind w:firstLine="523" w:firstLineChars="218"/>
        <w:rPr>
          <w:rFonts w:cs="宋体" w:asciiTheme="minorEastAsia" w:hAnsiTheme="minorEastAsia"/>
          <w:sz w:val="24"/>
          <w:szCs w:val="24"/>
        </w:rPr>
      </w:pPr>
      <w:bookmarkStart w:id="9" w:name="OLE_LINK19"/>
      <w:r>
        <w:rPr>
          <w:rFonts w:hint="eastAsia" w:cs="宋体" w:asciiTheme="minorEastAsia" w:hAnsiTheme="minorEastAsia"/>
          <w:sz w:val="24"/>
          <w:szCs w:val="24"/>
        </w:rPr>
        <w:t xml:space="preserve">•  </w:t>
      </w:r>
      <w:bookmarkEnd w:id="9"/>
      <w:r>
        <w:rPr>
          <w:rFonts w:hint="eastAsia" w:cs="宋体" w:asciiTheme="minorEastAsia" w:hAnsiTheme="minorEastAsia"/>
          <w:sz w:val="24"/>
          <w:szCs w:val="24"/>
        </w:rPr>
        <w:t>负责公司日常行政管理包括基础设施和物资资源采购管理；</w:t>
      </w:r>
    </w:p>
    <w:p w14:paraId="30835ADA">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负责公司人力资源的规划、管理、开发和培训等制度体系的建立、实施和完善；</w:t>
      </w:r>
    </w:p>
    <w:p w14:paraId="715FF7B0">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组织专业技术职称评审和技术岗位、特殊岗位上岗资格评审工作等；</w:t>
      </w:r>
    </w:p>
    <w:p w14:paraId="00D8155F">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负责公司总体绩效考核体系的建立、组织、实施和完善；</w:t>
      </w:r>
    </w:p>
    <w:p w14:paraId="6A4055D9">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负责质量/环境/职业健康安全管理体系的建立、实施、保持和持续改进工作；</w:t>
      </w:r>
    </w:p>
    <w:p w14:paraId="01AD39A1">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负责质量/环境/职业健康安全管理体系目标分解，负责质量/环境/职业健康安全管理体系运行中的组织、协调、监督、检查工作；</w:t>
      </w:r>
    </w:p>
    <w:p w14:paraId="6E7BCEC9">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负责公司合规性评价、应急准备和响应工作的统一归口管理；</w:t>
      </w:r>
    </w:p>
    <w:p w14:paraId="04790744">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负责公司质量/环境/职业健康安全管理体系内审和管理评审工作的组织和实施；</w:t>
      </w:r>
    </w:p>
    <w:p w14:paraId="2773B468">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负责质量/环境/职业健康安全管理体系有关数据的综合分析和改进控制；</w:t>
      </w:r>
    </w:p>
    <w:p w14:paraId="73050C35">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负责本部门环境因素和危险源的识别和评价，进行必要的更新；</w:t>
      </w:r>
    </w:p>
    <w:p w14:paraId="072F7E76">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负责本部门应急准备和响应计划落实及应急情况的善后处理，包括本部门应急准备的物资管理。</w:t>
      </w:r>
    </w:p>
    <w:p w14:paraId="7C2FE125">
      <w:pPr>
        <w:spacing w:line="360" w:lineRule="auto"/>
        <w:ind w:firstLine="480" w:firstLineChars="200"/>
        <w:rPr>
          <w:rFonts w:ascii="宋体" w:eastAsia="宋体"/>
          <w:sz w:val="24"/>
          <w:szCs w:val="28"/>
        </w:rPr>
      </w:pPr>
      <w:r>
        <w:rPr>
          <w:rFonts w:hint="eastAsia" w:cs="宋体" w:asciiTheme="minorEastAsia" w:hAnsiTheme="minorEastAsia"/>
          <w:sz w:val="24"/>
          <w:szCs w:val="24"/>
        </w:rPr>
        <w:t>•</w:t>
      </w:r>
      <w:r>
        <w:rPr>
          <w:rFonts w:hint="eastAsia" w:ascii="宋体" w:eastAsia="宋体"/>
          <w:sz w:val="24"/>
          <w:szCs w:val="28"/>
        </w:rPr>
        <w:t>负责数据分析的管理；</w:t>
      </w:r>
    </w:p>
    <w:p w14:paraId="0F52DAC5">
      <w:pPr>
        <w:spacing w:line="360" w:lineRule="auto"/>
        <w:ind w:firstLine="480" w:firstLineChars="200"/>
        <w:rPr>
          <w:rFonts w:cs="宋体" w:asciiTheme="minorEastAsia" w:hAnsiTheme="minorEastAsia"/>
          <w:sz w:val="24"/>
          <w:szCs w:val="24"/>
        </w:rPr>
      </w:pPr>
      <w:r>
        <w:rPr>
          <w:rFonts w:hint="eastAsia" w:cs="宋体" w:asciiTheme="minorEastAsia" w:hAnsiTheme="minorEastAsia"/>
          <w:sz w:val="24"/>
          <w:szCs w:val="24"/>
        </w:rPr>
        <w:t>•公司生产和销售过程的检查工作。</w:t>
      </w:r>
    </w:p>
    <w:p w14:paraId="36CD8E09">
      <w:pPr>
        <w:spacing w:line="360" w:lineRule="auto"/>
        <w:rPr>
          <w:rFonts w:cs="宋体" w:asciiTheme="minorEastAsia" w:hAnsiTheme="minorEastAsia"/>
          <w:sz w:val="24"/>
          <w:szCs w:val="24"/>
        </w:rPr>
      </w:pPr>
    </w:p>
    <w:p w14:paraId="27C4A236">
      <w:pPr>
        <w:spacing w:line="360" w:lineRule="auto"/>
        <w:ind w:firstLine="240" w:firstLineChars="100"/>
        <w:rPr>
          <w:rFonts w:ascii="宋体" w:eastAsia="宋体"/>
          <w:sz w:val="24"/>
          <w:szCs w:val="28"/>
        </w:rPr>
      </w:pPr>
      <w:r>
        <w:rPr>
          <w:rFonts w:hint="eastAsia" w:ascii="宋体" w:eastAsia="宋体"/>
          <w:sz w:val="24"/>
          <w:szCs w:val="28"/>
        </w:rPr>
        <w:t>（4）业务部</w:t>
      </w:r>
    </w:p>
    <w:p w14:paraId="642772E6">
      <w:pPr>
        <w:spacing w:line="360" w:lineRule="auto"/>
        <w:ind w:firstLine="480" w:firstLineChars="200"/>
        <w:rPr>
          <w:rFonts w:ascii="宋体" w:eastAsia="宋体"/>
          <w:sz w:val="24"/>
          <w:szCs w:val="28"/>
        </w:rPr>
      </w:pPr>
      <w:r>
        <w:rPr>
          <w:rFonts w:hint="eastAsia" w:cs="宋体" w:asciiTheme="minorEastAsia" w:hAnsiTheme="minorEastAsia"/>
          <w:sz w:val="24"/>
          <w:szCs w:val="24"/>
        </w:rPr>
        <w:t xml:space="preserve">• </w:t>
      </w:r>
      <w:r>
        <w:rPr>
          <w:rFonts w:hint="eastAsia" w:ascii="宋体" w:eastAsia="宋体"/>
          <w:sz w:val="24"/>
          <w:szCs w:val="28"/>
        </w:rPr>
        <w:t>组织实施产品的采购，确保采购产品的质量和供应及时；</w:t>
      </w:r>
    </w:p>
    <w:p w14:paraId="23A9C56D">
      <w:pPr>
        <w:spacing w:line="360" w:lineRule="auto"/>
        <w:ind w:firstLine="480" w:firstLineChars="200"/>
        <w:rPr>
          <w:rFonts w:ascii="宋体" w:eastAsia="宋体"/>
          <w:sz w:val="24"/>
          <w:szCs w:val="28"/>
        </w:rPr>
      </w:pPr>
      <w:r>
        <w:rPr>
          <w:rFonts w:hint="eastAsia" w:cs="宋体" w:asciiTheme="minorEastAsia" w:hAnsiTheme="minorEastAsia"/>
          <w:sz w:val="24"/>
          <w:szCs w:val="24"/>
        </w:rPr>
        <w:t>•</w:t>
      </w:r>
      <w:r>
        <w:rPr>
          <w:rFonts w:hint="eastAsia" w:ascii="宋体" w:eastAsia="宋体"/>
          <w:sz w:val="24"/>
          <w:szCs w:val="28"/>
        </w:rPr>
        <w:t>负责组织合格供方的考察和评审，建立互利的供方关系；</w:t>
      </w:r>
    </w:p>
    <w:p w14:paraId="6A34B179">
      <w:pPr>
        <w:spacing w:line="360" w:lineRule="auto"/>
        <w:ind w:firstLine="480" w:firstLineChars="200"/>
        <w:rPr>
          <w:rFonts w:ascii="宋体" w:eastAsia="宋体"/>
          <w:sz w:val="24"/>
          <w:szCs w:val="28"/>
        </w:rPr>
      </w:pPr>
      <w:r>
        <w:rPr>
          <w:rFonts w:hint="eastAsia" w:cs="宋体" w:asciiTheme="minorEastAsia" w:hAnsiTheme="minorEastAsia"/>
          <w:sz w:val="24"/>
          <w:szCs w:val="24"/>
        </w:rPr>
        <w:t>•</w:t>
      </w:r>
      <w:r>
        <w:rPr>
          <w:rFonts w:hint="eastAsia" w:ascii="宋体" w:eastAsia="宋体"/>
          <w:sz w:val="24"/>
          <w:szCs w:val="28"/>
        </w:rPr>
        <w:t>负责实施采购计划，采购产品不合格时，负责组织退货；</w:t>
      </w:r>
    </w:p>
    <w:p w14:paraId="2AF4392D">
      <w:pPr>
        <w:spacing w:line="360" w:lineRule="auto"/>
        <w:ind w:firstLine="480" w:firstLineChars="200"/>
        <w:rPr>
          <w:rFonts w:ascii="宋体" w:eastAsia="宋体"/>
          <w:sz w:val="24"/>
          <w:szCs w:val="28"/>
        </w:rPr>
      </w:pPr>
      <w:r>
        <w:rPr>
          <w:rFonts w:hint="eastAsia" w:cs="宋体" w:asciiTheme="minorEastAsia" w:hAnsiTheme="minorEastAsia"/>
          <w:sz w:val="24"/>
          <w:szCs w:val="24"/>
        </w:rPr>
        <w:t>•</w:t>
      </w:r>
      <w:r>
        <w:rPr>
          <w:rFonts w:hint="eastAsia" w:ascii="宋体" w:eastAsia="宋体"/>
          <w:sz w:val="24"/>
          <w:szCs w:val="28"/>
        </w:rPr>
        <w:t>负责采购过程的有效控制，做好合格供方供货质量的动态管理；</w:t>
      </w:r>
    </w:p>
    <w:p w14:paraId="41D7DC04">
      <w:pPr>
        <w:spacing w:line="360" w:lineRule="auto"/>
        <w:ind w:firstLine="480" w:firstLineChars="200"/>
        <w:rPr>
          <w:rFonts w:cs="宋体" w:asciiTheme="minorEastAsia" w:hAnsiTheme="minorEastAsia"/>
          <w:sz w:val="24"/>
          <w:szCs w:val="24"/>
        </w:rPr>
      </w:pPr>
      <w:r>
        <w:rPr>
          <w:rFonts w:hint="eastAsia" w:cs="宋体" w:asciiTheme="minorEastAsia" w:hAnsiTheme="minorEastAsia"/>
          <w:sz w:val="24"/>
          <w:szCs w:val="24"/>
        </w:rPr>
        <w:t>•负责销售服务的策划、过程服务工作；</w:t>
      </w:r>
    </w:p>
    <w:p w14:paraId="35E44511">
      <w:pPr>
        <w:spacing w:line="360" w:lineRule="auto"/>
        <w:ind w:firstLine="480"/>
        <w:rPr>
          <w:rFonts w:cs="宋体" w:asciiTheme="minorEastAsia" w:hAnsiTheme="minorEastAsia"/>
          <w:sz w:val="24"/>
          <w:szCs w:val="24"/>
        </w:rPr>
      </w:pPr>
      <w:r>
        <w:rPr>
          <w:rFonts w:hint="eastAsia" w:cs="宋体" w:asciiTheme="minorEastAsia" w:hAnsiTheme="minorEastAsia"/>
          <w:sz w:val="24"/>
          <w:szCs w:val="24"/>
        </w:rPr>
        <w:t>•主持公司销售服务前、服务中各项工作的开展实施；</w:t>
      </w:r>
    </w:p>
    <w:p w14:paraId="73C838E2">
      <w:pPr>
        <w:spacing w:line="360" w:lineRule="auto"/>
        <w:ind w:firstLine="480"/>
        <w:rPr>
          <w:rFonts w:cs="宋体" w:asciiTheme="minorEastAsia" w:hAnsiTheme="minorEastAsia"/>
          <w:sz w:val="24"/>
          <w:szCs w:val="24"/>
        </w:rPr>
      </w:pPr>
      <w:r>
        <w:rPr>
          <w:rFonts w:hint="eastAsia" w:cs="宋体" w:asciiTheme="minorEastAsia" w:hAnsiTheme="minorEastAsia"/>
          <w:sz w:val="24"/>
          <w:szCs w:val="24"/>
        </w:rPr>
        <w:t>•负责客户接受产品不合格的处置工作；</w:t>
      </w:r>
    </w:p>
    <w:p w14:paraId="406A6493">
      <w:pPr>
        <w:spacing w:line="360" w:lineRule="auto"/>
        <w:ind w:firstLine="480"/>
        <w:rPr>
          <w:rFonts w:cs="宋体" w:asciiTheme="minorEastAsia" w:hAnsiTheme="minorEastAsia"/>
          <w:sz w:val="24"/>
          <w:szCs w:val="24"/>
        </w:rPr>
      </w:pPr>
      <w:r>
        <w:rPr>
          <w:rFonts w:hint="eastAsia" w:cs="宋体" w:asciiTheme="minorEastAsia" w:hAnsiTheme="minorEastAsia"/>
          <w:sz w:val="24"/>
          <w:szCs w:val="24"/>
        </w:rPr>
        <w:t>•负责销售服务过程的监控等工作；</w:t>
      </w:r>
    </w:p>
    <w:p w14:paraId="746CDDA9">
      <w:pPr>
        <w:spacing w:line="360" w:lineRule="auto"/>
        <w:ind w:firstLine="480" w:firstLineChars="200"/>
        <w:rPr>
          <w:rFonts w:ascii="宋体" w:hAnsi="宋体" w:eastAsia="宋体" w:cs="宋体"/>
          <w:sz w:val="24"/>
          <w:szCs w:val="24"/>
        </w:rPr>
      </w:pPr>
      <w:r>
        <w:rPr>
          <w:rFonts w:hint="eastAsia" w:cs="宋体" w:asciiTheme="minorEastAsia" w:hAnsiTheme="minorEastAsia"/>
          <w:sz w:val="24"/>
          <w:szCs w:val="24"/>
        </w:rPr>
        <w:t>•</w:t>
      </w:r>
      <w:r>
        <w:rPr>
          <w:rFonts w:hint="eastAsia" w:ascii="宋体" w:hAnsi="宋体" w:eastAsia="宋体" w:cs="宋体"/>
          <w:sz w:val="24"/>
          <w:szCs w:val="24"/>
        </w:rPr>
        <w:t>负责定期对顾客的满意度进行调查并不断进行持续改进。</w:t>
      </w:r>
    </w:p>
    <w:p w14:paraId="7F089509">
      <w:pPr>
        <w:spacing w:line="360" w:lineRule="auto"/>
        <w:ind w:firstLine="480" w:firstLineChars="200"/>
        <w:rPr>
          <w:rFonts w:cs="宋体" w:asciiTheme="minorEastAsia" w:hAnsiTheme="minorEastAsia"/>
          <w:sz w:val="24"/>
          <w:szCs w:val="24"/>
        </w:rPr>
      </w:pPr>
      <w:r>
        <w:rPr>
          <w:rFonts w:hint="eastAsia" w:cs="宋体" w:asciiTheme="minorEastAsia" w:hAnsiTheme="minorEastAsia"/>
          <w:sz w:val="24"/>
          <w:szCs w:val="24"/>
        </w:rPr>
        <w:t>•辨识并评价本部门的环境因素、危险源，并按要求实施控制。</w:t>
      </w:r>
    </w:p>
    <w:p w14:paraId="488584A3">
      <w:pPr>
        <w:widowControl/>
        <w:spacing w:line="360" w:lineRule="auto"/>
        <w:ind w:firstLine="240" w:firstLineChars="100"/>
        <w:jc w:val="left"/>
        <w:textAlignment w:val="baseline"/>
        <w:rPr>
          <w:rFonts w:cs="宋体" w:asciiTheme="minorEastAsia" w:hAnsiTheme="minorEastAsia"/>
          <w:sz w:val="24"/>
          <w:szCs w:val="24"/>
        </w:rPr>
      </w:pPr>
      <w:r>
        <w:rPr>
          <w:rFonts w:hint="eastAsia" w:cs="宋体" w:asciiTheme="minorEastAsia" w:hAnsiTheme="minorEastAsia"/>
          <w:sz w:val="24"/>
          <w:szCs w:val="24"/>
        </w:rPr>
        <w:t>（5）生产部：</w:t>
      </w:r>
    </w:p>
    <w:p w14:paraId="66A93F85">
      <w:pPr>
        <w:spacing w:line="460" w:lineRule="exact"/>
        <w:ind w:firstLine="480" w:firstLineChars="200"/>
        <w:rPr>
          <w:rFonts w:cs="宋体" w:asciiTheme="minorEastAsia" w:hAnsiTheme="minorEastAsia"/>
          <w:sz w:val="24"/>
          <w:szCs w:val="24"/>
        </w:rPr>
      </w:pPr>
      <w:r>
        <w:rPr>
          <w:rFonts w:hint="eastAsia" w:cs="宋体" w:asciiTheme="minorEastAsia" w:hAnsiTheme="minorEastAsia"/>
          <w:sz w:val="24"/>
          <w:szCs w:val="24"/>
        </w:rPr>
        <w:t>• 负责根据业务部下发的生产任务单编制生产计划，统筹安排生产部生产；</w:t>
      </w:r>
    </w:p>
    <w:p w14:paraId="33E3F67B">
      <w:pPr>
        <w:spacing w:line="460" w:lineRule="exact"/>
        <w:ind w:left="660" w:leftChars="200" w:hanging="240" w:hangingChars="100"/>
        <w:rPr>
          <w:rFonts w:cs="宋体" w:asciiTheme="minorEastAsia" w:hAnsiTheme="minorEastAsia"/>
          <w:sz w:val="24"/>
          <w:szCs w:val="24"/>
        </w:rPr>
      </w:pPr>
      <w:r>
        <w:rPr>
          <w:rFonts w:hint="eastAsia" w:cs="宋体" w:asciiTheme="minorEastAsia" w:hAnsiTheme="minorEastAsia"/>
          <w:sz w:val="24"/>
          <w:szCs w:val="24"/>
        </w:rPr>
        <w:t xml:space="preserve">•及时与各相关部门沟通、保证生产所需的各项资源的充分与适用，以保证生产计划顺利完成； </w:t>
      </w:r>
    </w:p>
    <w:p w14:paraId="2E5D465D">
      <w:pPr>
        <w:spacing w:line="460" w:lineRule="exact"/>
        <w:ind w:firstLine="480" w:firstLineChars="200"/>
        <w:rPr>
          <w:rFonts w:cs="宋体" w:asciiTheme="minorEastAsia" w:hAnsiTheme="minorEastAsia"/>
          <w:sz w:val="24"/>
          <w:szCs w:val="24"/>
        </w:rPr>
      </w:pPr>
      <w:r>
        <w:rPr>
          <w:rFonts w:hint="eastAsia" w:cs="宋体" w:asciiTheme="minorEastAsia" w:hAnsiTheme="minorEastAsia"/>
          <w:sz w:val="24"/>
          <w:szCs w:val="24"/>
        </w:rPr>
        <w:t>•协调部门内外关系，组织生产部各项工作；</w:t>
      </w:r>
    </w:p>
    <w:p w14:paraId="2275A1F1">
      <w:pPr>
        <w:spacing w:line="460" w:lineRule="exact"/>
        <w:ind w:firstLine="480" w:firstLineChars="200"/>
        <w:rPr>
          <w:rFonts w:cs="宋体" w:asciiTheme="minorEastAsia" w:hAnsiTheme="minorEastAsia"/>
          <w:sz w:val="24"/>
          <w:szCs w:val="24"/>
        </w:rPr>
      </w:pPr>
      <w:r>
        <w:rPr>
          <w:rFonts w:hint="eastAsia" w:cs="宋体" w:asciiTheme="minorEastAsia" w:hAnsiTheme="minorEastAsia"/>
          <w:sz w:val="24"/>
          <w:szCs w:val="24"/>
        </w:rPr>
        <w:t xml:space="preserve">•负责本公司设备的控制和管理，确保生产正常进行； </w:t>
      </w:r>
    </w:p>
    <w:p w14:paraId="27EA44B3">
      <w:pPr>
        <w:spacing w:line="460" w:lineRule="exact"/>
        <w:ind w:firstLine="480" w:firstLineChars="200"/>
        <w:rPr>
          <w:rFonts w:cs="宋体" w:asciiTheme="minorEastAsia" w:hAnsiTheme="minorEastAsia"/>
          <w:sz w:val="24"/>
          <w:szCs w:val="24"/>
        </w:rPr>
      </w:pPr>
      <w:r>
        <w:rPr>
          <w:rFonts w:hint="eastAsia" w:cs="宋体" w:asciiTheme="minorEastAsia" w:hAnsiTheme="minorEastAsia"/>
          <w:sz w:val="24"/>
          <w:szCs w:val="24"/>
        </w:rPr>
        <w:t>•负责建立设备台帐、维修履历卡、状态标识及设备的档案，使设备处于受控状态；</w:t>
      </w:r>
    </w:p>
    <w:p w14:paraId="004DB6C0">
      <w:pPr>
        <w:spacing w:line="460" w:lineRule="exact"/>
        <w:ind w:firstLine="480" w:firstLineChars="200"/>
        <w:rPr>
          <w:rFonts w:cs="宋体" w:asciiTheme="minorEastAsia" w:hAnsiTheme="minorEastAsia"/>
          <w:sz w:val="24"/>
          <w:szCs w:val="24"/>
        </w:rPr>
      </w:pPr>
      <w:r>
        <w:rPr>
          <w:rFonts w:hint="eastAsia" w:cs="宋体" w:asciiTheme="minorEastAsia" w:hAnsiTheme="minorEastAsia"/>
          <w:sz w:val="24"/>
          <w:szCs w:val="24"/>
        </w:rPr>
        <w:t>•负责制定设备的日常维护、保养制度，确保设备动力正常稳定运行；</w:t>
      </w:r>
    </w:p>
    <w:p w14:paraId="550A4622">
      <w:pPr>
        <w:spacing w:line="460" w:lineRule="exact"/>
        <w:ind w:firstLine="480" w:firstLineChars="200"/>
        <w:rPr>
          <w:rFonts w:cs="宋体" w:asciiTheme="minorEastAsia" w:hAnsiTheme="minorEastAsia"/>
          <w:sz w:val="24"/>
          <w:szCs w:val="24"/>
        </w:rPr>
      </w:pPr>
      <w:r>
        <w:rPr>
          <w:rFonts w:hint="eastAsia" w:cs="宋体" w:asciiTheme="minorEastAsia" w:hAnsiTheme="minorEastAsia"/>
          <w:sz w:val="24"/>
          <w:szCs w:val="24"/>
        </w:rPr>
        <w:t>•负责本公司各类设备的维修与保养，确保生产的顺利进行；</w:t>
      </w:r>
    </w:p>
    <w:p w14:paraId="667DA1E1">
      <w:pPr>
        <w:spacing w:line="460" w:lineRule="exact"/>
        <w:ind w:left="449" w:leftChars="214"/>
        <w:rPr>
          <w:rFonts w:cs="宋体" w:asciiTheme="minorEastAsia" w:hAnsiTheme="minorEastAsia"/>
          <w:sz w:val="24"/>
          <w:szCs w:val="24"/>
        </w:rPr>
      </w:pPr>
      <w:r>
        <w:rPr>
          <w:rFonts w:hint="eastAsia" w:cs="宋体" w:asciiTheme="minorEastAsia" w:hAnsiTheme="minorEastAsia"/>
          <w:sz w:val="24"/>
          <w:szCs w:val="24"/>
        </w:rPr>
        <w:t>•负责宣传质量方针，组织开展员工培训教育活动.</w:t>
      </w:r>
      <w:r>
        <w:rPr>
          <w:rFonts w:cs="宋体" w:asciiTheme="minorEastAsia" w:hAnsiTheme="minorEastAsia"/>
          <w:sz w:val="24"/>
          <w:szCs w:val="24"/>
        </w:rPr>
        <w:t>负责贯彻执行国家标准和相应的法律、法规；</w:t>
      </w:r>
    </w:p>
    <w:p w14:paraId="4A985A80">
      <w:pPr>
        <w:spacing w:line="460" w:lineRule="exact"/>
        <w:ind w:firstLine="480" w:firstLineChars="200"/>
        <w:rPr>
          <w:rFonts w:cs="宋体" w:asciiTheme="minorEastAsia" w:hAnsiTheme="minorEastAsia"/>
          <w:sz w:val="24"/>
          <w:szCs w:val="24"/>
        </w:rPr>
      </w:pPr>
      <w:r>
        <w:rPr>
          <w:rFonts w:hint="eastAsia" w:cs="宋体" w:asciiTheme="minorEastAsia" w:hAnsiTheme="minorEastAsia"/>
          <w:sz w:val="24"/>
          <w:szCs w:val="24"/>
        </w:rPr>
        <w:t>•</w:t>
      </w:r>
      <w:r>
        <w:rPr>
          <w:rFonts w:cs="宋体" w:asciiTheme="minorEastAsia" w:hAnsiTheme="minorEastAsia"/>
          <w:sz w:val="24"/>
          <w:szCs w:val="24"/>
        </w:rPr>
        <w:t>负责编制质量计划及相应的设备和人员配备计划，并负责计划评审和实施监督；</w:t>
      </w:r>
    </w:p>
    <w:p w14:paraId="07951040">
      <w:pPr>
        <w:spacing w:line="460" w:lineRule="exact"/>
        <w:rPr>
          <w:rFonts w:cs="宋体" w:asciiTheme="minorEastAsia" w:hAnsiTheme="minorEastAsia"/>
          <w:sz w:val="24"/>
          <w:szCs w:val="24"/>
        </w:rPr>
      </w:pPr>
      <w:r>
        <w:rPr>
          <w:rFonts w:hint="eastAsia" w:cs="宋体" w:asciiTheme="minorEastAsia" w:hAnsiTheme="minorEastAsia"/>
          <w:sz w:val="24"/>
          <w:szCs w:val="24"/>
        </w:rPr>
        <w:t>（6）质检部</w:t>
      </w:r>
    </w:p>
    <w:p w14:paraId="68C3B20B">
      <w:pPr>
        <w:suppressAutoHyphens/>
        <w:spacing w:line="460" w:lineRule="exact"/>
        <w:ind w:firstLine="480" w:firstLineChars="200"/>
        <w:jc w:val="left"/>
        <w:rPr>
          <w:rFonts w:cs="宋体" w:asciiTheme="minorEastAsia" w:hAnsiTheme="minorEastAsia"/>
          <w:sz w:val="24"/>
          <w:szCs w:val="24"/>
        </w:rPr>
      </w:pPr>
      <w:r>
        <w:rPr>
          <w:rFonts w:hint="eastAsia" w:cs="宋体" w:asciiTheme="minorEastAsia" w:hAnsiTheme="minorEastAsia"/>
          <w:sz w:val="24"/>
          <w:szCs w:val="24"/>
        </w:rPr>
        <w:t>•负责测量、检验及检验状态的控制工作；</w:t>
      </w:r>
    </w:p>
    <w:p w14:paraId="4CC42DF2">
      <w:pPr>
        <w:suppressAutoHyphens/>
        <w:spacing w:line="460" w:lineRule="exact"/>
        <w:ind w:firstLine="480" w:firstLineChars="200"/>
        <w:jc w:val="left"/>
        <w:rPr>
          <w:rFonts w:cs="宋体" w:asciiTheme="minorEastAsia" w:hAnsiTheme="minorEastAsia"/>
          <w:sz w:val="24"/>
          <w:szCs w:val="24"/>
        </w:rPr>
      </w:pPr>
      <w:r>
        <w:rPr>
          <w:rFonts w:hint="eastAsia" w:cs="宋体" w:asciiTheme="minorEastAsia" w:hAnsiTheme="minorEastAsia"/>
          <w:sz w:val="24"/>
          <w:szCs w:val="24"/>
        </w:rPr>
        <w:t>•负责不合格品的评审、处置、分析及纠正、预防措施工作；</w:t>
      </w:r>
    </w:p>
    <w:p w14:paraId="435988D2">
      <w:pPr>
        <w:suppressAutoHyphens/>
        <w:spacing w:line="460" w:lineRule="exact"/>
        <w:ind w:left="360" w:firstLine="120" w:firstLineChars="50"/>
        <w:jc w:val="left"/>
        <w:rPr>
          <w:rFonts w:cs="宋体" w:asciiTheme="minorEastAsia" w:hAnsiTheme="minorEastAsia"/>
          <w:sz w:val="24"/>
          <w:szCs w:val="24"/>
        </w:rPr>
      </w:pPr>
      <w:r>
        <w:rPr>
          <w:rFonts w:hint="eastAsia" w:cs="宋体" w:asciiTheme="minorEastAsia" w:hAnsiTheme="minorEastAsia"/>
          <w:sz w:val="24"/>
          <w:szCs w:val="24"/>
        </w:rPr>
        <w:t>•负责供方产品检验、验证的质量控制工作；</w:t>
      </w:r>
    </w:p>
    <w:p w14:paraId="7E7FC02A">
      <w:pPr>
        <w:suppressAutoHyphens/>
        <w:spacing w:line="460" w:lineRule="exact"/>
        <w:ind w:left="360" w:firstLine="120" w:firstLineChars="50"/>
        <w:jc w:val="left"/>
        <w:rPr>
          <w:rFonts w:cs="宋体" w:asciiTheme="minorEastAsia" w:hAnsiTheme="minorEastAsia"/>
          <w:sz w:val="24"/>
          <w:szCs w:val="24"/>
        </w:rPr>
      </w:pPr>
      <w:r>
        <w:rPr>
          <w:rFonts w:hint="eastAsia" w:cs="宋体" w:asciiTheme="minorEastAsia" w:hAnsiTheme="minorEastAsia"/>
          <w:sz w:val="24"/>
          <w:szCs w:val="24"/>
        </w:rPr>
        <w:t>•参与产品要求的评审和供方的评价工作；</w:t>
      </w:r>
    </w:p>
    <w:p w14:paraId="534C51E1">
      <w:pPr>
        <w:suppressAutoHyphens/>
        <w:spacing w:line="460" w:lineRule="exact"/>
        <w:ind w:left="360" w:firstLine="120" w:firstLineChars="50"/>
        <w:jc w:val="left"/>
        <w:rPr>
          <w:rFonts w:cs="宋体" w:asciiTheme="minorEastAsia" w:hAnsiTheme="minorEastAsia"/>
          <w:sz w:val="24"/>
          <w:szCs w:val="24"/>
        </w:rPr>
      </w:pPr>
      <w:r>
        <w:rPr>
          <w:rFonts w:hint="eastAsia" w:cs="宋体" w:asciiTheme="minorEastAsia" w:hAnsiTheme="minorEastAsia"/>
          <w:sz w:val="24"/>
          <w:szCs w:val="24"/>
        </w:rPr>
        <w:t>•负责检验、测量设备的管理工作；</w:t>
      </w:r>
    </w:p>
    <w:p w14:paraId="0A3816A0">
      <w:pPr>
        <w:suppressAutoHyphens/>
        <w:spacing w:line="460" w:lineRule="exact"/>
        <w:ind w:firstLine="480" w:firstLineChars="200"/>
        <w:jc w:val="left"/>
        <w:rPr>
          <w:rFonts w:cs="宋体" w:asciiTheme="minorEastAsia" w:hAnsiTheme="minorEastAsia"/>
          <w:sz w:val="24"/>
          <w:szCs w:val="24"/>
        </w:rPr>
      </w:pPr>
      <w:r>
        <w:rPr>
          <w:rFonts w:hint="eastAsia" w:cs="宋体" w:asciiTheme="minorEastAsia" w:hAnsiTheme="minorEastAsia"/>
          <w:sz w:val="24"/>
          <w:szCs w:val="24"/>
        </w:rPr>
        <w:t>•负责数据分析和统计技术应用工作。</w:t>
      </w:r>
    </w:p>
    <w:p w14:paraId="13237BAF">
      <w:pPr>
        <w:suppressAutoHyphens/>
        <w:spacing w:line="460" w:lineRule="exact"/>
        <w:ind w:left="360" w:firstLine="120" w:firstLineChars="50"/>
        <w:jc w:val="left"/>
        <w:rPr>
          <w:rFonts w:cs="宋体" w:asciiTheme="minorEastAsia" w:hAnsiTheme="minorEastAsia"/>
          <w:sz w:val="24"/>
          <w:szCs w:val="24"/>
        </w:rPr>
      </w:pPr>
      <w:r>
        <w:rPr>
          <w:rFonts w:hint="eastAsia" w:cs="宋体" w:asciiTheme="minorEastAsia" w:hAnsiTheme="minorEastAsia"/>
          <w:sz w:val="24"/>
          <w:szCs w:val="24"/>
        </w:rPr>
        <w:t>•</w:t>
      </w:r>
      <w:r>
        <w:rPr>
          <w:rFonts w:cs="宋体" w:asciiTheme="minorEastAsia" w:hAnsiTheme="minorEastAsia"/>
          <w:sz w:val="24"/>
          <w:szCs w:val="24"/>
        </w:rPr>
        <w:t>负责贯彻执行国家标准和相应的法律、法规；</w:t>
      </w:r>
    </w:p>
    <w:p w14:paraId="174339AD">
      <w:pPr>
        <w:suppressAutoHyphens/>
        <w:spacing w:line="460" w:lineRule="exact"/>
        <w:ind w:left="360" w:firstLine="120" w:firstLineChars="50"/>
        <w:jc w:val="left"/>
        <w:rPr>
          <w:rFonts w:cs="宋体" w:asciiTheme="minorEastAsia" w:hAnsiTheme="minorEastAsia"/>
          <w:sz w:val="24"/>
          <w:szCs w:val="24"/>
        </w:rPr>
      </w:pPr>
      <w:r>
        <w:rPr>
          <w:rFonts w:hint="eastAsia" w:cs="宋体" w:asciiTheme="minorEastAsia" w:hAnsiTheme="minorEastAsia"/>
          <w:sz w:val="24"/>
          <w:szCs w:val="24"/>
        </w:rPr>
        <w:t>•</w:t>
      </w:r>
      <w:r>
        <w:rPr>
          <w:rFonts w:cs="宋体" w:asciiTheme="minorEastAsia" w:hAnsiTheme="minorEastAsia"/>
          <w:sz w:val="24"/>
          <w:szCs w:val="24"/>
        </w:rPr>
        <w:t>收集技术情报进行产品与市场调研，</w:t>
      </w:r>
      <w:r>
        <w:rPr>
          <w:rFonts w:hint="eastAsia" w:cs="宋体" w:asciiTheme="minorEastAsia" w:hAnsiTheme="minorEastAsia"/>
          <w:sz w:val="24"/>
          <w:szCs w:val="24"/>
        </w:rPr>
        <w:t>作好产品质量改善工作</w:t>
      </w:r>
      <w:r>
        <w:rPr>
          <w:rFonts w:cs="宋体" w:asciiTheme="minorEastAsia" w:hAnsiTheme="minorEastAsia"/>
          <w:sz w:val="24"/>
          <w:szCs w:val="24"/>
        </w:rPr>
        <w:t>；</w:t>
      </w:r>
    </w:p>
    <w:p w14:paraId="3B9077EE">
      <w:pPr>
        <w:suppressAutoHyphens/>
        <w:spacing w:line="460" w:lineRule="exact"/>
        <w:ind w:firstLine="480" w:firstLineChars="200"/>
        <w:jc w:val="left"/>
        <w:rPr>
          <w:rFonts w:cs="宋体" w:asciiTheme="minorEastAsia" w:hAnsiTheme="minorEastAsia"/>
          <w:sz w:val="24"/>
          <w:szCs w:val="24"/>
        </w:rPr>
      </w:pPr>
      <w:r>
        <w:rPr>
          <w:rFonts w:hint="eastAsia" w:cs="宋体" w:asciiTheme="minorEastAsia" w:hAnsiTheme="minorEastAsia"/>
          <w:sz w:val="24"/>
          <w:szCs w:val="24"/>
        </w:rPr>
        <w:t>•</w:t>
      </w:r>
      <w:r>
        <w:rPr>
          <w:rFonts w:cs="宋体" w:asciiTheme="minorEastAsia" w:hAnsiTheme="minorEastAsia"/>
          <w:sz w:val="24"/>
          <w:szCs w:val="24"/>
        </w:rPr>
        <w:t>负责编制质量计划及相应的设备和人员配备计划，并负责计划评审和实施监督；</w:t>
      </w:r>
    </w:p>
    <w:p w14:paraId="6C110C1E">
      <w:pPr>
        <w:suppressAutoHyphens/>
        <w:spacing w:line="460" w:lineRule="exact"/>
        <w:ind w:left="360" w:firstLine="120" w:firstLineChars="50"/>
        <w:jc w:val="left"/>
        <w:rPr>
          <w:rFonts w:cs="宋体" w:asciiTheme="minorEastAsia" w:hAnsiTheme="minorEastAsia"/>
          <w:sz w:val="24"/>
          <w:szCs w:val="24"/>
        </w:rPr>
      </w:pPr>
      <w:r>
        <w:rPr>
          <w:rFonts w:hint="eastAsia" w:cs="宋体" w:asciiTheme="minorEastAsia" w:hAnsiTheme="minorEastAsia"/>
          <w:sz w:val="24"/>
          <w:szCs w:val="24"/>
        </w:rPr>
        <w:t>•</w:t>
      </w:r>
      <w:r>
        <w:rPr>
          <w:rFonts w:cs="宋体" w:asciiTheme="minorEastAsia" w:hAnsiTheme="minorEastAsia"/>
          <w:sz w:val="24"/>
          <w:szCs w:val="24"/>
        </w:rPr>
        <w:t>组织制订企业</w:t>
      </w:r>
      <w:r>
        <w:rPr>
          <w:rFonts w:hint="eastAsia" w:cs="宋体" w:asciiTheme="minorEastAsia" w:hAnsiTheme="minorEastAsia"/>
          <w:sz w:val="24"/>
          <w:szCs w:val="24"/>
        </w:rPr>
        <w:t>技术文件、</w:t>
      </w:r>
      <w:r>
        <w:rPr>
          <w:rFonts w:cs="宋体" w:asciiTheme="minorEastAsia" w:hAnsiTheme="minorEastAsia"/>
          <w:sz w:val="24"/>
          <w:szCs w:val="24"/>
        </w:rPr>
        <w:t>工艺文件、检验文件、操作规程和生产用图</w:t>
      </w:r>
      <w:r>
        <w:rPr>
          <w:rFonts w:hint="eastAsia" w:cs="宋体" w:asciiTheme="minorEastAsia" w:hAnsiTheme="minorEastAsia"/>
          <w:sz w:val="24"/>
          <w:szCs w:val="24"/>
        </w:rPr>
        <w:t>等文件</w:t>
      </w:r>
      <w:r>
        <w:rPr>
          <w:rFonts w:cs="宋体" w:asciiTheme="minorEastAsia" w:hAnsiTheme="minorEastAsia"/>
          <w:sz w:val="24"/>
          <w:szCs w:val="24"/>
        </w:rPr>
        <w:t>；</w:t>
      </w:r>
    </w:p>
    <w:p w14:paraId="5C5018F4">
      <w:pPr>
        <w:suppressAutoHyphens/>
        <w:spacing w:line="460" w:lineRule="exact"/>
        <w:ind w:left="360" w:firstLine="120" w:firstLineChars="50"/>
        <w:jc w:val="left"/>
        <w:rPr>
          <w:rFonts w:cs="宋体" w:asciiTheme="minorEastAsia" w:hAnsiTheme="minorEastAsia"/>
          <w:sz w:val="24"/>
          <w:szCs w:val="24"/>
        </w:rPr>
      </w:pPr>
      <w:r>
        <w:rPr>
          <w:rFonts w:hint="eastAsia" w:cs="宋体" w:asciiTheme="minorEastAsia" w:hAnsiTheme="minorEastAsia"/>
          <w:sz w:val="24"/>
          <w:szCs w:val="24"/>
        </w:rPr>
        <w:t>•</w:t>
      </w:r>
      <w:r>
        <w:rPr>
          <w:rFonts w:cs="宋体" w:asciiTheme="minorEastAsia" w:hAnsiTheme="minorEastAsia"/>
          <w:sz w:val="24"/>
          <w:szCs w:val="24"/>
        </w:rPr>
        <w:t>负责</w:t>
      </w:r>
      <w:r>
        <w:rPr>
          <w:rFonts w:hint="eastAsia" w:cs="宋体" w:asciiTheme="minorEastAsia" w:hAnsiTheme="minorEastAsia"/>
          <w:sz w:val="24"/>
          <w:szCs w:val="24"/>
        </w:rPr>
        <w:t>本公司</w:t>
      </w:r>
      <w:r>
        <w:rPr>
          <w:rFonts w:cs="宋体" w:asciiTheme="minorEastAsia" w:hAnsiTheme="minorEastAsia"/>
          <w:sz w:val="24"/>
          <w:szCs w:val="24"/>
        </w:rPr>
        <w:t>“产品实现过程”的技术工作，随时解决生产中出现的关键技术问题。</w:t>
      </w:r>
    </w:p>
    <w:p w14:paraId="52CE4130">
      <w:pPr>
        <w:suppressAutoHyphens/>
        <w:spacing w:line="460" w:lineRule="exact"/>
        <w:ind w:left="360" w:firstLine="120" w:firstLineChars="50"/>
        <w:jc w:val="left"/>
        <w:rPr>
          <w:rFonts w:cs="宋体" w:asciiTheme="minorEastAsia" w:hAnsiTheme="minorEastAsia"/>
          <w:sz w:val="24"/>
          <w:szCs w:val="24"/>
        </w:rPr>
      </w:pPr>
      <w:r>
        <w:rPr>
          <w:rFonts w:hint="eastAsia" w:cs="宋体" w:asciiTheme="minorEastAsia" w:hAnsiTheme="minorEastAsia"/>
          <w:sz w:val="24"/>
          <w:szCs w:val="24"/>
        </w:rPr>
        <w:t>•负责根据国家标准及客户要求，编制技术文件，指导生产及检验工作。</w:t>
      </w:r>
    </w:p>
    <w:p w14:paraId="1E2EB9B9">
      <w:pPr>
        <w:widowControl/>
        <w:spacing w:line="360" w:lineRule="auto"/>
        <w:jc w:val="left"/>
        <w:textAlignment w:val="baseline"/>
        <w:rPr>
          <w:rFonts w:cs="宋体" w:asciiTheme="minorEastAsia" w:hAnsiTheme="minorEastAsia"/>
          <w:sz w:val="24"/>
          <w:szCs w:val="24"/>
        </w:rPr>
      </w:pPr>
      <w:r>
        <w:rPr>
          <w:rFonts w:hint="eastAsia" w:cs="宋体" w:asciiTheme="minorEastAsia" w:hAnsiTheme="minorEastAsia"/>
          <w:sz w:val="24"/>
          <w:szCs w:val="24"/>
        </w:rPr>
        <w:t>（7）财务部</w:t>
      </w:r>
    </w:p>
    <w:p w14:paraId="399D74A3">
      <w:pPr>
        <w:spacing w:line="360" w:lineRule="auto"/>
        <w:ind w:firstLine="480"/>
        <w:rPr>
          <w:rFonts w:cs="宋体" w:asciiTheme="minorEastAsia" w:hAnsiTheme="minorEastAsia"/>
          <w:sz w:val="24"/>
          <w:szCs w:val="24"/>
        </w:rPr>
      </w:pPr>
      <w:r>
        <w:rPr>
          <w:rFonts w:hint="eastAsia" w:cs="宋体" w:asciiTheme="minorEastAsia" w:hAnsiTheme="minorEastAsia"/>
          <w:sz w:val="24"/>
          <w:szCs w:val="24"/>
        </w:rPr>
        <w:t>• 负责公司资金管理，质量、环境及职业健康安全管理体系运行的资金保障；</w:t>
      </w:r>
    </w:p>
    <w:p w14:paraId="469FC244">
      <w:pPr>
        <w:spacing w:line="420" w:lineRule="exact"/>
        <w:ind w:firstLine="480" w:firstLineChars="200"/>
        <w:rPr>
          <w:rFonts w:ascii="宋体" w:eastAsia="宋体"/>
          <w:sz w:val="24"/>
          <w:szCs w:val="28"/>
        </w:rPr>
      </w:pPr>
      <w:r>
        <w:rPr>
          <w:rFonts w:hint="eastAsia" w:cs="宋体" w:asciiTheme="minorEastAsia" w:hAnsiTheme="minorEastAsia"/>
          <w:sz w:val="24"/>
          <w:szCs w:val="24"/>
        </w:rPr>
        <w:t>•负责</w:t>
      </w:r>
      <w:r>
        <w:rPr>
          <w:rFonts w:hint="eastAsia" w:ascii="宋体" w:eastAsia="宋体"/>
          <w:sz w:val="24"/>
          <w:szCs w:val="28"/>
        </w:rPr>
        <w:t>负责公司财务工作；</w:t>
      </w:r>
    </w:p>
    <w:p w14:paraId="4D5F4669">
      <w:pPr>
        <w:spacing w:line="420" w:lineRule="exact"/>
        <w:ind w:firstLine="480" w:firstLineChars="200"/>
        <w:rPr>
          <w:rFonts w:ascii="宋体" w:eastAsia="宋体"/>
          <w:sz w:val="24"/>
          <w:szCs w:val="28"/>
        </w:rPr>
      </w:pPr>
      <w:r>
        <w:rPr>
          <w:rFonts w:hint="eastAsia" w:cs="宋体" w:asciiTheme="minorEastAsia" w:hAnsiTheme="minorEastAsia"/>
          <w:sz w:val="24"/>
          <w:szCs w:val="24"/>
        </w:rPr>
        <w:t>•</w:t>
      </w:r>
      <w:r>
        <w:rPr>
          <w:rFonts w:hint="eastAsia" w:ascii="宋体" w:eastAsia="宋体"/>
          <w:sz w:val="24"/>
          <w:szCs w:val="28"/>
        </w:rPr>
        <w:t>负责公司职业健康、环境体系运行的资金支持；</w:t>
      </w:r>
    </w:p>
    <w:p w14:paraId="5C53B8F4">
      <w:pPr>
        <w:spacing w:line="360" w:lineRule="auto"/>
        <w:ind w:firstLine="480" w:firstLineChars="200"/>
        <w:rPr>
          <w:rFonts w:ascii="宋体" w:eastAsia="宋体"/>
          <w:sz w:val="24"/>
          <w:szCs w:val="28"/>
        </w:rPr>
      </w:pPr>
      <w:r>
        <w:rPr>
          <w:rFonts w:hint="eastAsia" w:cs="宋体" w:asciiTheme="minorEastAsia" w:hAnsiTheme="minorEastAsia"/>
          <w:sz w:val="24"/>
          <w:szCs w:val="24"/>
        </w:rPr>
        <w:t>•</w:t>
      </w:r>
      <w:r>
        <w:rPr>
          <w:rFonts w:hint="eastAsia" w:ascii="宋体" w:eastAsia="宋体"/>
          <w:sz w:val="24"/>
          <w:szCs w:val="28"/>
        </w:rPr>
        <w:t>负责实施公司财务工作管理，监督各项财务规章制度的执行；</w:t>
      </w:r>
    </w:p>
    <w:p w14:paraId="677A4BE7">
      <w:pPr>
        <w:spacing w:line="360" w:lineRule="auto"/>
        <w:ind w:firstLine="480" w:firstLineChars="200"/>
        <w:rPr>
          <w:rFonts w:ascii="宋体" w:eastAsia="宋体"/>
          <w:sz w:val="24"/>
          <w:szCs w:val="28"/>
        </w:rPr>
      </w:pPr>
      <w:r>
        <w:rPr>
          <w:rFonts w:hint="eastAsia" w:cs="宋体" w:asciiTheme="minorEastAsia" w:hAnsiTheme="minorEastAsia"/>
          <w:sz w:val="24"/>
          <w:szCs w:val="24"/>
        </w:rPr>
        <w:t>•</w:t>
      </w:r>
      <w:r>
        <w:rPr>
          <w:rFonts w:hint="eastAsia" w:ascii="宋体" w:eastAsia="宋体"/>
          <w:sz w:val="24"/>
          <w:szCs w:val="28"/>
        </w:rPr>
        <w:t>负责本公司存量资金的管理, 加速资金周转，提高资金使用效益；负责清理往来帐款。</w:t>
      </w:r>
    </w:p>
    <w:p w14:paraId="73679F5B">
      <w:pPr>
        <w:pStyle w:val="32"/>
        <w:spacing w:line="440" w:lineRule="exact"/>
        <w:outlineLvl w:val="0"/>
        <w:rPr>
          <w:rFonts w:hAnsi="宋体" w:eastAsia="宋体"/>
          <w:b/>
          <w:color w:val="auto"/>
        </w:rPr>
      </w:pPr>
      <w:r>
        <w:rPr>
          <w:rFonts w:hAnsi="宋体" w:eastAsia="宋体"/>
          <w:b/>
          <w:color w:val="auto"/>
        </w:rPr>
        <w:t xml:space="preserve">5.4  </w:t>
      </w:r>
      <w:r>
        <w:rPr>
          <w:rFonts w:hint="eastAsia" w:hAnsi="宋体" w:eastAsia="宋体"/>
          <w:b/>
          <w:color w:val="auto"/>
        </w:rPr>
        <w:t>工作人员的协商和参与</w:t>
      </w:r>
    </w:p>
    <w:p w14:paraId="0C37B080">
      <w:pPr>
        <w:pStyle w:val="32"/>
        <w:spacing w:line="440" w:lineRule="exact"/>
        <w:ind w:firstLine="480" w:firstLineChars="200"/>
        <w:rPr>
          <w:rFonts w:hAnsi="宋体" w:eastAsia="宋体"/>
          <w:color w:val="auto"/>
        </w:rPr>
      </w:pPr>
      <w:r>
        <w:rPr>
          <w:rFonts w:hint="eastAsia" w:hAnsi="宋体" w:eastAsia="宋体"/>
          <w:color w:val="auto"/>
        </w:rPr>
        <w:t>组织应按标准要求，为各适用层次和职能的员工及其员工代表在职业健康安全管理体系的开发、策划、实施、绩效评价和实施改进时的协商和参与。</w:t>
      </w:r>
    </w:p>
    <w:p w14:paraId="1D7EEBEB">
      <w:pPr>
        <w:pStyle w:val="32"/>
        <w:spacing w:line="440" w:lineRule="exact"/>
        <w:ind w:firstLine="480" w:firstLineChars="200"/>
        <w:rPr>
          <w:rFonts w:hAnsi="宋体" w:eastAsia="宋体"/>
          <w:color w:val="auto"/>
        </w:rPr>
      </w:pPr>
      <w:r>
        <w:rPr>
          <w:rFonts w:hint="eastAsia" w:hAnsi="宋体" w:eastAsia="宋体"/>
          <w:color w:val="auto"/>
        </w:rPr>
        <w:t xml:space="preserve">组织应： </w:t>
      </w:r>
    </w:p>
    <w:p w14:paraId="33FBC145">
      <w:pPr>
        <w:pStyle w:val="32"/>
        <w:spacing w:line="440" w:lineRule="exact"/>
        <w:ind w:firstLine="480" w:firstLineChars="200"/>
        <w:rPr>
          <w:rFonts w:hAnsi="宋体" w:eastAsia="宋体"/>
          <w:color w:val="auto"/>
        </w:rPr>
      </w:pPr>
      <w:r>
        <w:rPr>
          <w:rFonts w:hint="eastAsia" w:hAnsi="宋体" w:eastAsia="宋体"/>
          <w:color w:val="auto"/>
        </w:rPr>
        <w:t>a)公司通过员工代表会议为协商和参与提供所需的机制、时间、培训和资源；</w:t>
      </w:r>
    </w:p>
    <w:p w14:paraId="25EB74E2">
      <w:pPr>
        <w:pStyle w:val="32"/>
        <w:spacing w:line="440" w:lineRule="exact"/>
        <w:ind w:firstLine="480" w:firstLineChars="200"/>
        <w:rPr>
          <w:rFonts w:hAnsi="宋体" w:eastAsia="宋体"/>
          <w:color w:val="auto"/>
        </w:rPr>
      </w:pPr>
      <w:r>
        <w:rPr>
          <w:rFonts w:hint="eastAsia" w:hAnsi="宋体" w:eastAsia="宋体"/>
          <w:color w:val="auto"/>
        </w:rPr>
        <w:t>b)及时向员工和员工代表提供有关职业健康安全管理体系清晰的、可理解的和必要的信息；</w:t>
      </w:r>
    </w:p>
    <w:p w14:paraId="684928C0">
      <w:pPr>
        <w:pStyle w:val="32"/>
        <w:spacing w:line="440" w:lineRule="exact"/>
        <w:ind w:firstLine="480" w:firstLineChars="200"/>
        <w:rPr>
          <w:rFonts w:hAnsi="宋体" w:eastAsia="宋体"/>
          <w:color w:val="auto"/>
        </w:rPr>
      </w:pPr>
      <w:r>
        <w:rPr>
          <w:rFonts w:hint="eastAsia" w:hAnsi="宋体" w:eastAsia="宋体"/>
          <w:color w:val="auto"/>
        </w:rPr>
        <w:t>c)确定并消除影响参与的障碍或壁垒，并尽量减少那些无法消除的障碍或壁垒；</w:t>
      </w:r>
    </w:p>
    <w:p w14:paraId="27180B26">
      <w:pPr>
        <w:pStyle w:val="32"/>
        <w:spacing w:line="440" w:lineRule="exact"/>
        <w:ind w:firstLine="480" w:firstLineChars="200"/>
        <w:rPr>
          <w:rFonts w:hAnsi="宋体" w:eastAsia="宋体"/>
          <w:color w:val="auto"/>
        </w:rPr>
      </w:pPr>
      <w:r>
        <w:rPr>
          <w:rFonts w:hint="eastAsia" w:hAnsi="宋体" w:eastAsia="宋体"/>
          <w:color w:val="auto"/>
        </w:rPr>
        <w:t>注1:障碍或壁垒可能包括没能回应员工的意见或建议作出回应，语言或文化障碍，报复或报复的威胁，以及阻止或惩罚参与的政策或做法。</w:t>
      </w:r>
    </w:p>
    <w:p w14:paraId="1AAF3254">
      <w:pPr>
        <w:pStyle w:val="32"/>
        <w:spacing w:line="440" w:lineRule="exact"/>
        <w:ind w:firstLine="480" w:firstLineChars="200"/>
        <w:rPr>
          <w:rFonts w:hAnsi="宋体" w:eastAsia="宋体"/>
          <w:color w:val="auto"/>
        </w:rPr>
      </w:pPr>
      <w:r>
        <w:rPr>
          <w:rFonts w:hint="eastAsia" w:hAnsi="宋体" w:eastAsia="宋体"/>
          <w:color w:val="auto"/>
        </w:rPr>
        <w:t>d)重视就以下方面与非管理层员工的协商：</w:t>
      </w:r>
    </w:p>
    <w:p w14:paraId="568B6CB1">
      <w:pPr>
        <w:pStyle w:val="32"/>
        <w:spacing w:line="440" w:lineRule="exact"/>
        <w:ind w:firstLine="720" w:firstLineChars="300"/>
        <w:rPr>
          <w:rFonts w:hAnsi="宋体" w:eastAsia="宋体"/>
          <w:color w:val="auto"/>
        </w:rPr>
      </w:pPr>
      <w:r>
        <w:rPr>
          <w:rFonts w:hint="eastAsia" w:hAnsi="宋体" w:eastAsia="宋体"/>
          <w:color w:val="auto"/>
        </w:rPr>
        <w:t>1)确定相关方的需求和期望；</w:t>
      </w:r>
    </w:p>
    <w:p w14:paraId="7B5BEAA9">
      <w:pPr>
        <w:pStyle w:val="32"/>
        <w:spacing w:line="440" w:lineRule="exact"/>
        <w:ind w:firstLine="720" w:firstLineChars="300"/>
        <w:rPr>
          <w:rFonts w:hAnsi="宋体" w:eastAsia="宋体"/>
          <w:color w:val="auto"/>
        </w:rPr>
      </w:pPr>
      <w:r>
        <w:rPr>
          <w:rFonts w:hint="eastAsia" w:hAnsi="宋体" w:eastAsia="宋体"/>
          <w:color w:val="auto"/>
        </w:rPr>
        <w:t xml:space="preserve">2）建立职业健康安全方针； </w:t>
      </w:r>
    </w:p>
    <w:p w14:paraId="29E65FA5">
      <w:pPr>
        <w:pStyle w:val="32"/>
        <w:spacing w:line="440" w:lineRule="exact"/>
        <w:ind w:firstLine="720" w:firstLineChars="300"/>
        <w:rPr>
          <w:rFonts w:hAnsi="宋体" w:eastAsia="宋体"/>
          <w:color w:val="auto"/>
        </w:rPr>
      </w:pPr>
      <w:r>
        <w:rPr>
          <w:rFonts w:hint="eastAsia" w:hAnsi="宋体" w:eastAsia="宋体"/>
          <w:color w:val="auto"/>
        </w:rPr>
        <w:t>3）适用时，分配组织岗位、职责和权限；</w:t>
      </w:r>
    </w:p>
    <w:p w14:paraId="60C990F1">
      <w:pPr>
        <w:pStyle w:val="32"/>
        <w:spacing w:line="440" w:lineRule="exact"/>
        <w:ind w:firstLine="720" w:firstLineChars="300"/>
        <w:rPr>
          <w:rFonts w:hAnsi="宋体" w:eastAsia="宋体"/>
          <w:color w:val="auto"/>
        </w:rPr>
      </w:pPr>
      <w:r>
        <w:rPr>
          <w:rFonts w:hint="eastAsia" w:hAnsi="宋体" w:eastAsia="宋体"/>
          <w:color w:val="auto"/>
        </w:rPr>
        <w:t>4）确定如何履行法定要求和其它要求；</w:t>
      </w:r>
    </w:p>
    <w:p w14:paraId="7CF11922">
      <w:pPr>
        <w:pStyle w:val="32"/>
        <w:spacing w:line="440" w:lineRule="exact"/>
        <w:ind w:firstLine="720" w:firstLineChars="300"/>
        <w:rPr>
          <w:rFonts w:hAnsi="宋体" w:eastAsia="宋体"/>
          <w:color w:val="auto"/>
        </w:rPr>
      </w:pPr>
      <w:r>
        <w:rPr>
          <w:rFonts w:hint="eastAsia" w:hAnsi="宋体" w:eastAsia="宋体"/>
          <w:color w:val="auto"/>
        </w:rPr>
        <w:t>5）建立职业健康安全目标并策划实现之；</w:t>
      </w:r>
    </w:p>
    <w:p w14:paraId="5722D392">
      <w:pPr>
        <w:pStyle w:val="32"/>
        <w:spacing w:line="440" w:lineRule="exact"/>
        <w:ind w:firstLine="720" w:firstLineChars="300"/>
        <w:rPr>
          <w:rFonts w:hAnsi="宋体" w:eastAsia="宋体"/>
          <w:color w:val="auto"/>
        </w:rPr>
      </w:pPr>
      <w:r>
        <w:rPr>
          <w:rFonts w:hint="eastAsia" w:hAnsi="宋体" w:eastAsia="宋体"/>
          <w:color w:val="auto"/>
        </w:rPr>
        <w:t>6）确定对外包、采购和承包方的适当控制措施；</w:t>
      </w:r>
    </w:p>
    <w:p w14:paraId="7829D312">
      <w:pPr>
        <w:pStyle w:val="32"/>
        <w:spacing w:line="440" w:lineRule="exact"/>
        <w:ind w:firstLine="720" w:firstLineChars="300"/>
        <w:rPr>
          <w:rFonts w:hAnsi="宋体" w:eastAsia="宋体"/>
          <w:color w:val="auto"/>
        </w:rPr>
      </w:pPr>
      <w:r>
        <w:rPr>
          <w:rFonts w:hint="eastAsia" w:hAnsi="宋体" w:eastAsia="宋体"/>
          <w:color w:val="auto"/>
        </w:rPr>
        <w:t>7）确定需监视、测量和评价的内容；</w:t>
      </w:r>
    </w:p>
    <w:p w14:paraId="5AC1D6DD">
      <w:pPr>
        <w:pStyle w:val="32"/>
        <w:spacing w:line="440" w:lineRule="exact"/>
        <w:ind w:firstLine="720" w:firstLineChars="300"/>
        <w:rPr>
          <w:rFonts w:hAnsi="宋体" w:eastAsia="宋体"/>
          <w:color w:val="auto"/>
        </w:rPr>
      </w:pPr>
      <w:r>
        <w:rPr>
          <w:rFonts w:hint="eastAsia" w:hAnsi="宋体" w:eastAsia="宋体"/>
          <w:color w:val="auto"/>
        </w:rPr>
        <w:t>8）策划、建立、实施和保持审核方案；</w:t>
      </w:r>
    </w:p>
    <w:p w14:paraId="41643C81">
      <w:pPr>
        <w:pStyle w:val="32"/>
        <w:spacing w:line="440" w:lineRule="exact"/>
        <w:ind w:firstLine="720" w:firstLineChars="300"/>
        <w:rPr>
          <w:rFonts w:hAnsi="宋体" w:eastAsia="宋体"/>
          <w:color w:val="auto"/>
        </w:rPr>
      </w:pPr>
      <w:r>
        <w:rPr>
          <w:rFonts w:hint="eastAsia" w:hAnsi="宋体" w:eastAsia="宋体"/>
          <w:color w:val="auto"/>
        </w:rPr>
        <w:t xml:space="preserve">9）确保持续改进； </w:t>
      </w:r>
    </w:p>
    <w:p w14:paraId="1263987F">
      <w:pPr>
        <w:pStyle w:val="32"/>
        <w:spacing w:line="440" w:lineRule="exact"/>
        <w:ind w:firstLine="720" w:firstLineChars="300"/>
        <w:rPr>
          <w:rFonts w:hAnsi="宋体" w:eastAsia="宋体"/>
          <w:color w:val="auto"/>
        </w:rPr>
      </w:pPr>
      <w:r>
        <w:rPr>
          <w:rFonts w:hint="eastAsia" w:hAnsi="宋体" w:eastAsia="宋体"/>
          <w:color w:val="auto"/>
        </w:rPr>
        <w:t>e）促进非管理层员工在以下方面的参与：</w:t>
      </w:r>
    </w:p>
    <w:p w14:paraId="18F31826">
      <w:pPr>
        <w:pStyle w:val="32"/>
        <w:spacing w:line="440" w:lineRule="exact"/>
        <w:ind w:firstLine="720" w:firstLineChars="300"/>
        <w:rPr>
          <w:rFonts w:hAnsi="宋体" w:eastAsia="宋体"/>
          <w:color w:val="auto"/>
        </w:rPr>
      </w:pPr>
      <w:r>
        <w:rPr>
          <w:rFonts w:hint="eastAsia" w:hAnsi="宋体" w:eastAsia="宋体"/>
          <w:color w:val="auto"/>
        </w:rPr>
        <w:t>1）积极参与员工代表会议；</w:t>
      </w:r>
    </w:p>
    <w:p w14:paraId="62EC6275">
      <w:pPr>
        <w:pStyle w:val="32"/>
        <w:spacing w:line="440" w:lineRule="exact"/>
        <w:ind w:firstLine="720" w:firstLineChars="300"/>
        <w:rPr>
          <w:rFonts w:hAnsi="宋体" w:eastAsia="宋体"/>
          <w:color w:val="auto"/>
        </w:rPr>
      </w:pPr>
      <w:r>
        <w:rPr>
          <w:rFonts w:hint="eastAsia" w:hAnsi="宋体" w:eastAsia="宋体"/>
          <w:color w:val="auto"/>
        </w:rPr>
        <w:t xml:space="preserve">2）识别危险源并评价风险和机遇； </w:t>
      </w:r>
    </w:p>
    <w:p w14:paraId="6595536E">
      <w:pPr>
        <w:pStyle w:val="32"/>
        <w:spacing w:line="440" w:lineRule="exact"/>
        <w:ind w:firstLine="720" w:firstLineChars="300"/>
        <w:rPr>
          <w:rFonts w:hAnsi="宋体" w:eastAsia="宋体"/>
          <w:color w:val="auto"/>
        </w:rPr>
      </w:pPr>
      <w:r>
        <w:rPr>
          <w:rFonts w:hint="eastAsia" w:hAnsi="宋体" w:eastAsia="宋体"/>
          <w:color w:val="auto"/>
        </w:rPr>
        <w:t>3）确定措施以消除危险源并降低职业健康安全风险；</w:t>
      </w:r>
    </w:p>
    <w:p w14:paraId="31F36738">
      <w:pPr>
        <w:pStyle w:val="32"/>
        <w:spacing w:line="440" w:lineRule="exact"/>
        <w:ind w:firstLine="720" w:firstLineChars="300"/>
        <w:rPr>
          <w:rFonts w:hAnsi="宋体" w:eastAsia="宋体"/>
          <w:color w:val="auto"/>
        </w:rPr>
      </w:pPr>
      <w:r>
        <w:rPr>
          <w:rFonts w:hint="eastAsia" w:hAnsi="宋体" w:eastAsia="宋体"/>
          <w:color w:val="auto"/>
        </w:rPr>
        <w:t>4）确定能力要求、培训需求、实施培训并评价培训；</w:t>
      </w:r>
    </w:p>
    <w:p w14:paraId="7F19F865">
      <w:pPr>
        <w:pStyle w:val="32"/>
        <w:spacing w:line="440" w:lineRule="exact"/>
        <w:ind w:firstLine="720" w:firstLineChars="300"/>
        <w:rPr>
          <w:rFonts w:hAnsi="宋体" w:eastAsia="宋体"/>
          <w:color w:val="auto"/>
        </w:rPr>
      </w:pPr>
      <w:r>
        <w:rPr>
          <w:rFonts w:hint="eastAsia" w:hAnsi="宋体" w:eastAsia="宋体"/>
          <w:color w:val="auto"/>
        </w:rPr>
        <w:t>5）确定需要沟通的事项和如何实施沟通；</w:t>
      </w:r>
    </w:p>
    <w:p w14:paraId="1F51CEA3">
      <w:pPr>
        <w:pStyle w:val="32"/>
        <w:spacing w:line="440" w:lineRule="exact"/>
        <w:ind w:firstLine="720" w:firstLineChars="300"/>
        <w:rPr>
          <w:rFonts w:hAnsi="宋体" w:eastAsia="宋体"/>
          <w:color w:val="auto"/>
        </w:rPr>
      </w:pPr>
      <w:r>
        <w:rPr>
          <w:rFonts w:hint="eastAsia" w:hAnsi="宋体" w:eastAsia="宋体"/>
          <w:color w:val="auto"/>
        </w:rPr>
        <w:t>6）确定控制措施及其有效实施和运用；</w:t>
      </w:r>
    </w:p>
    <w:p w14:paraId="121E08AA">
      <w:pPr>
        <w:pStyle w:val="32"/>
        <w:spacing w:line="440" w:lineRule="exact"/>
        <w:ind w:firstLine="720" w:firstLineChars="300"/>
        <w:rPr>
          <w:rFonts w:hAnsi="宋体" w:eastAsia="宋体"/>
          <w:color w:val="auto"/>
        </w:rPr>
      </w:pPr>
      <w:r>
        <w:rPr>
          <w:rFonts w:hint="eastAsia" w:hAnsi="宋体" w:eastAsia="宋体"/>
          <w:color w:val="auto"/>
        </w:rPr>
        <w:t xml:space="preserve">7）调查事件和不符合并确定纠正措施； </w:t>
      </w:r>
    </w:p>
    <w:p w14:paraId="66464156">
      <w:pPr>
        <w:pStyle w:val="32"/>
        <w:spacing w:line="440" w:lineRule="exact"/>
        <w:ind w:firstLine="720" w:firstLineChars="300"/>
        <w:rPr>
          <w:rFonts w:hAnsi="宋体" w:eastAsia="宋体"/>
          <w:color w:val="auto"/>
        </w:rPr>
      </w:pPr>
      <w:r>
        <w:rPr>
          <w:rFonts w:hint="eastAsia" w:hAnsi="宋体" w:eastAsia="宋体"/>
          <w:color w:val="auto"/>
        </w:rPr>
        <w:t xml:space="preserve">注2：强调非管理层员工的协商和参与旨在适用于从事工作活动的人员，但并不打算排除例如受工作活动或组织中的其他因素影响的管理人员。 </w:t>
      </w:r>
    </w:p>
    <w:p w14:paraId="481A4B38">
      <w:pPr>
        <w:pStyle w:val="32"/>
        <w:spacing w:line="440" w:lineRule="exact"/>
        <w:ind w:firstLine="720" w:firstLineChars="300"/>
        <w:rPr>
          <w:rFonts w:hAnsi="宋体" w:eastAsia="宋体"/>
          <w:color w:val="auto"/>
        </w:rPr>
      </w:pPr>
      <w:r>
        <w:rPr>
          <w:rFonts w:hint="eastAsia" w:hAnsi="宋体" w:eastAsia="宋体"/>
          <w:color w:val="auto"/>
        </w:rPr>
        <w:t>注3：众所周知，在可能的情况下向员工提供免费培训和在工作时间内提供培训，可以消除员工参与的重大障碍。</w:t>
      </w:r>
    </w:p>
    <w:p w14:paraId="0C5EF992">
      <w:pPr>
        <w:spacing w:line="360" w:lineRule="auto"/>
        <w:rPr>
          <w:rFonts w:cs="宋体" w:asciiTheme="minorEastAsia" w:hAnsiTheme="minorEastAsia"/>
          <w:b/>
          <w:sz w:val="24"/>
          <w:szCs w:val="24"/>
        </w:rPr>
      </w:pPr>
      <w:r>
        <w:rPr>
          <w:rFonts w:hint="eastAsia" w:cs="宋体" w:asciiTheme="minorEastAsia" w:hAnsiTheme="minorEastAsia"/>
          <w:b/>
          <w:sz w:val="24"/>
          <w:szCs w:val="24"/>
        </w:rPr>
        <w:t>6  策划</w:t>
      </w:r>
    </w:p>
    <w:p w14:paraId="58C1E03E">
      <w:pPr>
        <w:pStyle w:val="3"/>
        <w:spacing w:before="0" w:after="0" w:line="360" w:lineRule="auto"/>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6.1 应对风险和机遇的措施</w:t>
      </w:r>
    </w:p>
    <w:p w14:paraId="592CF2DC">
      <w:pPr>
        <w:autoSpaceDE w:val="0"/>
        <w:autoSpaceDN w:val="0"/>
        <w:adjustRightInd w:val="0"/>
        <w:spacing w:line="400" w:lineRule="exact"/>
        <w:jc w:val="left"/>
        <w:rPr>
          <w:rFonts w:cs="宋体" w:asciiTheme="minorEastAsia" w:hAnsiTheme="minorEastAsia"/>
          <w:sz w:val="24"/>
          <w:szCs w:val="24"/>
        </w:rPr>
      </w:pPr>
      <w:r>
        <w:rPr>
          <w:rFonts w:hint="eastAsia" w:cs="宋体" w:asciiTheme="minorEastAsia" w:hAnsiTheme="minorEastAsia"/>
          <w:sz w:val="24"/>
          <w:szCs w:val="24"/>
        </w:rPr>
        <w:t>6.1.1 公司管理层及相关部门随时关注 4.1 所述的因素和 4.2 中提及的要求，确定和评估所要面对的风险和机遇，调整管理体系目标和指标或变更管理过程以适应这些变化或实现改进。公司在策划质量管理体系时，考虑到影响公司目标和战略方向和管理体系绩效的内外因素和公司相关方的要求，确定需要应对的风险和机遇，以便：</w:t>
      </w:r>
    </w:p>
    <w:p w14:paraId="24F3DF80">
      <w:pPr>
        <w:autoSpaceDE w:val="0"/>
        <w:autoSpaceDN w:val="0"/>
        <w:adjustRightInd w:val="0"/>
        <w:spacing w:line="400" w:lineRule="exact"/>
        <w:ind w:firstLine="480" w:firstLineChars="200"/>
        <w:jc w:val="left"/>
        <w:rPr>
          <w:rFonts w:cs="宋体" w:asciiTheme="minorEastAsia" w:hAnsiTheme="minorEastAsia"/>
          <w:sz w:val="24"/>
          <w:szCs w:val="24"/>
        </w:rPr>
      </w:pPr>
      <w:r>
        <w:rPr>
          <w:rFonts w:cs="宋体" w:asciiTheme="minorEastAsia" w:hAnsiTheme="minorEastAsia"/>
          <w:sz w:val="24"/>
          <w:szCs w:val="24"/>
        </w:rPr>
        <w:t>a</w:t>
      </w:r>
      <w:r>
        <w:rPr>
          <w:rFonts w:hint="eastAsia" w:cs="宋体" w:asciiTheme="minorEastAsia" w:hAnsiTheme="minorEastAsia"/>
          <w:sz w:val="24"/>
          <w:szCs w:val="24"/>
        </w:rPr>
        <w:t>）确保质量管理体系能够实现其预期结果；</w:t>
      </w:r>
    </w:p>
    <w:p w14:paraId="3F94529D">
      <w:pPr>
        <w:autoSpaceDE w:val="0"/>
        <w:autoSpaceDN w:val="0"/>
        <w:adjustRightInd w:val="0"/>
        <w:spacing w:line="400" w:lineRule="exact"/>
        <w:ind w:firstLine="480" w:firstLineChars="200"/>
        <w:jc w:val="left"/>
        <w:rPr>
          <w:rFonts w:cs="宋体" w:asciiTheme="minorEastAsia" w:hAnsiTheme="minorEastAsia"/>
          <w:sz w:val="24"/>
          <w:szCs w:val="24"/>
        </w:rPr>
      </w:pPr>
      <w:r>
        <w:rPr>
          <w:rFonts w:cs="宋体" w:asciiTheme="minorEastAsia" w:hAnsiTheme="minorEastAsia"/>
          <w:sz w:val="24"/>
          <w:szCs w:val="24"/>
        </w:rPr>
        <w:t>b</w:t>
      </w:r>
      <w:r>
        <w:rPr>
          <w:rFonts w:hint="eastAsia" w:cs="宋体" w:asciiTheme="minorEastAsia" w:hAnsiTheme="minorEastAsia"/>
          <w:sz w:val="24"/>
          <w:szCs w:val="24"/>
        </w:rPr>
        <w:t>）增强有利影响；</w:t>
      </w:r>
    </w:p>
    <w:p w14:paraId="311F0580">
      <w:pPr>
        <w:autoSpaceDE w:val="0"/>
        <w:autoSpaceDN w:val="0"/>
        <w:adjustRightInd w:val="0"/>
        <w:spacing w:line="400" w:lineRule="exact"/>
        <w:ind w:firstLine="480" w:firstLineChars="200"/>
        <w:jc w:val="left"/>
        <w:rPr>
          <w:rFonts w:cs="宋体" w:asciiTheme="minorEastAsia" w:hAnsiTheme="minorEastAsia"/>
          <w:sz w:val="24"/>
          <w:szCs w:val="24"/>
        </w:rPr>
      </w:pPr>
      <w:r>
        <w:rPr>
          <w:rFonts w:cs="宋体" w:asciiTheme="minorEastAsia" w:hAnsiTheme="minorEastAsia"/>
          <w:sz w:val="24"/>
          <w:szCs w:val="24"/>
        </w:rPr>
        <w:t>c</w:t>
      </w:r>
      <w:r>
        <w:rPr>
          <w:rFonts w:hint="eastAsia" w:cs="宋体" w:asciiTheme="minorEastAsia" w:hAnsiTheme="minorEastAsia"/>
          <w:sz w:val="24"/>
          <w:szCs w:val="24"/>
        </w:rPr>
        <w:t>）避免或减少不利影响；</w:t>
      </w:r>
    </w:p>
    <w:p w14:paraId="2A349ADB">
      <w:pPr>
        <w:autoSpaceDE w:val="0"/>
        <w:autoSpaceDN w:val="0"/>
        <w:adjustRightInd w:val="0"/>
        <w:spacing w:line="400" w:lineRule="exact"/>
        <w:ind w:firstLine="480" w:firstLineChars="200"/>
        <w:jc w:val="left"/>
        <w:rPr>
          <w:rFonts w:cs="宋体" w:asciiTheme="minorEastAsia" w:hAnsiTheme="minorEastAsia"/>
          <w:sz w:val="24"/>
          <w:szCs w:val="24"/>
        </w:rPr>
      </w:pPr>
      <w:r>
        <w:rPr>
          <w:rFonts w:cs="宋体" w:asciiTheme="minorEastAsia" w:hAnsiTheme="minorEastAsia"/>
          <w:sz w:val="24"/>
          <w:szCs w:val="24"/>
        </w:rPr>
        <w:t>d</w:t>
      </w:r>
      <w:r>
        <w:rPr>
          <w:rFonts w:hint="eastAsia" w:cs="宋体" w:asciiTheme="minorEastAsia" w:hAnsiTheme="minorEastAsia"/>
          <w:sz w:val="24"/>
          <w:szCs w:val="24"/>
        </w:rPr>
        <w:t>）实现改进。</w:t>
      </w:r>
    </w:p>
    <w:p w14:paraId="5C6E78ED">
      <w:pPr>
        <w:spacing w:line="360" w:lineRule="auto"/>
        <w:rPr>
          <w:rFonts w:cs="宋体" w:asciiTheme="minorEastAsia" w:hAnsiTheme="minorEastAsia"/>
          <w:sz w:val="24"/>
          <w:szCs w:val="24"/>
        </w:rPr>
      </w:pPr>
      <w:r>
        <w:rPr>
          <w:rFonts w:hint="eastAsia" w:cs="宋体" w:asciiTheme="minorEastAsia" w:hAnsiTheme="minorEastAsia"/>
          <w:sz w:val="24"/>
          <w:szCs w:val="24"/>
        </w:rPr>
        <w:t>6.1.2 措施的策划</w:t>
      </w:r>
    </w:p>
    <w:p w14:paraId="623D89E9">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策划质量/环境/职业健康安全管理体系，公司应编制《风险和机遇的应对措施控制程序》，并考虑到内外部因素和相关方的要求，内外部环境要素信息的获取应考虑：</w:t>
      </w:r>
      <w:r>
        <w:rPr>
          <w:rFonts w:hint="eastAsia" w:ascii="宋体" w:cs="宋体"/>
          <w:kern w:val="0"/>
          <w:sz w:val="24"/>
          <w:szCs w:val="24"/>
        </w:rPr>
        <w:t>公司策划并制定了质量目标，并在相关职能、层次和过程进行分解。质量目标策划，变更和实施中应与质量方针保持一致；可测量；考虑到适用的要求；与提供合格产品和服务以及增强顾客满意相关，予以监视；予以沟通；适时更新。公司保留有关质量目标的实施和考核结果的记录。策划如何实现质量目标时，公司应确定：采取的措施；需要的资源；由谁负责；何时完成；如何评价结果。</w:t>
      </w:r>
    </w:p>
    <w:p w14:paraId="323A2E1C">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1）可能对企业的目标造成影响的变更和趋势；</w:t>
      </w:r>
    </w:p>
    <w:p w14:paraId="714AB616">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2）与相关方的关系，以及相关方的理念、价值观；</w:t>
      </w:r>
    </w:p>
    <w:p w14:paraId="76262C3A">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3）企业管理、战略优先、内部政策和承诺；</w:t>
      </w:r>
    </w:p>
    <w:p w14:paraId="211CD16A">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4）资源的获得和优先供给、技术变更；</w:t>
      </w:r>
    </w:p>
    <w:p w14:paraId="1B5DB37B">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5）与质量/环境/职业健康安全管理体系有关的相关方要求。</w:t>
      </w:r>
    </w:p>
    <w:p w14:paraId="1E256C9A">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xml:space="preserve">确定需要应对的风险和机遇，以便： </w:t>
      </w:r>
    </w:p>
    <w:p w14:paraId="0EA53A28">
      <w:pPr>
        <w:spacing w:line="360" w:lineRule="auto"/>
        <w:ind w:firstLine="523" w:firstLineChars="218"/>
        <w:rPr>
          <w:rFonts w:cs="宋体" w:asciiTheme="minorEastAsia" w:hAnsiTheme="minorEastAsia"/>
          <w:sz w:val="24"/>
          <w:szCs w:val="24"/>
        </w:rPr>
      </w:pPr>
      <w:bookmarkStart w:id="10" w:name="OLE_LINK28"/>
      <w:r>
        <w:rPr>
          <w:rFonts w:hint="eastAsia" w:cs="宋体" w:asciiTheme="minorEastAsia" w:hAnsiTheme="minorEastAsia"/>
          <w:sz w:val="24"/>
          <w:szCs w:val="24"/>
        </w:rPr>
        <w:t>a）</w:t>
      </w:r>
      <w:bookmarkEnd w:id="10"/>
      <w:r>
        <w:rPr>
          <w:rFonts w:hint="eastAsia" w:cs="宋体" w:asciiTheme="minorEastAsia" w:hAnsiTheme="minorEastAsia"/>
          <w:sz w:val="24"/>
          <w:szCs w:val="24"/>
        </w:rPr>
        <w:t xml:space="preserve">确保质量/环境/职业健康安全管理体系能够实现其预期结果； </w:t>
      </w:r>
    </w:p>
    <w:p w14:paraId="46A33991">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xml:space="preserve">b）增强有利影响； </w:t>
      </w:r>
    </w:p>
    <w:p w14:paraId="67EA5155">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c）预防或减少不期望的影响，包括外部环境状况对组织的潜在影响；</w:t>
      </w:r>
    </w:p>
    <w:p w14:paraId="64DFFD75">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xml:space="preserve">d）实现持续改进。 </w:t>
      </w:r>
    </w:p>
    <w:p w14:paraId="33268767">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组织应确定其环境管理体系范围内的潜在紧急情况，特别是那些可能具有环境影响的潜在紧急情况。</w:t>
      </w:r>
    </w:p>
    <w:p w14:paraId="11A85E4A">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组织应保持需要应对的风险和机遇的文件化信息。</w:t>
      </w:r>
    </w:p>
    <w:p w14:paraId="3A9F4CB8">
      <w:pPr>
        <w:spacing w:line="360" w:lineRule="auto"/>
        <w:rPr>
          <w:rFonts w:cs="宋体" w:asciiTheme="minorEastAsia" w:hAnsiTheme="minorEastAsia"/>
          <w:sz w:val="24"/>
          <w:szCs w:val="24"/>
        </w:rPr>
      </w:pPr>
      <w:r>
        <w:rPr>
          <w:rFonts w:hint="eastAsia" w:cs="宋体" w:asciiTheme="minorEastAsia" w:hAnsiTheme="minorEastAsia"/>
          <w:sz w:val="24"/>
          <w:szCs w:val="24"/>
        </w:rPr>
        <w:t>6.1.2.1 风险和机遇的识别</w:t>
      </w:r>
    </w:p>
    <w:p w14:paraId="0B97B322">
      <w:pPr>
        <w:spacing w:line="360" w:lineRule="auto"/>
        <w:ind w:firstLine="600" w:firstLineChars="250"/>
        <w:rPr>
          <w:rFonts w:cs="宋体" w:asciiTheme="minorEastAsia" w:hAnsiTheme="minorEastAsia"/>
          <w:sz w:val="24"/>
          <w:szCs w:val="24"/>
        </w:rPr>
      </w:pPr>
      <w:r>
        <w:rPr>
          <w:rFonts w:hint="eastAsia" w:cs="宋体" w:asciiTheme="minorEastAsia" w:hAnsiTheme="minorEastAsia"/>
          <w:sz w:val="24"/>
          <w:szCs w:val="24"/>
        </w:rPr>
        <w:t>通过以下人员和部门的工作和过程，关注 4.1 和 4.2 的变化，识别风险和机遇：</w:t>
      </w:r>
    </w:p>
    <w:p w14:paraId="3C234FBC">
      <w:pPr>
        <w:spacing w:line="360" w:lineRule="auto"/>
        <w:ind w:firstLine="600" w:firstLineChars="250"/>
        <w:rPr>
          <w:rFonts w:cs="宋体" w:asciiTheme="minorEastAsia" w:hAnsiTheme="minorEastAsia"/>
          <w:sz w:val="24"/>
          <w:szCs w:val="24"/>
        </w:rPr>
      </w:pPr>
      <w:r>
        <w:rPr>
          <w:rFonts w:hint="eastAsia" w:cs="宋体" w:asciiTheme="minorEastAsia" w:hAnsiTheme="minorEastAsia"/>
          <w:sz w:val="24"/>
          <w:szCs w:val="24"/>
        </w:rPr>
        <w:t xml:space="preserve">——公司管理层关注企业运营方面的风险和机遇，包括： </w:t>
      </w:r>
    </w:p>
    <w:p w14:paraId="207CF7FB">
      <w:pPr>
        <w:numPr>
          <w:ilvl w:val="0"/>
          <w:numId w:val="4"/>
        </w:numPr>
        <w:tabs>
          <w:tab w:val="left" w:pos="735"/>
          <w:tab w:val="clear" w:pos="945"/>
        </w:tabs>
        <w:spacing w:line="360" w:lineRule="auto"/>
        <w:ind w:firstLine="0"/>
        <w:rPr>
          <w:rFonts w:cs="宋体" w:asciiTheme="minorEastAsia" w:hAnsiTheme="minorEastAsia"/>
          <w:sz w:val="24"/>
          <w:szCs w:val="24"/>
        </w:rPr>
      </w:pPr>
      <w:r>
        <w:rPr>
          <w:rFonts w:hint="eastAsia" w:cs="宋体" w:asciiTheme="minorEastAsia" w:hAnsiTheme="minorEastAsia"/>
          <w:sz w:val="24"/>
          <w:szCs w:val="24"/>
        </w:rPr>
        <w:t>全球市场环境和发展趋势；</w:t>
      </w:r>
    </w:p>
    <w:p w14:paraId="21472A69">
      <w:pPr>
        <w:numPr>
          <w:ilvl w:val="0"/>
          <w:numId w:val="4"/>
        </w:numPr>
        <w:tabs>
          <w:tab w:val="left" w:pos="735"/>
          <w:tab w:val="clear" w:pos="945"/>
        </w:tabs>
        <w:spacing w:line="360" w:lineRule="auto"/>
        <w:ind w:firstLine="0"/>
        <w:rPr>
          <w:rFonts w:cs="宋体" w:asciiTheme="minorEastAsia" w:hAnsiTheme="minorEastAsia"/>
          <w:sz w:val="24"/>
          <w:szCs w:val="24"/>
        </w:rPr>
      </w:pPr>
      <w:r>
        <w:rPr>
          <w:rFonts w:hint="eastAsia" w:cs="宋体" w:asciiTheme="minorEastAsia" w:hAnsiTheme="minorEastAsia"/>
          <w:sz w:val="24"/>
          <w:szCs w:val="24"/>
        </w:rPr>
        <w:t>财务风险；</w:t>
      </w:r>
    </w:p>
    <w:p w14:paraId="693E9F2A">
      <w:pPr>
        <w:numPr>
          <w:ilvl w:val="0"/>
          <w:numId w:val="4"/>
        </w:numPr>
        <w:tabs>
          <w:tab w:val="left" w:pos="735"/>
          <w:tab w:val="clear" w:pos="945"/>
        </w:tabs>
        <w:spacing w:line="360" w:lineRule="auto"/>
        <w:ind w:firstLine="0"/>
        <w:rPr>
          <w:rFonts w:cs="宋体" w:asciiTheme="minorEastAsia" w:hAnsiTheme="minorEastAsia"/>
          <w:sz w:val="24"/>
          <w:szCs w:val="24"/>
        </w:rPr>
      </w:pPr>
      <w:r>
        <w:rPr>
          <w:rFonts w:hint="eastAsia" w:cs="宋体" w:asciiTheme="minorEastAsia" w:hAnsiTheme="minorEastAsia"/>
          <w:sz w:val="24"/>
          <w:szCs w:val="24"/>
        </w:rPr>
        <w:t>服务、生产产品质量水平；</w:t>
      </w:r>
    </w:p>
    <w:p w14:paraId="462B9550">
      <w:pPr>
        <w:numPr>
          <w:ilvl w:val="0"/>
          <w:numId w:val="4"/>
        </w:numPr>
        <w:tabs>
          <w:tab w:val="left" w:pos="735"/>
          <w:tab w:val="clear" w:pos="945"/>
        </w:tabs>
        <w:spacing w:line="360" w:lineRule="auto"/>
        <w:ind w:firstLine="0"/>
        <w:rPr>
          <w:rFonts w:cs="宋体" w:asciiTheme="minorEastAsia" w:hAnsiTheme="minorEastAsia"/>
          <w:sz w:val="24"/>
          <w:szCs w:val="24"/>
        </w:rPr>
      </w:pPr>
      <w:r>
        <w:rPr>
          <w:rFonts w:hint="eastAsia" w:cs="宋体" w:asciiTheme="minorEastAsia" w:hAnsiTheme="minorEastAsia"/>
          <w:sz w:val="24"/>
          <w:szCs w:val="24"/>
        </w:rPr>
        <w:t>法律法规风险。</w:t>
      </w:r>
    </w:p>
    <w:p w14:paraId="5DE25B6C">
      <w:pPr>
        <w:spacing w:line="360" w:lineRule="auto"/>
        <w:ind w:firstLine="600" w:firstLineChars="250"/>
        <w:rPr>
          <w:rFonts w:cs="宋体" w:asciiTheme="minorEastAsia" w:hAnsiTheme="minorEastAsia"/>
          <w:sz w:val="24"/>
          <w:szCs w:val="24"/>
        </w:rPr>
      </w:pPr>
      <w:r>
        <w:rPr>
          <w:rFonts w:hint="eastAsia" w:cs="宋体" w:asciiTheme="minorEastAsia" w:hAnsiTheme="minorEastAsia"/>
          <w:sz w:val="24"/>
          <w:szCs w:val="24"/>
        </w:rPr>
        <w:t>•辨识并评价本部门的环境因素、危险源，并按要求实施控制</w:t>
      </w:r>
    </w:p>
    <w:p w14:paraId="353C6A97">
      <w:pPr>
        <w:numPr>
          <w:ilvl w:val="0"/>
          <w:numId w:val="4"/>
        </w:numPr>
        <w:tabs>
          <w:tab w:val="left" w:pos="735"/>
          <w:tab w:val="clear" w:pos="945"/>
        </w:tabs>
        <w:spacing w:line="360" w:lineRule="auto"/>
        <w:ind w:firstLine="0"/>
        <w:rPr>
          <w:rFonts w:cs="宋体" w:asciiTheme="minorEastAsia" w:hAnsiTheme="minorEastAsia"/>
          <w:sz w:val="24"/>
          <w:szCs w:val="24"/>
        </w:rPr>
      </w:pPr>
      <w:r>
        <w:rPr>
          <w:rFonts w:hint="eastAsia" w:cs="宋体" w:asciiTheme="minorEastAsia" w:hAnsiTheme="minorEastAsia"/>
          <w:sz w:val="24"/>
          <w:szCs w:val="24"/>
        </w:rPr>
        <w:t>国内和国际市场环境及变化；</w:t>
      </w:r>
    </w:p>
    <w:p w14:paraId="65E1E21C">
      <w:pPr>
        <w:numPr>
          <w:ilvl w:val="0"/>
          <w:numId w:val="4"/>
        </w:numPr>
        <w:tabs>
          <w:tab w:val="left" w:pos="735"/>
          <w:tab w:val="clear" w:pos="945"/>
        </w:tabs>
        <w:spacing w:line="360" w:lineRule="auto"/>
        <w:ind w:firstLine="0"/>
        <w:rPr>
          <w:rFonts w:cs="宋体" w:asciiTheme="minorEastAsia" w:hAnsiTheme="minorEastAsia"/>
          <w:sz w:val="24"/>
          <w:szCs w:val="24"/>
        </w:rPr>
      </w:pPr>
      <w:r>
        <w:rPr>
          <w:rFonts w:hint="eastAsia" w:cs="宋体" w:asciiTheme="minorEastAsia" w:hAnsiTheme="minorEastAsia"/>
          <w:sz w:val="24"/>
          <w:szCs w:val="24"/>
        </w:rPr>
        <w:t>顾客的需求和潜在需求；</w:t>
      </w:r>
    </w:p>
    <w:p w14:paraId="3EBAB3A4">
      <w:pPr>
        <w:numPr>
          <w:ilvl w:val="0"/>
          <w:numId w:val="4"/>
        </w:numPr>
        <w:tabs>
          <w:tab w:val="left" w:pos="735"/>
          <w:tab w:val="clear" w:pos="945"/>
        </w:tabs>
        <w:spacing w:line="360" w:lineRule="auto"/>
        <w:ind w:firstLine="0"/>
        <w:rPr>
          <w:rFonts w:cs="宋体" w:asciiTheme="minorEastAsia" w:hAnsiTheme="minorEastAsia"/>
          <w:sz w:val="24"/>
          <w:szCs w:val="24"/>
        </w:rPr>
      </w:pPr>
      <w:r>
        <w:rPr>
          <w:rFonts w:hint="eastAsia" w:cs="宋体" w:asciiTheme="minorEastAsia" w:hAnsiTheme="minorEastAsia"/>
          <w:sz w:val="24"/>
          <w:szCs w:val="24"/>
        </w:rPr>
        <w:t>供应商资质对管理体系的影响；</w:t>
      </w:r>
    </w:p>
    <w:p w14:paraId="35E31C6C">
      <w:pPr>
        <w:numPr>
          <w:ilvl w:val="0"/>
          <w:numId w:val="4"/>
        </w:numPr>
        <w:tabs>
          <w:tab w:val="left" w:pos="735"/>
          <w:tab w:val="clear" w:pos="945"/>
        </w:tabs>
        <w:spacing w:line="360" w:lineRule="auto"/>
        <w:ind w:firstLine="0"/>
        <w:rPr>
          <w:rFonts w:cs="宋体" w:asciiTheme="minorEastAsia" w:hAnsiTheme="minorEastAsia"/>
          <w:sz w:val="24"/>
          <w:szCs w:val="24"/>
        </w:rPr>
      </w:pPr>
      <w:r>
        <w:rPr>
          <w:rFonts w:hint="eastAsia" w:cs="宋体" w:asciiTheme="minorEastAsia" w:hAnsiTheme="minorEastAsia"/>
          <w:sz w:val="24"/>
          <w:szCs w:val="24"/>
        </w:rPr>
        <w:t>供应商和外来人员在环境和职业健康安全方面的责任和义务；</w:t>
      </w:r>
    </w:p>
    <w:p w14:paraId="644C6F5B">
      <w:pPr>
        <w:numPr>
          <w:ilvl w:val="0"/>
          <w:numId w:val="4"/>
        </w:numPr>
        <w:tabs>
          <w:tab w:val="left" w:pos="735"/>
          <w:tab w:val="clear" w:pos="945"/>
        </w:tabs>
        <w:spacing w:line="360" w:lineRule="auto"/>
        <w:ind w:firstLine="0"/>
        <w:rPr>
          <w:rFonts w:cs="宋体" w:asciiTheme="minorEastAsia" w:hAnsiTheme="minorEastAsia"/>
          <w:sz w:val="24"/>
          <w:szCs w:val="24"/>
        </w:rPr>
      </w:pPr>
      <w:r>
        <w:rPr>
          <w:rFonts w:hint="eastAsia" w:cs="宋体" w:asciiTheme="minorEastAsia" w:hAnsiTheme="minorEastAsia"/>
          <w:sz w:val="24"/>
          <w:szCs w:val="24"/>
        </w:rPr>
        <w:t>合同执行过程中可能出现的风险。</w:t>
      </w:r>
    </w:p>
    <w:p w14:paraId="3C4CF6AB">
      <w:pPr>
        <w:spacing w:line="360" w:lineRule="auto"/>
        <w:ind w:firstLine="600" w:firstLineChars="250"/>
        <w:rPr>
          <w:rFonts w:cs="宋体" w:asciiTheme="minorEastAsia" w:hAnsiTheme="minorEastAsia"/>
          <w:sz w:val="24"/>
          <w:szCs w:val="24"/>
        </w:rPr>
      </w:pPr>
      <w:r>
        <w:rPr>
          <w:rFonts w:hint="eastAsia" w:cs="宋体" w:asciiTheme="minorEastAsia" w:hAnsiTheme="minorEastAsia"/>
          <w:sz w:val="24"/>
          <w:szCs w:val="24"/>
        </w:rPr>
        <w:t>——各部门关注与环境和职业健康安全有关的风险，包括：</w:t>
      </w:r>
    </w:p>
    <w:p w14:paraId="3BE75551">
      <w:pPr>
        <w:numPr>
          <w:ilvl w:val="0"/>
          <w:numId w:val="4"/>
        </w:numPr>
        <w:tabs>
          <w:tab w:val="left" w:pos="735"/>
          <w:tab w:val="clear" w:pos="945"/>
        </w:tabs>
        <w:spacing w:line="360" w:lineRule="auto"/>
        <w:ind w:firstLine="0"/>
        <w:rPr>
          <w:rFonts w:cs="宋体" w:asciiTheme="minorEastAsia" w:hAnsiTheme="minorEastAsia"/>
          <w:sz w:val="24"/>
          <w:szCs w:val="24"/>
        </w:rPr>
      </w:pPr>
      <w:r>
        <w:rPr>
          <w:rFonts w:hint="eastAsia" w:cs="宋体" w:asciiTheme="minorEastAsia" w:hAnsiTheme="minorEastAsia"/>
          <w:sz w:val="24"/>
          <w:szCs w:val="24"/>
        </w:rPr>
        <w:t>法律法规的变化及地方政府的要求；</w:t>
      </w:r>
    </w:p>
    <w:p w14:paraId="2CFB31DC">
      <w:pPr>
        <w:numPr>
          <w:ilvl w:val="0"/>
          <w:numId w:val="4"/>
        </w:numPr>
        <w:tabs>
          <w:tab w:val="left" w:pos="735"/>
          <w:tab w:val="clear" w:pos="945"/>
        </w:tabs>
        <w:spacing w:line="360" w:lineRule="auto"/>
        <w:ind w:firstLine="0"/>
        <w:rPr>
          <w:rFonts w:cs="宋体" w:asciiTheme="minorEastAsia" w:hAnsiTheme="minorEastAsia"/>
          <w:sz w:val="24"/>
          <w:szCs w:val="24"/>
        </w:rPr>
      </w:pPr>
      <w:r>
        <w:rPr>
          <w:rFonts w:hint="eastAsia" w:cs="宋体" w:asciiTheme="minorEastAsia" w:hAnsiTheme="minorEastAsia"/>
          <w:sz w:val="24"/>
          <w:szCs w:val="24"/>
        </w:rPr>
        <w:t>外部环境（包括空气、水质等）的变化；</w:t>
      </w:r>
    </w:p>
    <w:p w14:paraId="2A1D42E9">
      <w:pPr>
        <w:numPr>
          <w:ilvl w:val="0"/>
          <w:numId w:val="4"/>
        </w:numPr>
        <w:tabs>
          <w:tab w:val="left" w:pos="735"/>
          <w:tab w:val="clear" w:pos="945"/>
        </w:tabs>
        <w:spacing w:line="360" w:lineRule="auto"/>
        <w:ind w:firstLine="0"/>
        <w:rPr>
          <w:rFonts w:cs="宋体" w:asciiTheme="minorEastAsia" w:hAnsiTheme="minorEastAsia"/>
          <w:sz w:val="24"/>
          <w:szCs w:val="24"/>
        </w:rPr>
      </w:pPr>
      <w:r>
        <w:rPr>
          <w:rFonts w:hint="eastAsia" w:cs="宋体" w:asciiTheme="minorEastAsia" w:hAnsiTheme="minorEastAsia"/>
          <w:sz w:val="24"/>
          <w:szCs w:val="24"/>
        </w:rPr>
        <w:t>公司内重大环境因素和危险源；</w:t>
      </w:r>
    </w:p>
    <w:p w14:paraId="27C6260B">
      <w:pPr>
        <w:numPr>
          <w:ilvl w:val="0"/>
          <w:numId w:val="4"/>
        </w:numPr>
        <w:tabs>
          <w:tab w:val="left" w:pos="735"/>
          <w:tab w:val="clear" w:pos="945"/>
        </w:tabs>
        <w:spacing w:line="360" w:lineRule="auto"/>
        <w:ind w:firstLine="0"/>
        <w:rPr>
          <w:rFonts w:cs="宋体" w:asciiTheme="minorEastAsia" w:hAnsiTheme="minorEastAsia"/>
          <w:sz w:val="24"/>
          <w:szCs w:val="24"/>
        </w:rPr>
      </w:pPr>
      <w:r>
        <w:rPr>
          <w:rFonts w:hint="eastAsia" w:cs="宋体" w:asciiTheme="minorEastAsia" w:hAnsiTheme="minorEastAsia"/>
          <w:sz w:val="24"/>
          <w:szCs w:val="24"/>
        </w:rPr>
        <w:t>基础设施的完好情况对管理体系的影响；</w:t>
      </w:r>
    </w:p>
    <w:p w14:paraId="122D7FDE">
      <w:pPr>
        <w:spacing w:line="360" w:lineRule="auto"/>
        <w:ind w:firstLine="600" w:firstLineChars="250"/>
        <w:rPr>
          <w:rFonts w:cs="宋体" w:asciiTheme="minorEastAsia" w:hAnsiTheme="minorEastAsia"/>
          <w:sz w:val="24"/>
          <w:szCs w:val="24"/>
        </w:rPr>
      </w:pPr>
      <w:r>
        <w:rPr>
          <w:rFonts w:hint="eastAsia" w:cs="宋体" w:asciiTheme="minorEastAsia" w:hAnsiTheme="minorEastAsia"/>
          <w:sz w:val="24"/>
          <w:szCs w:val="24"/>
        </w:rPr>
        <w:t>——办公室关注人员和法律法规方面的风险，包括：</w:t>
      </w:r>
    </w:p>
    <w:p w14:paraId="49F9C595">
      <w:pPr>
        <w:numPr>
          <w:ilvl w:val="0"/>
          <w:numId w:val="4"/>
        </w:numPr>
        <w:tabs>
          <w:tab w:val="left" w:pos="735"/>
          <w:tab w:val="clear" w:pos="945"/>
        </w:tabs>
        <w:spacing w:line="360" w:lineRule="auto"/>
        <w:ind w:firstLine="0"/>
        <w:rPr>
          <w:rFonts w:cs="宋体" w:asciiTheme="minorEastAsia" w:hAnsiTheme="minorEastAsia"/>
          <w:sz w:val="24"/>
          <w:szCs w:val="24"/>
        </w:rPr>
      </w:pPr>
      <w:r>
        <w:rPr>
          <w:rFonts w:hint="eastAsia" w:cs="宋体" w:asciiTheme="minorEastAsia" w:hAnsiTheme="minorEastAsia"/>
          <w:sz w:val="24"/>
          <w:szCs w:val="24"/>
        </w:rPr>
        <w:t>与企业有关的所有法律法规要求的变化；</w:t>
      </w:r>
    </w:p>
    <w:p w14:paraId="4D5CDCA3">
      <w:pPr>
        <w:numPr>
          <w:ilvl w:val="0"/>
          <w:numId w:val="4"/>
        </w:numPr>
        <w:tabs>
          <w:tab w:val="left" w:pos="735"/>
          <w:tab w:val="clear" w:pos="945"/>
        </w:tabs>
        <w:spacing w:line="360" w:lineRule="auto"/>
        <w:ind w:firstLine="0"/>
        <w:rPr>
          <w:rFonts w:cs="宋体" w:asciiTheme="minorEastAsia" w:hAnsiTheme="minorEastAsia"/>
          <w:sz w:val="24"/>
          <w:szCs w:val="24"/>
        </w:rPr>
      </w:pPr>
      <w:r>
        <w:rPr>
          <w:rFonts w:hint="eastAsia" w:cs="宋体" w:asciiTheme="minorEastAsia" w:hAnsiTheme="minorEastAsia"/>
          <w:sz w:val="24"/>
          <w:szCs w:val="24"/>
        </w:rPr>
        <w:t>人员的意识和能力对管理体系的影响；</w:t>
      </w:r>
    </w:p>
    <w:p w14:paraId="2ABD66EE">
      <w:pPr>
        <w:numPr>
          <w:ilvl w:val="0"/>
          <w:numId w:val="4"/>
        </w:numPr>
        <w:tabs>
          <w:tab w:val="left" w:pos="735"/>
          <w:tab w:val="clear" w:pos="945"/>
        </w:tabs>
        <w:spacing w:line="360" w:lineRule="auto"/>
        <w:ind w:firstLine="0"/>
        <w:rPr>
          <w:rFonts w:cs="宋体" w:asciiTheme="minorEastAsia" w:hAnsiTheme="minorEastAsia"/>
          <w:sz w:val="24"/>
          <w:szCs w:val="24"/>
        </w:rPr>
      </w:pPr>
      <w:r>
        <w:rPr>
          <w:rFonts w:hint="eastAsia" w:cs="宋体" w:asciiTheme="minorEastAsia" w:hAnsiTheme="minorEastAsia"/>
          <w:sz w:val="24"/>
          <w:szCs w:val="24"/>
        </w:rPr>
        <w:t>合同的合规性。</w:t>
      </w:r>
    </w:p>
    <w:p w14:paraId="057129BA">
      <w:pPr>
        <w:spacing w:line="360" w:lineRule="auto"/>
        <w:ind w:firstLine="600" w:firstLineChars="250"/>
        <w:rPr>
          <w:rFonts w:cs="宋体" w:asciiTheme="minorEastAsia" w:hAnsiTheme="minorEastAsia"/>
          <w:sz w:val="24"/>
          <w:szCs w:val="24"/>
        </w:rPr>
      </w:pPr>
      <w:r>
        <w:rPr>
          <w:rFonts w:hint="eastAsia" w:cs="宋体" w:asciiTheme="minorEastAsia" w:hAnsiTheme="minorEastAsia"/>
          <w:sz w:val="24"/>
          <w:szCs w:val="24"/>
        </w:rPr>
        <w:t>——业务部关注与顾客满意程度有关的风险，包括：</w:t>
      </w:r>
    </w:p>
    <w:p w14:paraId="128C333C">
      <w:pPr>
        <w:numPr>
          <w:ilvl w:val="0"/>
          <w:numId w:val="4"/>
        </w:numPr>
        <w:tabs>
          <w:tab w:val="left" w:pos="735"/>
          <w:tab w:val="clear" w:pos="945"/>
        </w:tabs>
        <w:spacing w:line="360" w:lineRule="auto"/>
        <w:ind w:firstLine="0"/>
        <w:rPr>
          <w:rFonts w:cs="宋体" w:asciiTheme="minorEastAsia" w:hAnsiTheme="minorEastAsia"/>
          <w:sz w:val="24"/>
          <w:szCs w:val="24"/>
        </w:rPr>
      </w:pPr>
      <w:r>
        <w:rPr>
          <w:rFonts w:hint="eastAsia" w:cs="宋体" w:asciiTheme="minorEastAsia" w:hAnsiTheme="minorEastAsia"/>
          <w:sz w:val="24"/>
          <w:szCs w:val="24"/>
        </w:rPr>
        <w:t>顾客的需求和潜在需求；</w:t>
      </w:r>
    </w:p>
    <w:p w14:paraId="023E679E">
      <w:pPr>
        <w:numPr>
          <w:ilvl w:val="0"/>
          <w:numId w:val="4"/>
        </w:numPr>
        <w:tabs>
          <w:tab w:val="left" w:pos="735"/>
          <w:tab w:val="clear" w:pos="945"/>
        </w:tabs>
        <w:spacing w:line="360" w:lineRule="auto"/>
        <w:ind w:firstLine="0"/>
        <w:rPr>
          <w:rFonts w:cs="宋体" w:asciiTheme="minorEastAsia" w:hAnsiTheme="minorEastAsia"/>
          <w:sz w:val="24"/>
          <w:szCs w:val="24"/>
        </w:rPr>
      </w:pPr>
      <w:r>
        <w:rPr>
          <w:rFonts w:hint="eastAsia" w:cs="宋体" w:asciiTheme="minorEastAsia" w:hAnsiTheme="minorEastAsia"/>
          <w:sz w:val="24"/>
          <w:szCs w:val="24"/>
        </w:rPr>
        <w:t>用户对公司产品及测绘服务的满意程度；</w:t>
      </w:r>
    </w:p>
    <w:p w14:paraId="7178C41D">
      <w:pPr>
        <w:spacing w:line="360" w:lineRule="auto"/>
        <w:ind w:firstLine="600" w:firstLineChars="250"/>
        <w:rPr>
          <w:rFonts w:cs="宋体" w:asciiTheme="minorEastAsia" w:hAnsiTheme="minorEastAsia"/>
          <w:sz w:val="24"/>
          <w:szCs w:val="24"/>
        </w:rPr>
      </w:pPr>
      <w:r>
        <w:rPr>
          <w:rFonts w:hint="eastAsia" w:cs="宋体" w:asciiTheme="minorEastAsia" w:hAnsiTheme="minorEastAsia"/>
          <w:sz w:val="24"/>
          <w:szCs w:val="24"/>
        </w:rPr>
        <w:t>——生产部、质检部关注产品生产过程有关产品质量有关的风险，包括：</w:t>
      </w:r>
    </w:p>
    <w:p w14:paraId="15874F3B">
      <w:pPr>
        <w:numPr>
          <w:ilvl w:val="0"/>
          <w:numId w:val="4"/>
        </w:numPr>
        <w:tabs>
          <w:tab w:val="left" w:pos="735"/>
          <w:tab w:val="clear" w:pos="945"/>
        </w:tabs>
        <w:spacing w:line="360" w:lineRule="auto"/>
        <w:ind w:firstLine="0"/>
        <w:rPr>
          <w:rFonts w:cs="宋体" w:asciiTheme="minorEastAsia" w:hAnsiTheme="minorEastAsia"/>
          <w:sz w:val="24"/>
          <w:szCs w:val="24"/>
        </w:rPr>
      </w:pPr>
      <w:r>
        <w:rPr>
          <w:rFonts w:hint="eastAsia" w:cs="宋体" w:asciiTheme="minorEastAsia" w:hAnsiTheme="minorEastAsia"/>
          <w:sz w:val="24"/>
          <w:szCs w:val="24"/>
        </w:rPr>
        <w:t>过程检验、成品检验；</w:t>
      </w:r>
    </w:p>
    <w:p w14:paraId="5165209B">
      <w:pPr>
        <w:numPr>
          <w:ilvl w:val="0"/>
          <w:numId w:val="4"/>
        </w:numPr>
        <w:tabs>
          <w:tab w:val="left" w:pos="735"/>
          <w:tab w:val="clear" w:pos="945"/>
        </w:tabs>
        <w:spacing w:line="360" w:lineRule="auto"/>
        <w:ind w:firstLine="0"/>
        <w:rPr>
          <w:rFonts w:cs="宋体" w:asciiTheme="minorEastAsia" w:hAnsiTheme="minorEastAsia"/>
          <w:sz w:val="24"/>
          <w:szCs w:val="24"/>
        </w:rPr>
      </w:pPr>
      <w:r>
        <w:rPr>
          <w:rFonts w:hint="eastAsia" w:cs="宋体" w:asciiTheme="minorEastAsia" w:hAnsiTheme="minorEastAsia"/>
          <w:sz w:val="24"/>
          <w:szCs w:val="24"/>
        </w:rPr>
        <w:t>不合格品的控制；</w:t>
      </w:r>
    </w:p>
    <w:p w14:paraId="1C6A4583">
      <w:pPr>
        <w:spacing w:line="360" w:lineRule="auto"/>
        <w:ind w:firstLine="600" w:firstLineChars="250"/>
        <w:rPr>
          <w:rFonts w:cs="宋体" w:asciiTheme="minorEastAsia" w:hAnsiTheme="minorEastAsia"/>
          <w:sz w:val="24"/>
          <w:szCs w:val="24"/>
        </w:rPr>
      </w:pPr>
      <w:r>
        <w:rPr>
          <w:rFonts w:hint="eastAsia" w:cs="宋体" w:asciiTheme="minorEastAsia" w:hAnsiTheme="minorEastAsia"/>
          <w:sz w:val="24"/>
          <w:szCs w:val="24"/>
        </w:rPr>
        <w:t>——业务部关注产品营销过程有关的风险，包括：</w:t>
      </w:r>
    </w:p>
    <w:p w14:paraId="6454B9D7">
      <w:pPr>
        <w:numPr>
          <w:ilvl w:val="0"/>
          <w:numId w:val="4"/>
        </w:numPr>
        <w:tabs>
          <w:tab w:val="left" w:pos="735"/>
          <w:tab w:val="clear" w:pos="945"/>
        </w:tabs>
        <w:spacing w:line="360" w:lineRule="auto"/>
        <w:ind w:firstLine="0"/>
        <w:rPr>
          <w:rFonts w:cs="宋体" w:asciiTheme="minorEastAsia" w:hAnsiTheme="minorEastAsia"/>
          <w:sz w:val="24"/>
          <w:szCs w:val="24"/>
        </w:rPr>
      </w:pPr>
      <w:r>
        <w:rPr>
          <w:rFonts w:hint="eastAsia" w:cs="宋体" w:asciiTheme="minorEastAsia" w:hAnsiTheme="minorEastAsia"/>
          <w:sz w:val="24"/>
          <w:szCs w:val="24"/>
        </w:rPr>
        <w:t>销售产品不合格；</w:t>
      </w:r>
    </w:p>
    <w:p w14:paraId="5544B5DE">
      <w:pPr>
        <w:numPr>
          <w:ilvl w:val="0"/>
          <w:numId w:val="4"/>
        </w:numPr>
        <w:tabs>
          <w:tab w:val="left" w:pos="735"/>
          <w:tab w:val="clear" w:pos="945"/>
        </w:tabs>
        <w:spacing w:line="360" w:lineRule="auto"/>
        <w:ind w:firstLine="0"/>
        <w:rPr>
          <w:rFonts w:cs="宋体" w:asciiTheme="minorEastAsia" w:hAnsiTheme="minorEastAsia"/>
          <w:sz w:val="24"/>
          <w:szCs w:val="24"/>
        </w:rPr>
      </w:pPr>
      <w:r>
        <w:rPr>
          <w:rFonts w:hint="eastAsia" w:cs="宋体" w:asciiTheme="minorEastAsia" w:hAnsiTheme="minorEastAsia"/>
          <w:sz w:val="24"/>
          <w:szCs w:val="24"/>
        </w:rPr>
        <w:t>销售产品未能达到客户预期的目标；</w:t>
      </w:r>
    </w:p>
    <w:p w14:paraId="36E6742D">
      <w:pPr>
        <w:spacing w:line="360" w:lineRule="auto"/>
        <w:ind w:firstLine="600" w:firstLineChars="250"/>
        <w:rPr>
          <w:rFonts w:cs="宋体" w:asciiTheme="minorEastAsia" w:hAnsiTheme="minorEastAsia"/>
          <w:sz w:val="24"/>
          <w:szCs w:val="24"/>
        </w:rPr>
      </w:pPr>
      <w:r>
        <w:rPr>
          <w:rFonts w:hint="eastAsia" w:cs="宋体" w:asciiTheme="minorEastAsia" w:hAnsiTheme="minorEastAsia"/>
          <w:sz w:val="24"/>
          <w:szCs w:val="24"/>
        </w:rPr>
        <w:t>——财务部关注与财务有关的风险，包括：</w:t>
      </w:r>
    </w:p>
    <w:p w14:paraId="49BB2872">
      <w:pPr>
        <w:numPr>
          <w:ilvl w:val="0"/>
          <w:numId w:val="4"/>
        </w:numPr>
        <w:tabs>
          <w:tab w:val="left" w:pos="735"/>
          <w:tab w:val="clear" w:pos="945"/>
        </w:tabs>
        <w:spacing w:line="360" w:lineRule="auto"/>
        <w:ind w:firstLine="0"/>
        <w:rPr>
          <w:rFonts w:cs="宋体" w:asciiTheme="minorEastAsia" w:hAnsiTheme="minorEastAsia"/>
          <w:sz w:val="24"/>
          <w:szCs w:val="24"/>
        </w:rPr>
      </w:pPr>
      <w:r>
        <w:rPr>
          <w:rFonts w:hint="eastAsia" w:cs="宋体" w:asciiTheme="minorEastAsia" w:hAnsiTheme="minorEastAsia"/>
          <w:sz w:val="24"/>
          <w:szCs w:val="24"/>
        </w:rPr>
        <w:t>财务风险；</w:t>
      </w:r>
    </w:p>
    <w:p w14:paraId="7993713E">
      <w:pPr>
        <w:spacing w:line="360" w:lineRule="auto"/>
        <w:ind w:firstLine="600" w:firstLineChars="250"/>
        <w:rPr>
          <w:rFonts w:cs="宋体" w:asciiTheme="minorEastAsia" w:hAnsiTheme="minorEastAsia"/>
          <w:sz w:val="24"/>
          <w:szCs w:val="24"/>
        </w:rPr>
      </w:pPr>
      <w:r>
        <w:rPr>
          <w:rFonts w:hint="eastAsia" w:cs="宋体" w:asciiTheme="minorEastAsia" w:hAnsiTheme="minorEastAsia"/>
          <w:sz w:val="24"/>
          <w:szCs w:val="24"/>
        </w:rPr>
        <w:t>——所有部门关注与本部门有关的过程和部门归属地内可能的风险。</w:t>
      </w:r>
    </w:p>
    <w:p w14:paraId="59F403D4">
      <w:pPr>
        <w:spacing w:line="360" w:lineRule="auto"/>
        <w:rPr>
          <w:rFonts w:cs="宋体" w:asciiTheme="minorEastAsia" w:hAnsiTheme="minorEastAsia"/>
          <w:sz w:val="24"/>
          <w:szCs w:val="24"/>
        </w:rPr>
      </w:pPr>
      <w:r>
        <w:rPr>
          <w:rFonts w:hint="eastAsia" w:cs="宋体" w:asciiTheme="minorEastAsia" w:hAnsiTheme="minorEastAsia"/>
          <w:sz w:val="24"/>
          <w:szCs w:val="24"/>
        </w:rPr>
        <w:t>6.1.2.2 风险和机遇的评估</w:t>
      </w:r>
    </w:p>
    <w:p w14:paraId="7EA1CB1F">
      <w:pPr>
        <w:spacing w:line="360" w:lineRule="auto"/>
        <w:ind w:firstLine="600" w:firstLineChars="250"/>
        <w:rPr>
          <w:rFonts w:cs="宋体" w:asciiTheme="minorEastAsia" w:hAnsiTheme="minorEastAsia"/>
          <w:sz w:val="24"/>
          <w:szCs w:val="24"/>
        </w:rPr>
      </w:pPr>
      <w:r>
        <w:rPr>
          <w:rFonts w:hint="eastAsia" w:cs="宋体" w:asciiTheme="minorEastAsia" w:hAnsiTheme="minorEastAsia"/>
          <w:sz w:val="24"/>
          <w:szCs w:val="24"/>
        </w:rPr>
        <w:t>发现或管理风险的部门通过评审的方式对风险和机遇进行评估。根据重要程度，评审的形式可以是口头的、会议的或现场评价。评审的结论可包括：</w:t>
      </w:r>
    </w:p>
    <w:p w14:paraId="485CCEE8">
      <w:pPr>
        <w:spacing w:line="360" w:lineRule="auto"/>
        <w:ind w:firstLine="600" w:firstLineChars="250"/>
        <w:rPr>
          <w:rFonts w:cs="宋体" w:asciiTheme="minorEastAsia" w:hAnsiTheme="minorEastAsia"/>
          <w:sz w:val="24"/>
          <w:szCs w:val="24"/>
        </w:rPr>
      </w:pPr>
      <w:r>
        <w:rPr>
          <w:rFonts w:hint="eastAsia" w:cs="宋体" w:asciiTheme="minorEastAsia" w:hAnsiTheme="minorEastAsia"/>
          <w:sz w:val="24"/>
          <w:szCs w:val="24"/>
        </w:rPr>
        <w:t>——采取直接的措施规避风险；</w:t>
      </w:r>
    </w:p>
    <w:p w14:paraId="13BB024B">
      <w:pPr>
        <w:spacing w:line="360" w:lineRule="auto"/>
        <w:ind w:firstLine="600" w:firstLineChars="250"/>
        <w:rPr>
          <w:rFonts w:cs="宋体" w:asciiTheme="minorEastAsia" w:hAnsiTheme="minorEastAsia"/>
          <w:sz w:val="24"/>
          <w:szCs w:val="24"/>
        </w:rPr>
      </w:pPr>
      <w:r>
        <w:rPr>
          <w:rFonts w:hint="eastAsia" w:cs="宋体" w:asciiTheme="minorEastAsia" w:hAnsiTheme="minorEastAsia"/>
          <w:sz w:val="24"/>
          <w:szCs w:val="24"/>
        </w:rPr>
        <w:t>——采取间接措施改变风险的可能性和后果；</w:t>
      </w:r>
    </w:p>
    <w:p w14:paraId="2E58A821">
      <w:pPr>
        <w:spacing w:line="360" w:lineRule="auto"/>
        <w:ind w:firstLine="600" w:firstLineChars="250"/>
        <w:rPr>
          <w:rFonts w:cs="宋体" w:asciiTheme="minorEastAsia" w:hAnsiTheme="minorEastAsia"/>
          <w:sz w:val="24"/>
          <w:szCs w:val="24"/>
        </w:rPr>
      </w:pPr>
      <w:r>
        <w:rPr>
          <w:rFonts w:hint="eastAsia" w:cs="宋体" w:asciiTheme="minorEastAsia" w:hAnsiTheme="minorEastAsia"/>
          <w:sz w:val="24"/>
          <w:szCs w:val="24"/>
        </w:rPr>
        <w:t>——为寻求机遇承担风险；</w:t>
      </w:r>
    </w:p>
    <w:p w14:paraId="517D1B6B">
      <w:pPr>
        <w:spacing w:line="360" w:lineRule="auto"/>
        <w:ind w:firstLine="600" w:firstLineChars="250"/>
        <w:rPr>
          <w:rFonts w:cs="宋体" w:asciiTheme="minorEastAsia" w:hAnsiTheme="minorEastAsia"/>
          <w:sz w:val="24"/>
          <w:szCs w:val="24"/>
        </w:rPr>
      </w:pPr>
      <w:r>
        <w:rPr>
          <w:rFonts w:hint="eastAsia" w:cs="宋体" w:asciiTheme="minorEastAsia" w:hAnsiTheme="minorEastAsia"/>
          <w:sz w:val="24"/>
          <w:szCs w:val="24"/>
        </w:rPr>
        <w:t xml:space="preserve">——消除风险源以便杜绝风险。 </w:t>
      </w:r>
    </w:p>
    <w:p w14:paraId="687900DD">
      <w:pPr>
        <w:spacing w:line="360" w:lineRule="auto"/>
        <w:ind w:firstLine="600" w:firstLineChars="250"/>
        <w:rPr>
          <w:rFonts w:cs="宋体" w:asciiTheme="minorEastAsia" w:hAnsiTheme="minorEastAsia"/>
          <w:sz w:val="24"/>
          <w:szCs w:val="24"/>
        </w:rPr>
      </w:pPr>
      <w:r>
        <w:rPr>
          <w:rFonts w:hint="eastAsia" w:cs="宋体" w:asciiTheme="minorEastAsia" w:hAnsiTheme="minorEastAsia"/>
          <w:sz w:val="24"/>
          <w:szCs w:val="24"/>
        </w:rPr>
        <w:t>关于风险和机遇的会议和现场评价由组织评价的部门保留记录。法律法规方面的风险不需要评估，由相关部门按法规要求执行，必要时由管理层推动执行。</w:t>
      </w:r>
    </w:p>
    <w:p w14:paraId="6BFA0ECF">
      <w:pPr>
        <w:spacing w:line="360" w:lineRule="auto"/>
        <w:rPr>
          <w:rFonts w:cs="宋体" w:asciiTheme="minorEastAsia" w:hAnsiTheme="minorEastAsia"/>
          <w:sz w:val="24"/>
          <w:szCs w:val="24"/>
        </w:rPr>
      </w:pPr>
      <w:r>
        <w:rPr>
          <w:rFonts w:hint="eastAsia" w:cs="宋体" w:asciiTheme="minorEastAsia" w:hAnsiTheme="minorEastAsia"/>
          <w:sz w:val="24"/>
          <w:szCs w:val="24"/>
        </w:rPr>
        <w:t>6.1.2.3 风险和机遇的管理</w:t>
      </w:r>
    </w:p>
    <w:p w14:paraId="28310324">
      <w:pPr>
        <w:spacing w:line="360" w:lineRule="auto"/>
        <w:ind w:firstLine="480" w:firstLineChars="200"/>
        <w:rPr>
          <w:rFonts w:cs="宋体" w:asciiTheme="minorEastAsia" w:hAnsiTheme="minorEastAsia"/>
          <w:sz w:val="24"/>
          <w:szCs w:val="24"/>
        </w:rPr>
      </w:pPr>
      <w:r>
        <w:rPr>
          <w:rFonts w:hint="eastAsia" w:cs="宋体" w:asciiTheme="minorEastAsia" w:hAnsiTheme="minorEastAsia"/>
          <w:sz w:val="24"/>
          <w:szCs w:val="24"/>
        </w:rPr>
        <w:t>按部门职责划分，相关部门根据评价的结果采取必要的措施，定期检查和验证措施的有效性。</w:t>
      </w:r>
    </w:p>
    <w:p w14:paraId="1E70271E">
      <w:pPr>
        <w:spacing w:line="360" w:lineRule="auto"/>
        <w:rPr>
          <w:rFonts w:cs="宋体" w:asciiTheme="minorEastAsia" w:hAnsiTheme="minorEastAsia"/>
          <w:sz w:val="24"/>
          <w:szCs w:val="24"/>
        </w:rPr>
      </w:pPr>
      <w:r>
        <w:rPr>
          <w:rFonts w:hint="eastAsia" w:cs="宋体" w:asciiTheme="minorEastAsia" w:hAnsiTheme="minorEastAsia"/>
          <w:sz w:val="24"/>
          <w:szCs w:val="24"/>
        </w:rPr>
        <w:t>6.1.3 环境因素</w:t>
      </w:r>
    </w:p>
    <w:p w14:paraId="165596BC">
      <w:pPr>
        <w:spacing w:line="360" w:lineRule="auto"/>
        <w:rPr>
          <w:rFonts w:cs="宋体" w:asciiTheme="minorEastAsia" w:hAnsiTheme="minorEastAsia"/>
          <w:sz w:val="24"/>
          <w:szCs w:val="24"/>
        </w:rPr>
      </w:pPr>
      <w:r>
        <w:rPr>
          <w:rFonts w:hint="eastAsia" w:cs="宋体" w:asciiTheme="minorEastAsia" w:hAnsiTheme="minorEastAsia"/>
          <w:sz w:val="24"/>
          <w:szCs w:val="24"/>
        </w:rPr>
        <w:t>6.1.3.1 总则</w:t>
      </w:r>
    </w:p>
    <w:p w14:paraId="46B7E925">
      <w:pPr>
        <w:spacing w:line="360" w:lineRule="auto"/>
        <w:ind w:firstLine="480" w:firstLineChars="200"/>
        <w:rPr>
          <w:rFonts w:cs="宋体" w:asciiTheme="minorEastAsia" w:hAnsiTheme="minorEastAsia"/>
          <w:sz w:val="24"/>
          <w:szCs w:val="24"/>
        </w:rPr>
      </w:pPr>
      <w:r>
        <w:rPr>
          <w:rFonts w:hint="eastAsia" w:cs="宋体" w:asciiTheme="minorEastAsia" w:hAnsiTheme="minorEastAsia"/>
          <w:sz w:val="24"/>
          <w:szCs w:val="24"/>
        </w:rPr>
        <w:t>公司制定并实施《环境因素的识别与评价控制程序》，以确保：</w:t>
      </w:r>
    </w:p>
    <w:p w14:paraId="1C2B43C9">
      <w:pPr>
        <w:spacing w:line="360" w:lineRule="auto"/>
        <w:ind w:firstLine="600" w:firstLineChars="250"/>
        <w:rPr>
          <w:rFonts w:cs="宋体" w:asciiTheme="minorEastAsia" w:hAnsiTheme="minorEastAsia"/>
          <w:sz w:val="24"/>
          <w:szCs w:val="24"/>
        </w:rPr>
      </w:pPr>
      <w:r>
        <w:rPr>
          <w:rFonts w:hint="eastAsia" w:cs="宋体" w:asciiTheme="minorEastAsia" w:hAnsiTheme="minorEastAsia"/>
          <w:sz w:val="24"/>
          <w:szCs w:val="24"/>
        </w:rPr>
        <w:t>a) 持续识别、确定环境因素，进行环境因素评价，确定重要环境因素，进行控制策划，并为制定目标和指标、运行控制提供依据；</w:t>
      </w:r>
    </w:p>
    <w:p w14:paraId="7F76B78D">
      <w:pPr>
        <w:spacing w:line="360" w:lineRule="auto"/>
        <w:ind w:firstLine="600" w:firstLineChars="250"/>
        <w:rPr>
          <w:rFonts w:cs="宋体" w:asciiTheme="minorEastAsia" w:hAnsiTheme="minorEastAsia"/>
          <w:sz w:val="24"/>
          <w:szCs w:val="24"/>
        </w:rPr>
      </w:pPr>
      <w:r>
        <w:rPr>
          <w:rFonts w:hint="eastAsia" w:cs="宋体" w:asciiTheme="minorEastAsia" w:hAnsiTheme="minorEastAsia"/>
          <w:sz w:val="24"/>
          <w:szCs w:val="24"/>
        </w:rPr>
        <w:t>b) 识别异常状况和可合理预见的紧急情况，及时更新上述环境因素的信息。</w:t>
      </w:r>
    </w:p>
    <w:p w14:paraId="0F3C0C55">
      <w:pPr>
        <w:spacing w:line="360" w:lineRule="auto"/>
        <w:rPr>
          <w:rFonts w:cs="宋体" w:asciiTheme="minorEastAsia" w:hAnsiTheme="minorEastAsia"/>
          <w:sz w:val="24"/>
          <w:szCs w:val="24"/>
        </w:rPr>
      </w:pPr>
      <w:r>
        <w:rPr>
          <w:rFonts w:hint="eastAsia" w:cs="宋体" w:asciiTheme="minorEastAsia" w:hAnsiTheme="minorEastAsia"/>
          <w:sz w:val="24"/>
          <w:szCs w:val="24"/>
        </w:rPr>
        <w:t>6.1.3.2 环境因素识别</w:t>
      </w:r>
    </w:p>
    <w:p w14:paraId="13955CCB">
      <w:pPr>
        <w:spacing w:line="360" w:lineRule="auto"/>
        <w:ind w:firstLine="600" w:firstLineChars="250"/>
        <w:rPr>
          <w:rFonts w:cs="宋体" w:asciiTheme="minorEastAsia" w:hAnsiTheme="minorEastAsia"/>
          <w:sz w:val="24"/>
          <w:szCs w:val="24"/>
        </w:rPr>
      </w:pPr>
      <w:r>
        <w:rPr>
          <w:rFonts w:hint="eastAsia" w:cs="宋体" w:asciiTheme="minorEastAsia" w:hAnsiTheme="minorEastAsia"/>
          <w:sz w:val="24"/>
          <w:szCs w:val="24"/>
        </w:rPr>
        <w:t>a) 办公室按《环境因素的识别与评价控制程序》的要求，组织各部门人员进行环境因素的识别和评价，利用过程分析、现场观察、查阅文件、交流等方式进行环境识别；识别出本公司管理活动中能够控制以及可以期望对它施加影响的环境因素，并判定对环境具有或可能具有重大影响的因素；</w:t>
      </w:r>
    </w:p>
    <w:p w14:paraId="00FEC91C">
      <w:pPr>
        <w:spacing w:line="360" w:lineRule="auto"/>
        <w:ind w:firstLine="600" w:firstLineChars="250"/>
        <w:rPr>
          <w:rFonts w:cs="宋体" w:asciiTheme="minorEastAsia" w:hAnsiTheme="minorEastAsia"/>
          <w:sz w:val="24"/>
          <w:szCs w:val="24"/>
        </w:rPr>
      </w:pPr>
      <w:r>
        <w:rPr>
          <w:rFonts w:hint="eastAsia" w:cs="宋体" w:asciiTheme="minorEastAsia" w:hAnsiTheme="minorEastAsia"/>
          <w:sz w:val="24"/>
          <w:szCs w:val="24"/>
        </w:rPr>
        <w:t>b) 环境因素识别应覆盖公司的服务过程及相关活动以及公司办公场所、服务过程和活动；并考虑正常、异常和紧急三种状态，过去、现在和将来三种时态，以及向大气排放、向水体排放、 向土地的排放、原物料和自然资源使用、能源的使用、能量释放（如热、振动等）、废物管理等方面。</w:t>
      </w:r>
    </w:p>
    <w:p w14:paraId="21CB196F">
      <w:pPr>
        <w:spacing w:line="360" w:lineRule="auto"/>
        <w:rPr>
          <w:rFonts w:cs="宋体" w:asciiTheme="minorEastAsia" w:hAnsiTheme="minorEastAsia"/>
          <w:sz w:val="24"/>
          <w:szCs w:val="24"/>
        </w:rPr>
      </w:pPr>
      <w:r>
        <w:rPr>
          <w:rFonts w:hint="eastAsia" w:cs="宋体" w:asciiTheme="minorEastAsia" w:hAnsiTheme="minorEastAsia"/>
          <w:sz w:val="24"/>
          <w:szCs w:val="24"/>
        </w:rPr>
        <w:t>6.1.3.3 环境因素评价</w:t>
      </w:r>
    </w:p>
    <w:p w14:paraId="60DB6E74">
      <w:pPr>
        <w:spacing w:line="360" w:lineRule="auto"/>
        <w:ind w:firstLine="480" w:firstLineChars="200"/>
        <w:rPr>
          <w:rFonts w:cs="宋体" w:asciiTheme="minorEastAsia" w:hAnsiTheme="minorEastAsia"/>
          <w:sz w:val="24"/>
          <w:szCs w:val="24"/>
        </w:rPr>
      </w:pPr>
      <w:r>
        <w:rPr>
          <w:rFonts w:hint="eastAsia" w:cs="宋体" w:asciiTheme="minorEastAsia" w:hAnsiTheme="minorEastAsia"/>
          <w:sz w:val="24"/>
          <w:szCs w:val="24"/>
        </w:rPr>
        <w:t>根据环境因素影响范围与程度、法律法规要求、相关方关注程度或合理要求、引起污染事故或紧急情况的可能性、资源和能源的消耗量与可节约程度等，采用是非判断法和打分法进行环境因素评价，确定重要环境因素。对评价出的重大环境因素要制定目标、指标和方案，进行控制或制定运行控制程序，以及应急和响应程序，加强控制管理与防范。</w:t>
      </w:r>
    </w:p>
    <w:p w14:paraId="6B253FD2">
      <w:pPr>
        <w:spacing w:line="360" w:lineRule="auto"/>
        <w:rPr>
          <w:rFonts w:cs="宋体" w:asciiTheme="minorEastAsia" w:hAnsiTheme="minorEastAsia"/>
          <w:sz w:val="24"/>
          <w:szCs w:val="24"/>
        </w:rPr>
      </w:pPr>
      <w:r>
        <w:rPr>
          <w:rFonts w:hint="eastAsia" w:cs="宋体" w:asciiTheme="minorEastAsia" w:hAnsiTheme="minorEastAsia"/>
          <w:sz w:val="24"/>
          <w:szCs w:val="24"/>
        </w:rPr>
        <w:t>6.1.3.4 控制策划</w:t>
      </w:r>
    </w:p>
    <w:p w14:paraId="0EF2F789">
      <w:pPr>
        <w:spacing w:line="360" w:lineRule="auto"/>
        <w:ind w:firstLine="480" w:firstLineChars="200"/>
        <w:rPr>
          <w:rFonts w:cs="宋体" w:asciiTheme="minorEastAsia" w:hAnsiTheme="minorEastAsia"/>
          <w:sz w:val="24"/>
          <w:szCs w:val="24"/>
        </w:rPr>
      </w:pPr>
      <w:r>
        <w:rPr>
          <w:rFonts w:hint="eastAsia" w:cs="宋体" w:asciiTheme="minorEastAsia" w:hAnsiTheme="minorEastAsia"/>
          <w:sz w:val="24"/>
          <w:szCs w:val="24"/>
        </w:rPr>
        <w:t>从目标、指标和管理方案、运行控制等方面，对重要环境因素进行控制策划；对异常状况和可合理预见的紧急情况，从应急准备与响应方面策划所需的控制。</w:t>
      </w:r>
    </w:p>
    <w:p w14:paraId="5D28BF00">
      <w:pPr>
        <w:spacing w:line="360" w:lineRule="auto"/>
        <w:rPr>
          <w:rFonts w:cs="宋体" w:asciiTheme="minorEastAsia" w:hAnsiTheme="minorEastAsia"/>
          <w:sz w:val="24"/>
          <w:szCs w:val="24"/>
        </w:rPr>
      </w:pPr>
      <w:r>
        <w:rPr>
          <w:rFonts w:hint="eastAsia" w:cs="宋体" w:asciiTheme="minorEastAsia" w:hAnsiTheme="minorEastAsia"/>
          <w:sz w:val="24"/>
          <w:szCs w:val="24"/>
        </w:rPr>
        <w:t>6.1.3.5 环境因素更新</w:t>
      </w:r>
    </w:p>
    <w:p w14:paraId="5AD15846">
      <w:pPr>
        <w:spacing w:line="360" w:lineRule="auto"/>
        <w:ind w:firstLine="600" w:firstLineChars="250"/>
        <w:rPr>
          <w:rFonts w:cs="宋体" w:asciiTheme="minorEastAsia" w:hAnsiTheme="minorEastAsia"/>
          <w:sz w:val="24"/>
          <w:szCs w:val="24"/>
        </w:rPr>
      </w:pPr>
      <w:r>
        <w:rPr>
          <w:rFonts w:hint="eastAsia" w:cs="宋体" w:asciiTheme="minorEastAsia" w:hAnsiTheme="minorEastAsia"/>
          <w:sz w:val="24"/>
          <w:szCs w:val="24"/>
        </w:rPr>
        <w:t>a) 根据监测结果，通过管理评审或每年一次对环境因素进一步评价，确定是否需要更新；</w:t>
      </w:r>
    </w:p>
    <w:p w14:paraId="0EAC20B5">
      <w:pPr>
        <w:spacing w:line="360" w:lineRule="auto"/>
        <w:ind w:firstLine="600" w:firstLineChars="250"/>
        <w:rPr>
          <w:rFonts w:cs="宋体" w:asciiTheme="minorEastAsia" w:hAnsiTheme="minorEastAsia"/>
          <w:sz w:val="24"/>
          <w:szCs w:val="24"/>
        </w:rPr>
      </w:pPr>
      <w:r>
        <w:rPr>
          <w:rFonts w:hint="eastAsia" w:cs="宋体" w:asciiTheme="minorEastAsia" w:hAnsiTheme="minorEastAsia"/>
          <w:sz w:val="24"/>
          <w:szCs w:val="24"/>
        </w:rPr>
        <w:t>b) 当出现方针变更、产品、过程及相关活动变化、法律法规变化、审核与评审要求、相关方要求等情况时，应评价并更新环境因素，需要时予以更新；</w:t>
      </w:r>
    </w:p>
    <w:p w14:paraId="78FA7436">
      <w:pPr>
        <w:spacing w:line="360" w:lineRule="auto"/>
        <w:ind w:firstLine="600" w:firstLineChars="250"/>
        <w:rPr>
          <w:rFonts w:cs="宋体" w:asciiTheme="minorEastAsia" w:hAnsiTheme="minorEastAsia"/>
          <w:sz w:val="24"/>
          <w:szCs w:val="24"/>
        </w:rPr>
      </w:pPr>
      <w:r>
        <w:rPr>
          <w:rFonts w:hint="eastAsia" w:cs="宋体" w:asciiTheme="minorEastAsia" w:hAnsiTheme="minorEastAsia"/>
          <w:sz w:val="24"/>
          <w:szCs w:val="24"/>
        </w:rPr>
        <w:t>c) 实施更新后，应及时更改相关文件、资料，并传递到使用的场所。</w:t>
      </w:r>
    </w:p>
    <w:p w14:paraId="65888EB7">
      <w:pPr>
        <w:spacing w:line="360" w:lineRule="auto"/>
        <w:rPr>
          <w:rFonts w:cs="宋体" w:asciiTheme="minorEastAsia" w:hAnsiTheme="minorEastAsia"/>
          <w:sz w:val="24"/>
          <w:szCs w:val="24"/>
        </w:rPr>
      </w:pPr>
      <w:r>
        <w:rPr>
          <w:rFonts w:hint="eastAsia" w:cs="宋体" w:asciiTheme="minorEastAsia" w:hAnsiTheme="minorEastAsia"/>
          <w:sz w:val="24"/>
          <w:szCs w:val="24"/>
        </w:rPr>
        <w:t>6.1.4 危险源辨识、风险评价和风险控制措施的确定</w:t>
      </w:r>
    </w:p>
    <w:p w14:paraId="397C76F6">
      <w:pPr>
        <w:spacing w:line="360" w:lineRule="auto"/>
        <w:rPr>
          <w:rFonts w:cs="宋体" w:asciiTheme="minorEastAsia" w:hAnsiTheme="minorEastAsia"/>
          <w:sz w:val="24"/>
          <w:szCs w:val="24"/>
        </w:rPr>
      </w:pPr>
      <w:r>
        <w:rPr>
          <w:rFonts w:hint="eastAsia" w:cs="宋体" w:asciiTheme="minorEastAsia" w:hAnsiTheme="minorEastAsia"/>
          <w:sz w:val="24"/>
          <w:szCs w:val="24"/>
        </w:rPr>
        <w:t>6.1.4.1 总则</w:t>
      </w:r>
    </w:p>
    <w:p w14:paraId="4937376F">
      <w:pPr>
        <w:spacing w:line="360" w:lineRule="auto"/>
        <w:ind w:firstLine="480" w:firstLineChars="200"/>
        <w:rPr>
          <w:rFonts w:cs="宋体" w:asciiTheme="minorEastAsia" w:hAnsiTheme="minorEastAsia"/>
          <w:sz w:val="24"/>
          <w:szCs w:val="24"/>
        </w:rPr>
      </w:pPr>
      <w:r>
        <w:rPr>
          <w:rFonts w:hint="eastAsia" w:cs="宋体" w:asciiTheme="minorEastAsia" w:hAnsiTheme="minorEastAsia"/>
          <w:sz w:val="24"/>
          <w:szCs w:val="24"/>
        </w:rPr>
        <w:t>公司制定并实施《危险源辨识、风险评价控制程序》，在公司活动、服务过程中辨识和确定危险源的存在、性质，评价危险源的风险程度，确定重大危险源，制定相应的管理方案，以预防、降低或消除职业健康安全风险。</w:t>
      </w:r>
    </w:p>
    <w:p w14:paraId="5EE55579">
      <w:pPr>
        <w:spacing w:line="360" w:lineRule="auto"/>
        <w:rPr>
          <w:rFonts w:cs="宋体" w:asciiTheme="minorEastAsia" w:hAnsiTheme="minorEastAsia"/>
          <w:sz w:val="24"/>
          <w:szCs w:val="24"/>
        </w:rPr>
      </w:pPr>
      <w:r>
        <w:rPr>
          <w:rFonts w:hint="eastAsia" w:cs="宋体" w:asciiTheme="minorEastAsia" w:hAnsiTheme="minorEastAsia"/>
          <w:sz w:val="24"/>
          <w:szCs w:val="24"/>
        </w:rPr>
        <w:t>6.1.4.2 危险源辨识的方法</w:t>
      </w:r>
    </w:p>
    <w:p w14:paraId="573FA461">
      <w:pPr>
        <w:spacing w:line="360" w:lineRule="auto"/>
        <w:ind w:firstLine="600" w:firstLineChars="250"/>
        <w:rPr>
          <w:rFonts w:cs="宋体" w:asciiTheme="minorEastAsia" w:hAnsiTheme="minorEastAsia"/>
          <w:sz w:val="24"/>
          <w:szCs w:val="24"/>
        </w:rPr>
      </w:pPr>
      <w:r>
        <w:rPr>
          <w:rFonts w:hint="eastAsia" w:cs="宋体" w:asciiTheme="minorEastAsia" w:hAnsiTheme="minorEastAsia"/>
          <w:sz w:val="24"/>
          <w:szCs w:val="24"/>
        </w:rPr>
        <w:t>公司用于危险源辨识和风险评价的方法应：在范围、性质和时机方面进行界定，以确保其是主动的而非被动的；提供风险的确认、风险优先次序的区分和风险文件的形成以及适当时控制措施的运用。危险源辨识和风险评价的程序应考虑：</w:t>
      </w:r>
    </w:p>
    <w:p w14:paraId="4074D714">
      <w:pPr>
        <w:spacing w:line="360" w:lineRule="auto"/>
        <w:ind w:firstLine="600" w:firstLineChars="250"/>
        <w:rPr>
          <w:rFonts w:cs="宋体" w:asciiTheme="minorEastAsia" w:hAnsiTheme="minorEastAsia"/>
          <w:sz w:val="24"/>
          <w:szCs w:val="24"/>
        </w:rPr>
      </w:pPr>
      <w:r>
        <w:rPr>
          <w:rFonts w:hint="eastAsia" w:cs="宋体" w:asciiTheme="minorEastAsia" w:hAnsiTheme="minorEastAsia"/>
          <w:sz w:val="24"/>
          <w:szCs w:val="24"/>
        </w:rPr>
        <w:t>a) 常规和非常规活动；</w:t>
      </w:r>
    </w:p>
    <w:p w14:paraId="35C0C0D0">
      <w:pPr>
        <w:spacing w:line="360" w:lineRule="auto"/>
        <w:ind w:firstLine="600" w:firstLineChars="250"/>
        <w:rPr>
          <w:rFonts w:cs="宋体" w:asciiTheme="minorEastAsia" w:hAnsiTheme="minorEastAsia"/>
          <w:sz w:val="24"/>
          <w:szCs w:val="24"/>
        </w:rPr>
      </w:pPr>
      <w:r>
        <w:rPr>
          <w:rFonts w:hint="eastAsia" w:cs="宋体" w:asciiTheme="minorEastAsia" w:hAnsiTheme="minorEastAsia"/>
          <w:sz w:val="24"/>
          <w:szCs w:val="24"/>
        </w:rPr>
        <w:t>b) 所有进入公司管辖范围的工作场所的人员的活动；</w:t>
      </w:r>
    </w:p>
    <w:p w14:paraId="5651B17B">
      <w:pPr>
        <w:spacing w:line="360" w:lineRule="auto"/>
        <w:ind w:firstLine="600" w:firstLineChars="250"/>
        <w:rPr>
          <w:rFonts w:cs="宋体" w:asciiTheme="minorEastAsia" w:hAnsiTheme="minorEastAsia"/>
          <w:sz w:val="24"/>
          <w:szCs w:val="24"/>
        </w:rPr>
      </w:pPr>
      <w:r>
        <w:rPr>
          <w:rFonts w:hint="eastAsia" w:cs="宋体" w:asciiTheme="minorEastAsia" w:hAnsiTheme="minorEastAsia"/>
          <w:sz w:val="24"/>
          <w:szCs w:val="24"/>
        </w:rPr>
        <w:t>c) 公司管辖范围的人的行为、能力和其他人为因素；</w:t>
      </w:r>
    </w:p>
    <w:p w14:paraId="6DC89BB1">
      <w:pPr>
        <w:spacing w:line="360" w:lineRule="auto"/>
        <w:ind w:firstLine="600" w:firstLineChars="250"/>
        <w:rPr>
          <w:rFonts w:cs="宋体" w:asciiTheme="minorEastAsia" w:hAnsiTheme="minorEastAsia"/>
          <w:sz w:val="24"/>
          <w:szCs w:val="24"/>
        </w:rPr>
      </w:pPr>
      <w:r>
        <w:rPr>
          <w:rFonts w:hint="eastAsia" w:cs="宋体" w:asciiTheme="minorEastAsia" w:hAnsiTheme="minorEastAsia"/>
          <w:sz w:val="24"/>
          <w:szCs w:val="24"/>
        </w:rPr>
        <w:t>d) 已识别的源于公司管辖范围的工作场所外，能够对公司管辖范围的工作场所内组织控制下的人员的健康安全产生不利影响的危险源；</w:t>
      </w:r>
    </w:p>
    <w:p w14:paraId="66269547">
      <w:pPr>
        <w:spacing w:line="360" w:lineRule="auto"/>
        <w:ind w:firstLine="600" w:firstLineChars="250"/>
        <w:rPr>
          <w:rFonts w:cs="宋体" w:asciiTheme="minorEastAsia" w:hAnsiTheme="minorEastAsia"/>
          <w:sz w:val="24"/>
          <w:szCs w:val="24"/>
        </w:rPr>
      </w:pPr>
      <w:r>
        <w:rPr>
          <w:rFonts w:hint="eastAsia" w:cs="宋体" w:asciiTheme="minorEastAsia" w:hAnsiTheme="minorEastAsia"/>
          <w:sz w:val="24"/>
          <w:szCs w:val="24"/>
        </w:rPr>
        <w:t>e) 在公司管辖范围的工作场所附近，公司控制下的工作相关活动所产生的危险源；</w:t>
      </w:r>
    </w:p>
    <w:p w14:paraId="3170B3ED">
      <w:pPr>
        <w:spacing w:line="360" w:lineRule="auto"/>
        <w:ind w:firstLine="600" w:firstLineChars="250"/>
        <w:rPr>
          <w:rFonts w:cs="宋体" w:asciiTheme="minorEastAsia" w:hAnsiTheme="minorEastAsia"/>
          <w:sz w:val="24"/>
          <w:szCs w:val="24"/>
        </w:rPr>
      </w:pPr>
      <w:r>
        <w:rPr>
          <w:rFonts w:hint="eastAsia" w:cs="宋体" w:asciiTheme="minorEastAsia" w:hAnsiTheme="minorEastAsia"/>
          <w:sz w:val="24"/>
          <w:szCs w:val="24"/>
        </w:rPr>
        <w:t>f) 由本公司或外界所提供的工作场所的基础设施、设备和材料；</w:t>
      </w:r>
    </w:p>
    <w:p w14:paraId="3B431ACD">
      <w:pPr>
        <w:spacing w:line="360" w:lineRule="auto"/>
        <w:ind w:firstLine="600" w:firstLineChars="250"/>
        <w:rPr>
          <w:rFonts w:cs="宋体" w:asciiTheme="minorEastAsia" w:hAnsiTheme="minorEastAsia"/>
          <w:sz w:val="24"/>
          <w:szCs w:val="24"/>
        </w:rPr>
      </w:pPr>
      <w:r>
        <w:rPr>
          <w:rFonts w:hint="eastAsia" w:cs="宋体" w:asciiTheme="minorEastAsia" w:hAnsiTheme="minorEastAsia"/>
          <w:sz w:val="24"/>
          <w:szCs w:val="24"/>
        </w:rPr>
        <w:t>g) 公司及其活动的变更、材料的变更，或计划的变更；</w:t>
      </w:r>
    </w:p>
    <w:p w14:paraId="6D15CB04">
      <w:pPr>
        <w:spacing w:line="360" w:lineRule="auto"/>
        <w:ind w:firstLine="600" w:firstLineChars="250"/>
        <w:rPr>
          <w:rFonts w:cs="宋体" w:asciiTheme="minorEastAsia" w:hAnsiTheme="minorEastAsia"/>
          <w:sz w:val="24"/>
          <w:szCs w:val="24"/>
        </w:rPr>
      </w:pPr>
      <w:r>
        <w:rPr>
          <w:rFonts w:hint="eastAsia" w:cs="宋体" w:asciiTheme="minorEastAsia" w:hAnsiTheme="minorEastAsia"/>
          <w:sz w:val="24"/>
          <w:szCs w:val="24"/>
        </w:rPr>
        <w:t>h) 职业健康安全管理体系的更改（包括临时性变更等），及其对运行、过程和活动的影响；</w:t>
      </w:r>
    </w:p>
    <w:p w14:paraId="045B2883">
      <w:pPr>
        <w:spacing w:line="360" w:lineRule="auto"/>
        <w:ind w:firstLine="600" w:firstLineChars="250"/>
        <w:rPr>
          <w:rFonts w:cs="宋体" w:asciiTheme="minorEastAsia" w:hAnsiTheme="minorEastAsia"/>
          <w:sz w:val="24"/>
          <w:szCs w:val="24"/>
        </w:rPr>
      </w:pPr>
      <w:r>
        <w:rPr>
          <w:rFonts w:hint="eastAsia" w:cs="宋体" w:asciiTheme="minorEastAsia" w:hAnsiTheme="minorEastAsia"/>
          <w:sz w:val="24"/>
          <w:szCs w:val="24"/>
        </w:rPr>
        <w:t>i) 所有与风险评价和实施必要控制措施相关的适用法律义务；</w:t>
      </w:r>
    </w:p>
    <w:p w14:paraId="7EE21481">
      <w:pPr>
        <w:spacing w:line="360" w:lineRule="auto"/>
        <w:ind w:firstLine="600" w:firstLineChars="250"/>
        <w:rPr>
          <w:rFonts w:cs="宋体" w:asciiTheme="minorEastAsia" w:hAnsiTheme="minorEastAsia"/>
          <w:sz w:val="24"/>
          <w:szCs w:val="24"/>
        </w:rPr>
      </w:pPr>
      <w:r>
        <w:rPr>
          <w:rFonts w:hint="eastAsia" w:cs="宋体" w:asciiTheme="minorEastAsia" w:hAnsiTheme="minorEastAsia"/>
          <w:sz w:val="24"/>
          <w:szCs w:val="24"/>
        </w:rPr>
        <w:t>j) 对服务区域、过程、装置、机械和（或）设备、操作程序和工作组织的设计，包括其对人的能力的适应性。</w:t>
      </w:r>
    </w:p>
    <w:p w14:paraId="7566F9E9">
      <w:pPr>
        <w:spacing w:line="360" w:lineRule="auto"/>
        <w:ind w:firstLine="600" w:firstLineChars="250"/>
        <w:rPr>
          <w:rFonts w:cs="宋体" w:asciiTheme="minorEastAsia" w:hAnsiTheme="minorEastAsia"/>
          <w:sz w:val="24"/>
          <w:szCs w:val="24"/>
        </w:rPr>
      </w:pPr>
      <w:r>
        <w:rPr>
          <w:rFonts w:hint="eastAsia" w:cs="宋体" w:asciiTheme="minorEastAsia" w:hAnsiTheme="minorEastAsia"/>
          <w:sz w:val="24"/>
          <w:szCs w:val="24"/>
        </w:rPr>
        <w:t>k) 识别风险因素要考虑下列类型：</w:t>
      </w:r>
    </w:p>
    <w:p w14:paraId="3A67FF18">
      <w:pPr>
        <w:spacing w:line="360" w:lineRule="auto"/>
        <w:ind w:firstLine="480" w:firstLineChars="200"/>
        <w:rPr>
          <w:rFonts w:cs="宋体" w:asciiTheme="minorEastAsia" w:hAnsiTheme="minorEastAsia"/>
          <w:sz w:val="24"/>
          <w:szCs w:val="24"/>
        </w:rPr>
      </w:pPr>
      <w:r>
        <w:rPr>
          <w:rFonts w:hint="eastAsia" w:cs="宋体" w:asciiTheme="minorEastAsia" w:hAnsiTheme="minorEastAsia"/>
          <w:sz w:val="24"/>
          <w:szCs w:val="24"/>
        </w:rPr>
        <w:t>● 触电；● 火灾；● 机械伤害  ●其他。</w:t>
      </w:r>
    </w:p>
    <w:p w14:paraId="3A253478">
      <w:pPr>
        <w:spacing w:line="360" w:lineRule="auto"/>
        <w:ind w:firstLine="480" w:firstLineChars="200"/>
        <w:rPr>
          <w:rFonts w:cs="宋体" w:asciiTheme="minorEastAsia" w:hAnsiTheme="minorEastAsia"/>
          <w:sz w:val="24"/>
          <w:szCs w:val="24"/>
        </w:rPr>
      </w:pPr>
      <w:r>
        <w:rPr>
          <w:rFonts w:hint="eastAsia" w:cs="宋体" w:asciiTheme="minorEastAsia" w:hAnsiTheme="minorEastAsia"/>
          <w:sz w:val="24"/>
          <w:szCs w:val="24"/>
        </w:rPr>
        <w:t>公司应确保在确定控制措施时考虑这些评价的结果。</w:t>
      </w:r>
    </w:p>
    <w:p w14:paraId="700863A0">
      <w:pPr>
        <w:spacing w:line="360" w:lineRule="auto"/>
        <w:rPr>
          <w:rFonts w:cs="宋体" w:asciiTheme="minorEastAsia" w:hAnsiTheme="minorEastAsia"/>
          <w:sz w:val="24"/>
          <w:szCs w:val="24"/>
        </w:rPr>
      </w:pPr>
      <w:r>
        <w:rPr>
          <w:rFonts w:hint="eastAsia" w:cs="宋体" w:asciiTheme="minorEastAsia" w:hAnsiTheme="minorEastAsia"/>
          <w:sz w:val="24"/>
          <w:szCs w:val="24"/>
        </w:rPr>
        <w:t>6.1.4.3 制定控制措施</w:t>
      </w:r>
    </w:p>
    <w:p w14:paraId="14061D79">
      <w:pPr>
        <w:spacing w:line="360" w:lineRule="auto"/>
        <w:ind w:firstLine="480" w:firstLineChars="200"/>
        <w:rPr>
          <w:rFonts w:cs="宋体" w:asciiTheme="minorEastAsia" w:hAnsiTheme="minorEastAsia"/>
          <w:sz w:val="24"/>
          <w:szCs w:val="24"/>
        </w:rPr>
      </w:pPr>
      <w:r>
        <w:rPr>
          <w:rFonts w:hint="eastAsia" w:cs="宋体" w:asciiTheme="minorEastAsia" w:hAnsiTheme="minorEastAsia"/>
          <w:sz w:val="24"/>
          <w:szCs w:val="24"/>
        </w:rPr>
        <w:t xml:space="preserve">在确定控制措施或考虑变更现有控制措施时，应按如下顺序考虑降低风险： </w:t>
      </w:r>
    </w:p>
    <w:p w14:paraId="4147A31E">
      <w:pPr>
        <w:spacing w:line="360" w:lineRule="auto"/>
        <w:ind w:firstLine="600" w:firstLineChars="250"/>
        <w:rPr>
          <w:rFonts w:cs="宋体" w:asciiTheme="minorEastAsia" w:hAnsiTheme="minorEastAsia"/>
          <w:sz w:val="24"/>
          <w:szCs w:val="24"/>
        </w:rPr>
      </w:pPr>
      <w:r>
        <w:rPr>
          <w:rFonts w:hint="eastAsia" w:cs="宋体" w:asciiTheme="minorEastAsia" w:hAnsiTheme="minorEastAsia"/>
          <w:sz w:val="24"/>
          <w:szCs w:val="24"/>
        </w:rPr>
        <w:t>a) 消除；</w:t>
      </w:r>
    </w:p>
    <w:p w14:paraId="7C55115A">
      <w:pPr>
        <w:spacing w:line="360" w:lineRule="auto"/>
        <w:ind w:firstLine="600" w:firstLineChars="250"/>
        <w:rPr>
          <w:rFonts w:cs="宋体" w:asciiTheme="minorEastAsia" w:hAnsiTheme="minorEastAsia"/>
          <w:sz w:val="24"/>
          <w:szCs w:val="24"/>
        </w:rPr>
      </w:pPr>
      <w:r>
        <w:rPr>
          <w:rFonts w:hint="eastAsia" w:cs="宋体" w:asciiTheme="minorEastAsia" w:hAnsiTheme="minorEastAsia"/>
          <w:sz w:val="24"/>
          <w:szCs w:val="24"/>
        </w:rPr>
        <w:t>b) 替代；</w:t>
      </w:r>
    </w:p>
    <w:p w14:paraId="32CCA9EF">
      <w:pPr>
        <w:spacing w:line="360" w:lineRule="auto"/>
        <w:ind w:firstLine="600" w:firstLineChars="250"/>
        <w:rPr>
          <w:rFonts w:cs="宋体" w:asciiTheme="minorEastAsia" w:hAnsiTheme="minorEastAsia"/>
          <w:sz w:val="24"/>
          <w:szCs w:val="24"/>
        </w:rPr>
      </w:pPr>
      <w:r>
        <w:rPr>
          <w:rFonts w:hint="eastAsia" w:cs="宋体" w:asciiTheme="minorEastAsia" w:hAnsiTheme="minorEastAsia"/>
          <w:sz w:val="24"/>
          <w:szCs w:val="24"/>
        </w:rPr>
        <w:t>c) 工程控制措施；</w:t>
      </w:r>
    </w:p>
    <w:p w14:paraId="245C794D">
      <w:pPr>
        <w:spacing w:line="360" w:lineRule="auto"/>
        <w:ind w:firstLine="600" w:firstLineChars="250"/>
        <w:rPr>
          <w:rFonts w:cs="宋体" w:asciiTheme="minorEastAsia" w:hAnsiTheme="minorEastAsia"/>
          <w:sz w:val="24"/>
          <w:szCs w:val="24"/>
        </w:rPr>
      </w:pPr>
      <w:r>
        <w:rPr>
          <w:rFonts w:hint="eastAsia" w:cs="宋体" w:asciiTheme="minorEastAsia" w:hAnsiTheme="minorEastAsia"/>
          <w:sz w:val="24"/>
          <w:szCs w:val="24"/>
        </w:rPr>
        <w:t>d) 标志、警告和（或）管理控制措施；</w:t>
      </w:r>
    </w:p>
    <w:p w14:paraId="579421E6">
      <w:pPr>
        <w:spacing w:line="360" w:lineRule="auto"/>
        <w:ind w:firstLine="600" w:firstLineChars="250"/>
        <w:rPr>
          <w:rFonts w:cs="宋体" w:asciiTheme="minorEastAsia" w:hAnsiTheme="minorEastAsia"/>
          <w:sz w:val="24"/>
          <w:szCs w:val="24"/>
        </w:rPr>
      </w:pPr>
      <w:r>
        <w:rPr>
          <w:rFonts w:hint="eastAsia" w:cs="宋体" w:asciiTheme="minorEastAsia" w:hAnsiTheme="minorEastAsia"/>
          <w:sz w:val="24"/>
          <w:szCs w:val="24"/>
        </w:rPr>
        <w:t>e) 个体防护装备。</w:t>
      </w:r>
    </w:p>
    <w:p w14:paraId="5EDB6EF9">
      <w:pPr>
        <w:spacing w:line="360" w:lineRule="auto"/>
        <w:rPr>
          <w:rFonts w:cs="宋体" w:asciiTheme="minorEastAsia" w:hAnsiTheme="minorEastAsia"/>
          <w:sz w:val="24"/>
          <w:szCs w:val="24"/>
        </w:rPr>
      </w:pPr>
      <w:r>
        <w:rPr>
          <w:rFonts w:hint="eastAsia" w:cs="宋体" w:asciiTheme="minorEastAsia" w:hAnsiTheme="minorEastAsia"/>
          <w:sz w:val="24"/>
          <w:szCs w:val="24"/>
        </w:rPr>
        <w:t>6.1.4.4 影响职业健康安全绩效的变更管理</w:t>
      </w:r>
    </w:p>
    <w:p w14:paraId="54EA7177">
      <w:pPr>
        <w:spacing w:line="360" w:lineRule="auto"/>
        <w:ind w:firstLine="480" w:firstLineChars="200"/>
        <w:rPr>
          <w:rFonts w:cs="宋体" w:asciiTheme="minorEastAsia" w:hAnsiTheme="minorEastAsia"/>
          <w:sz w:val="24"/>
          <w:szCs w:val="24"/>
        </w:rPr>
      </w:pPr>
      <w:r>
        <w:rPr>
          <w:rFonts w:hint="eastAsia" w:cs="宋体" w:asciiTheme="minorEastAsia" w:hAnsiTheme="minorEastAsia"/>
          <w:sz w:val="24"/>
          <w:szCs w:val="24"/>
        </w:rPr>
        <w:t xml:space="preserve">组织应依据标准要求，以实施和控制对职业健康安全绩效有影响的计划的临时性和永久性变更，包括： </w:t>
      </w:r>
    </w:p>
    <w:p w14:paraId="273B1F61">
      <w:pPr>
        <w:spacing w:line="360" w:lineRule="auto"/>
        <w:ind w:firstLine="480" w:firstLineChars="200"/>
        <w:rPr>
          <w:rFonts w:cs="宋体" w:asciiTheme="minorEastAsia" w:hAnsiTheme="minorEastAsia"/>
          <w:sz w:val="24"/>
          <w:szCs w:val="24"/>
        </w:rPr>
      </w:pPr>
      <w:r>
        <w:rPr>
          <w:rFonts w:hint="eastAsia" w:cs="宋体" w:asciiTheme="minorEastAsia" w:hAnsiTheme="minorEastAsia"/>
          <w:sz w:val="24"/>
          <w:szCs w:val="24"/>
        </w:rPr>
        <w:t xml:space="preserve">a)新产品、服务和过程，或对现有产品、服务和过程的变更，包括：工作场所位置和环境--工作组织--工作条件--设备--劳动力 </w:t>
      </w:r>
    </w:p>
    <w:p w14:paraId="1CE717F7">
      <w:pPr>
        <w:spacing w:line="360" w:lineRule="auto"/>
        <w:ind w:firstLine="480" w:firstLineChars="200"/>
        <w:rPr>
          <w:rFonts w:cs="宋体" w:asciiTheme="minorEastAsia" w:hAnsiTheme="minorEastAsia"/>
          <w:sz w:val="24"/>
          <w:szCs w:val="24"/>
        </w:rPr>
      </w:pPr>
      <w:r>
        <w:rPr>
          <w:rFonts w:hint="eastAsia" w:cs="宋体" w:asciiTheme="minorEastAsia" w:hAnsiTheme="minorEastAsia"/>
          <w:sz w:val="24"/>
          <w:szCs w:val="24"/>
        </w:rPr>
        <w:t xml:space="preserve">b)法定要求和其他要求的变更； </w:t>
      </w:r>
    </w:p>
    <w:p w14:paraId="20913E31">
      <w:pPr>
        <w:spacing w:line="360" w:lineRule="auto"/>
        <w:ind w:firstLine="480" w:firstLineChars="200"/>
        <w:rPr>
          <w:rFonts w:cs="宋体" w:asciiTheme="minorEastAsia" w:hAnsiTheme="minorEastAsia"/>
          <w:sz w:val="24"/>
          <w:szCs w:val="24"/>
        </w:rPr>
      </w:pPr>
      <w:r>
        <w:rPr>
          <w:rFonts w:hint="eastAsia" w:cs="宋体" w:asciiTheme="minorEastAsia" w:hAnsiTheme="minorEastAsia"/>
          <w:sz w:val="24"/>
          <w:szCs w:val="24"/>
        </w:rPr>
        <w:t>c)有关危险源和职业健康安全风险的知识或信息的变更；</w:t>
      </w:r>
    </w:p>
    <w:p w14:paraId="261491DB">
      <w:pPr>
        <w:spacing w:line="360" w:lineRule="auto"/>
        <w:ind w:firstLine="480" w:firstLineChars="200"/>
        <w:rPr>
          <w:rFonts w:cs="宋体" w:asciiTheme="minorEastAsia" w:hAnsiTheme="minorEastAsia"/>
          <w:sz w:val="24"/>
          <w:szCs w:val="24"/>
        </w:rPr>
      </w:pPr>
      <w:r>
        <w:rPr>
          <w:rFonts w:hint="eastAsia" w:cs="宋体" w:asciiTheme="minorEastAsia" w:hAnsiTheme="minorEastAsia"/>
          <w:sz w:val="24"/>
          <w:szCs w:val="24"/>
        </w:rPr>
        <w:t xml:space="preserve">d)知识和技术的发展。 </w:t>
      </w:r>
    </w:p>
    <w:p w14:paraId="4C09C664">
      <w:pPr>
        <w:spacing w:line="360" w:lineRule="auto"/>
        <w:ind w:firstLine="480" w:firstLineChars="200"/>
        <w:rPr>
          <w:rFonts w:cs="宋体" w:asciiTheme="minorEastAsia" w:hAnsiTheme="minorEastAsia"/>
          <w:sz w:val="24"/>
          <w:szCs w:val="24"/>
        </w:rPr>
      </w:pPr>
      <w:r>
        <w:rPr>
          <w:rFonts w:hint="eastAsia" w:cs="宋体" w:asciiTheme="minorEastAsia" w:hAnsiTheme="minorEastAsia"/>
          <w:sz w:val="24"/>
          <w:szCs w:val="24"/>
        </w:rPr>
        <w:t>组织应对计划内的变更进行控制，并对非预期性变更的后果予以评审，必要时，应采取措施降低任何有害影响。</w:t>
      </w:r>
    </w:p>
    <w:p w14:paraId="5F8EBA7C">
      <w:pPr>
        <w:spacing w:line="360" w:lineRule="auto"/>
        <w:ind w:firstLine="480" w:firstLineChars="200"/>
        <w:rPr>
          <w:rFonts w:cs="宋体" w:asciiTheme="minorEastAsia" w:hAnsiTheme="minorEastAsia"/>
          <w:sz w:val="24"/>
          <w:szCs w:val="24"/>
        </w:rPr>
      </w:pPr>
      <w:r>
        <w:rPr>
          <w:rFonts w:hint="eastAsia" w:cs="宋体" w:asciiTheme="minorEastAsia" w:hAnsiTheme="minorEastAsia"/>
          <w:sz w:val="24"/>
          <w:szCs w:val="24"/>
        </w:rPr>
        <w:t>注：变更可能导致风险和机遇。</w:t>
      </w:r>
    </w:p>
    <w:p w14:paraId="1ABE7BF2">
      <w:pPr>
        <w:spacing w:line="360" w:lineRule="auto"/>
        <w:rPr>
          <w:rFonts w:cs="宋体" w:asciiTheme="minorEastAsia" w:hAnsiTheme="minorEastAsia"/>
          <w:sz w:val="24"/>
          <w:szCs w:val="24"/>
        </w:rPr>
      </w:pPr>
      <w:r>
        <w:rPr>
          <w:rFonts w:hint="eastAsia" w:cs="宋体" w:asciiTheme="minorEastAsia" w:hAnsiTheme="minorEastAsia"/>
          <w:sz w:val="24"/>
          <w:szCs w:val="24"/>
        </w:rPr>
        <w:t>6.1.4.5 记录的要求</w:t>
      </w:r>
    </w:p>
    <w:p w14:paraId="2AF0FC10">
      <w:pPr>
        <w:spacing w:line="360" w:lineRule="auto"/>
        <w:ind w:firstLine="480" w:firstLineChars="200"/>
        <w:rPr>
          <w:rFonts w:cs="宋体" w:asciiTheme="minorEastAsia" w:hAnsiTheme="minorEastAsia"/>
          <w:sz w:val="24"/>
          <w:szCs w:val="24"/>
        </w:rPr>
      </w:pPr>
      <w:r>
        <w:rPr>
          <w:rFonts w:hint="eastAsia" w:cs="宋体" w:asciiTheme="minorEastAsia" w:hAnsiTheme="minorEastAsia"/>
          <w:sz w:val="24"/>
          <w:szCs w:val="24"/>
        </w:rPr>
        <w:t>公司应将危险源辨识、风险评价和控制措施的确定的结果形成文件并及时更新。</w:t>
      </w:r>
    </w:p>
    <w:p w14:paraId="3DFBABE2">
      <w:pPr>
        <w:spacing w:line="360" w:lineRule="auto"/>
        <w:rPr>
          <w:rFonts w:cs="宋体" w:asciiTheme="minorEastAsia" w:hAnsiTheme="minorEastAsia"/>
          <w:sz w:val="24"/>
          <w:szCs w:val="24"/>
        </w:rPr>
      </w:pPr>
      <w:r>
        <w:rPr>
          <w:rFonts w:hint="eastAsia" w:cs="宋体" w:asciiTheme="minorEastAsia" w:hAnsiTheme="minorEastAsia"/>
          <w:sz w:val="24"/>
          <w:szCs w:val="24"/>
        </w:rPr>
        <w:t>6.1.5 法律法规和其他要求的确定及合规义务</w:t>
      </w:r>
    </w:p>
    <w:p w14:paraId="56030E1B">
      <w:pPr>
        <w:spacing w:line="360" w:lineRule="auto"/>
        <w:ind w:firstLine="480" w:firstLineChars="200"/>
        <w:rPr>
          <w:rFonts w:cs="宋体" w:asciiTheme="minorEastAsia" w:hAnsiTheme="minorEastAsia"/>
          <w:sz w:val="24"/>
          <w:szCs w:val="24"/>
        </w:rPr>
      </w:pPr>
      <w:r>
        <w:rPr>
          <w:rFonts w:hint="eastAsia" w:cs="宋体" w:asciiTheme="minorEastAsia" w:hAnsiTheme="minorEastAsia"/>
          <w:sz w:val="24"/>
          <w:szCs w:val="24"/>
        </w:rPr>
        <w:t>公司编制《法律法规与其他要求控制程序》，使公司管理体系运行合法有效、符合法律规定及相关方要求：</w:t>
      </w:r>
    </w:p>
    <w:p w14:paraId="38504504">
      <w:pPr>
        <w:numPr>
          <w:ilvl w:val="0"/>
          <w:numId w:val="5"/>
        </w:numPr>
        <w:spacing w:line="360" w:lineRule="auto"/>
        <w:ind w:firstLine="600" w:firstLineChars="250"/>
        <w:rPr>
          <w:rFonts w:cs="宋体" w:asciiTheme="minorEastAsia" w:hAnsiTheme="minorEastAsia"/>
          <w:sz w:val="24"/>
          <w:szCs w:val="24"/>
        </w:rPr>
      </w:pPr>
      <w:r>
        <w:rPr>
          <w:rFonts w:hint="eastAsia" w:cs="宋体" w:asciiTheme="minorEastAsia" w:hAnsiTheme="minorEastAsia"/>
          <w:sz w:val="24"/>
          <w:szCs w:val="24"/>
        </w:rPr>
        <w:t>办公室负责适用服务过程法律法规的识别、获取和更新，并评价其适用性；</w:t>
      </w:r>
    </w:p>
    <w:p w14:paraId="2D8450D8">
      <w:pPr>
        <w:numPr>
          <w:ilvl w:val="0"/>
          <w:numId w:val="5"/>
        </w:numPr>
        <w:spacing w:line="360" w:lineRule="auto"/>
        <w:ind w:firstLine="600" w:firstLineChars="250"/>
        <w:rPr>
          <w:rFonts w:cs="宋体" w:asciiTheme="minorEastAsia" w:hAnsiTheme="minorEastAsia"/>
          <w:sz w:val="24"/>
          <w:szCs w:val="24"/>
        </w:rPr>
      </w:pPr>
      <w:r>
        <w:rPr>
          <w:rFonts w:hint="eastAsia" w:cs="宋体" w:asciiTheme="minorEastAsia" w:hAnsiTheme="minorEastAsia"/>
          <w:sz w:val="24"/>
          <w:szCs w:val="24"/>
        </w:rPr>
        <w:t>办公室负责组织各部门协助，对质量/环境/职业健康安全方面适用法律法规的识别、获取、更新及适用性评价；</w:t>
      </w:r>
    </w:p>
    <w:p w14:paraId="3C405345">
      <w:pPr>
        <w:spacing w:line="360" w:lineRule="auto"/>
        <w:ind w:firstLine="600" w:firstLineChars="250"/>
        <w:rPr>
          <w:rFonts w:cs="宋体" w:asciiTheme="minorEastAsia" w:hAnsiTheme="minorEastAsia"/>
          <w:sz w:val="24"/>
          <w:szCs w:val="24"/>
        </w:rPr>
      </w:pPr>
      <w:r>
        <w:rPr>
          <w:rFonts w:hint="eastAsia" w:cs="宋体" w:asciiTheme="minorEastAsia" w:hAnsiTheme="minorEastAsia"/>
          <w:sz w:val="24"/>
          <w:szCs w:val="24"/>
        </w:rPr>
        <w:t>c) 法律法规的收集和识别的范围包括：</w:t>
      </w:r>
    </w:p>
    <w:p w14:paraId="3EDB7C80">
      <w:pPr>
        <w:spacing w:line="360" w:lineRule="auto"/>
        <w:ind w:firstLine="600" w:firstLineChars="250"/>
        <w:rPr>
          <w:rFonts w:cs="宋体" w:asciiTheme="minorEastAsia" w:hAnsiTheme="minorEastAsia"/>
          <w:sz w:val="24"/>
          <w:szCs w:val="24"/>
        </w:rPr>
      </w:pPr>
      <w:r>
        <w:rPr>
          <w:rFonts w:hint="eastAsia" w:cs="宋体" w:asciiTheme="minorEastAsia" w:hAnsiTheme="minorEastAsia"/>
          <w:sz w:val="24"/>
          <w:szCs w:val="24"/>
        </w:rPr>
        <w:t>——国际公约，以及所在国家的法律、法规、规章及标准；</w:t>
      </w:r>
    </w:p>
    <w:p w14:paraId="158A628D">
      <w:pPr>
        <w:spacing w:line="360" w:lineRule="auto"/>
        <w:ind w:firstLine="600" w:firstLineChars="250"/>
        <w:rPr>
          <w:rFonts w:cs="宋体" w:asciiTheme="minorEastAsia" w:hAnsiTheme="minorEastAsia"/>
          <w:sz w:val="24"/>
          <w:szCs w:val="24"/>
        </w:rPr>
      </w:pPr>
      <w:r>
        <w:rPr>
          <w:rFonts w:hint="eastAsia" w:cs="宋体" w:asciiTheme="minorEastAsia" w:hAnsiTheme="minorEastAsia"/>
          <w:sz w:val="24"/>
          <w:szCs w:val="24"/>
        </w:rPr>
        <w:t>——国家、地方的法律、法规、标准及规范；</w:t>
      </w:r>
    </w:p>
    <w:p w14:paraId="4A751A70">
      <w:pPr>
        <w:spacing w:line="360" w:lineRule="auto"/>
        <w:ind w:firstLine="600" w:firstLineChars="250"/>
        <w:rPr>
          <w:rFonts w:cs="宋体" w:asciiTheme="minorEastAsia" w:hAnsiTheme="minorEastAsia"/>
          <w:sz w:val="24"/>
          <w:szCs w:val="24"/>
        </w:rPr>
      </w:pPr>
      <w:r>
        <w:rPr>
          <w:rFonts w:hint="eastAsia" w:cs="宋体" w:asciiTheme="minorEastAsia" w:hAnsiTheme="minorEastAsia"/>
          <w:sz w:val="24"/>
          <w:szCs w:val="24"/>
        </w:rPr>
        <w:t>——行业主管部门的通知、制度、管理办法；</w:t>
      </w:r>
    </w:p>
    <w:p w14:paraId="0405622A">
      <w:pPr>
        <w:spacing w:line="360" w:lineRule="auto"/>
        <w:ind w:firstLine="600" w:firstLineChars="250"/>
        <w:rPr>
          <w:rFonts w:cs="宋体" w:asciiTheme="minorEastAsia" w:hAnsiTheme="minorEastAsia"/>
          <w:sz w:val="24"/>
          <w:szCs w:val="24"/>
        </w:rPr>
      </w:pPr>
      <w:r>
        <w:rPr>
          <w:rFonts w:hint="eastAsia" w:cs="宋体" w:asciiTheme="minorEastAsia" w:hAnsiTheme="minorEastAsia"/>
          <w:sz w:val="24"/>
          <w:szCs w:val="24"/>
        </w:rPr>
        <w:t>——其它要求：如合同规定、相关方的要求。</w:t>
      </w:r>
    </w:p>
    <w:p w14:paraId="278607D7">
      <w:pPr>
        <w:spacing w:line="360" w:lineRule="auto"/>
        <w:ind w:firstLine="600" w:firstLineChars="250"/>
        <w:rPr>
          <w:rFonts w:cs="宋体" w:asciiTheme="minorEastAsia" w:hAnsiTheme="minorEastAsia"/>
          <w:sz w:val="24"/>
          <w:szCs w:val="24"/>
        </w:rPr>
      </w:pPr>
      <w:r>
        <w:rPr>
          <w:rFonts w:hint="eastAsia" w:cs="宋体" w:asciiTheme="minorEastAsia" w:hAnsiTheme="minorEastAsia"/>
          <w:sz w:val="24"/>
          <w:szCs w:val="24"/>
        </w:rPr>
        <w:t>d) 法律、法规的收集途径及方法包括：</w:t>
      </w:r>
    </w:p>
    <w:p w14:paraId="435A7798">
      <w:pPr>
        <w:spacing w:line="360" w:lineRule="auto"/>
        <w:ind w:firstLine="600" w:firstLineChars="250"/>
        <w:rPr>
          <w:rFonts w:cs="宋体" w:asciiTheme="minorEastAsia" w:hAnsiTheme="minorEastAsia"/>
          <w:sz w:val="24"/>
          <w:szCs w:val="24"/>
        </w:rPr>
      </w:pPr>
      <w:r>
        <w:rPr>
          <w:rFonts w:hint="eastAsia" w:cs="宋体" w:asciiTheme="minorEastAsia" w:hAnsiTheme="minorEastAsia"/>
          <w:sz w:val="24"/>
          <w:szCs w:val="24"/>
        </w:rPr>
        <w:t>——获取渠道：政府主管部门；上级主管部门；书刊、新闻、网络媒体等；</w:t>
      </w:r>
    </w:p>
    <w:p w14:paraId="2FBC8B0A">
      <w:pPr>
        <w:spacing w:line="360" w:lineRule="auto"/>
        <w:ind w:firstLine="600" w:firstLineChars="250"/>
        <w:rPr>
          <w:rFonts w:cs="宋体" w:asciiTheme="minorEastAsia" w:hAnsiTheme="minorEastAsia"/>
          <w:sz w:val="24"/>
          <w:szCs w:val="24"/>
        </w:rPr>
      </w:pPr>
      <w:r>
        <w:rPr>
          <w:rFonts w:hint="eastAsia" w:cs="宋体" w:asciiTheme="minorEastAsia" w:hAnsiTheme="minorEastAsia"/>
          <w:sz w:val="24"/>
          <w:szCs w:val="24"/>
        </w:rPr>
        <w:t xml:space="preserve">——各部门都应主动收集与其业务有关的法律、法规，并传递相关信息； </w:t>
      </w:r>
    </w:p>
    <w:p w14:paraId="0F7BD09E">
      <w:pPr>
        <w:spacing w:line="360" w:lineRule="auto"/>
        <w:ind w:firstLine="600" w:firstLineChars="250"/>
        <w:rPr>
          <w:rFonts w:cs="宋体" w:asciiTheme="minorEastAsia" w:hAnsiTheme="minorEastAsia"/>
          <w:sz w:val="24"/>
          <w:szCs w:val="24"/>
        </w:rPr>
      </w:pPr>
      <w:r>
        <w:rPr>
          <w:rFonts w:hint="eastAsia" w:cs="宋体" w:asciiTheme="minorEastAsia" w:hAnsiTheme="minorEastAsia"/>
          <w:sz w:val="24"/>
          <w:szCs w:val="24"/>
        </w:rPr>
        <w:t>e) 法律法规适用性确认和管理：</w:t>
      </w:r>
    </w:p>
    <w:p w14:paraId="7A0509C2">
      <w:pPr>
        <w:spacing w:line="360" w:lineRule="auto"/>
        <w:ind w:firstLine="600" w:firstLineChars="250"/>
        <w:rPr>
          <w:rFonts w:cs="宋体" w:asciiTheme="minorEastAsia" w:hAnsiTheme="minorEastAsia"/>
          <w:sz w:val="24"/>
          <w:szCs w:val="24"/>
        </w:rPr>
      </w:pPr>
      <w:r>
        <w:rPr>
          <w:rFonts w:hint="eastAsia" w:cs="宋体" w:asciiTheme="minorEastAsia" w:hAnsiTheme="minorEastAsia"/>
          <w:sz w:val="24"/>
          <w:szCs w:val="24"/>
        </w:rPr>
        <w:t>由办公室汇总适用的法律法规及其他要求清单并依据以下原则确认：</w:t>
      </w:r>
    </w:p>
    <w:p w14:paraId="3C87489D">
      <w:pPr>
        <w:spacing w:line="360" w:lineRule="auto"/>
        <w:ind w:firstLine="600" w:firstLineChars="250"/>
        <w:rPr>
          <w:rFonts w:cs="宋体" w:asciiTheme="minorEastAsia" w:hAnsiTheme="minorEastAsia"/>
          <w:sz w:val="24"/>
          <w:szCs w:val="24"/>
        </w:rPr>
      </w:pPr>
      <w:r>
        <w:rPr>
          <w:rFonts w:hint="eastAsia" w:cs="宋体" w:asciiTheme="minorEastAsia" w:hAnsiTheme="minorEastAsia"/>
          <w:sz w:val="24"/>
          <w:szCs w:val="24"/>
        </w:rPr>
        <w:t>——与公司活动、服务相关的；</w:t>
      </w:r>
    </w:p>
    <w:p w14:paraId="67BB3355">
      <w:pPr>
        <w:spacing w:line="360" w:lineRule="auto"/>
        <w:ind w:firstLine="600" w:firstLineChars="250"/>
        <w:rPr>
          <w:rFonts w:cs="宋体" w:asciiTheme="minorEastAsia" w:hAnsiTheme="minorEastAsia"/>
          <w:sz w:val="24"/>
          <w:szCs w:val="24"/>
        </w:rPr>
      </w:pPr>
      <w:r>
        <w:rPr>
          <w:rFonts w:hint="eastAsia" w:cs="宋体" w:asciiTheme="minorEastAsia" w:hAnsiTheme="minorEastAsia"/>
          <w:sz w:val="24"/>
          <w:szCs w:val="24"/>
        </w:rPr>
        <w:t>——与公司的环境因素和危险源有关的；</w:t>
      </w:r>
    </w:p>
    <w:p w14:paraId="741FB7E5">
      <w:pPr>
        <w:spacing w:line="360" w:lineRule="auto"/>
        <w:ind w:firstLine="600" w:firstLineChars="250"/>
        <w:rPr>
          <w:rFonts w:cs="宋体" w:asciiTheme="minorEastAsia" w:hAnsiTheme="minorEastAsia"/>
          <w:sz w:val="24"/>
          <w:szCs w:val="24"/>
        </w:rPr>
      </w:pPr>
      <w:r>
        <w:rPr>
          <w:rFonts w:hint="eastAsia" w:cs="宋体" w:asciiTheme="minorEastAsia" w:hAnsiTheme="minorEastAsia"/>
          <w:sz w:val="24"/>
          <w:szCs w:val="24"/>
        </w:rPr>
        <w:t>——必须是法律、法规或其他要求的有效版本；</w:t>
      </w:r>
    </w:p>
    <w:p w14:paraId="454F176A">
      <w:pPr>
        <w:spacing w:line="360" w:lineRule="auto"/>
        <w:ind w:firstLine="600" w:firstLineChars="250"/>
        <w:rPr>
          <w:rFonts w:cs="宋体" w:asciiTheme="minorEastAsia" w:hAnsiTheme="minorEastAsia"/>
          <w:sz w:val="24"/>
          <w:szCs w:val="24"/>
        </w:rPr>
      </w:pPr>
      <w:r>
        <w:rPr>
          <w:rFonts w:hint="eastAsia" w:cs="宋体" w:asciiTheme="minorEastAsia" w:hAnsiTheme="minorEastAsia"/>
          <w:sz w:val="24"/>
          <w:szCs w:val="24"/>
        </w:rPr>
        <w:t>——符合公司实际情况。</w:t>
      </w:r>
    </w:p>
    <w:p w14:paraId="12983601">
      <w:pPr>
        <w:spacing w:line="360" w:lineRule="auto"/>
        <w:ind w:firstLine="600" w:firstLineChars="250"/>
        <w:rPr>
          <w:rFonts w:cs="宋体" w:asciiTheme="minorEastAsia" w:hAnsiTheme="minorEastAsia"/>
          <w:sz w:val="24"/>
          <w:szCs w:val="24"/>
        </w:rPr>
      </w:pPr>
      <w:r>
        <w:rPr>
          <w:rFonts w:hint="eastAsia" w:cs="宋体" w:asciiTheme="minorEastAsia" w:hAnsiTheme="minorEastAsia"/>
          <w:sz w:val="24"/>
          <w:szCs w:val="24"/>
        </w:rPr>
        <w:t>确认的内容包括：</w:t>
      </w:r>
    </w:p>
    <w:p w14:paraId="39E350F1">
      <w:pPr>
        <w:spacing w:line="360" w:lineRule="auto"/>
        <w:ind w:firstLine="600" w:firstLineChars="250"/>
        <w:rPr>
          <w:rFonts w:cs="宋体" w:asciiTheme="minorEastAsia" w:hAnsiTheme="minorEastAsia"/>
          <w:sz w:val="24"/>
          <w:szCs w:val="24"/>
        </w:rPr>
      </w:pPr>
      <w:r>
        <w:rPr>
          <w:rFonts w:hint="eastAsia" w:cs="宋体" w:asciiTheme="minorEastAsia" w:hAnsiTheme="minorEastAsia"/>
          <w:sz w:val="24"/>
          <w:szCs w:val="24"/>
        </w:rPr>
        <w:t>——确定适用于公司服务的法律法规；</w:t>
      </w:r>
    </w:p>
    <w:p w14:paraId="75FF2683">
      <w:pPr>
        <w:spacing w:line="360" w:lineRule="auto"/>
        <w:ind w:firstLine="600" w:firstLineChars="250"/>
        <w:rPr>
          <w:rFonts w:cs="宋体" w:asciiTheme="minorEastAsia" w:hAnsiTheme="minorEastAsia"/>
          <w:sz w:val="24"/>
          <w:szCs w:val="24"/>
        </w:rPr>
      </w:pPr>
      <w:r>
        <w:rPr>
          <w:rFonts w:hint="eastAsia" w:cs="宋体" w:asciiTheme="minorEastAsia" w:hAnsiTheme="minorEastAsia"/>
          <w:sz w:val="24"/>
          <w:szCs w:val="24"/>
        </w:rPr>
        <w:t>——确定适用于公司环境因素和危险源的法律法规条款。</w:t>
      </w:r>
      <w:r>
        <w:rPr>
          <w:rFonts w:hint="eastAsia" w:cs="宋体" w:asciiTheme="minorEastAsia" w:hAnsiTheme="minorEastAsia"/>
          <w:sz w:val="24"/>
          <w:szCs w:val="24"/>
        </w:rPr>
        <w:softHyphen/>
      </w:r>
    </w:p>
    <w:p w14:paraId="33ADFE08">
      <w:pPr>
        <w:spacing w:line="360" w:lineRule="auto"/>
        <w:ind w:firstLine="600" w:firstLineChars="250"/>
        <w:rPr>
          <w:rFonts w:cs="宋体" w:asciiTheme="minorEastAsia" w:hAnsiTheme="minorEastAsia"/>
          <w:sz w:val="24"/>
          <w:szCs w:val="24"/>
        </w:rPr>
      </w:pPr>
      <w:r>
        <w:rPr>
          <w:rFonts w:hint="eastAsia" w:cs="宋体" w:asciiTheme="minorEastAsia" w:hAnsiTheme="minorEastAsia"/>
          <w:sz w:val="24"/>
          <w:szCs w:val="24"/>
        </w:rPr>
        <w:t>办公室将确认后的法律法规内容填写到《公司适用的法律、法规及标准清单》。办公室跟踪法律法规的变化，每年组织一次再确认。</w:t>
      </w:r>
    </w:p>
    <w:p w14:paraId="78DF1673">
      <w:pPr>
        <w:spacing w:line="360" w:lineRule="auto"/>
        <w:ind w:firstLine="600" w:firstLineChars="250"/>
        <w:rPr>
          <w:rFonts w:cs="宋体" w:asciiTheme="minorEastAsia" w:hAnsiTheme="minorEastAsia"/>
          <w:sz w:val="24"/>
          <w:szCs w:val="24"/>
        </w:rPr>
      </w:pPr>
      <w:r>
        <w:rPr>
          <w:rFonts w:hint="eastAsia" w:cs="宋体" w:asciiTheme="minorEastAsia" w:hAnsiTheme="minorEastAsia"/>
          <w:sz w:val="24"/>
          <w:szCs w:val="24"/>
        </w:rPr>
        <w:t>当出现以下情况时，应对组织目标与指标的临时评价，需要时调整目标和指标：</w:t>
      </w:r>
    </w:p>
    <w:p w14:paraId="28628215">
      <w:pPr>
        <w:spacing w:line="360" w:lineRule="auto"/>
        <w:ind w:firstLine="600" w:firstLineChars="250"/>
        <w:rPr>
          <w:rFonts w:cs="宋体" w:asciiTheme="minorEastAsia" w:hAnsiTheme="minorEastAsia"/>
          <w:sz w:val="24"/>
          <w:szCs w:val="24"/>
        </w:rPr>
      </w:pPr>
      <w:r>
        <w:rPr>
          <w:rFonts w:hint="eastAsia" w:cs="宋体" w:asciiTheme="minorEastAsia" w:hAnsiTheme="minorEastAsia"/>
          <w:sz w:val="24"/>
          <w:szCs w:val="24"/>
        </w:rPr>
        <w:t>——法律法规和其他要求发生较大变化；</w:t>
      </w:r>
    </w:p>
    <w:p w14:paraId="440AB96B">
      <w:pPr>
        <w:spacing w:line="360" w:lineRule="auto"/>
        <w:ind w:firstLine="600" w:firstLineChars="250"/>
        <w:rPr>
          <w:rFonts w:cs="宋体" w:asciiTheme="minorEastAsia" w:hAnsiTheme="minorEastAsia"/>
          <w:sz w:val="24"/>
          <w:szCs w:val="24"/>
        </w:rPr>
      </w:pPr>
      <w:r>
        <w:rPr>
          <w:rFonts w:hint="eastAsia" w:cs="宋体" w:asciiTheme="minorEastAsia" w:hAnsiTheme="minorEastAsia"/>
          <w:sz w:val="24"/>
          <w:szCs w:val="24"/>
        </w:rPr>
        <w:t>——组织机构发生变更；</w:t>
      </w:r>
    </w:p>
    <w:p w14:paraId="34E1F6A4">
      <w:pPr>
        <w:spacing w:line="360" w:lineRule="auto"/>
        <w:ind w:firstLine="600" w:firstLineChars="250"/>
        <w:rPr>
          <w:rFonts w:cs="宋体" w:asciiTheme="minorEastAsia" w:hAnsiTheme="minorEastAsia"/>
          <w:sz w:val="24"/>
          <w:szCs w:val="24"/>
        </w:rPr>
      </w:pPr>
      <w:r>
        <w:rPr>
          <w:rFonts w:hint="eastAsia" w:cs="宋体" w:asciiTheme="minorEastAsia" w:hAnsiTheme="minorEastAsia"/>
          <w:sz w:val="24"/>
          <w:szCs w:val="24"/>
        </w:rPr>
        <w:t xml:space="preserve">——作业方法或生产工艺发生较大变化； </w:t>
      </w:r>
    </w:p>
    <w:p w14:paraId="245D732E">
      <w:pPr>
        <w:spacing w:line="360" w:lineRule="auto"/>
        <w:ind w:firstLine="600" w:firstLineChars="250"/>
        <w:rPr>
          <w:rFonts w:cs="宋体" w:asciiTheme="minorEastAsia" w:hAnsiTheme="minorEastAsia"/>
          <w:sz w:val="24"/>
          <w:szCs w:val="24"/>
        </w:rPr>
      </w:pPr>
      <w:r>
        <w:rPr>
          <w:rFonts w:hint="eastAsia" w:cs="宋体" w:asciiTheme="minorEastAsia" w:hAnsiTheme="minorEastAsia"/>
          <w:sz w:val="24"/>
          <w:szCs w:val="24"/>
        </w:rPr>
        <w:t>——危害因素及主要风险发生重大变化。</w:t>
      </w:r>
    </w:p>
    <w:p w14:paraId="393F6838">
      <w:pPr>
        <w:spacing w:line="360" w:lineRule="auto"/>
        <w:ind w:firstLine="600" w:firstLineChars="250"/>
        <w:rPr>
          <w:rFonts w:cs="宋体" w:asciiTheme="minorEastAsia" w:hAnsiTheme="minorEastAsia"/>
          <w:sz w:val="24"/>
          <w:szCs w:val="24"/>
        </w:rPr>
      </w:pPr>
      <w:r>
        <w:rPr>
          <w:rFonts w:hint="eastAsia" w:cs="宋体" w:asciiTheme="minorEastAsia" w:hAnsiTheme="minorEastAsia"/>
          <w:sz w:val="24"/>
          <w:szCs w:val="24"/>
        </w:rPr>
        <w:t>法律法规及其他要求的获取应予记录并保持。</w:t>
      </w:r>
    </w:p>
    <w:p w14:paraId="6F432CB4">
      <w:pPr>
        <w:spacing w:line="360" w:lineRule="auto"/>
        <w:rPr>
          <w:rFonts w:cs="宋体" w:asciiTheme="minorEastAsia" w:hAnsiTheme="minorEastAsia"/>
          <w:sz w:val="24"/>
          <w:szCs w:val="24"/>
        </w:rPr>
      </w:pPr>
      <w:r>
        <w:rPr>
          <w:rFonts w:hint="eastAsia" w:cs="宋体" w:asciiTheme="minorEastAsia" w:hAnsiTheme="minorEastAsia"/>
          <w:sz w:val="24"/>
          <w:szCs w:val="24"/>
        </w:rPr>
        <w:t>6.1.6 相关/引用文件</w:t>
      </w:r>
    </w:p>
    <w:p w14:paraId="69AFFAF0">
      <w:pPr>
        <w:spacing w:line="360" w:lineRule="auto"/>
        <w:rPr>
          <w:rFonts w:cs="宋体" w:asciiTheme="minorEastAsia" w:hAnsiTheme="minorEastAsia"/>
          <w:sz w:val="24"/>
          <w:szCs w:val="24"/>
        </w:rPr>
      </w:pPr>
      <w:r>
        <w:rPr>
          <w:rFonts w:hint="eastAsia" w:cs="宋体" w:asciiTheme="minorEastAsia" w:hAnsiTheme="minorEastAsia"/>
          <w:sz w:val="24"/>
          <w:szCs w:val="24"/>
        </w:rPr>
        <w:t>6.1.6.1《风险和机遇的应对措施控制程序》</w:t>
      </w:r>
    </w:p>
    <w:p w14:paraId="0258329C">
      <w:pPr>
        <w:spacing w:line="360" w:lineRule="auto"/>
        <w:rPr>
          <w:rFonts w:cs="宋体" w:asciiTheme="minorEastAsia" w:hAnsiTheme="minorEastAsia"/>
          <w:sz w:val="24"/>
          <w:szCs w:val="24"/>
        </w:rPr>
      </w:pPr>
      <w:r>
        <w:rPr>
          <w:rFonts w:hint="eastAsia" w:cs="宋体" w:asciiTheme="minorEastAsia" w:hAnsiTheme="minorEastAsia"/>
          <w:sz w:val="24"/>
          <w:szCs w:val="24"/>
        </w:rPr>
        <w:t>6.1.6.2《环境因素的识别与评价控制程序》</w:t>
      </w:r>
    </w:p>
    <w:p w14:paraId="24D1B886">
      <w:pPr>
        <w:spacing w:line="360" w:lineRule="auto"/>
        <w:rPr>
          <w:rFonts w:cs="宋体" w:asciiTheme="minorEastAsia" w:hAnsiTheme="minorEastAsia"/>
          <w:sz w:val="24"/>
          <w:szCs w:val="24"/>
        </w:rPr>
      </w:pPr>
      <w:r>
        <w:rPr>
          <w:rFonts w:hint="eastAsia" w:cs="宋体" w:asciiTheme="minorEastAsia" w:hAnsiTheme="minorEastAsia"/>
          <w:sz w:val="24"/>
          <w:szCs w:val="24"/>
        </w:rPr>
        <w:t>6.1.6.3《危险源辨识、风险评价控制程序》</w:t>
      </w:r>
    </w:p>
    <w:p w14:paraId="67C25A51">
      <w:pPr>
        <w:spacing w:line="360" w:lineRule="auto"/>
        <w:rPr>
          <w:rFonts w:cs="宋体" w:asciiTheme="minorEastAsia" w:hAnsiTheme="minorEastAsia"/>
          <w:sz w:val="24"/>
          <w:szCs w:val="24"/>
        </w:rPr>
      </w:pPr>
      <w:r>
        <w:rPr>
          <w:rFonts w:hint="eastAsia" w:cs="宋体" w:asciiTheme="minorEastAsia" w:hAnsiTheme="minorEastAsia"/>
          <w:sz w:val="24"/>
          <w:szCs w:val="24"/>
        </w:rPr>
        <w:t>6.1.6.4《法律法规与其他要求控制程序》</w:t>
      </w:r>
    </w:p>
    <w:p w14:paraId="4AFB1396">
      <w:pPr>
        <w:pStyle w:val="3"/>
        <w:spacing w:before="0" w:after="0" w:line="360" w:lineRule="auto"/>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6.2 管理目标及其实现的策划</w:t>
      </w:r>
    </w:p>
    <w:p w14:paraId="56556973">
      <w:pPr>
        <w:spacing w:line="360" w:lineRule="auto"/>
        <w:rPr>
          <w:rFonts w:cs="宋体" w:asciiTheme="minorEastAsia" w:hAnsiTheme="minorEastAsia"/>
          <w:sz w:val="24"/>
          <w:szCs w:val="24"/>
        </w:rPr>
      </w:pPr>
      <w:r>
        <w:rPr>
          <w:rFonts w:hint="eastAsia" w:cs="宋体" w:asciiTheme="minorEastAsia" w:hAnsiTheme="minorEastAsia"/>
          <w:sz w:val="24"/>
          <w:szCs w:val="24"/>
        </w:rPr>
        <w:t>6.2.1 质量/环境/职业健康安全管理目标</w:t>
      </w:r>
    </w:p>
    <w:p w14:paraId="07953953">
      <w:pPr>
        <w:spacing w:line="360" w:lineRule="auto"/>
        <w:ind w:firstLine="480" w:firstLineChars="200"/>
        <w:rPr>
          <w:rFonts w:cs="宋体" w:asciiTheme="minorEastAsia" w:hAnsiTheme="minorEastAsia"/>
          <w:sz w:val="24"/>
          <w:szCs w:val="24"/>
        </w:rPr>
      </w:pPr>
      <w:r>
        <w:rPr>
          <w:rFonts w:hint="eastAsia" w:cs="宋体" w:asciiTheme="minorEastAsia" w:hAnsiTheme="minorEastAsia"/>
          <w:sz w:val="24"/>
          <w:szCs w:val="24"/>
        </w:rPr>
        <w:t>公司编制《目标、指标和管理方案控制程序》，以确保管理目标和管理方案的实现，质量/环境/职业健康安全管理目标见管理手册0.5章节。</w:t>
      </w:r>
    </w:p>
    <w:p w14:paraId="4CB865E5">
      <w:pPr>
        <w:spacing w:line="360" w:lineRule="auto"/>
        <w:rPr>
          <w:rFonts w:cs="宋体" w:asciiTheme="minorEastAsia" w:hAnsiTheme="minorEastAsia"/>
          <w:sz w:val="24"/>
          <w:szCs w:val="24"/>
        </w:rPr>
      </w:pPr>
      <w:r>
        <w:rPr>
          <w:rFonts w:hint="eastAsia" w:cs="宋体" w:asciiTheme="minorEastAsia" w:hAnsiTheme="minorEastAsia"/>
          <w:sz w:val="24"/>
          <w:szCs w:val="24"/>
        </w:rPr>
        <w:t>6.2.1.1 总经理负责批准发布公司质量目标、环境目标和职业健康安全管理目标。</w:t>
      </w:r>
    </w:p>
    <w:p w14:paraId="4DE71424">
      <w:pPr>
        <w:spacing w:line="360" w:lineRule="auto"/>
        <w:rPr>
          <w:rFonts w:cs="宋体" w:asciiTheme="minorEastAsia" w:hAnsiTheme="minorEastAsia"/>
          <w:sz w:val="24"/>
          <w:szCs w:val="24"/>
        </w:rPr>
      </w:pPr>
      <w:r>
        <w:rPr>
          <w:rFonts w:hint="eastAsia" w:cs="宋体" w:asciiTheme="minorEastAsia" w:hAnsiTheme="minorEastAsia"/>
          <w:sz w:val="24"/>
          <w:szCs w:val="24"/>
        </w:rPr>
        <w:t>6.2.1.2 为确保公司质量/环境/职业健康安全管理目标的实现，公司应对质量/环境/职业健康安全管理体系所需的相关职能、层次和过程设定分目标，即在相关的部门建立分目标。</w:t>
      </w:r>
    </w:p>
    <w:p w14:paraId="7206FCEC">
      <w:pPr>
        <w:spacing w:line="360" w:lineRule="auto"/>
        <w:rPr>
          <w:rFonts w:cs="宋体" w:asciiTheme="minorEastAsia" w:hAnsiTheme="minorEastAsia"/>
          <w:sz w:val="24"/>
          <w:szCs w:val="24"/>
        </w:rPr>
      </w:pPr>
      <w:r>
        <w:rPr>
          <w:rFonts w:hint="eastAsia" w:cs="宋体" w:asciiTheme="minorEastAsia" w:hAnsiTheme="minorEastAsia"/>
          <w:sz w:val="24"/>
          <w:szCs w:val="24"/>
        </w:rPr>
        <w:t>6.2.1.3 这些目标应满足可测量要求，并与质量/环境/职业健康安全方针保持一致，内容应包括：</w:t>
      </w:r>
    </w:p>
    <w:p w14:paraId="353B5A11">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1) 生产过程要求；</w:t>
      </w:r>
    </w:p>
    <w:p w14:paraId="772B9B1B">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2) 为满足顾客要求所进行的活动等；</w:t>
      </w:r>
    </w:p>
    <w:p w14:paraId="3D009C53">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3) 目标应考虑企业面向市场目前和未来的需要，产品和服务及顾客满意的状况，体现持续改进要求。</w:t>
      </w:r>
    </w:p>
    <w:p w14:paraId="0D3CC344">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xml:space="preserve">4）质量/环境/职业健康安全管理目标应可测量（可行时）； </w:t>
      </w:r>
    </w:p>
    <w:p w14:paraId="28E3C697">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5）质量/环境/职业健康安全管理目标应得到监视。</w:t>
      </w:r>
    </w:p>
    <w:p w14:paraId="04919B13">
      <w:pPr>
        <w:spacing w:line="360" w:lineRule="auto"/>
        <w:rPr>
          <w:rFonts w:cs="宋体" w:asciiTheme="minorEastAsia" w:hAnsiTheme="minorEastAsia"/>
          <w:sz w:val="24"/>
          <w:szCs w:val="24"/>
        </w:rPr>
      </w:pPr>
      <w:r>
        <w:rPr>
          <w:rFonts w:hint="eastAsia" w:cs="宋体" w:asciiTheme="minorEastAsia" w:hAnsiTheme="minorEastAsia"/>
          <w:sz w:val="24"/>
          <w:szCs w:val="24"/>
        </w:rPr>
        <w:t>6.2.1.4 各部门每年应对管理目标的实施情况进行评价，对实施结果与现有管理目标的所示差距，应不断寻找改进机会，设定新的管理目标，适当时予以更新。</w:t>
      </w:r>
    </w:p>
    <w:p w14:paraId="3CD28C57">
      <w:pPr>
        <w:spacing w:line="360" w:lineRule="auto"/>
        <w:rPr>
          <w:rFonts w:cs="宋体" w:asciiTheme="minorEastAsia" w:hAnsiTheme="minorEastAsia"/>
          <w:sz w:val="24"/>
          <w:szCs w:val="24"/>
        </w:rPr>
      </w:pPr>
      <w:r>
        <w:rPr>
          <w:rFonts w:hint="eastAsia" w:cs="宋体" w:asciiTheme="minorEastAsia" w:hAnsiTheme="minorEastAsia"/>
          <w:sz w:val="24"/>
          <w:szCs w:val="24"/>
        </w:rPr>
        <w:t>6.2.1.5 质量/环境/职业健康安全管理目标应与相关部门及相关方进行必要的沟通。</w:t>
      </w:r>
    </w:p>
    <w:p w14:paraId="2C4159C6">
      <w:pPr>
        <w:spacing w:line="360" w:lineRule="auto"/>
        <w:rPr>
          <w:rFonts w:cs="宋体" w:asciiTheme="minorEastAsia" w:hAnsiTheme="minorEastAsia"/>
          <w:sz w:val="24"/>
          <w:szCs w:val="24"/>
        </w:rPr>
      </w:pPr>
      <w:r>
        <w:rPr>
          <w:rFonts w:hint="eastAsia" w:cs="宋体" w:asciiTheme="minorEastAsia" w:hAnsiTheme="minorEastAsia"/>
          <w:sz w:val="24"/>
          <w:szCs w:val="24"/>
        </w:rPr>
        <w:t>6.2.2 质量/环境/职业健康安全目标、指标和管理方案的制定。</w:t>
      </w:r>
    </w:p>
    <w:p w14:paraId="37A4DACA">
      <w:pPr>
        <w:spacing w:line="360" w:lineRule="auto"/>
        <w:ind w:firstLine="480" w:firstLineChars="200"/>
        <w:rPr>
          <w:rFonts w:cs="宋体" w:asciiTheme="minorEastAsia" w:hAnsiTheme="minorEastAsia"/>
          <w:sz w:val="24"/>
          <w:szCs w:val="24"/>
        </w:rPr>
      </w:pPr>
      <w:r>
        <w:rPr>
          <w:rFonts w:hint="eastAsia" w:cs="宋体" w:asciiTheme="minorEastAsia" w:hAnsiTheme="minorEastAsia"/>
          <w:sz w:val="24"/>
          <w:szCs w:val="24"/>
        </w:rPr>
        <w:t xml:space="preserve">为保证公司质量、环境、职业健康安全目标和指标的实现，针对重要环境和风险因素制定相应的管理方案，以确保目标的实现，组织应确定： </w:t>
      </w:r>
    </w:p>
    <w:p w14:paraId="50B40B90">
      <w:pPr>
        <w:spacing w:line="360" w:lineRule="auto"/>
        <w:ind w:firstLine="523" w:firstLineChars="218"/>
        <w:rPr>
          <w:rFonts w:cs="宋体" w:asciiTheme="minorEastAsia" w:hAnsiTheme="minorEastAsia"/>
          <w:sz w:val="24"/>
          <w:szCs w:val="24"/>
        </w:rPr>
      </w:pPr>
      <w:bookmarkStart w:id="11" w:name="OLE_LINK33"/>
      <w:r>
        <w:rPr>
          <w:rFonts w:hint="eastAsia" w:cs="宋体" w:asciiTheme="minorEastAsia" w:hAnsiTheme="minorEastAsia"/>
          <w:sz w:val="24"/>
          <w:szCs w:val="24"/>
        </w:rPr>
        <w:t>a）</w:t>
      </w:r>
      <w:bookmarkEnd w:id="11"/>
      <w:r>
        <w:rPr>
          <w:rFonts w:hint="eastAsia" w:cs="宋体" w:asciiTheme="minorEastAsia" w:hAnsiTheme="minorEastAsia"/>
          <w:sz w:val="24"/>
          <w:szCs w:val="24"/>
        </w:rPr>
        <w:t xml:space="preserve">采取的措施； </w:t>
      </w:r>
    </w:p>
    <w:p w14:paraId="22A4EBEF">
      <w:pPr>
        <w:spacing w:line="360" w:lineRule="auto"/>
        <w:ind w:firstLine="523" w:firstLineChars="218"/>
        <w:rPr>
          <w:rFonts w:cs="宋体" w:asciiTheme="minorEastAsia" w:hAnsiTheme="minorEastAsia"/>
          <w:sz w:val="24"/>
          <w:szCs w:val="24"/>
        </w:rPr>
      </w:pPr>
      <w:bookmarkStart w:id="12" w:name="OLE_LINK34"/>
      <w:r>
        <w:rPr>
          <w:rFonts w:hint="eastAsia" w:cs="宋体" w:asciiTheme="minorEastAsia" w:hAnsiTheme="minorEastAsia"/>
          <w:sz w:val="24"/>
          <w:szCs w:val="24"/>
        </w:rPr>
        <w:t>b）</w:t>
      </w:r>
      <w:bookmarkEnd w:id="12"/>
      <w:r>
        <w:rPr>
          <w:rFonts w:hint="eastAsia" w:cs="宋体" w:asciiTheme="minorEastAsia" w:hAnsiTheme="minorEastAsia"/>
          <w:sz w:val="24"/>
          <w:szCs w:val="24"/>
        </w:rPr>
        <w:t xml:space="preserve">需要的资源； </w:t>
      </w:r>
    </w:p>
    <w:p w14:paraId="6E8600C2">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xml:space="preserve">c）由谁负责； </w:t>
      </w:r>
    </w:p>
    <w:p w14:paraId="3086BD39">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xml:space="preserve">d）何时完成； </w:t>
      </w:r>
    </w:p>
    <w:p w14:paraId="0649F7C4">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e）如何评价结果。</w:t>
      </w:r>
    </w:p>
    <w:p w14:paraId="79E62AE4">
      <w:pPr>
        <w:spacing w:line="360" w:lineRule="auto"/>
        <w:rPr>
          <w:rFonts w:cs="宋体" w:asciiTheme="minorEastAsia" w:hAnsiTheme="minorEastAsia"/>
          <w:sz w:val="24"/>
          <w:szCs w:val="24"/>
        </w:rPr>
      </w:pPr>
      <w:r>
        <w:rPr>
          <w:rFonts w:hint="eastAsia" w:cs="宋体" w:asciiTheme="minorEastAsia" w:hAnsiTheme="minorEastAsia"/>
          <w:sz w:val="24"/>
          <w:szCs w:val="24"/>
        </w:rPr>
        <w:t>6.2.3 质量、环境/职业健康安全管理方案的检查与修订:</w:t>
      </w:r>
    </w:p>
    <w:p w14:paraId="5D3A743F">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a）各责任部门对质量、环境/职业健康安全管理方案的实施情况进行检查；</w:t>
      </w:r>
    </w:p>
    <w:p w14:paraId="3F3E8E41">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b）在质量、环境/职业健康安全目标、指标发生变化或制定的措施不适应及出现新的环境因素和风险因素等情况时需要更改质量/环境/职业健康安全管理方案。管理者代表要及时组织各部门对质量/环境/职业健康安全管理方案进行修订。</w:t>
      </w:r>
    </w:p>
    <w:p w14:paraId="5AB4F2F6">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修订后的质量/环境/职业健康安全管理方案要经总经理（特殊情况下可授权的人员）进行审批。</w:t>
      </w:r>
    </w:p>
    <w:p w14:paraId="493393DB">
      <w:pPr>
        <w:spacing w:line="360" w:lineRule="auto"/>
        <w:rPr>
          <w:rFonts w:cs="宋体" w:asciiTheme="minorEastAsia" w:hAnsiTheme="minorEastAsia"/>
          <w:sz w:val="24"/>
          <w:szCs w:val="24"/>
        </w:rPr>
      </w:pPr>
      <w:r>
        <w:rPr>
          <w:rFonts w:hint="eastAsia" w:cs="宋体" w:asciiTheme="minorEastAsia" w:hAnsiTheme="minorEastAsia"/>
          <w:sz w:val="24"/>
          <w:szCs w:val="24"/>
        </w:rPr>
        <w:t>6.2.4 相关/引用文件</w:t>
      </w:r>
    </w:p>
    <w:p w14:paraId="2599716B">
      <w:pPr>
        <w:spacing w:line="360" w:lineRule="auto"/>
        <w:rPr>
          <w:rFonts w:cs="宋体" w:asciiTheme="minorEastAsia" w:hAnsiTheme="minorEastAsia"/>
          <w:sz w:val="24"/>
          <w:szCs w:val="24"/>
        </w:rPr>
      </w:pPr>
      <w:r>
        <w:rPr>
          <w:rFonts w:hint="eastAsia" w:cs="宋体" w:asciiTheme="minorEastAsia" w:hAnsiTheme="minorEastAsia"/>
          <w:sz w:val="24"/>
          <w:szCs w:val="24"/>
        </w:rPr>
        <w:t>6.2.4.1《目标、指标和管理方案控制程序》</w:t>
      </w:r>
    </w:p>
    <w:p w14:paraId="4D6F6E5E">
      <w:pPr>
        <w:pStyle w:val="3"/>
        <w:spacing w:before="0" w:after="0" w:line="360" w:lineRule="auto"/>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6.3 管理体系变更的策划</w:t>
      </w:r>
    </w:p>
    <w:p w14:paraId="2EC7A07E">
      <w:pPr>
        <w:spacing w:line="360" w:lineRule="auto"/>
        <w:rPr>
          <w:rFonts w:cs="宋体" w:asciiTheme="minorEastAsia" w:hAnsiTheme="minorEastAsia"/>
          <w:sz w:val="24"/>
          <w:szCs w:val="24"/>
        </w:rPr>
      </w:pPr>
      <w:r>
        <w:rPr>
          <w:rFonts w:hint="eastAsia" w:cs="宋体" w:asciiTheme="minorEastAsia" w:hAnsiTheme="minorEastAsia"/>
          <w:sz w:val="24"/>
          <w:szCs w:val="24"/>
        </w:rPr>
        <w:t>6.3.1 当公司确定需要对质量/环境/职业健康安全管理体系进行变更时，此种变更应经策划并系统地实施（见4.4）。</w:t>
      </w:r>
    </w:p>
    <w:p w14:paraId="28D3D57F">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公司应编制《组织变更管理控制程序》，变更时应考虑到：</w:t>
      </w:r>
    </w:p>
    <w:p w14:paraId="3E7E7A10">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xml:space="preserve">a）变更目的及其潜在后果； </w:t>
      </w:r>
    </w:p>
    <w:p w14:paraId="4EFA20EF">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xml:space="preserve">b）质量/环境/职业健康安全管理体系的完整性； </w:t>
      </w:r>
    </w:p>
    <w:p w14:paraId="2C26FB31">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xml:space="preserve">c）资源的可获得性； </w:t>
      </w:r>
    </w:p>
    <w:p w14:paraId="33B75DED">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d）责任和权限的分配或再分配。</w:t>
      </w:r>
    </w:p>
    <w:p w14:paraId="7AFD3824">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质量/环境/职业健康安全管理体系的目标和过程需要变更时，流程如下：</w:t>
      </w:r>
    </w:p>
    <w:p w14:paraId="54120998">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——根据 6.1 所述的过程识别风险和机遇，确定变更内容；</w:t>
      </w:r>
    </w:p>
    <w:p w14:paraId="6C61C8BC">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——依据变更内容，办公室提交有关质量、环境和职业健康安全变更方案；</w:t>
      </w:r>
    </w:p>
    <w:p w14:paraId="05FBA369">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——管理者代表组织变更的评审，形成正式方案后提交总经理审核；</w:t>
      </w:r>
    </w:p>
    <w:p w14:paraId="7F08A386">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——审核通过后，按部门职责正式实施变更。</w:t>
      </w:r>
    </w:p>
    <w:p w14:paraId="179555E2">
      <w:pPr>
        <w:spacing w:line="360" w:lineRule="auto"/>
        <w:rPr>
          <w:rFonts w:cs="宋体" w:asciiTheme="minorEastAsia" w:hAnsiTheme="minorEastAsia"/>
          <w:sz w:val="24"/>
          <w:szCs w:val="24"/>
        </w:rPr>
      </w:pPr>
      <w:r>
        <w:rPr>
          <w:rFonts w:hint="eastAsia" w:cs="宋体" w:asciiTheme="minorEastAsia" w:hAnsiTheme="minorEastAsia"/>
          <w:sz w:val="24"/>
          <w:szCs w:val="24"/>
        </w:rPr>
        <w:t>6.3.2 相关/引用文件</w:t>
      </w:r>
    </w:p>
    <w:p w14:paraId="7A93A493">
      <w:pPr>
        <w:spacing w:line="360" w:lineRule="auto"/>
        <w:rPr>
          <w:rFonts w:cs="宋体" w:asciiTheme="minorEastAsia" w:hAnsiTheme="minorEastAsia"/>
          <w:sz w:val="24"/>
          <w:szCs w:val="24"/>
        </w:rPr>
      </w:pPr>
      <w:r>
        <w:rPr>
          <w:rFonts w:hint="eastAsia" w:cs="宋体" w:asciiTheme="minorEastAsia" w:hAnsiTheme="minorEastAsia"/>
          <w:sz w:val="24"/>
          <w:szCs w:val="24"/>
        </w:rPr>
        <w:t>6.3.2.1《组织变更管理控制程序》</w:t>
      </w:r>
    </w:p>
    <w:p w14:paraId="03AD1DA2">
      <w:pPr>
        <w:spacing w:line="360" w:lineRule="auto"/>
        <w:rPr>
          <w:rStyle w:val="27"/>
          <w:rFonts w:cs="宋体" w:asciiTheme="minorEastAsia" w:hAnsiTheme="minorEastAsia"/>
          <w:sz w:val="24"/>
          <w:szCs w:val="24"/>
        </w:rPr>
      </w:pPr>
      <w:r>
        <w:rPr>
          <w:rStyle w:val="27"/>
          <w:rFonts w:hint="eastAsia" w:cs="宋体" w:asciiTheme="minorEastAsia" w:hAnsiTheme="minorEastAsia"/>
          <w:sz w:val="24"/>
          <w:szCs w:val="24"/>
        </w:rPr>
        <w:t>7  支持</w:t>
      </w:r>
    </w:p>
    <w:p w14:paraId="2B46BB22">
      <w:pPr>
        <w:pStyle w:val="3"/>
        <w:spacing w:before="0" w:after="0" w:line="360" w:lineRule="auto"/>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7.1 资源</w:t>
      </w:r>
    </w:p>
    <w:p w14:paraId="682CD38B">
      <w:pPr>
        <w:spacing w:line="360" w:lineRule="auto"/>
        <w:rPr>
          <w:rFonts w:cs="宋体" w:asciiTheme="minorEastAsia" w:hAnsiTheme="minorEastAsia"/>
          <w:sz w:val="24"/>
          <w:szCs w:val="24"/>
        </w:rPr>
      </w:pPr>
      <w:r>
        <w:rPr>
          <w:rFonts w:hint="eastAsia" w:cs="宋体" w:asciiTheme="minorEastAsia" w:hAnsiTheme="minorEastAsia"/>
          <w:sz w:val="24"/>
          <w:szCs w:val="24"/>
        </w:rPr>
        <w:t xml:space="preserve">7.1.1 总则 </w:t>
      </w:r>
    </w:p>
    <w:p w14:paraId="44A42B22">
      <w:pPr>
        <w:spacing w:line="360" w:lineRule="auto"/>
        <w:rPr>
          <w:rFonts w:ascii="宋体" w:hAnsi="宋体" w:eastAsia="宋体" w:cs="宋体"/>
          <w:sz w:val="24"/>
          <w:szCs w:val="24"/>
        </w:rPr>
      </w:pPr>
      <w:r>
        <w:rPr>
          <w:rFonts w:hint="eastAsia" w:cs="宋体" w:asciiTheme="minorEastAsia" w:hAnsiTheme="minorEastAsia"/>
          <w:sz w:val="24"/>
          <w:szCs w:val="24"/>
        </w:rPr>
        <w:t>7.1.1.1 公司最高管理层确定并提供为建立、实施、保持和持续改进质量/环境/职业健康安全管理体系所需的资源。各部门根据质量/环境/职业健康安全管理体系的实施、保持和改进需求进行识别，提出所需的资源报总经理。</w:t>
      </w:r>
      <w:r>
        <w:rPr>
          <w:rFonts w:ascii="宋体" w:hAnsi="宋体" w:eastAsia="宋体" w:cs="Times New Roman"/>
          <w:kern w:val="0"/>
          <w:sz w:val="24"/>
        </w:rPr>
        <w:t>资源是为实施管理方针和达到管理目标所必需的，对公司来讲是指：</w:t>
      </w:r>
    </w:p>
    <w:p w14:paraId="49C1229A">
      <w:pPr>
        <w:autoSpaceDE w:val="0"/>
        <w:autoSpaceDN w:val="0"/>
        <w:adjustRightInd w:val="0"/>
        <w:spacing w:line="360" w:lineRule="auto"/>
        <w:ind w:firstLine="480" w:firstLineChars="200"/>
        <w:jc w:val="left"/>
        <w:rPr>
          <w:rFonts w:ascii="宋体" w:hAnsi="宋体" w:eastAsia="宋体" w:cs="Times New Roman"/>
          <w:kern w:val="0"/>
          <w:sz w:val="24"/>
        </w:rPr>
      </w:pPr>
      <w:r>
        <w:rPr>
          <w:rFonts w:ascii="宋体" w:hAnsi="宋体" w:eastAsia="宋体" w:cs="Times New Roman"/>
          <w:kern w:val="0"/>
          <w:sz w:val="24"/>
        </w:rPr>
        <w:t>a)人力资源和专业技术；</w:t>
      </w:r>
      <w:r>
        <w:rPr>
          <w:rFonts w:hint="eastAsia" w:ascii="宋体" w:hAnsi="宋体" w:eastAsia="宋体" w:cs="Times New Roman"/>
          <w:kern w:val="0"/>
          <w:sz w:val="24"/>
        </w:rPr>
        <w:t xml:space="preserve">     </w:t>
      </w:r>
    </w:p>
    <w:p w14:paraId="2A0C5B3E">
      <w:pPr>
        <w:autoSpaceDE w:val="0"/>
        <w:autoSpaceDN w:val="0"/>
        <w:adjustRightInd w:val="0"/>
        <w:spacing w:line="360" w:lineRule="auto"/>
        <w:ind w:firstLine="480" w:firstLineChars="200"/>
        <w:jc w:val="left"/>
        <w:rPr>
          <w:rFonts w:ascii="宋体" w:hAnsi="宋体" w:eastAsia="宋体" w:cs="Times New Roman"/>
          <w:kern w:val="0"/>
          <w:sz w:val="24"/>
        </w:rPr>
      </w:pPr>
      <w:r>
        <w:rPr>
          <w:rFonts w:ascii="宋体" w:hAnsi="宋体" w:eastAsia="宋体" w:cs="Times New Roman"/>
          <w:kern w:val="0"/>
          <w:sz w:val="24"/>
        </w:rPr>
        <w:t>b)生产、</w:t>
      </w:r>
      <w:r>
        <w:rPr>
          <w:rFonts w:hint="eastAsia" w:ascii="宋体" w:hAnsi="宋体" w:eastAsia="宋体" w:cs="Times New Roman"/>
          <w:kern w:val="0"/>
          <w:sz w:val="24"/>
        </w:rPr>
        <w:t>加工</w:t>
      </w:r>
      <w:r>
        <w:rPr>
          <w:rFonts w:ascii="宋体" w:hAnsi="宋体" w:eastAsia="宋体" w:cs="Times New Roman"/>
          <w:kern w:val="0"/>
          <w:sz w:val="24"/>
        </w:rPr>
        <w:t>设备；</w:t>
      </w:r>
    </w:p>
    <w:p w14:paraId="1F2F60EE">
      <w:pPr>
        <w:autoSpaceDE w:val="0"/>
        <w:autoSpaceDN w:val="0"/>
        <w:adjustRightInd w:val="0"/>
        <w:spacing w:line="360" w:lineRule="auto"/>
        <w:ind w:firstLine="480" w:firstLineChars="200"/>
        <w:jc w:val="left"/>
        <w:rPr>
          <w:rFonts w:ascii="宋体" w:hAnsi="宋体" w:eastAsia="宋体" w:cs="Times New Roman"/>
          <w:kern w:val="0"/>
          <w:sz w:val="24"/>
        </w:rPr>
      </w:pPr>
      <w:r>
        <w:rPr>
          <w:rFonts w:ascii="宋体" w:hAnsi="宋体" w:eastAsia="宋体" w:cs="Times New Roman"/>
          <w:kern w:val="0"/>
          <w:sz w:val="24"/>
        </w:rPr>
        <w:t>c)监视和测量设备；</w:t>
      </w:r>
      <w:r>
        <w:rPr>
          <w:rFonts w:hint="eastAsia" w:ascii="宋体" w:hAnsi="宋体" w:eastAsia="宋体" w:cs="Times New Roman"/>
          <w:kern w:val="0"/>
          <w:sz w:val="24"/>
        </w:rPr>
        <w:t xml:space="preserve">          </w:t>
      </w:r>
    </w:p>
    <w:p w14:paraId="4ACF465F">
      <w:pPr>
        <w:autoSpaceDE w:val="0"/>
        <w:autoSpaceDN w:val="0"/>
        <w:adjustRightInd w:val="0"/>
        <w:spacing w:line="360" w:lineRule="auto"/>
        <w:ind w:firstLine="480" w:firstLineChars="200"/>
        <w:jc w:val="left"/>
        <w:rPr>
          <w:rFonts w:ascii="宋体" w:hAnsi="宋体" w:eastAsia="宋体" w:cs="Times New Roman"/>
          <w:kern w:val="0"/>
          <w:sz w:val="24"/>
        </w:rPr>
      </w:pPr>
      <w:r>
        <w:rPr>
          <w:rFonts w:ascii="宋体" w:hAnsi="宋体" w:eastAsia="宋体" w:cs="Times New Roman"/>
          <w:kern w:val="0"/>
          <w:sz w:val="24"/>
        </w:rPr>
        <w:t>d)计算机软件；</w:t>
      </w:r>
    </w:p>
    <w:p w14:paraId="7A32A423">
      <w:pPr>
        <w:autoSpaceDE w:val="0"/>
        <w:autoSpaceDN w:val="0"/>
        <w:adjustRightInd w:val="0"/>
        <w:spacing w:line="360" w:lineRule="auto"/>
        <w:ind w:firstLine="480" w:firstLineChars="200"/>
        <w:jc w:val="left"/>
        <w:rPr>
          <w:rFonts w:ascii="宋体" w:hAnsi="宋体" w:eastAsia="宋体" w:cs="Times New Roman"/>
          <w:kern w:val="0"/>
          <w:sz w:val="24"/>
        </w:rPr>
      </w:pPr>
      <w:r>
        <w:rPr>
          <w:rFonts w:ascii="宋体" w:hAnsi="宋体" w:eastAsia="宋体" w:cs="Times New Roman"/>
          <w:kern w:val="0"/>
          <w:sz w:val="24"/>
        </w:rPr>
        <w:t>e)资金；</w:t>
      </w:r>
      <w:r>
        <w:rPr>
          <w:rFonts w:hint="eastAsia" w:ascii="宋体" w:hAnsi="宋体" w:eastAsia="宋体" w:cs="Times New Roman"/>
          <w:kern w:val="0"/>
          <w:sz w:val="24"/>
        </w:rPr>
        <w:t xml:space="preserve">                   </w:t>
      </w:r>
    </w:p>
    <w:p w14:paraId="7210D41F">
      <w:pPr>
        <w:autoSpaceDE w:val="0"/>
        <w:autoSpaceDN w:val="0"/>
        <w:adjustRightInd w:val="0"/>
        <w:spacing w:line="360" w:lineRule="auto"/>
        <w:ind w:firstLine="480" w:firstLineChars="200"/>
        <w:jc w:val="left"/>
        <w:rPr>
          <w:rFonts w:ascii="宋体" w:hAnsi="宋体"/>
          <w:kern w:val="0"/>
          <w:sz w:val="24"/>
        </w:rPr>
      </w:pPr>
      <w:r>
        <w:rPr>
          <w:rFonts w:ascii="宋体" w:hAnsi="宋体" w:eastAsia="宋体" w:cs="Times New Roman"/>
          <w:kern w:val="0"/>
          <w:sz w:val="24"/>
        </w:rPr>
        <w:t>f)工作环境。</w:t>
      </w:r>
    </w:p>
    <w:p w14:paraId="36711F9F">
      <w:pPr>
        <w:autoSpaceDE w:val="0"/>
        <w:autoSpaceDN w:val="0"/>
        <w:adjustRightInd w:val="0"/>
        <w:spacing w:line="360" w:lineRule="auto"/>
        <w:ind w:firstLine="480" w:firstLineChars="200"/>
        <w:jc w:val="left"/>
        <w:rPr>
          <w:rFonts w:ascii="宋体" w:hAnsi="宋体" w:eastAsia="宋体" w:cs="Times New Roman"/>
          <w:kern w:val="0"/>
          <w:sz w:val="24"/>
        </w:rPr>
      </w:pPr>
      <w:r>
        <w:rPr>
          <w:rFonts w:ascii="宋体" w:hAnsi="宋体" w:eastAsia="宋体" w:cs="Times New Roman"/>
          <w:kern w:val="0"/>
          <w:sz w:val="24"/>
        </w:rPr>
        <w:t>对于影响质量、环境</w:t>
      </w:r>
      <w:r>
        <w:rPr>
          <w:rFonts w:hint="eastAsia" w:ascii="宋体" w:hAnsi="宋体" w:eastAsia="宋体" w:cs="Times New Roman"/>
          <w:kern w:val="0"/>
          <w:sz w:val="24"/>
        </w:rPr>
        <w:t>、</w:t>
      </w:r>
      <w:r>
        <w:rPr>
          <w:rFonts w:ascii="宋体" w:hAnsi="宋体" w:eastAsia="宋体" w:cs="Times New Roman"/>
          <w:kern w:val="0"/>
          <w:sz w:val="24"/>
        </w:rPr>
        <w:t>职业健康安全的各个环节，公司都制定了相应的程序</w:t>
      </w:r>
      <w:r>
        <w:rPr>
          <w:rFonts w:hint="eastAsia" w:ascii="宋体" w:hAnsi="宋体" w:eastAsia="宋体" w:cs="Times New Roman"/>
          <w:kern w:val="0"/>
          <w:sz w:val="24"/>
        </w:rPr>
        <w:t>与相关管理制度</w:t>
      </w:r>
      <w:r>
        <w:rPr>
          <w:rFonts w:ascii="宋体" w:hAnsi="宋体" w:eastAsia="宋体" w:cs="Times New Roman"/>
          <w:kern w:val="0"/>
          <w:sz w:val="24"/>
        </w:rPr>
        <w:t>进行控制，并明确人员和提供适当手段，确保资源提供的充分性、适应性。对具体</w:t>
      </w:r>
      <w:r>
        <w:rPr>
          <w:rFonts w:hint="eastAsia" w:ascii="宋体" w:hAnsi="宋体" w:eastAsia="宋体" w:cs="Times New Roman"/>
          <w:kern w:val="0"/>
          <w:sz w:val="24"/>
        </w:rPr>
        <w:t>合同</w:t>
      </w:r>
      <w:r>
        <w:rPr>
          <w:rFonts w:ascii="宋体" w:hAnsi="宋体" w:eastAsia="宋体" w:cs="Times New Roman"/>
          <w:kern w:val="0"/>
          <w:sz w:val="24"/>
        </w:rPr>
        <w:t>项目通过合同评审，明确对资源的要求，并写入</w:t>
      </w:r>
      <w:r>
        <w:rPr>
          <w:rFonts w:hint="eastAsia" w:ascii="宋体" w:hAnsi="宋体" w:eastAsia="宋体" w:cs="Times New Roman"/>
          <w:kern w:val="0"/>
          <w:sz w:val="24"/>
        </w:rPr>
        <w:t>产品要求</w:t>
      </w:r>
      <w:r>
        <w:rPr>
          <w:rFonts w:ascii="宋体" w:hAnsi="宋体" w:eastAsia="宋体" w:cs="Times New Roman"/>
          <w:kern w:val="0"/>
          <w:sz w:val="24"/>
        </w:rPr>
        <w:t>中。</w:t>
      </w:r>
      <w:r>
        <w:rPr>
          <w:rFonts w:hint="eastAsia" w:ascii="宋体" w:hAnsi="宋体" w:eastAsia="宋体" w:cs="Times New Roman"/>
          <w:sz w:val="24"/>
        </w:rPr>
        <w:t>公司根据质量管理长远目标制定人力资源发展规划；</w:t>
      </w:r>
      <w:r>
        <w:rPr>
          <w:rFonts w:ascii="宋体" w:hAnsi="宋体" w:eastAsia="宋体" w:cs="Times New Roman"/>
          <w:kern w:val="0"/>
          <w:sz w:val="24"/>
        </w:rPr>
        <w:t>公司整体资源的配备是否满足管理方针和目标的要求，在管理评审会上给予评审和确认。</w:t>
      </w:r>
    </w:p>
    <w:p w14:paraId="4B3D55F9">
      <w:pPr>
        <w:spacing w:line="360" w:lineRule="auto"/>
        <w:rPr>
          <w:rFonts w:cs="宋体" w:asciiTheme="minorEastAsia" w:hAnsiTheme="minorEastAsia"/>
          <w:sz w:val="24"/>
          <w:szCs w:val="24"/>
        </w:rPr>
      </w:pPr>
      <w:r>
        <w:rPr>
          <w:rFonts w:hint="eastAsia" w:cs="宋体" w:asciiTheme="minorEastAsia" w:hAnsiTheme="minorEastAsia"/>
          <w:sz w:val="24"/>
          <w:szCs w:val="24"/>
        </w:rPr>
        <w:t>7.1.1.2 由总经理组织研究并确定提供以下方面所需的资源：</w:t>
      </w:r>
    </w:p>
    <w:p w14:paraId="410C9CD1">
      <w:pPr>
        <w:spacing w:line="360" w:lineRule="auto"/>
        <w:ind w:firstLine="480" w:firstLineChars="200"/>
        <w:rPr>
          <w:rFonts w:cs="宋体" w:asciiTheme="minorEastAsia" w:hAnsiTheme="minorEastAsia"/>
          <w:sz w:val="24"/>
          <w:szCs w:val="24"/>
        </w:rPr>
      </w:pPr>
      <w:r>
        <w:rPr>
          <w:rFonts w:hint="eastAsia" w:cs="宋体" w:asciiTheme="minorEastAsia" w:hAnsiTheme="minorEastAsia"/>
          <w:sz w:val="24"/>
          <w:szCs w:val="24"/>
        </w:rPr>
        <w:t>a) 实施、保持质量/环境/职业健康安全管理体系并持续改进其有效性；</w:t>
      </w:r>
    </w:p>
    <w:p w14:paraId="65130D2E">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b) 通过满足顾客和相关方要求，增强顾客和相关方满意。</w:t>
      </w:r>
    </w:p>
    <w:p w14:paraId="730A39A0">
      <w:pPr>
        <w:spacing w:line="360" w:lineRule="auto"/>
        <w:rPr>
          <w:rFonts w:cs="宋体" w:asciiTheme="minorEastAsia" w:hAnsiTheme="minorEastAsia"/>
          <w:sz w:val="24"/>
          <w:szCs w:val="24"/>
        </w:rPr>
      </w:pPr>
      <w:r>
        <w:rPr>
          <w:rFonts w:hint="eastAsia" w:cs="宋体" w:asciiTheme="minorEastAsia" w:hAnsiTheme="minorEastAsia"/>
          <w:sz w:val="24"/>
          <w:szCs w:val="24"/>
        </w:rPr>
        <w:t>7.1.1.3 总经理组织研究提供上述资源时应考虑：</w:t>
      </w:r>
    </w:p>
    <w:p w14:paraId="34E6085E">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a) 现有内部资源的能力和约束条件；</w:t>
      </w:r>
    </w:p>
    <w:p w14:paraId="7C1C0933">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b) 需要从外部或供方获得的资源及可能性。</w:t>
      </w:r>
    </w:p>
    <w:p w14:paraId="751C00EA">
      <w:pPr>
        <w:spacing w:line="360" w:lineRule="auto"/>
        <w:rPr>
          <w:rFonts w:cs="宋体" w:asciiTheme="minorEastAsia" w:hAnsiTheme="minorEastAsia"/>
          <w:sz w:val="24"/>
          <w:szCs w:val="24"/>
        </w:rPr>
      </w:pPr>
      <w:r>
        <w:rPr>
          <w:rFonts w:hint="eastAsia" w:cs="宋体" w:asciiTheme="minorEastAsia" w:hAnsiTheme="minorEastAsia"/>
          <w:sz w:val="24"/>
          <w:szCs w:val="24"/>
        </w:rPr>
        <w:t>7.1.1.4 所提供资源可包括：人员、信息、基础设施、工作环境等，公司对人员、设施和工作环境规定了相应的要求，以达到满足顾客要求的目的。</w:t>
      </w:r>
    </w:p>
    <w:p w14:paraId="01C3EB01">
      <w:pPr>
        <w:spacing w:line="360" w:lineRule="auto"/>
        <w:rPr>
          <w:rFonts w:cs="宋体" w:asciiTheme="minorEastAsia" w:hAnsiTheme="minorEastAsia"/>
          <w:sz w:val="24"/>
          <w:szCs w:val="24"/>
        </w:rPr>
      </w:pPr>
      <w:r>
        <w:rPr>
          <w:rFonts w:hint="eastAsia" w:cs="宋体" w:asciiTheme="minorEastAsia" w:hAnsiTheme="minorEastAsia"/>
          <w:sz w:val="24"/>
          <w:szCs w:val="24"/>
        </w:rPr>
        <w:t>7.1.2 人员</w:t>
      </w:r>
    </w:p>
    <w:p w14:paraId="69B3A3B6">
      <w:pPr>
        <w:spacing w:line="360" w:lineRule="auto"/>
        <w:ind w:firstLine="480" w:firstLineChars="200"/>
        <w:rPr>
          <w:rFonts w:cs="宋体" w:asciiTheme="minorEastAsia" w:hAnsiTheme="minorEastAsia"/>
          <w:sz w:val="24"/>
          <w:szCs w:val="24"/>
        </w:rPr>
      </w:pPr>
      <w:r>
        <w:rPr>
          <w:rFonts w:hint="eastAsia" w:cs="宋体" w:asciiTheme="minorEastAsia" w:hAnsiTheme="minorEastAsia"/>
          <w:sz w:val="24"/>
          <w:szCs w:val="24"/>
        </w:rPr>
        <w:t>公司制定人力资源政策，建立各岗位评价机制，以有效实施质量/环境/职业健康安全管理体系并运行和控制其过程。办公室编制《培训、意识和能力控制程序》，并组织实施，以确保与管理体系相关的人员是能够胜任的。</w:t>
      </w:r>
    </w:p>
    <w:p w14:paraId="57866BE1">
      <w:pPr>
        <w:spacing w:line="360" w:lineRule="auto"/>
        <w:ind w:firstLine="480" w:firstLineChars="200"/>
        <w:rPr>
          <w:rFonts w:cs="宋体" w:asciiTheme="minorEastAsia" w:hAnsiTheme="minorEastAsia"/>
          <w:sz w:val="24"/>
          <w:szCs w:val="24"/>
        </w:rPr>
      </w:pPr>
      <w:r>
        <w:rPr>
          <w:rFonts w:hint="eastAsia" w:cs="宋体" w:asciiTheme="minorEastAsia" w:hAnsiTheme="minorEastAsia"/>
          <w:sz w:val="24"/>
          <w:szCs w:val="24"/>
        </w:rPr>
        <w:t>当出现人员配置不当的情况，在重新调配合格的骨干员工到岗之前，办公室协调相关部门采取临时性应急措施。</w:t>
      </w:r>
    </w:p>
    <w:p w14:paraId="783D694F">
      <w:pPr>
        <w:spacing w:line="360" w:lineRule="auto"/>
        <w:ind w:firstLine="480" w:firstLineChars="200"/>
        <w:rPr>
          <w:rFonts w:cs="宋体" w:asciiTheme="minorEastAsia" w:hAnsiTheme="minorEastAsia"/>
          <w:sz w:val="24"/>
          <w:szCs w:val="24"/>
        </w:rPr>
      </w:pPr>
      <w:r>
        <w:rPr>
          <w:rFonts w:hint="eastAsia" w:cs="宋体" w:asciiTheme="minorEastAsia" w:hAnsiTheme="minorEastAsia"/>
          <w:sz w:val="24"/>
          <w:szCs w:val="24"/>
        </w:rPr>
        <w:t>为了保证各岗位人员能够胜任并持续提高工作质量，公司有计划的安排各种培训，引进竞争机制，开通人员流动渠道。</w:t>
      </w:r>
    </w:p>
    <w:p w14:paraId="0C163E56">
      <w:pPr>
        <w:spacing w:line="360" w:lineRule="auto"/>
        <w:rPr>
          <w:rFonts w:cs="宋体" w:asciiTheme="minorEastAsia" w:hAnsiTheme="minorEastAsia"/>
          <w:sz w:val="24"/>
          <w:szCs w:val="24"/>
        </w:rPr>
      </w:pPr>
      <w:r>
        <w:rPr>
          <w:rFonts w:hint="eastAsia" w:cs="宋体" w:asciiTheme="minorEastAsia" w:hAnsiTheme="minorEastAsia"/>
          <w:sz w:val="24"/>
          <w:szCs w:val="24"/>
        </w:rPr>
        <w:t xml:space="preserve">7.1.3 基础设施 </w:t>
      </w:r>
    </w:p>
    <w:p w14:paraId="520F1D38">
      <w:pPr>
        <w:spacing w:line="360" w:lineRule="auto"/>
        <w:rPr>
          <w:rFonts w:cs="宋体" w:asciiTheme="minorEastAsia" w:hAnsiTheme="minorEastAsia"/>
          <w:sz w:val="24"/>
          <w:szCs w:val="24"/>
        </w:rPr>
      </w:pPr>
      <w:r>
        <w:rPr>
          <w:rFonts w:hint="eastAsia" w:cs="宋体" w:asciiTheme="minorEastAsia" w:hAnsiTheme="minorEastAsia"/>
          <w:sz w:val="24"/>
          <w:szCs w:val="24"/>
        </w:rPr>
        <w:t>7.1.3.1公司为实现服务的符合性，确定所需的基础设施，包括：</w:t>
      </w:r>
    </w:p>
    <w:p w14:paraId="687FB97A">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1) 工作场所（建筑物）及环境保护、消防、安全等相应的设施；</w:t>
      </w:r>
    </w:p>
    <w:p w14:paraId="5F505C0B">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xml:space="preserve">2) 公司生产服务设备；     </w:t>
      </w:r>
    </w:p>
    <w:p w14:paraId="7AA7E65F">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3) 监视和测量资源；</w:t>
      </w:r>
    </w:p>
    <w:p w14:paraId="7D402150">
      <w:pPr>
        <w:spacing w:line="360" w:lineRule="auto"/>
        <w:ind w:firstLine="523" w:firstLineChars="218"/>
        <w:rPr>
          <w:rFonts w:cs="宋体" w:asciiTheme="minorEastAsia" w:hAnsiTheme="minorEastAsia"/>
          <w:sz w:val="24"/>
          <w:szCs w:val="24"/>
        </w:rPr>
      </w:pPr>
      <w:bookmarkStart w:id="13" w:name="OLE_LINK36"/>
      <w:r>
        <w:rPr>
          <w:rFonts w:hint="eastAsia" w:cs="宋体" w:asciiTheme="minorEastAsia" w:hAnsiTheme="minorEastAsia"/>
          <w:sz w:val="24"/>
          <w:szCs w:val="24"/>
        </w:rPr>
        <w:t>4)</w:t>
      </w:r>
      <w:bookmarkEnd w:id="13"/>
      <w:bookmarkStart w:id="14" w:name="OLE_LINK35"/>
      <w:bookmarkEnd w:id="14"/>
      <w:r>
        <w:rPr>
          <w:rFonts w:hint="eastAsia" w:cs="宋体" w:asciiTheme="minorEastAsia" w:hAnsiTheme="minorEastAsia"/>
          <w:sz w:val="24"/>
          <w:szCs w:val="24"/>
        </w:rPr>
        <w:t xml:space="preserve"> 公司经营过程需要的支持性服务（包括水、电、气）；</w:t>
      </w:r>
    </w:p>
    <w:p w14:paraId="0494BAE5">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5) 安全卫生、消防、保卫等相应的设施；</w:t>
      </w:r>
    </w:p>
    <w:p w14:paraId="7D9CB79C">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6) 运输资源等支持性服务</w:t>
      </w:r>
    </w:p>
    <w:p w14:paraId="55E4EFD7">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7) 信息系统：通讯、计算机信息管理系统或财务软件等。</w:t>
      </w:r>
    </w:p>
    <w:p w14:paraId="75A8C9B9">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公司根据经营需要，对生产设施和需采购的设施进行策划、调研和论证，并对上述设施的安装、使用、检查和维护实施控制，开展关键设备设施工艺安全管理，保证设施运行状态良好有效，以控制因设施完整性的缺陷可能带来的风险。</w:t>
      </w:r>
    </w:p>
    <w:p w14:paraId="425E056F">
      <w:pPr>
        <w:spacing w:line="360" w:lineRule="auto"/>
        <w:rPr>
          <w:rFonts w:cs="宋体" w:asciiTheme="minorEastAsia" w:hAnsiTheme="minorEastAsia"/>
          <w:sz w:val="24"/>
          <w:szCs w:val="24"/>
        </w:rPr>
      </w:pPr>
      <w:r>
        <w:rPr>
          <w:rFonts w:hint="eastAsia" w:cs="宋体" w:asciiTheme="minorEastAsia" w:hAnsiTheme="minorEastAsia"/>
          <w:sz w:val="24"/>
          <w:szCs w:val="24"/>
        </w:rPr>
        <w:t>7.1.3.2 生产部负责生产设施使用和日常保养，办公设备设施由使用部门负责维护和管理，确保设施完整性和持续满足要求。办公室负责监视和测量资源的控制。</w:t>
      </w:r>
    </w:p>
    <w:p w14:paraId="46E7A0C8">
      <w:pPr>
        <w:spacing w:line="360" w:lineRule="auto"/>
        <w:rPr>
          <w:rFonts w:cs="宋体" w:asciiTheme="minorEastAsia" w:hAnsiTheme="minorEastAsia"/>
          <w:sz w:val="24"/>
          <w:szCs w:val="24"/>
        </w:rPr>
      </w:pPr>
      <w:r>
        <w:rPr>
          <w:rFonts w:hint="eastAsia" w:cs="宋体" w:asciiTheme="minorEastAsia" w:hAnsiTheme="minorEastAsia"/>
          <w:sz w:val="24"/>
          <w:szCs w:val="24"/>
        </w:rPr>
        <w:t>7.3.1.3 设施的更新改造，设施在运行过程中，根据产品的改进、更新换代及质量改进的需要，适时进行更新改造。</w:t>
      </w:r>
    </w:p>
    <w:p w14:paraId="77A570BF">
      <w:pPr>
        <w:spacing w:line="360" w:lineRule="auto"/>
        <w:rPr>
          <w:rFonts w:cs="宋体" w:asciiTheme="minorEastAsia" w:hAnsiTheme="minorEastAsia"/>
          <w:sz w:val="24"/>
          <w:szCs w:val="24"/>
        </w:rPr>
      </w:pPr>
      <w:r>
        <w:rPr>
          <w:rFonts w:hint="eastAsia" w:cs="宋体" w:asciiTheme="minorEastAsia" w:hAnsiTheme="minorEastAsia"/>
          <w:sz w:val="24"/>
          <w:szCs w:val="24"/>
        </w:rPr>
        <w:t>7.1.4 过程运行环境</w:t>
      </w:r>
    </w:p>
    <w:p w14:paraId="770B43D0">
      <w:pPr>
        <w:spacing w:line="360" w:lineRule="auto"/>
        <w:rPr>
          <w:rFonts w:cs="宋体" w:asciiTheme="minorEastAsia" w:hAnsiTheme="minorEastAsia"/>
          <w:sz w:val="24"/>
          <w:szCs w:val="24"/>
        </w:rPr>
      </w:pPr>
      <w:r>
        <w:rPr>
          <w:rFonts w:hint="eastAsia" w:cs="宋体" w:asciiTheme="minorEastAsia" w:hAnsiTheme="minorEastAsia"/>
          <w:sz w:val="24"/>
          <w:szCs w:val="24"/>
        </w:rPr>
        <w:t xml:space="preserve">    公司为确保管理过程运行满足质量/环境/职业健康安全要求，由办公室负责，</w:t>
      </w:r>
      <w:r>
        <w:rPr>
          <w:rFonts w:hint="eastAsia" w:cs="宋体" w:asciiTheme="minorEastAsia" w:hAnsiTheme="minorEastAsia"/>
          <w:bCs/>
          <w:sz w:val="24"/>
          <w:szCs w:val="24"/>
        </w:rPr>
        <w:t>根据服务特点，确定、提供并维护过程运行所需要的环境，包括温度、热量、湿度、照明、空气流通、卫生、噪声等物理环境，心理环境如心理压力、过度疲劳、个人情感和社会环境如非歧视、和谐、无对抗，以获得合格产品和服务。</w:t>
      </w:r>
    </w:p>
    <w:p w14:paraId="15475FAF">
      <w:pPr>
        <w:spacing w:line="360" w:lineRule="auto"/>
        <w:rPr>
          <w:rFonts w:cs="宋体" w:asciiTheme="minorEastAsia" w:hAnsiTheme="minorEastAsia"/>
          <w:sz w:val="24"/>
          <w:szCs w:val="24"/>
        </w:rPr>
      </w:pPr>
      <w:r>
        <w:rPr>
          <w:rFonts w:hint="eastAsia" w:cs="宋体" w:asciiTheme="minorEastAsia" w:hAnsiTheme="minorEastAsia"/>
          <w:sz w:val="24"/>
          <w:szCs w:val="24"/>
        </w:rPr>
        <w:t>7.1.4.1 公司对影响产品和服务的符合性所需工作环境人和物的因素，确定为：</w:t>
      </w:r>
    </w:p>
    <w:p w14:paraId="59BB6D8E">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xml:space="preserve">a）社会因素（如无歧视、和谐稳定、无对抗）； </w:t>
      </w:r>
    </w:p>
    <w:p w14:paraId="1E820952">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b）心理因素（如舒缓心理压力、预防过度疲劳、保护个人情感）；</w:t>
      </w:r>
    </w:p>
    <w:p w14:paraId="0B53FB22">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c）物理因素（如温度、热量、湿度、照明、空气流通、卫生、噪声等）。</w:t>
      </w:r>
    </w:p>
    <w:p w14:paraId="0FD36FAB">
      <w:pPr>
        <w:spacing w:line="360" w:lineRule="auto"/>
        <w:rPr>
          <w:rFonts w:cs="宋体" w:asciiTheme="minorEastAsia" w:hAnsiTheme="minorEastAsia"/>
          <w:sz w:val="24"/>
          <w:szCs w:val="24"/>
        </w:rPr>
      </w:pPr>
      <w:r>
        <w:rPr>
          <w:rFonts w:hint="eastAsia" w:cs="宋体" w:asciiTheme="minorEastAsia" w:hAnsiTheme="minorEastAsia"/>
          <w:sz w:val="24"/>
          <w:szCs w:val="24"/>
        </w:rPr>
        <w:t>7.1.4.2 办公室根据有关法律法规及有关标准，对工作环境中影响服务符合性的因素组织相关部门制定相应的管理办法，加以控制，以确保工作环境支持实现公司的质量/环境/职业健康安全方针和质量目标。</w:t>
      </w:r>
    </w:p>
    <w:p w14:paraId="5287B388">
      <w:pPr>
        <w:spacing w:line="360" w:lineRule="auto"/>
        <w:rPr>
          <w:rFonts w:cs="宋体" w:asciiTheme="minorEastAsia" w:hAnsiTheme="minorEastAsia"/>
          <w:sz w:val="24"/>
          <w:szCs w:val="24"/>
        </w:rPr>
      </w:pPr>
      <w:r>
        <w:rPr>
          <w:rFonts w:hint="eastAsia" w:cs="宋体" w:asciiTheme="minorEastAsia" w:hAnsiTheme="minorEastAsia"/>
          <w:sz w:val="24"/>
          <w:szCs w:val="24"/>
        </w:rPr>
        <w:t>7.1.4.3 应充分考虑工作环境、职业健康安全因素，办公室应组织对工作环境、职业健康安全因素进行审核、评价。</w:t>
      </w:r>
    </w:p>
    <w:p w14:paraId="613B8240">
      <w:pPr>
        <w:spacing w:line="360" w:lineRule="auto"/>
        <w:rPr>
          <w:rFonts w:cs="宋体" w:asciiTheme="minorEastAsia" w:hAnsiTheme="minorEastAsia"/>
          <w:sz w:val="24"/>
          <w:szCs w:val="24"/>
        </w:rPr>
      </w:pPr>
      <w:r>
        <w:rPr>
          <w:rFonts w:hint="eastAsia" w:cs="宋体" w:asciiTheme="minorEastAsia" w:hAnsiTheme="minorEastAsia"/>
          <w:sz w:val="24"/>
          <w:szCs w:val="24"/>
        </w:rPr>
        <w:t>7.1.4.4 现有和新建设施的环境应加强控制、检查、改进。</w:t>
      </w:r>
    </w:p>
    <w:p w14:paraId="2013DF8F">
      <w:pPr>
        <w:spacing w:line="360" w:lineRule="auto"/>
        <w:rPr>
          <w:rFonts w:cs="宋体" w:asciiTheme="minorEastAsia" w:hAnsiTheme="minorEastAsia"/>
          <w:spacing w:val="-2"/>
          <w:sz w:val="24"/>
          <w:szCs w:val="24"/>
        </w:rPr>
      </w:pPr>
      <w:r>
        <w:rPr>
          <w:rFonts w:hint="eastAsia" w:cs="宋体" w:asciiTheme="minorEastAsia" w:hAnsiTheme="minorEastAsia"/>
          <w:spacing w:val="-2"/>
          <w:sz w:val="24"/>
          <w:szCs w:val="24"/>
        </w:rPr>
        <w:t>7.1.4.5 公司应开展以下活动，调动员工实现质量/环境/职业健康安全方针、目标的积极性：</w:t>
      </w:r>
    </w:p>
    <w:p w14:paraId="0D07D27A">
      <w:pPr>
        <w:spacing w:line="360" w:lineRule="auto"/>
        <w:ind w:firstLine="480" w:firstLineChars="200"/>
        <w:rPr>
          <w:rFonts w:cs="宋体" w:asciiTheme="minorEastAsia" w:hAnsiTheme="minorEastAsia"/>
          <w:sz w:val="24"/>
          <w:szCs w:val="24"/>
        </w:rPr>
      </w:pPr>
      <w:r>
        <w:rPr>
          <w:rFonts w:hint="eastAsia" w:cs="宋体" w:asciiTheme="minorEastAsia" w:hAnsiTheme="minorEastAsia"/>
          <w:sz w:val="24"/>
          <w:szCs w:val="24"/>
        </w:rPr>
        <w:t>1) 加强环境保护、工业卫生、安全法规教育；</w:t>
      </w:r>
    </w:p>
    <w:p w14:paraId="000E8626">
      <w:pPr>
        <w:spacing w:line="360" w:lineRule="auto"/>
        <w:ind w:firstLine="480" w:firstLineChars="200"/>
        <w:rPr>
          <w:rFonts w:cs="宋体" w:asciiTheme="minorEastAsia" w:hAnsiTheme="minorEastAsia"/>
          <w:sz w:val="24"/>
          <w:szCs w:val="24"/>
        </w:rPr>
      </w:pPr>
      <w:r>
        <w:rPr>
          <w:rFonts w:hint="eastAsia" w:cs="宋体" w:asciiTheme="minorEastAsia" w:hAnsiTheme="minorEastAsia"/>
          <w:sz w:val="24"/>
          <w:szCs w:val="24"/>
        </w:rPr>
        <w:t>2) 减轻劳动强度，减少对员工的危害；</w:t>
      </w:r>
    </w:p>
    <w:p w14:paraId="54E8CE76">
      <w:pPr>
        <w:spacing w:line="360" w:lineRule="auto"/>
        <w:ind w:firstLine="480" w:firstLineChars="200"/>
        <w:rPr>
          <w:rFonts w:cs="宋体" w:asciiTheme="minorEastAsia" w:hAnsiTheme="minorEastAsia"/>
          <w:sz w:val="24"/>
          <w:szCs w:val="24"/>
        </w:rPr>
      </w:pPr>
      <w:r>
        <w:rPr>
          <w:rFonts w:hint="eastAsia" w:cs="宋体" w:asciiTheme="minorEastAsia" w:hAnsiTheme="minorEastAsia"/>
          <w:sz w:val="24"/>
          <w:szCs w:val="24"/>
        </w:rPr>
        <w:t>3) 建立激励机制，提高员工实现质量/环境/职业健康安全方针、目标的积极性；</w:t>
      </w:r>
    </w:p>
    <w:p w14:paraId="04737D0F">
      <w:pPr>
        <w:spacing w:line="360" w:lineRule="auto"/>
        <w:ind w:firstLine="480" w:firstLineChars="200"/>
        <w:rPr>
          <w:rFonts w:cs="宋体" w:asciiTheme="minorEastAsia" w:hAnsiTheme="minorEastAsia"/>
          <w:sz w:val="24"/>
          <w:szCs w:val="24"/>
        </w:rPr>
      </w:pPr>
      <w:r>
        <w:rPr>
          <w:rFonts w:hint="eastAsia" w:cs="宋体" w:asciiTheme="minorEastAsia" w:hAnsiTheme="minorEastAsia"/>
          <w:sz w:val="24"/>
          <w:szCs w:val="24"/>
        </w:rPr>
        <w:t>4) 组织开展合理化建议活动，创造更多的参与机会。</w:t>
      </w:r>
    </w:p>
    <w:p w14:paraId="2DB343A0">
      <w:pPr>
        <w:spacing w:line="360" w:lineRule="auto"/>
        <w:rPr>
          <w:rFonts w:cs="宋体" w:asciiTheme="minorEastAsia" w:hAnsiTheme="minorEastAsia"/>
          <w:sz w:val="24"/>
          <w:szCs w:val="24"/>
        </w:rPr>
      </w:pPr>
      <w:r>
        <w:rPr>
          <w:rFonts w:hint="eastAsia" w:cs="宋体" w:asciiTheme="minorEastAsia" w:hAnsiTheme="minorEastAsia"/>
          <w:sz w:val="24"/>
          <w:szCs w:val="24"/>
        </w:rPr>
        <w:t>7.1.4.6 办公室负责检查和监督工作环境状况，检查内容包括：</w:t>
      </w:r>
    </w:p>
    <w:p w14:paraId="574158CF">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a) 各项工作是否满足国家有关安全、环境法规、标准和规定要求；</w:t>
      </w:r>
    </w:p>
    <w:p w14:paraId="1E6353E8">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b) 安全防火通道保持畅通，定期检查消防器材；</w:t>
      </w:r>
    </w:p>
    <w:p w14:paraId="48B1E882">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c) 服务现场做好安全防护工作，配备必要的劳动保护及安全设施；</w:t>
      </w:r>
    </w:p>
    <w:p w14:paraId="036E6702">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d) 严格执行各项安全管理规定，杜绝违章操作，确保人身安全；</w:t>
      </w:r>
    </w:p>
    <w:p w14:paraId="78A5367F">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e) 合理安排作息时间，遵守国家劳动法规的要求。</w:t>
      </w:r>
    </w:p>
    <w:p w14:paraId="4897337D">
      <w:pPr>
        <w:spacing w:line="360" w:lineRule="auto"/>
        <w:rPr>
          <w:rFonts w:cs="宋体" w:asciiTheme="minorEastAsia" w:hAnsiTheme="minorEastAsia"/>
          <w:sz w:val="24"/>
          <w:szCs w:val="24"/>
        </w:rPr>
      </w:pPr>
      <w:r>
        <w:rPr>
          <w:rFonts w:hint="eastAsia" w:cs="宋体" w:asciiTheme="minorEastAsia" w:hAnsiTheme="minorEastAsia"/>
          <w:sz w:val="24"/>
          <w:szCs w:val="24"/>
        </w:rPr>
        <w:t>7.1.4.7 各部门对工作环境中出现影响服务符合性的因素应及时整改。</w:t>
      </w:r>
    </w:p>
    <w:p w14:paraId="22EE6363">
      <w:pPr>
        <w:spacing w:line="360" w:lineRule="auto"/>
        <w:rPr>
          <w:rFonts w:cs="宋体" w:asciiTheme="minorEastAsia" w:hAnsiTheme="minorEastAsia"/>
          <w:sz w:val="24"/>
          <w:szCs w:val="24"/>
        </w:rPr>
      </w:pPr>
      <w:r>
        <w:rPr>
          <w:rFonts w:hint="eastAsia" w:cs="宋体" w:asciiTheme="minorEastAsia" w:hAnsiTheme="minorEastAsia"/>
          <w:sz w:val="24"/>
          <w:szCs w:val="24"/>
        </w:rPr>
        <w:t>7.1.4.8 工作环境的控制详见相关管理制度。</w:t>
      </w:r>
    </w:p>
    <w:p w14:paraId="72D8A887">
      <w:pPr>
        <w:spacing w:line="360" w:lineRule="auto"/>
        <w:rPr>
          <w:rFonts w:cs="宋体" w:asciiTheme="minorEastAsia" w:hAnsiTheme="minorEastAsia"/>
          <w:sz w:val="24"/>
          <w:szCs w:val="24"/>
        </w:rPr>
      </w:pPr>
      <w:r>
        <w:rPr>
          <w:rFonts w:hint="eastAsia" w:cs="宋体" w:asciiTheme="minorEastAsia" w:hAnsiTheme="minorEastAsia"/>
          <w:sz w:val="24"/>
          <w:szCs w:val="24"/>
        </w:rPr>
        <w:t xml:space="preserve">7.1.5 监视和测量资源 </w:t>
      </w:r>
    </w:p>
    <w:p w14:paraId="617B30D2">
      <w:pPr>
        <w:spacing w:line="360" w:lineRule="auto"/>
        <w:rPr>
          <w:rFonts w:cs="宋体" w:asciiTheme="minorEastAsia" w:hAnsiTheme="minorEastAsia"/>
          <w:sz w:val="24"/>
          <w:szCs w:val="24"/>
        </w:rPr>
      </w:pPr>
      <w:r>
        <w:rPr>
          <w:rFonts w:hint="eastAsia" w:cs="宋体" w:asciiTheme="minorEastAsia" w:hAnsiTheme="minorEastAsia"/>
          <w:sz w:val="24"/>
          <w:szCs w:val="24"/>
        </w:rPr>
        <w:t xml:space="preserve">7.1.5.1 总则 </w:t>
      </w:r>
    </w:p>
    <w:p w14:paraId="1D9322A4">
      <w:pPr>
        <w:spacing w:line="360" w:lineRule="auto"/>
        <w:ind w:firstLine="480" w:firstLineChars="200"/>
        <w:rPr>
          <w:rFonts w:cs="宋体" w:asciiTheme="minorEastAsia" w:hAnsiTheme="minorEastAsia"/>
          <w:sz w:val="24"/>
          <w:szCs w:val="24"/>
        </w:rPr>
      </w:pPr>
      <w:r>
        <w:rPr>
          <w:rFonts w:hint="eastAsia" w:cs="宋体" w:asciiTheme="minorEastAsia" w:hAnsiTheme="minorEastAsia"/>
          <w:sz w:val="24"/>
          <w:szCs w:val="24"/>
        </w:rPr>
        <w:t>质检部应对产品和服务的监视和测量要求和方法作出规定，同时要申请配置用于证实服务符合规定要求的监视和测量资源。质检部控制监视和测量设施以保证测量能力与测量要求保持一致，从而保证服务符合要求。</w:t>
      </w:r>
    </w:p>
    <w:p w14:paraId="00968274">
      <w:pPr>
        <w:spacing w:line="360" w:lineRule="auto"/>
        <w:rPr>
          <w:rFonts w:cs="宋体" w:asciiTheme="minorEastAsia" w:hAnsiTheme="minorEastAsia"/>
          <w:sz w:val="24"/>
          <w:szCs w:val="24"/>
        </w:rPr>
      </w:pPr>
      <w:r>
        <w:rPr>
          <w:rFonts w:hint="eastAsia" w:cs="宋体" w:asciiTheme="minorEastAsia" w:hAnsiTheme="minorEastAsia"/>
          <w:sz w:val="24"/>
          <w:szCs w:val="24"/>
        </w:rPr>
        <w:t xml:space="preserve">7.1.5.2 测量溯源 </w:t>
      </w:r>
    </w:p>
    <w:p w14:paraId="2FBD48F1">
      <w:pPr>
        <w:spacing w:line="360" w:lineRule="auto"/>
        <w:ind w:firstLine="480" w:firstLineChars="200"/>
        <w:rPr>
          <w:rFonts w:cs="宋体" w:asciiTheme="minorEastAsia" w:hAnsiTheme="minorEastAsia"/>
          <w:sz w:val="24"/>
          <w:szCs w:val="24"/>
        </w:rPr>
      </w:pPr>
      <w:r>
        <w:rPr>
          <w:rFonts w:hint="eastAsia" w:cs="宋体" w:asciiTheme="minorEastAsia" w:hAnsiTheme="minorEastAsia"/>
          <w:sz w:val="24"/>
          <w:szCs w:val="24"/>
        </w:rPr>
        <w:t xml:space="preserve">公司对用来验证服务、环境和职业健康安全符合规定的测量和监视设备进行控制。确保设备的精密度和准确度能满足规定的要求。质检部是监视测量设备控制主管部门。 </w:t>
      </w:r>
    </w:p>
    <w:p w14:paraId="2F751BE8">
      <w:pPr>
        <w:spacing w:line="360" w:lineRule="auto"/>
        <w:rPr>
          <w:rFonts w:cs="宋体" w:asciiTheme="minorEastAsia" w:hAnsiTheme="minorEastAsia"/>
          <w:sz w:val="24"/>
          <w:szCs w:val="24"/>
        </w:rPr>
      </w:pPr>
      <w:r>
        <w:rPr>
          <w:rFonts w:hint="eastAsia" w:cs="宋体" w:asciiTheme="minorEastAsia" w:hAnsiTheme="minorEastAsia"/>
          <w:sz w:val="24"/>
          <w:szCs w:val="24"/>
        </w:rPr>
        <w:t xml:space="preserve">7.1.6 组织的知识 </w:t>
      </w:r>
    </w:p>
    <w:p w14:paraId="1CD4E3BF">
      <w:pPr>
        <w:spacing w:line="360" w:lineRule="auto"/>
        <w:rPr>
          <w:rFonts w:cs="宋体" w:asciiTheme="minorEastAsia" w:hAnsiTheme="minorEastAsia"/>
          <w:sz w:val="24"/>
          <w:szCs w:val="24"/>
        </w:rPr>
      </w:pPr>
      <w:r>
        <w:rPr>
          <w:rFonts w:hint="eastAsia" w:cs="宋体" w:asciiTheme="minorEastAsia" w:hAnsiTheme="minorEastAsia"/>
          <w:sz w:val="24"/>
          <w:szCs w:val="24"/>
        </w:rPr>
        <w:t>7.1.6.1 公司应确定质量/环境/职业健康安全管理体系运行、过程、确保服务符合性及顾客满意所需的知识。这些知识应得到保持、保护、需要时便于获取，并进行更新。组织的知识包括：</w:t>
      </w:r>
    </w:p>
    <w:p w14:paraId="78FD0DB9">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xml:space="preserve">a）内部来源：知识产权；经历；从失败和成功项目得到的经验教训；得到和分享未形成文件的知识和经验，过程、服务的改进结果； </w:t>
      </w:r>
    </w:p>
    <w:p w14:paraId="30D70019">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b）外部来源：标准；学术交流；专业会议，从顾客或外部供方收集的知识。</w:t>
      </w:r>
    </w:p>
    <w:p w14:paraId="0B22A945">
      <w:pPr>
        <w:spacing w:line="360" w:lineRule="auto"/>
        <w:rPr>
          <w:rFonts w:cs="宋体" w:asciiTheme="minorEastAsia" w:hAnsiTheme="minorEastAsia"/>
          <w:sz w:val="24"/>
          <w:szCs w:val="24"/>
        </w:rPr>
      </w:pPr>
      <w:r>
        <w:rPr>
          <w:rFonts w:hint="eastAsia" w:cs="宋体" w:asciiTheme="minorEastAsia" w:hAnsiTheme="minorEastAsia"/>
          <w:sz w:val="24"/>
          <w:szCs w:val="24"/>
        </w:rPr>
        <w:t>7.1.6.2 在应对变化的需求和趋势时，组织应考虑现有知识，确定如何获取必需的更多知识。</w:t>
      </w:r>
    </w:p>
    <w:p w14:paraId="70368956">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a) 质量/环境/职业健康安全管理体系运行所需的知识；</w:t>
      </w:r>
    </w:p>
    <w:p w14:paraId="0CDCCDC2">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xml:space="preserve">b) 过程所需的知识； </w:t>
      </w:r>
    </w:p>
    <w:p w14:paraId="6A4D639B">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xml:space="preserve">d) 顾客满意所需的知识； </w:t>
      </w:r>
    </w:p>
    <w:p w14:paraId="7867F17C">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xml:space="preserve">e) 员工岗位技能所需的知识； </w:t>
      </w:r>
    </w:p>
    <w:p w14:paraId="375B9C00">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f) 管理体系变化时，评估所需更多的知识。</w:t>
      </w:r>
    </w:p>
    <w:p w14:paraId="05EBAAF4">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组织的知识的管理按《组织知识管理控制程序》的有关要求实施。</w:t>
      </w:r>
    </w:p>
    <w:p w14:paraId="1107393A">
      <w:pPr>
        <w:spacing w:line="360" w:lineRule="auto"/>
        <w:rPr>
          <w:rFonts w:cs="宋体" w:asciiTheme="minorEastAsia" w:hAnsiTheme="minorEastAsia"/>
          <w:sz w:val="24"/>
          <w:szCs w:val="24"/>
        </w:rPr>
      </w:pPr>
      <w:r>
        <w:rPr>
          <w:rFonts w:hint="eastAsia" w:cs="宋体" w:asciiTheme="minorEastAsia" w:hAnsiTheme="minorEastAsia"/>
          <w:sz w:val="24"/>
          <w:szCs w:val="24"/>
        </w:rPr>
        <w:t>7.1.7相关/引用文件</w:t>
      </w:r>
    </w:p>
    <w:p w14:paraId="74A62468">
      <w:pPr>
        <w:spacing w:line="360" w:lineRule="auto"/>
        <w:rPr>
          <w:rFonts w:cs="宋体" w:asciiTheme="minorEastAsia" w:hAnsiTheme="minorEastAsia"/>
          <w:sz w:val="24"/>
          <w:szCs w:val="24"/>
        </w:rPr>
      </w:pPr>
      <w:r>
        <w:rPr>
          <w:rFonts w:hint="eastAsia" w:cs="宋体" w:asciiTheme="minorEastAsia" w:hAnsiTheme="minorEastAsia"/>
          <w:sz w:val="24"/>
          <w:szCs w:val="24"/>
        </w:rPr>
        <w:t>7.1.7.1《培训、意识和能力控制程序》</w:t>
      </w:r>
    </w:p>
    <w:p w14:paraId="07CEA1B4">
      <w:pPr>
        <w:spacing w:line="360" w:lineRule="auto"/>
        <w:rPr>
          <w:rFonts w:cs="宋体" w:asciiTheme="minorEastAsia" w:hAnsiTheme="minorEastAsia"/>
          <w:sz w:val="24"/>
          <w:szCs w:val="24"/>
        </w:rPr>
      </w:pPr>
      <w:r>
        <w:rPr>
          <w:rFonts w:hint="eastAsia" w:cs="宋体" w:asciiTheme="minorEastAsia" w:hAnsiTheme="minorEastAsia"/>
          <w:sz w:val="24"/>
          <w:szCs w:val="24"/>
        </w:rPr>
        <w:t>7.1.7.2 《组织知识管理控制程序》</w:t>
      </w:r>
    </w:p>
    <w:p w14:paraId="138FEE54">
      <w:pPr>
        <w:pStyle w:val="3"/>
        <w:spacing w:before="0" w:after="0" w:line="360" w:lineRule="auto"/>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7.2 能力</w:t>
      </w:r>
    </w:p>
    <w:p w14:paraId="58945EE6">
      <w:pPr>
        <w:spacing w:line="360" w:lineRule="auto"/>
        <w:rPr>
          <w:rFonts w:cs="宋体" w:asciiTheme="minorEastAsia" w:hAnsiTheme="minorEastAsia"/>
          <w:sz w:val="24"/>
          <w:szCs w:val="24"/>
        </w:rPr>
      </w:pPr>
      <w:r>
        <w:rPr>
          <w:rFonts w:hint="eastAsia" w:cs="宋体" w:asciiTheme="minorEastAsia" w:hAnsiTheme="minorEastAsia"/>
          <w:sz w:val="24"/>
          <w:szCs w:val="24"/>
        </w:rPr>
        <w:t>7.2.1 办公室制定《培训、意识和能力控制程序》。基于适当的教育、培训、技能和经验，确保所有为公司或代表公司从事影响（直接或间接影响）管理体系的质量、环境绩效和履行合规义务、影响体系运行有效性的人员，都具备相应的能力，确保胜任。</w:t>
      </w:r>
    </w:p>
    <w:p w14:paraId="29D96C60">
      <w:pPr>
        <w:spacing w:line="360" w:lineRule="auto"/>
        <w:rPr>
          <w:rFonts w:cs="宋体" w:asciiTheme="minorEastAsia" w:hAnsiTheme="minorEastAsia"/>
          <w:sz w:val="24"/>
          <w:szCs w:val="24"/>
        </w:rPr>
      </w:pPr>
      <w:r>
        <w:rPr>
          <w:rFonts w:hint="eastAsia" w:cs="宋体" w:asciiTheme="minorEastAsia" w:hAnsiTheme="minorEastAsia"/>
          <w:sz w:val="24"/>
          <w:szCs w:val="24"/>
        </w:rPr>
        <w:t>7.2.2 相关岗位职责、权限和任职资格条件在公司各岗位的要求中作出规定。</w:t>
      </w:r>
    </w:p>
    <w:p w14:paraId="3BD631CD">
      <w:pPr>
        <w:spacing w:line="360" w:lineRule="auto"/>
        <w:rPr>
          <w:rFonts w:cs="宋体" w:asciiTheme="minorEastAsia" w:hAnsiTheme="minorEastAsia"/>
          <w:sz w:val="24"/>
          <w:szCs w:val="24"/>
        </w:rPr>
      </w:pPr>
      <w:r>
        <w:rPr>
          <w:rFonts w:hint="eastAsia" w:cs="宋体" w:asciiTheme="minorEastAsia" w:hAnsiTheme="minorEastAsia"/>
          <w:sz w:val="24"/>
          <w:szCs w:val="24"/>
        </w:rPr>
        <w:t>7.2.3 按各类人员岗位职责规定进行考核/考评，评价其能力的符合性。</w:t>
      </w:r>
    </w:p>
    <w:p w14:paraId="36520E19">
      <w:pPr>
        <w:spacing w:line="360" w:lineRule="auto"/>
        <w:rPr>
          <w:rFonts w:cs="宋体" w:asciiTheme="minorEastAsia" w:hAnsiTheme="minorEastAsia"/>
          <w:sz w:val="24"/>
          <w:szCs w:val="24"/>
        </w:rPr>
      </w:pPr>
      <w:r>
        <w:rPr>
          <w:rFonts w:hint="eastAsia" w:cs="宋体" w:asciiTheme="minorEastAsia" w:hAnsiTheme="minorEastAsia"/>
          <w:sz w:val="24"/>
          <w:szCs w:val="24"/>
        </w:rPr>
        <w:t>7.2.4 采取的适当措施可包括对在职人员进行培训、辅导或重新分配工作，或者招聘具备能力的人员，使相关人员具备岗位要求所需的能力。</w:t>
      </w:r>
    </w:p>
    <w:p w14:paraId="471E791C">
      <w:pPr>
        <w:spacing w:line="360" w:lineRule="auto"/>
        <w:rPr>
          <w:rFonts w:cs="宋体" w:asciiTheme="minorEastAsia" w:hAnsiTheme="minorEastAsia"/>
          <w:b/>
          <w:sz w:val="24"/>
          <w:szCs w:val="24"/>
        </w:rPr>
      </w:pPr>
      <w:r>
        <w:rPr>
          <w:rFonts w:hint="eastAsia" w:cs="宋体" w:asciiTheme="minorEastAsia" w:hAnsiTheme="minorEastAsia"/>
          <w:sz w:val="24"/>
          <w:szCs w:val="24"/>
        </w:rPr>
        <w:t>7.2.5 公司建立人事档案，保留员工评价、教育、培训、经历等记录，保留适当的文件或记录，作为证实相关人员具备相应能力的证据。</w:t>
      </w:r>
    </w:p>
    <w:p w14:paraId="77E5316E">
      <w:pPr>
        <w:pStyle w:val="3"/>
        <w:spacing w:before="0" w:after="0" w:line="360" w:lineRule="auto"/>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7.3 意识</w:t>
      </w:r>
    </w:p>
    <w:p w14:paraId="52665069">
      <w:pPr>
        <w:spacing w:line="360" w:lineRule="auto"/>
        <w:rPr>
          <w:rFonts w:cs="宋体" w:asciiTheme="minorEastAsia" w:hAnsiTheme="minorEastAsia"/>
          <w:sz w:val="24"/>
          <w:szCs w:val="24"/>
        </w:rPr>
      </w:pPr>
      <w:r>
        <w:rPr>
          <w:rFonts w:hint="eastAsia" w:cs="宋体" w:asciiTheme="minorEastAsia" w:hAnsiTheme="minorEastAsia"/>
          <w:sz w:val="24"/>
          <w:szCs w:val="24"/>
        </w:rPr>
        <w:t>7.3.1 办公室应根据培训内容和需求，制定和实施培训计划，满足质量活动所规定人员的能力需求。</w:t>
      </w:r>
    </w:p>
    <w:p w14:paraId="445E8B73">
      <w:pPr>
        <w:spacing w:line="360" w:lineRule="auto"/>
        <w:rPr>
          <w:rFonts w:cs="宋体" w:asciiTheme="minorEastAsia" w:hAnsiTheme="minorEastAsia"/>
          <w:sz w:val="24"/>
          <w:szCs w:val="24"/>
        </w:rPr>
      </w:pPr>
      <w:r>
        <w:rPr>
          <w:rFonts w:hint="eastAsia" w:cs="宋体" w:asciiTheme="minorEastAsia" w:hAnsiTheme="minorEastAsia"/>
          <w:sz w:val="24"/>
          <w:szCs w:val="24"/>
        </w:rPr>
        <w:t>7.3.2 培训应确保使每一位员工都能认识到自己所从事的活动或工作对质量/环境/职业健康安全管理体系的相关性和重要性，以及如何为实现管理目标作出贡献。包括：</w:t>
      </w:r>
    </w:p>
    <w:p w14:paraId="7F99B367">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xml:space="preserve">a）质量方针、环境方针和职业健康安全管理方针； </w:t>
      </w:r>
    </w:p>
    <w:p w14:paraId="7FE7EF2B">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xml:space="preserve">b）相关的质量目标、环境目标和职业健康安全管理目标； </w:t>
      </w:r>
    </w:p>
    <w:p w14:paraId="637428C5">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c）与他们的工作相关的重要环境因素和相关的实际或潜在的环境影响；</w:t>
      </w:r>
    </w:p>
    <w:p w14:paraId="2D7D9276">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d）他们对质量/环境/职业健康安全管理体系有效性的贡献，包括改进质量绩效的益处；对提高环境绩效的贡献；</w:t>
      </w:r>
    </w:p>
    <w:p w14:paraId="42A946C1">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e）不符合管理体系要求的后果。</w:t>
      </w:r>
    </w:p>
    <w:p w14:paraId="5B3CA76D">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f）不符合环境与职业安全管理体系要求，包括未履行组织的合规义务的后果。</w:t>
      </w:r>
    </w:p>
    <w:p w14:paraId="24296DFD">
      <w:pPr>
        <w:spacing w:line="360" w:lineRule="auto"/>
        <w:rPr>
          <w:rFonts w:cs="宋体" w:asciiTheme="minorEastAsia" w:hAnsiTheme="minorEastAsia"/>
          <w:sz w:val="24"/>
          <w:szCs w:val="24"/>
        </w:rPr>
      </w:pPr>
      <w:r>
        <w:rPr>
          <w:rFonts w:hint="eastAsia" w:cs="宋体" w:asciiTheme="minorEastAsia" w:hAnsiTheme="minorEastAsia"/>
          <w:sz w:val="24"/>
          <w:szCs w:val="24"/>
        </w:rPr>
        <w:t>7.3.4 培训计划报总经理批准后，办公室组织实施。</w:t>
      </w:r>
    </w:p>
    <w:p w14:paraId="704EEBA6">
      <w:pPr>
        <w:spacing w:line="360" w:lineRule="auto"/>
        <w:rPr>
          <w:rFonts w:cs="宋体" w:asciiTheme="minorEastAsia" w:hAnsiTheme="minorEastAsia"/>
          <w:sz w:val="24"/>
          <w:szCs w:val="24"/>
        </w:rPr>
      </w:pPr>
      <w:r>
        <w:rPr>
          <w:rFonts w:hint="eastAsia" w:cs="宋体" w:asciiTheme="minorEastAsia" w:hAnsiTheme="minorEastAsia"/>
          <w:sz w:val="24"/>
          <w:szCs w:val="24"/>
        </w:rPr>
        <w:t>7.3.5 培训的实施按《培训、意识和能力控制程序》执行。</w:t>
      </w:r>
    </w:p>
    <w:p w14:paraId="0EA63E8C">
      <w:pPr>
        <w:spacing w:line="360" w:lineRule="auto"/>
        <w:rPr>
          <w:rFonts w:cs="宋体" w:asciiTheme="minorEastAsia" w:hAnsiTheme="minorEastAsia"/>
          <w:sz w:val="24"/>
          <w:szCs w:val="24"/>
        </w:rPr>
      </w:pPr>
      <w:r>
        <w:rPr>
          <w:rFonts w:hint="eastAsia" w:cs="宋体" w:asciiTheme="minorEastAsia" w:hAnsiTheme="minorEastAsia"/>
          <w:sz w:val="24"/>
          <w:szCs w:val="24"/>
        </w:rPr>
        <w:t>7.3.6 办公室组织有关部门对培训的有效性进行评价。</w:t>
      </w:r>
    </w:p>
    <w:p w14:paraId="6B8ECB4D">
      <w:pPr>
        <w:spacing w:line="360" w:lineRule="auto"/>
        <w:rPr>
          <w:rFonts w:cs="宋体" w:asciiTheme="minorEastAsia" w:hAnsiTheme="minorEastAsia"/>
          <w:sz w:val="24"/>
          <w:szCs w:val="24"/>
        </w:rPr>
      </w:pPr>
      <w:r>
        <w:rPr>
          <w:rFonts w:hint="eastAsia" w:cs="宋体" w:asciiTheme="minorEastAsia" w:hAnsiTheme="minorEastAsia"/>
          <w:sz w:val="24"/>
          <w:szCs w:val="24"/>
        </w:rPr>
        <w:t>7.3.7 相关/引用文件</w:t>
      </w:r>
    </w:p>
    <w:p w14:paraId="7DC9EEBC">
      <w:pPr>
        <w:spacing w:line="360" w:lineRule="auto"/>
        <w:rPr>
          <w:rFonts w:cs="宋体" w:asciiTheme="minorEastAsia" w:hAnsiTheme="minorEastAsia"/>
          <w:sz w:val="24"/>
          <w:szCs w:val="24"/>
        </w:rPr>
      </w:pPr>
      <w:r>
        <w:rPr>
          <w:rFonts w:hint="eastAsia" w:cs="宋体" w:asciiTheme="minorEastAsia" w:hAnsiTheme="minorEastAsia"/>
          <w:sz w:val="24"/>
          <w:szCs w:val="24"/>
        </w:rPr>
        <w:t>7.3.7.1《培训、意识和能力控制程序》</w:t>
      </w:r>
    </w:p>
    <w:p w14:paraId="09AAF23B">
      <w:pPr>
        <w:pStyle w:val="3"/>
        <w:spacing w:before="0" w:after="0" w:line="360" w:lineRule="auto"/>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7.4 沟通及信息交流</w:t>
      </w:r>
    </w:p>
    <w:p w14:paraId="013F50B8">
      <w:pPr>
        <w:spacing w:line="360" w:lineRule="auto"/>
        <w:rPr>
          <w:rFonts w:cs="宋体" w:asciiTheme="minorEastAsia" w:hAnsiTheme="minorEastAsia"/>
          <w:sz w:val="24"/>
          <w:szCs w:val="24"/>
        </w:rPr>
      </w:pPr>
      <w:r>
        <w:rPr>
          <w:rFonts w:hint="eastAsia" w:cs="宋体" w:asciiTheme="minorEastAsia" w:hAnsiTheme="minorEastAsia"/>
          <w:sz w:val="24"/>
          <w:szCs w:val="24"/>
        </w:rPr>
        <w:t>7.4.1 总则</w:t>
      </w:r>
    </w:p>
    <w:p w14:paraId="6C91565B">
      <w:pPr>
        <w:spacing w:line="360" w:lineRule="auto"/>
        <w:rPr>
          <w:rFonts w:cs="宋体" w:asciiTheme="minorEastAsia" w:hAnsiTheme="minorEastAsia"/>
          <w:sz w:val="24"/>
          <w:szCs w:val="24"/>
        </w:rPr>
      </w:pPr>
      <w:r>
        <w:rPr>
          <w:rFonts w:hint="eastAsia" w:cs="宋体" w:asciiTheme="minorEastAsia" w:hAnsiTheme="minorEastAsia"/>
          <w:sz w:val="24"/>
          <w:szCs w:val="24"/>
        </w:rPr>
        <w:t>7.4.1.1 公司根据质量/环境/职业健康安全管理体系运行要求，明确与体系相关的内部沟通和外部沟通要求。</w:t>
      </w:r>
    </w:p>
    <w:p w14:paraId="2DAAA57F">
      <w:pPr>
        <w:spacing w:line="360" w:lineRule="auto"/>
        <w:rPr>
          <w:rFonts w:cs="宋体" w:asciiTheme="minorEastAsia" w:hAnsiTheme="minorEastAsia"/>
          <w:sz w:val="24"/>
          <w:szCs w:val="24"/>
        </w:rPr>
      </w:pPr>
      <w:r>
        <w:rPr>
          <w:rFonts w:hint="eastAsia" w:cs="宋体" w:asciiTheme="minorEastAsia" w:hAnsiTheme="minorEastAsia"/>
          <w:sz w:val="24"/>
          <w:szCs w:val="24"/>
        </w:rPr>
        <w:t xml:space="preserve">7.4.1.2 公司根据内外沟通要求，策划沟通计划，包括： </w:t>
      </w:r>
    </w:p>
    <w:p w14:paraId="4BD709AA">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xml:space="preserve">a）信息交流的内容（沟通什么）； </w:t>
      </w:r>
    </w:p>
    <w:p w14:paraId="4443934F">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xml:space="preserve">b）何时进行信息交流（何时沟通）； </w:t>
      </w:r>
    </w:p>
    <w:p w14:paraId="391DCE1D">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xml:space="preserve">c）与谁进行信息交流（与谁沟通）； </w:t>
      </w:r>
    </w:p>
    <w:p w14:paraId="3457A653">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xml:space="preserve">d）如何进行信息交流（如何沟通）。 </w:t>
      </w:r>
    </w:p>
    <w:p w14:paraId="0B8D4093">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e）由谁牵头进行信息交流（由谁负责）。</w:t>
      </w:r>
    </w:p>
    <w:p w14:paraId="27ED2658">
      <w:pPr>
        <w:spacing w:line="360" w:lineRule="auto"/>
        <w:rPr>
          <w:rFonts w:cs="宋体" w:asciiTheme="minorEastAsia" w:hAnsiTheme="minorEastAsia"/>
          <w:sz w:val="24"/>
          <w:szCs w:val="24"/>
        </w:rPr>
      </w:pPr>
      <w:r>
        <w:rPr>
          <w:rFonts w:hint="eastAsia" w:cs="宋体" w:asciiTheme="minorEastAsia" w:hAnsiTheme="minorEastAsia"/>
          <w:sz w:val="24"/>
          <w:szCs w:val="24"/>
        </w:rPr>
        <w:t xml:space="preserve">7.4.1.3 公司在策划信息交流过程时，应考虑： </w:t>
      </w:r>
    </w:p>
    <w:p w14:paraId="0EC3F79F">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xml:space="preserve">a）考虑其合规义务； </w:t>
      </w:r>
    </w:p>
    <w:p w14:paraId="36FE0301">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xml:space="preserve">b）确保所交流的环境信息与环境管理体系形成的信息一致且真实可信。 </w:t>
      </w:r>
    </w:p>
    <w:p w14:paraId="56A97B33">
      <w:pPr>
        <w:spacing w:line="360" w:lineRule="auto"/>
        <w:rPr>
          <w:rFonts w:cs="宋体" w:asciiTheme="minorEastAsia" w:hAnsiTheme="minorEastAsia"/>
          <w:sz w:val="24"/>
          <w:szCs w:val="24"/>
        </w:rPr>
      </w:pPr>
      <w:r>
        <w:rPr>
          <w:rFonts w:hint="eastAsia" w:cs="宋体" w:asciiTheme="minorEastAsia" w:hAnsiTheme="minorEastAsia"/>
          <w:sz w:val="24"/>
          <w:szCs w:val="24"/>
        </w:rPr>
        <w:t xml:space="preserve">7.4.1.4 组织应对其环境管理体系相关的信息交流做出响应。 </w:t>
      </w:r>
    </w:p>
    <w:p w14:paraId="0B81BE2A">
      <w:pPr>
        <w:spacing w:line="360" w:lineRule="auto"/>
        <w:rPr>
          <w:rFonts w:cs="宋体" w:asciiTheme="minorEastAsia" w:hAnsiTheme="minorEastAsia"/>
          <w:sz w:val="24"/>
          <w:szCs w:val="24"/>
        </w:rPr>
      </w:pPr>
      <w:r>
        <w:rPr>
          <w:rFonts w:hint="eastAsia" w:cs="宋体" w:asciiTheme="minorEastAsia" w:hAnsiTheme="minorEastAsia"/>
          <w:sz w:val="24"/>
          <w:szCs w:val="24"/>
        </w:rPr>
        <w:t>7.4.2 内部信息交流与沟通</w:t>
      </w:r>
    </w:p>
    <w:p w14:paraId="7CE74824">
      <w:pPr>
        <w:spacing w:line="360" w:lineRule="auto"/>
        <w:rPr>
          <w:rFonts w:cs="宋体" w:asciiTheme="minorEastAsia" w:hAnsiTheme="minorEastAsia"/>
          <w:sz w:val="24"/>
          <w:szCs w:val="24"/>
        </w:rPr>
      </w:pPr>
      <w:r>
        <w:rPr>
          <w:rFonts w:hint="eastAsia" w:cs="宋体" w:asciiTheme="minorEastAsia" w:hAnsiTheme="minorEastAsia"/>
          <w:sz w:val="24"/>
          <w:szCs w:val="24"/>
        </w:rPr>
        <w:t>7.4.2.1 公司为确保在不同层次和职能之间就质量/环境/职业健康安全管理体系的过程及其有效性进行内部信息交流，适当时，包括交流环境管理体系的变更。</w:t>
      </w:r>
    </w:p>
    <w:p w14:paraId="43DD1D7D">
      <w:pPr>
        <w:spacing w:line="360" w:lineRule="auto"/>
        <w:rPr>
          <w:rFonts w:cs="宋体" w:asciiTheme="minorEastAsia" w:hAnsiTheme="minorEastAsia"/>
          <w:sz w:val="24"/>
          <w:szCs w:val="24"/>
        </w:rPr>
      </w:pPr>
      <w:r>
        <w:rPr>
          <w:rFonts w:hint="eastAsia" w:cs="宋体" w:asciiTheme="minorEastAsia" w:hAnsiTheme="minorEastAsia"/>
          <w:sz w:val="24"/>
          <w:szCs w:val="24"/>
        </w:rPr>
        <w:t>7.4.2.2 确保其信息交流过程能够促使所控制的人员对持续改进做出贡献。</w:t>
      </w:r>
    </w:p>
    <w:p w14:paraId="20DCE519">
      <w:pPr>
        <w:spacing w:line="360" w:lineRule="auto"/>
        <w:rPr>
          <w:rFonts w:cs="宋体" w:asciiTheme="minorEastAsia" w:hAnsiTheme="minorEastAsia"/>
          <w:sz w:val="24"/>
          <w:szCs w:val="24"/>
        </w:rPr>
      </w:pPr>
      <w:r>
        <w:rPr>
          <w:rFonts w:hint="eastAsia" w:cs="宋体" w:asciiTheme="minorEastAsia" w:hAnsiTheme="minorEastAsia"/>
          <w:sz w:val="24"/>
          <w:szCs w:val="24"/>
        </w:rPr>
        <w:t>7.4.2.3 公司拟于内部沟通活动采用的形式和工具包括：</w:t>
      </w:r>
    </w:p>
    <w:p w14:paraId="371F16E9">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1) 综合管理例会、协调会、品质例会等会议、讨论、培训；</w:t>
      </w:r>
    </w:p>
    <w:p w14:paraId="5E93328D">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2) 电话和内部虚拟网；</w:t>
      </w:r>
    </w:p>
    <w:p w14:paraId="0AC0322B">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3) 布告栏、看板、内部沟通单、报纸；</w:t>
      </w:r>
    </w:p>
    <w:p w14:paraId="664FF7F8">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4) 互联网和电子邮件等。</w:t>
      </w:r>
    </w:p>
    <w:p w14:paraId="53AA7154">
      <w:pPr>
        <w:spacing w:line="360" w:lineRule="auto"/>
        <w:rPr>
          <w:rFonts w:cs="宋体" w:asciiTheme="minorEastAsia" w:hAnsiTheme="minorEastAsia"/>
          <w:sz w:val="24"/>
          <w:szCs w:val="24"/>
        </w:rPr>
      </w:pPr>
      <w:r>
        <w:rPr>
          <w:rFonts w:hint="eastAsia" w:cs="宋体" w:asciiTheme="minorEastAsia" w:hAnsiTheme="minorEastAsia"/>
          <w:sz w:val="24"/>
          <w:szCs w:val="24"/>
        </w:rPr>
        <w:t>7.4.2.4 各部门负责实施内部沟通，确保接口信息传递的正确性。</w:t>
      </w:r>
    </w:p>
    <w:p w14:paraId="4D75F5F6">
      <w:pPr>
        <w:spacing w:line="360" w:lineRule="auto"/>
        <w:rPr>
          <w:rFonts w:cs="宋体" w:asciiTheme="minorEastAsia" w:hAnsiTheme="minorEastAsia"/>
          <w:sz w:val="24"/>
          <w:szCs w:val="24"/>
        </w:rPr>
      </w:pPr>
      <w:r>
        <w:rPr>
          <w:rFonts w:hint="eastAsia" w:cs="宋体" w:asciiTheme="minorEastAsia" w:hAnsiTheme="minorEastAsia"/>
          <w:sz w:val="24"/>
          <w:szCs w:val="24"/>
        </w:rPr>
        <w:t xml:space="preserve">7.4.3 外部信息交流 </w:t>
      </w:r>
    </w:p>
    <w:p w14:paraId="76686629">
      <w:pPr>
        <w:spacing w:line="360" w:lineRule="auto"/>
        <w:ind w:firstLine="480" w:firstLineChars="200"/>
        <w:rPr>
          <w:rFonts w:cs="宋体" w:asciiTheme="minorEastAsia" w:hAnsiTheme="minorEastAsia"/>
          <w:sz w:val="24"/>
          <w:szCs w:val="24"/>
        </w:rPr>
      </w:pPr>
      <w:r>
        <w:rPr>
          <w:rFonts w:hint="eastAsia" w:cs="宋体" w:asciiTheme="minorEastAsia" w:hAnsiTheme="minorEastAsia"/>
          <w:sz w:val="24"/>
          <w:szCs w:val="24"/>
        </w:rPr>
        <w:t>公司应按其建立的信息交流过程的规定及其合规义务的要求，就质量/环境/职业健康安全管理体系的相关信息进行外部信息交流。</w:t>
      </w:r>
    </w:p>
    <w:p w14:paraId="0257ED23">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a）办公室是信息的归口管理部门，负责内、外部质量、环境和职业健康安全信息的交流、回应、保存和管理；</w:t>
      </w:r>
    </w:p>
    <w:p w14:paraId="53B0ABA2">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b）各部门负责相应业务范围内信息的交流，并配合办公室做好信息交流工作；</w:t>
      </w:r>
    </w:p>
    <w:p w14:paraId="7036C309">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c）业务部、办公室负责服务质量信息、相关测试结果的接收、处理、传递和回复；</w:t>
      </w:r>
    </w:p>
    <w:p w14:paraId="4A8BC3F4">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d）办公室负责管理体系的内外部审核信息的接收、传递和回应保存和管理。</w:t>
      </w:r>
    </w:p>
    <w:p w14:paraId="79092BD0">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e）办公室负责上级办公室门、劳动、环保、安全、疾病控制中心等信息的接收、传递和回应保存和管理。</w:t>
      </w:r>
    </w:p>
    <w:p w14:paraId="6F3B3CDA">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f）办公室负责市场信息、合同信息的接收、传递和回应保存和管理。</w:t>
      </w:r>
    </w:p>
    <w:p w14:paraId="71B9016F">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g）公司提供适宜的沟通工具，对全员性的有关信息，可采用会议、布告、文件或其它形式进行传递。</w:t>
      </w:r>
    </w:p>
    <w:p w14:paraId="454FAFF5">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h）公司通过员工大会，提供合适的渠道和方式，确保职业健康安全事务代表能参与到公司的职业健康安全管理过程中来。</w:t>
      </w:r>
    </w:p>
    <w:p w14:paraId="09042E79">
      <w:pPr>
        <w:pStyle w:val="3"/>
        <w:spacing w:before="0" w:after="0" w:line="360" w:lineRule="auto"/>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7.5 形成文件的信息</w:t>
      </w:r>
    </w:p>
    <w:p w14:paraId="4798A90C">
      <w:pPr>
        <w:spacing w:line="360" w:lineRule="auto"/>
        <w:rPr>
          <w:rFonts w:cs="宋体" w:asciiTheme="minorEastAsia" w:hAnsiTheme="minorEastAsia"/>
          <w:sz w:val="24"/>
          <w:szCs w:val="24"/>
        </w:rPr>
      </w:pPr>
      <w:r>
        <w:rPr>
          <w:rFonts w:hint="eastAsia" w:cs="宋体" w:asciiTheme="minorEastAsia" w:hAnsiTheme="minorEastAsia"/>
          <w:sz w:val="24"/>
          <w:szCs w:val="24"/>
        </w:rPr>
        <w:t xml:space="preserve">7.5.1 总则 </w:t>
      </w:r>
    </w:p>
    <w:p w14:paraId="2516EE77">
      <w:pPr>
        <w:spacing w:line="360" w:lineRule="auto"/>
        <w:rPr>
          <w:rFonts w:cs="宋体" w:asciiTheme="minorEastAsia" w:hAnsiTheme="minorEastAsia"/>
          <w:sz w:val="24"/>
          <w:szCs w:val="24"/>
        </w:rPr>
      </w:pPr>
      <w:r>
        <w:rPr>
          <w:rFonts w:hint="eastAsia" w:cs="宋体" w:asciiTheme="minorEastAsia" w:hAnsiTheme="minorEastAsia"/>
          <w:sz w:val="24"/>
          <w:szCs w:val="24"/>
        </w:rPr>
        <w:t>7.5.1.1 办公室是形成文件的信息的归口管理部门。公司根据实际的质量/环境/职业健康安全管理体系流程需要，确保质量/环境/职业健康安全管理体系有效性所需的形成的文件，以及</w:t>
      </w:r>
      <w:r>
        <w:rPr>
          <w:rFonts w:hint="eastAsia" w:ascii="宋体" w:hAnsi="宋体" w:eastAsia="宋体" w:cs="宋体"/>
          <w:sz w:val="24"/>
          <w:szCs w:val="24"/>
          <w:lang w:val="de-DE"/>
        </w:rPr>
        <w:t>GB/T19001-2016</w:t>
      </w:r>
      <w:r>
        <w:rPr>
          <w:rFonts w:hint="eastAsia" w:ascii="宋体" w:hAnsi="宋体" w:eastAsia="宋体" w:cs="宋体"/>
          <w:sz w:val="24"/>
          <w:szCs w:val="24"/>
        </w:rPr>
        <w:t>、</w:t>
      </w:r>
      <w:r>
        <w:rPr>
          <w:rFonts w:hint="eastAsia" w:ascii="宋体" w:hAnsi="宋体" w:eastAsia="宋体" w:cs="宋体"/>
          <w:sz w:val="24"/>
          <w:szCs w:val="24"/>
          <w:lang w:val="de-DE"/>
        </w:rPr>
        <w:t>GB/T24001-2016</w:t>
      </w:r>
      <w:r>
        <w:rPr>
          <w:rFonts w:hint="eastAsia" w:ascii="宋体" w:hAnsi="宋体" w:eastAsia="宋体" w:cs="宋体"/>
          <w:sz w:val="24"/>
          <w:szCs w:val="24"/>
        </w:rPr>
        <w:t>、</w:t>
      </w:r>
      <w:r>
        <w:rPr>
          <w:rFonts w:hint="eastAsia" w:ascii="宋体" w:hAnsi="宋体" w:eastAsia="宋体" w:cs="宋体"/>
          <w:sz w:val="24"/>
          <w:szCs w:val="24"/>
          <w:lang w:val="de-DE"/>
        </w:rPr>
        <w:t>GB/T45001-2020</w:t>
      </w:r>
      <w:r>
        <w:rPr>
          <w:rFonts w:hint="eastAsia" w:cs="宋体" w:asciiTheme="minorEastAsia" w:hAnsiTheme="minorEastAsia"/>
          <w:sz w:val="24"/>
          <w:szCs w:val="24"/>
        </w:rPr>
        <w:t>标准要求的形成文件的信息，策划文件化的质量/环境/职业健康安全管理体系文件。</w:t>
      </w:r>
    </w:p>
    <w:p w14:paraId="02CC3727">
      <w:pPr>
        <w:spacing w:line="360" w:lineRule="auto"/>
        <w:rPr>
          <w:rFonts w:cs="宋体" w:asciiTheme="minorEastAsia" w:hAnsiTheme="minorEastAsia"/>
          <w:sz w:val="24"/>
          <w:szCs w:val="24"/>
        </w:rPr>
      </w:pPr>
      <w:r>
        <w:rPr>
          <w:rFonts w:hint="eastAsia" w:cs="宋体" w:asciiTheme="minorEastAsia" w:hAnsiTheme="minorEastAsia"/>
          <w:sz w:val="24"/>
          <w:szCs w:val="24"/>
        </w:rPr>
        <w:t xml:space="preserve">7.5.1.2 质量/环境/职业健康安全管理体系形成文件的信息的多少与详略程度可以不同，取决于： </w:t>
      </w:r>
    </w:p>
    <w:p w14:paraId="73910C09">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xml:space="preserve">——组织的规模，以及活动、过程、产品和服务的类型； </w:t>
      </w:r>
    </w:p>
    <w:p w14:paraId="03E4CB52">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——证明履行其合规义务的需要；</w:t>
      </w:r>
    </w:p>
    <w:p w14:paraId="01C3F1FC">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xml:space="preserve">——过程的复杂程度及其相互作用； </w:t>
      </w:r>
    </w:p>
    <w:p w14:paraId="5C2B0B0B">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——在组织控制下工作的人员的能力。</w:t>
      </w:r>
    </w:p>
    <w:p w14:paraId="48F044BA">
      <w:pPr>
        <w:spacing w:line="360" w:lineRule="auto"/>
        <w:rPr>
          <w:rFonts w:cs="宋体" w:asciiTheme="minorEastAsia" w:hAnsiTheme="minorEastAsia"/>
          <w:sz w:val="24"/>
          <w:szCs w:val="24"/>
        </w:rPr>
      </w:pPr>
      <w:r>
        <w:rPr>
          <w:rFonts w:hint="eastAsia" w:cs="宋体" w:asciiTheme="minorEastAsia" w:hAnsiTheme="minorEastAsia"/>
          <w:sz w:val="24"/>
          <w:szCs w:val="24"/>
        </w:rPr>
        <w:t>7.5.1.3 本公司质量/环境/职业健康安全管理体系文件包括：</w:t>
      </w:r>
    </w:p>
    <w:p w14:paraId="245F0CF0">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1) 质量/环境/职业健康安全方针和管理目标；</w:t>
      </w:r>
    </w:p>
    <w:p w14:paraId="41CEC623">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2) 管理手册；</w:t>
      </w:r>
    </w:p>
    <w:p w14:paraId="53A960CB">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3) 程序文件（程序文件目录见11）；</w:t>
      </w:r>
    </w:p>
    <w:p w14:paraId="230462F5">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4) 其他文件：管理性文件、作业指导书、服务规程、外来文件；</w:t>
      </w:r>
    </w:p>
    <w:p w14:paraId="26EF0D7E">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5）运行记录。</w:t>
      </w:r>
    </w:p>
    <w:p w14:paraId="44DEC946">
      <w:pPr>
        <w:spacing w:line="360" w:lineRule="auto"/>
        <w:rPr>
          <w:rFonts w:cs="宋体" w:asciiTheme="minorEastAsia" w:hAnsiTheme="minorEastAsia"/>
          <w:sz w:val="24"/>
          <w:szCs w:val="24"/>
        </w:rPr>
      </w:pPr>
      <w:r>
        <w:rPr>
          <w:rFonts w:hint="eastAsia" w:cs="宋体" w:asciiTheme="minorEastAsia" w:hAnsiTheme="minorEastAsia"/>
          <w:sz w:val="24"/>
          <w:szCs w:val="24"/>
        </w:rPr>
        <w:t xml:space="preserve">7.5.2 创建和更新 </w:t>
      </w:r>
    </w:p>
    <w:p w14:paraId="6B389BBB">
      <w:pPr>
        <w:spacing w:line="360" w:lineRule="auto"/>
        <w:rPr>
          <w:rFonts w:cs="宋体" w:asciiTheme="minorEastAsia" w:hAnsiTheme="minorEastAsia"/>
          <w:sz w:val="24"/>
          <w:szCs w:val="24"/>
        </w:rPr>
      </w:pPr>
      <w:r>
        <w:rPr>
          <w:rFonts w:hint="eastAsia" w:cs="宋体" w:asciiTheme="minorEastAsia" w:hAnsiTheme="minorEastAsia"/>
          <w:sz w:val="24"/>
          <w:szCs w:val="24"/>
        </w:rPr>
        <w:t>7.5.2.1 各有关部门按《文件控制程序》组织实施。</w:t>
      </w:r>
    </w:p>
    <w:p w14:paraId="57FA523C">
      <w:pPr>
        <w:spacing w:line="360" w:lineRule="auto"/>
        <w:rPr>
          <w:rFonts w:cs="宋体" w:asciiTheme="minorEastAsia" w:hAnsiTheme="minorEastAsia"/>
          <w:sz w:val="24"/>
          <w:szCs w:val="24"/>
        </w:rPr>
      </w:pPr>
      <w:r>
        <w:rPr>
          <w:rFonts w:hint="eastAsia" w:cs="宋体" w:asciiTheme="minorEastAsia" w:hAnsiTheme="minorEastAsia"/>
          <w:sz w:val="24"/>
          <w:szCs w:val="24"/>
        </w:rPr>
        <w:t>7.5.2.2 文件的格式、标识和说明按《文件控制程序》中的相关要求执行。</w:t>
      </w:r>
    </w:p>
    <w:p w14:paraId="0D3329FC">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xml:space="preserve">a）标识和说明（如：标题、日期、作者、索引编号等）； </w:t>
      </w:r>
    </w:p>
    <w:p w14:paraId="0FC2F67D">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b) 格式（如：语言、软件版本、图示）和媒介（如：纸质、电子格式）；</w:t>
      </w:r>
    </w:p>
    <w:p w14:paraId="4ADDE412">
      <w:pPr>
        <w:spacing w:line="360" w:lineRule="auto"/>
        <w:rPr>
          <w:rFonts w:cs="宋体" w:asciiTheme="minorEastAsia" w:hAnsiTheme="minorEastAsia"/>
          <w:sz w:val="24"/>
          <w:szCs w:val="24"/>
        </w:rPr>
      </w:pPr>
      <w:r>
        <w:rPr>
          <w:rFonts w:hint="eastAsia" w:cs="宋体" w:asciiTheme="minorEastAsia" w:hAnsiTheme="minorEastAsia"/>
          <w:sz w:val="24"/>
          <w:szCs w:val="24"/>
        </w:rPr>
        <w:t>7.5.2.3 文件的编制、审批，</w:t>
      </w:r>
    </w:p>
    <w:p w14:paraId="21521AD0">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1) 管理手册的编制、审核、批准见《文件控制程序》中的相关规定；</w:t>
      </w:r>
    </w:p>
    <w:p w14:paraId="4F261484">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2) 程序文件由归口管理的部门编制，管理者代表审核，总经理批准发布；</w:t>
      </w:r>
    </w:p>
    <w:p w14:paraId="5D1D7AE9">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3) 其他与质量/环境/职业健康安全管理体系有关的文件由各部门负责组织编制，部门主管领导审批发布。</w:t>
      </w:r>
    </w:p>
    <w:p w14:paraId="0CCD9D85">
      <w:pPr>
        <w:spacing w:line="360" w:lineRule="auto"/>
        <w:rPr>
          <w:rFonts w:cs="宋体" w:asciiTheme="minorEastAsia" w:hAnsiTheme="minorEastAsia"/>
          <w:sz w:val="24"/>
          <w:szCs w:val="24"/>
        </w:rPr>
      </w:pPr>
      <w:r>
        <w:rPr>
          <w:rFonts w:hint="eastAsia" w:cs="宋体" w:asciiTheme="minorEastAsia" w:hAnsiTheme="minorEastAsia"/>
          <w:sz w:val="24"/>
          <w:szCs w:val="24"/>
        </w:rPr>
        <w:t>7.5.3 成文信息的控制</w:t>
      </w:r>
    </w:p>
    <w:p w14:paraId="38AB5D99">
      <w:pPr>
        <w:spacing w:line="360" w:lineRule="auto"/>
        <w:rPr>
          <w:rFonts w:cs="宋体" w:asciiTheme="minorEastAsia" w:hAnsiTheme="minorEastAsia"/>
          <w:sz w:val="24"/>
          <w:szCs w:val="24"/>
        </w:rPr>
      </w:pPr>
      <w:r>
        <w:rPr>
          <w:rFonts w:hint="eastAsia" w:cs="宋体" w:asciiTheme="minorEastAsia" w:hAnsiTheme="minorEastAsia"/>
          <w:sz w:val="24"/>
          <w:szCs w:val="24"/>
        </w:rPr>
        <w:t>7.5.3.1 文件的管理按《文件控制程序》执行，以确保：</w:t>
      </w:r>
    </w:p>
    <w:p w14:paraId="3B4B406D">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1) 在使用场合可获得有效版本的适用文件；</w:t>
      </w:r>
    </w:p>
    <w:p w14:paraId="5E52AA4B">
      <w:pPr>
        <w:spacing w:line="360" w:lineRule="auto"/>
        <w:ind w:firstLine="523" w:firstLineChars="218"/>
        <w:rPr>
          <w:rFonts w:cs="宋体" w:asciiTheme="minorEastAsia" w:hAnsiTheme="minorEastAsia"/>
          <w:sz w:val="24"/>
          <w:szCs w:val="24"/>
        </w:rPr>
      </w:pPr>
      <w:bookmarkStart w:id="15" w:name="OLE_LINK37"/>
      <w:r>
        <w:rPr>
          <w:rFonts w:hint="eastAsia" w:cs="宋体" w:asciiTheme="minorEastAsia" w:hAnsiTheme="minorEastAsia"/>
          <w:sz w:val="24"/>
          <w:szCs w:val="24"/>
        </w:rPr>
        <w:t xml:space="preserve">2) </w:t>
      </w:r>
      <w:bookmarkEnd w:id="15"/>
      <w:r>
        <w:rPr>
          <w:rFonts w:hint="eastAsia" w:cs="宋体" w:asciiTheme="minorEastAsia" w:hAnsiTheme="minorEastAsia"/>
          <w:sz w:val="24"/>
          <w:szCs w:val="24"/>
        </w:rPr>
        <w:t>防止作废文件的非预期使用，若因任何原因需保留作废文件时，对这些文件应加以明确标识；</w:t>
      </w:r>
    </w:p>
    <w:p w14:paraId="27F591A8">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3) 文件的管理予以妥善保护（如：防止失密、不当使用或不完整）。</w:t>
      </w:r>
    </w:p>
    <w:p w14:paraId="2E4742A7">
      <w:pPr>
        <w:spacing w:line="360" w:lineRule="auto"/>
        <w:rPr>
          <w:rFonts w:cs="宋体" w:asciiTheme="minorEastAsia" w:hAnsiTheme="minorEastAsia"/>
          <w:sz w:val="24"/>
          <w:szCs w:val="24"/>
        </w:rPr>
      </w:pPr>
      <w:r>
        <w:rPr>
          <w:rFonts w:hint="eastAsia" w:cs="宋体" w:asciiTheme="minorEastAsia" w:hAnsiTheme="minorEastAsia"/>
          <w:sz w:val="24"/>
          <w:szCs w:val="24"/>
        </w:rPr>
        <w:t>7.5.3.2 文件的控制按《文件控制程序》的有关规定执行：</w:t>
      </w:r>
    </w:p>
    <w:p w14:paraId="61CE908D">
      <w:pPr>
        <w:spacing w:line="360" w:lineRule="auto"/>
        <w:ind w:firstLine="628" w:firstLineChars="262"/>
        <w:rPr>
          <w:rFonts w:cs="宋体" w:asciiTheme="minorEastAsia" w:hAnsiTheme="minorEastAsia"/>
          <w:sz w:val="24"/>
          <w:szCs w:val="24"/>
        </w:rPr>
      </w:pPr>
      <w:r>
        <w:rPr>
          <w:rFonts w:hint="eastAsia" w:cs="宋体" w:asciiTheme="minorEastAsia" w:hAnsiTheme="minorEastAsia"/>
          <w:sz w:val="24"/>
          <w:szCs w:val="24"/>
        </w:rPr>
        <w:t>a）分发、访问、检索和使用；</w:t>
      </w:r>
    </w:p>
    <w:p w14:paraId="1774FDD5">
      <w:pPr>
        <w:spacing w:line="360" w:lineRule="auto"/>
        <w:ind w:firstLine="628" w:firstLineChars="262"/>
        <w:rPr>
          <w:rFonts w:cs="宋体" w:asciiTheme="minorEastAsia" w:hAnsiTheme="minorEastAsia"/>
          <w:sz w:val="24"/>
          <w:szCs w:val="24"/>
        </w:rPr>
      </w:pPr>
      <w:r>
        <w:rPr>
          <w:rFonts w:hint="eastAsia" w:cs="宋体" w:asciiTheme="minorEastAsia" w:hAnsiTheme="minorEastAsia"/>
          <w:sz w:val="24"/>
          <w:szCs w:val="24"/>
        </w:rPr>
        <w:t>b）存储和防护，包括保持可读性；</w:t>
      </w:r>
    </w:p>
    <w:p w14:paraId="4E9F80ED">
      <w:pPr>
        <w:spacing w:line="360" w:lineRule="auto"/>
        <w:ind w:firstLine="628" w:firstLineChars="262"/>
        <w:rPr>
          <w:rFonts w:cs="宋体" w:asciiTheme="minorEastAsia" w:hAnsiTheme="minorEastAsia"/>
          <w:sz w:val="24"/>
          <w:szCs w:val="24"/>
        </w:rPr>
      </w:pPr>
      <w:r>
        <w:rPr>
          <w:rFonts w:hint="eastAsia" w:cs="宋体" w:asciiTheme="minorEastAsia" w:hAnsiTheme="minorEastAsia"/>
          <w:sz w:val="24"/>
          <w:szCs w:val="24"/>
        </w:rPr>
        <w:t>c）变更控制（比如版本控制）；</w:t>
      </w:r>
    </w:p>
    <w:p w14:paraId="5A4F042E">
      <w:pPr>
        <w:spacing w:line="360" w:lineRule="auto"/>
        <w:ind w:firstLine="628" w:firstLineChars="262"/>
        <w:rPr>
          <w:rFonts w:cs="宋体" w:asciiTheme="minorEastAsia" w:hAnsiTheme="minorEastAsia"/>
          <w:sz w:val="24"/>
          <w:szCs w:val="24"/>
        </w:rPr>
      </w:pPr>
      <w:r>
        <w:rPr>
          <w:rFonts w:hint="eastAsia" w:cs="宋体" w:asciiTheme="minorEastAsia" w:hAnsiTheme="minorEastAsia"/>
          <w:sz w:val="24"/>
          <w:szCs w:val="24"/>
        </w:rPr>
        <w:t>d）保留和处置。</w:t>
      </w:r>
    </w:p>
    <w:p w14:paraId="28B3D09A">
      <w:pPr>
        <w:spacing w:line="360" w:lineRule="auto"/>
        <w:rPr>
          <w:rFonts w:cs="宋体" w:asciiTheme="minorEastAsia" w:hAnsiTheme="minorEastAsia"/>
          <w:sz w:val="24"/>
          <w:szCs w:val="24"/>
        </w:rPr>
      </w:pPr>
      <w:r>
        <w:rPr>
          <w:rFonts w:hint="eastAsia" w:cs="宋体" w:asciiTheme="minorEastAsia" w:hAnsiTheme="minorEastAsia"/>
          <w:sz w:val="24"/>
          <w:szCs w:val="24"/>
        </w:rPr>
        <w:t>7.5.3.3 本公司管理体系所需的外来文件的控制见《文件控制程序》。</w:t>
      </w:r>
    </w:p>
    <w:p w14:paraId="0C4F21AA">
      <w:pPr>
        <w:spacing w:line="360" w:lineRule="auto"/>
        <w:rPr>
          <w:rFonts w:cs="宋体" w:asciiTheme="minorEastAsia" w:hAnsiTheme="minorEastAsia"/>
          <w:sz w:val="24"/>
          <w:szCs w:val="24"/>
        </w:rPr>
      </w:pPr>
      <w:r>
        <w:rPr>
          <w:rFonts w:hint="eastAsia" w:cs="宋体" w:asciiTheme="minorEastAsia" w:hAnsiTheme="minorEastAsia"/>
          <w:sz w:val="24"/>
          <w:szCs w:val="24"/>
        </w:rPr>
        <w:t>7.5.3.4 文件的适用性评审，每年管理评审前或根据需要适时对使用中的文件进行评审，必要时予以修订。</w:t>
      </w:r>
    </w:p>
    <w:p w14:paraId="4766BFE3">
      <w:pPr>
        <w:spacing w:line="360" w:lineRule="auto"/>
        <w:rPr>
          <w:rFonts w:cs="宋体" w:asciiTheme="minorEastAsia" w:hAnsiTheme="minorEastAsia"/>
          <w:sz w:val="24"/>
          <w:szCs w:val="24"/>
        </w:rPr>
      </w:pPr>
      <w:r>
        <w:rPr>
          <w:rFonts w:hint="eastAsia" w:cs="宋体" w:asciiTheme="minorEastAsia" w:hAnsiTheme="minorEastAsia"/>
          <w:sz w:val="24"/>
          <w:szCs w:val="24"/>
        </w:rPr>
        <w:t>7.5.4记录的控制</w:t>
      </w:r>
    </w:p>
    <w:p w14:paraId="7150B5E1">
      <w:pPr>
        <w:spacing w:line="360" w:lineRule="auto"/>
        <w:rPr>
          <w:rFonts w:cs="宋体" w:asciiTheme="minorEastAsia" w:hAnsiTheme="minorEastAsia"/>
          <w:sz w:val="24"/>
          <w:szCs w:val="24"/>
        </w:rPr>
      </w:pPr>
      <w:r>
        <w:rPr>
          <w:rFonts w:hint="eastAsia" w:cs="宋体" w:asciiTheme="minorEastAsia" w:hAnsiTheme="minorEastAsia"/>
          <w:sz w:val="24"/>
          <w:szCs w:val="24"/>
        </w:rPr>
        <w:t>7.5.4.1 本公司制定并实施《记录控制程序》，对质量/环境/职业健康安全管理相关记录的标识、储存、 检索、防护、保存期限和处置进行有效控制。</w:t>
      </w:r>
    </w:p>
    <w:p w14:paraId="69E9460B">
      <w:pPr>
        <w:spacing w:line="360" w:lineRule="auto"/>
        <w:rPr>
          <w:rFonts w:cs="宋体" w:asciiTheme="minorEastAsia" w:hAnsiTheme="minorEastAsia"/>
          <w:sz w:val="24"/>
          <w:szCs w:val="24"/>
        </w:rPr>
      </w:pPr>
      <w:r>
        <w:rPr>
          <w:rFonts w:hint="eastAsia" w:cs="宋体" w:asciiTheme="minorEastAsia" w:hAnsiTheme="minorEastAsia"/>
          <w:sz w:val="24"/>
          <w:szCs w:val="24"/>
        </w:rPr>
        <w:t>7.5.4.2 运行记录应有相应版本、流水号等标识，规定保存期限。</w:t>
      </w:r>
    </w:p>
    <w:p w14:paraId="52CF05C2">
      <w:pPr>
        <w:spacing w:line="360" w:lineRule="auto"/>
        <w:rPr>
          <w:rFonts w:cs="宋体" w:asciiTheme="minorEastAsia" w:hAnsiTheme="minorEastAsia"/>
          <w:sz w:val="24"/>
          <w:szCs w:val="24"/>
        </w:rPr>
      </w:pPr>
      <w:r>
        <w:rPr>
          <w:rFonts w:hint="eastAsia" w:cs="宋体" w:asciiTheme="minorEastAsia" w:hAnsiTheme="minorEastAsia"/>
          <w:sz w:val="24"/>
          <w:szCs w:val="24"/>
        </w:rPr>
        <w:t>7.5.4.3 记录表格的设计与更改，执行规定审批程序。</w:t>
      </w:r>
    </w:p>
    <w:p w14:paraId="75511D2D">
      <w:pPr>
        <w:spacing w:line="360" w:lineRule="auto"/>
        <w:rPr>
          <w:rFonts w:cs="宋体" w:asciiTheme="minorEastAsia" w:hAnsiTheme="minorEastAsia"/>
          <w:sz w:val="24"/>
          <w:szCs w:val="24"/>
        </w:rPr>
      </w:pPr>
      <w:r>
        <w:rPr>
          <w:rFonts w:hint="eastAsia" w:cs="宋体" w:asciiTheme="minorEastAsia" w:hAnsiTheme="minorEastAsia"/>
          <w:sz w:val="24"/>
          <w:szCs w:val="24"/>
        </w:rPr>
        <w:t>7.5.4.4 记录必须字迹清晰、真实准确、项目完整，不得任意更改。</w:t>
      </w:r>
    </w:p>
    <w:p w14:paraId="4173E3F3">
      <w:pPr>
        <w:spacing w:line="360" w:lineRule="auto"/>
        <w:rPr>
          <w:rFonts w:cs="宋体" w:asciiTheme="minorEastAsia" w:hAnsiTheme="minorEastAsia"/>
          <w:sz w:val="24"/>
          <w:szCs w:val="24"/>
        </w:rPr>
      </w:pPr>
      <w:r>
        <w:rPr>
          <w:rFonts w:hint="eastAsia" w:cs="宋体" w:asciiTheme="minorEastAsia" w:hAnsiTheme="minorEastAsia"/>
          <w:sz w:val="24"/>
          <w:szCs w:val="24"/>
        </w:rPr>
        <w:t>7.5.4.5 应对运行记录予以保护，防止非预期的更改。</w:t>
      </w:r>
    </w:p>
    <w:p w14:paraId="75551373">
      <w:pPr>
        <w:spacing w:line="360" w:lineRule="auto"/>
        <w:rPr>
          <w:rFonts w:cs="宋体" w:asciiTheme="minorEastAsia" w:hAnsiTheme="minorEastAsia"/>
          <w:sz w:val="24"/>
          <w:szCs w:val="24"/>
        </w:rPr>
      </w:pPr>
      <w:r>
        <w:rPr>
          <w:rFonts w:hint="eastAsia" w:cs="宋体" w:asciiTheme="minorEastAsia" w:hAnsiTheme="minorEastAsia"/>
          <w:sz w:val="24"/>
          <w:szCs w:val="24"/>
        </w:rPr>
        <w:t>7.5.4.6 按规定的保存期限对记录予以保存，需要时供查阅，过期记录由办公室统一进行销毁处理。</w:t>
      </w:r>
    </w:p>
    <w:p w14:paraId="674C9CE8">
      <w:pPr>
        <w:spacing w:line="360" w:lineRule="auto"/>
        <w:rPr>
          <w:rFonts w:cs="宋体" w:asciiTheme="minorEastAsia" w:hAnsiTheme="minorEastAsia"/>
          <w:sz w:val="24"/>
          <w:szCs w:val="24"/>
        </w:rPr>
      </w:pPr>
      <w:r>
        <w:rPr>
          <w:rFonts w:hint="eastAsia" w:cs="宋体" w:asciiTheme="minorEastAsia" w:hAnsiTheme="minorEastAsia"/>
          <w:sz w:val="24"/>
          <w:szCs w:val="24"/>
        </w:rPr>
        <w:t>7.5.5．相关/引用文件</w:t>
      </w:r>
    </w:p>
    <w:p w14:paraId="7FA07408">
      <w:pPr>
        <w:spacing w:line="360" w:lineRule="auto"/>
        <w:rPr>
          <w:rFonts w:cs="宋体" w:asciiTheme="minorEastAsia" w:hAnsiTheme="minorEastAsia"/>
          <w:sz w:val="24"/>
          <w:szCs w:val="24"/>
        </w:rPr>
      </w:pPr>
      <w:r>
        <w:rPr>
          <w:rFonts w:hint="eastAsia" w:cs="宋体" w:asciiTheme="minorEastAsia" w:hAnsiTheme="minorEastAsia"/>
          <w:sz w:val="24"/>
          <w:szCs w:val="24"/>
        </w:rPr>
        <w:t>7.5.5.1《文件控制程序》</w:t>
      </w:r>
    </w:p>
    <w:p w14:paraId="6C3BF515">
      <w:pPr>
        <w:spacing w:line="360" w:lineRule="auto"/>
        <w:rPr>
          <w:rFonts w:cs="宋体" w:asciiTheme="minorEastAsia" w:hAnsiTheme="minorEastAsia"/>
          <w:sz w:val="24"/>
          <w:szCs w:val="24"/>
        </w:rPr>
      </w:pPr>
      <w:r>
        <w:rPr>
          <w:rFonts w:hint="eastAsia" w:cs="宋体" w:asciiTheme="minorEastAsia" w:hAnsiTheme="minorEastAsia"/>
          <w:sz w:val="24"/>
          <w:szCs w:val="24"/>
        </w:rPr>
        <w:t>7.5.5.2《记录控制程序》</w:t>
      </w:r>
    </w:p>
    <w:p w14:paraId="20E69FB0">
      <w:pPr>
        <w:pStyle w:val="2"/>
        <w:spacing w:before="0" w:after="0" w:line="360" w:lineRule="auto"/>
        <w:rPr>
          <w:rFonts w:cs="宋体" w:asciiTheme="minorEastAsia" w:hAnsiTheme="minorEastAsia"/>
          <w:b w:val="0"/>
          <w:kern w:val="2"/>
          <w:sz w:val="24"/>
          <w:szCs w:val="24"/>
        </w:rPr>
      </w:pPr>
      <w:r>
        <w:rPr>
          <w:rFonts w:hint="eastAsia" w:cs="宋体" w:asciiTheme="minorEastAsia" w:hAnsiTheme="minorEastAsia"/>
          <w:b w:val="0"/>
          <w:kern w:val="2"/>
          <w:sz w:val="24"/>
          <w:szCs w:val="24"/>
        </w:rPr>
        <w:t>8  运行</w:t>
      </w:r>
    </w:p>
    <w:p w14:paraId="70CFD947">
      <w:pPr>
        <w:pStyle w:val="3"/>
        <w:spacing w:before="0" w:after="0" w:line="360" w:lineRule="auto"/>
        <w:rPr>
          <w:rFonts w:cs="宋体" w:asciiTheme="minorEastAsia" w:hAnsiTheme="minorEastAsia" w:eastAsiaTheme="minorEastAsia"/>
          <w:b w:val="0"/>
          <w:sz w:val="24"/>
          <w:szCs w:val="24"/>
        </w:rPr>
      </w:pPr>
      <w:r>
        <w:rPr>
          <w:rFonts w:hint="eastAsia" w:cs="宋体" w:asciiTheme="minorEastAsia" w:hAnsiTheme="minorEastAsia" w:eastAsiaTheme="minorEastAsia"/>
          <w:b w:val="0"/>
          <w:sz w:val="24"/>
          <w:szCs w:val="24"/>
        </w:rPr>
        <w:t>8.1 运行策划和控制</w:t>
      </w:r>
    </w:p>
    <w:p w14:paraId="231A156B">
      <w:pPr>
        <w:spacing w:line="360" w:lineRule="auto"/>
        <w:rPr>
          <w:rFonts w:cs="宋体" w:asciiTheme="minorEastAsia" w:hAnsiTheme="minorEastAsia"/>
          <w:sz w:val="24"/>
          <w:szCs w:val="24"/>
        </w:rPr>
      </w:pPr>
      <w:r>
        <w:rPr>
          <w:rFonts w:hint="eastAsia" w:cs="宋体" w:asciiTheme="minorEastAsia" w:hAnsiTheme="minorEastAsia"/>
          <w:sz w:val="24"/>
          <w:szCs w:val="24"/>
        </w:rPr>
        <w:t>8.1.1 公司质量/环境/职业健康安全管理体系为满足生产和服务的符合性策划的过程为：</w:t>
      </w:r>
    </w:p>
    <w:p w14:paraId="12E75B3D">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1）文件化体系管理控制过程（包含管理体系方针、目标）；</w:t>
      </w:r>
    </w:p>
    <w:p w14:paraId="0AEB704E">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2）管理体系策划与审核管理过程；</w:t>
      </w:r>
    </w:p>
    <w:p w14:paraId="5E381985">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3）生产销售实现的策划过程；</w:t>
      </w:r>
    </w:p>
    <w:p w14:paraId="65A99793">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4）与顾客有关的评审、服务与顾客信息反馈管理控制过程；</w:t>
      </w:r>
    </w:p>
    <w:p w14:paraId="158CF358">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5）采购控制过程；</w:t>
      </w:r>
    </w:p>
    <w:p w14:paraId="3D9CF427">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6）监视和测量资源使用控制过程；</w:t>
      </w:r>
    </w:p>
    <w:p w14:paraId="4DAD90C7">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7）资源的提供与管理过程（包括人力资源、基础设施与工作环境）；</w:t>
      </w:r>
    </w:p>
    <w:p w14:paraId="30E66F96">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8）数据分析与持续改进控制过程。</w:t>
      </w:r>
    </w:p>
    <w:p w14:paraId="658306ED">
      <w:pPr>
        <w:spacing w:line="360" w:lineRule="auto"/>
        <w:rPr>
          <w:rFonts w:cs="宋体" w:asciiTheme="minorEastAsia" w:hAnsiTheme="minorEastAsia"/>
          <w:sz w:val="24"/>
          <w:szCs w:val="24"/>
        </w:rPr>
      </w:pPr>
      <w:r>
        <w:rPr>
          <w:rFonts w:hint="eastAsia" w:cs="宋体" w:asciiTheme="minorEastAsia" w:hAnsiTheme="minorEastAsia"/>
          <w:sz w:val="24"/>
          <w:szCs w:val="24"/>
        </w:rPr>
        <w:t>8.1.2 对确定生产及销售服务的实现过程，制定相应程序、作业规范，流程图，检查规程等，分别规定其控制要求和方法，以满足产品和服务符合性要求。应考虑：如：</w:t>
      </w:r>
    </w:p>
    <w:p w14:paraId="36661F72">
      <w:pPr>
        <w:spacing w:line="360" w:lineRule="auto"/>
        <w:rPr>
          <w:rFonts w:cs="宋体" w:asciiTheme="minorEastAsia" w:hAnsiTheme="minorEastAsia"/>
          <w:sz w:val="24"/>
          <w:szCs w:val="24"/>
        </w:rPr>
      </w:pPr>
      <w:r>
        <w:rPr>
          <w:rFonts w:hint="eastAsia" w:cs="宋体" w:asciiTheme="minorEastAsia" w:hAnsiTheme="minorEastAsia"/>
          <w:sz w:val="24"/>
          <w:szCs w:val="24"/>
        </w:rPr>
        <w:t xml:space="preserve">     1）存在哪些风险和机遇；</w:t>
      </w:r>
    </w:p>
    <w:p w14:paraId="5418D175">
      <w:pPr>
        <w:spacing w:line="360" w:lineRule="auto"/>
        <w:rPr>
          <w:rFonts w:cs="宋体" w:asciiTheme="minorEastAsia" w:hAnsiTheme="minorEastAsia"/>
          <w:sz w:val="24"/>
          <w:szCs w:val="24"/>
        </w:rPr>
      </w:pPr>
      <w:r>
        <w:rPr>
          <w:rFonts w:hint="eastAsia" w:cs="宋体" w:asciiTheme="minorEastAsia" w:hAnsiTheme="minorEastAsia"/>
          <w:sz w:val="24"/>
          <w:szCs w:val="24"/>
        </w:rPr>
        <w:t xml:space="preserve">     2）管控要求及管控目标；</w:t>
      </w:r>
    </w:p>
    <w:p w14:paraId="227D82F7">
      <w:pPr>
        <w:spacing w:line="360" w:lineRule="auto"/>
        <w:rPr>
          <w:rFonts w:cs="宋体" w:asciiTheme="minorEastAsia" w:hAnsiTheme="minorEastAsia"/>
          <w:sz w:val="24"/>
          <w:szCs w:val="24"/>
        </w:rPr>
      </w:pPr>
      <w:r>
        <w:rPr>
          <w:rFonts w:hint="eastAsia" w:cs="宋体" w:asciiTheme="minorEastAsia" w:hAnsiTheme="minorEastAsia"/>
          <w:sz w:val="24"/>
          <w:szCs w:val="24"/>
        </w:rPr>
        <w:t xml:space="preserve">     3）服务的要求；</w:t>
      </w:r>
    </w:p>
    <w:p w14:paraId="3FA93BDA">
      <w:pPr>
        <w:spacing w:line="360" w:lineRule="auto"/>
        <w:rPr>
          <w:rFonts w:cs="宋体" w:asciiTheme="minorEastAsia" w:hAnsiTheme="minorEastAsia"/>
          <w:color w:val="auto"/>
          <w:sz w:val="24"/>
          <w:szCs w:val="24"/>
        </w:rPr>
      </w:pPr>
      <w:r>
        <w:rPr>
          <w:rFonts w:hint="eastAsia" w:cs="宋体" w:asciiTheme="minorEastAsia" w:hAnsiTheme="minorEastAsia"/>
          <w:sz w:val="24"/>
          <w:szCs w:val="24"/>
        </w:rPr>
        <w:t>组织应确保由外部供方实施的职能或过程得到控制，经识别，公</w:t>
      </w:r>
      <w:r>
        <w:rPr>
          <w:rFonts w:hint="eastAsia" w:cs="宋体" w:asciiTheme="minorEastAsia" w:hAnsiTheme="minorEastAsia"/>
          <w:color w:val="auto"/>
          <w:sz w:val="24"/>
          <w:szCs w:val="24"/>
        </w:rPr>
        <w:t>司外包过程：</w:t>
      </w:r>
      <w:r>
        <w:rPr>
          <w:rFonts w:hint="eastAsia" w:cs="宋体" w:asciiTheme="minorEastAsia" w:hAnsiTheme="minorEastAsia"/>
          <w:color w:val="auto"/>
          <w:sz w:val="24"/>
          <w:szCs w:val="24"/>
          <w:lang w:val="en-US" w:eastAsia="zh-CN"/>
        </w:rPr>
        <w:t>喷塑</w:t>
      </w:r>
      <w:r>
        <w:rPr>
          <w:rFonts w:hint="eastAsia" w:cs="宋体" w:asciiTheme="minorEastAsia" w:hAnsiTheme="minorEastAsia"/>
          <w:color w:val="auto"/>
          <w:sz w:val="24"/>
          <w:szCs w:val="24"/>
        </w:rPr>
        <w:t>。</w:t>
      </w:r>
    </w:p>
    <w:p w14:paraId="1C90ADFE">
      <w:pPr>
        <w:spacing w:line="360" w:lineRule="auto"/>
        <w:rPr>
          <w:rFonts w:cs="宋体" w:asciiTheme="minorEastAsia" w:hAnsiTheme="minorEastAsia"/>
          <w:sz w:val="24"/>
          <w:szCs w:val="24"/>
        </w:rPr>
      </w:pPr>
      <w:r>
        <w:rPr>
          <w:rFonts w:hint="eastAsia" w:cs="宋体" w:asciiTheme="minorEastAsia" w:hAnsiTheme="minorEastAsia"/>
          <w:sz w:val="24"/>
          <w:szCs w:val="24"/>
        </w:rPr>
        <w:t xml:space="preserve">8.1.3 公司应对计划内的变更进行控制，并对非预期性变更的后果予以评审，必要时，应采取措施降低任何有害影响。 </w:t>
      </w:r>
    </w:p>
    <w:p w14:paraId="11D16BB5">
      <w:pPr>
        <w:spacing w:line="360" w:lineRule="auto"/>
        <w:rPr>
          <w:rFonts w:cs="宋体" w:asciiTheme="minorEastAsia" w:hAnsiTheme="minorEastAsia"/>
          <w:sz w:val="24"/>
          <w:szCs w:val="24"/>
        </w:rPr>
      </w:pPr>
      <w:r>
        <w:rPr>
          <w:rFonts w:hint="eastAsia" w:cs="宋体" w:asciiTheme="minorEastAsia" w:hAnsiTheme="minorEastAsia"/>
          <w:sz w:val="24"/>
          <w:szCs w:val="24"/>
        </w:rPr>
        <w:t>8.1.4 环境、职业健康安全运行策划实施：</w:t>
      </w:r>
    </w:p>
    <w:p w14:paraId="0BC00546">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a）识别确定已纳入计划或新的开发、新的改进活动、服务过程的环境因素、危险源；</w:t>
      </w:r>
    </w:p>
    <w:p w14:paraId="4F54BCA6">
      <w:pPr>
        <w:spacing w:line="360" w:lineRule="auto"/>
        <w:ind w:firstLine="523" w:firstLineChars="218"/>
        <w:rPr>
          <w:rFonts w:cs="宋体" w:asciiTheme="minorEastAsia" w:hAnsiTheme="minorEastAsia"/>
          <w:sz w:val="24"/>
          <w:szCs w:val="24"/>
        </w:rPr>
      </w:pPr>
      <w:bookmarkStart w:id="16" w:name="OLE_LINK38"/>
      <w:r>
        <w:rPr>
          <w:rFonts w:hint="eastAsia" w:cs="宋体" w:asciiTheme="minorEastAsia" w:hAnsiTheme="minorEastAsia"/>
          <w:sz w:val="24"/>
          <w:szCs w:val="24"/>
        </w:rPr>
        <w:t xml:space="preserve">b) </w:t>
      </w:r>
      <w:bookmarkEnd w:id="16"/>
      <w:r>
        <w:rPr>
          <w:rFonts w:hint="eastAsia" w:cs="宋体" w:asciiTheme="minorEastAsia" w:hAnsiTheme="minorEastAsia"/>
          <w:sz w:val="24"/>
          <w:szCs w:val="24"/>
        </w:rPr>
        <w:t>确定这些改变带来的具有、或可能具有重大影响的因素（重要环境因素、重大危险源）并建立控制的记录；</w:t>
      </w:r>
    </w:p>
    <w:p w14:paraId="466E6996">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c) 确定运行控制的程序或建立新的目标和指标；</w:t>
      </w:r>
    </w:p>
    <w:p w14:paraId="3491FC3F">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d) 对涉及到的间接重要环境因素、重大危险源通报给供方及合同方；</w:t>
      </w:r>
    </w:p>
    <w:p w14:paraId="4A23422E">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e) 建立应急准备与相应控制机制。</w:t>
      </w:r>
    </w:p>
    <w:p w14:paraId="4C1D446B">
      <w:pPr>
        <w:spacing w:line="360" w:lineRule="auto"/>
        <w:rPr>
          <w:rFonts w:cs="宋体" w:asciiTheme="minorEastAsia" w:hAnsiTheme="minorEastAsia"/>
          <w:sz w:val="24"/>
          <w:szCs w:val="24"/>
        </w:rPr>
      </w:pPr>
      <w:r>
        <w:rPr>
          <w:rFonts w:hint="eastAsia" w:cs="宋体" w:asciiTheme="minorEastAsia" w:hAnsiTheme="minorEastAsia"/>
          <w:sz w:val="24"/>
          <w:szCs w:val="24"/>
        </w:rPr>
        <w:t>8.1.5 公司对外包过程实施控制或施加影响。应在环境、职业健康安全管理体系内规定对这些过程实施控制或施加影响的类型与程度，经识别，</w:t>
      </w:r>
      <w:r>
        <w:rPr>
          <w:rFonts w:hint="eastAsia" w:cs="宋体" w:asciiTheme="minorEastAsia" w:hAnsiTheme="minorEastAsia"/>
          <w:color w:val="FF0000"/>
          <w:sz w:val="24"/>
          <w:szCs w:val="24"/>
        </w:rPr>
        <w:t>公司外包</w:t>
      </w:r>
      <w:r>
        <w:rPr>
          <w:rFonts w:hint="eastAsia" w:cs="宋体" w:asciiTheme="minorEastAsia" w:hAnsiTheme="minorEastAsia"/>
          <w:sz w:val="24"/>
          <w:szCs w:val="24"/>
        </w:rPr>
        <w:t>：</w:t>
      </w:r>
      <w:r>
        <w:rPr>
          <w:rFonts w:hint="eastAsia" w:cs="宋体" w:asciiTheme="minorEastAsia" w:hAnsiTheme="minorEastAsia"/>
          <w:sz w:val="24"/>
          <w:szCs w:val="24"/>
          <w:lang w:eastAsia="zh-CN"/>
        </w:rPr>
        <w:t>喷塑</w:t>
      </w:r>
      <w:r>
        <w:rPr>
          <w:rFonts w:hint="eastAsia" w:cs="宋体" w:asciiTheme="minorEastAsia" w:hAnsiTheme="minorEastAsia"/>
          <w:sz w:val="24"/>
          <w:szCs w:val="24"/>
        </w:rPr>
        <w:t>。</w:t>
      </w:r>
    </w:p>
    <w:p w14:paraId="0D85F2A8">
      <w:pPr>
        <w:spacing w:line="360" w:lineRule="auto"/>
        <w:rPr>
          <w:rFonts w:cs="宋体" w:asciiTheme="minorEastAsia" w:hAnsiTheme="minorEastAsia"/>
          <w:sz w:val="24"/>
          <w:szCs w:val="24"/>
        </w:rPr>
      </w:pPr>
      <w:r>
        <w:rPr>
          <w:rFonts w:hint="eastAsia" w:cs="宋体" w:asciiTheme="minorEastAsia" w:hAnsiTheme="minorEastAsia"/>
          <w:sz w:val="24"/>
          <w:szCs w:val="24"/>
        </w:rPr>
        <w:t xml:space="preserve">8.1.6 从生命周期观点出发，组织应： </w:t>
      </w:r>
    </w:p>
    <w:p w14:paraId="53C75813">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xml:space="preserve">a）适当时，制定控制措施，确保在产品或服务设计和开发过程中，考虑其生命周期的每一阶段，并提出环境要求； </w:t>
      </w:r>
    </w:p>
    <w:p w14:paraId="5E651364">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xml:space="preserve">b）适当时，确定产品和服务采购的环境要求； </w:t>
      </w:r>
    </w:p>
    <w:p w14:paraId="49CFDDB9">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xml:space="preserve">c）与外部供方（包括合同方）沟通其相关环境要求； </w:t>
      </w:r>
    </w:p>
    <w:p w14:paraId="7F661687">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d）考虑提供与产品或服务的运输或交付、使用、寿命结束后处理和最终处置相关的潜在重大环境影响、重大危险源的信息的需求。</w:t>
      </w:r>
    </w:p>
    <w:p w14:paraId="0F81AF23">
      <w:pPr>
        <w:spacing w:line="360" w:lineRule="auto"/>
        <w:rPr>
          <w:rFonts w:cs="宋体" w:asciiTheme="minorEastAsia" w:hAnsiTheme="minorEastAsia"/>
          <w:sz w:val="24"/>
          <w:szCs w:val="24"/>
        </w:rPr>
      </w:pPr>
      <w:r>
        <w:rPr>
          <w:rFonts w:hint="eastAsia" w:cs="宋体" w:asciiTheme="minorEastAsia" w:hAnsiTheme="minorEastAsia"/>
          <w:sz w:val="24"/>
          <w:szCs w:val="24"/>
        </w:rPr>
        <w:t>8.1.7顾客对公司无特殊要求的服务，采用管理手册中所确定过程的现有控制方法，以满足服务符合性要求。</w:t>
      </w:r>
    </w:p>
    <w:p w14:paraId="0173BA85">
      <w:pPr>
        <w:spacing w:line="360" w:lineRule="auto"/>
        <w:rPr>
          <w:rFonts w:cs="宋体" w:asciiTheme="minorEastAsia" w:hAnsiTheme="minorEastAsia"/>
          <w:sz w:val="24"/>
          <w:szCs w:val="24"/>
        </w:rPr>
      </w:pPr>
      <w:r>
        <w:rPr>
          <w:rFonts w:hint="eastAsia" w:cs="宋体" w:asciiTheme="minorEastAsia" w:hAnsiTheme="minorEastAsia"/>
          <w:sz w:val="24"/>
          <w:szCs w:val="24"/>
        </w:rPr>
        <w:t>8.1.8 对特定的服务、项目或合同，由办公室组织有关部门编制计划（或项目方案计划），作为对现有质量文件的补充。</w:t>
      </w:r>
    </w:p>
    <w:p w14:paraId="53CF5620">
      <w:pPr>
        <w:spacing w:line="360" w:lineRule="auto"/>
        <w:rPr>
          <w:rFonts w:cs="宋体" w:asciiTheme="minorEastAsia" w:hAnsiTheme="minorEastAsia"/>
          <w:sz w:val="24"/>
          <w:szCs w:val="24"/>
        </w:rPr>
      </w:pPr>
      <w:r>
        <w:rPr>
          <w:rFonts w:hint="eastAsia" w:cs="宋体" w:asciiTheme="minorEastAsia" w:hAnsiTheme="minorEastAsia"/>
          <w:sz w:val="24"/>
          <w:szCs w:val="24"/>
        </w:rPr>
        <w:t>8.1.9 质量计划（或项目方案计划）应包括以下内容：</w:t>
      </w:r>
    </w:p>
    <w:p w14:paraId="4AB6636B">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1) 服务、项目、合同的质量目标和要求；</w:t>
      </w:r>
    </w:p>
    <w:p w14:paraId="3658BC0B">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2) 针对相应服务所建立的过程和文件，以及所需提供的资源和设施；</w:t>
      </w:r>
    </w:p>
    <w:p w14:paraId="0D421AFC">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3) 验证和确认活动，以及验收准则；</w:t>
      </w:r>
    </w:p>
    <w:p w14:paraId="40B342C0">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4) 对过程及其服务的符合性提供证据所必要的记录。</w:t>
      </w:r>
    </w:p>
    <w:p w14:paraId="05B8F937">
      <w:pPr>
        <w:spacing w:line="360" w:lineRule="auto"/>
        <w:rPr>
          <w:rFonts w:cs="宋体" w:asciiTheme="minorEastAsia" w:hAnsiTheme="minorEastAsia"/>
          <w:sz w:val="24"/>
          <w:szCs w:val="24"/>
        </w:rPr>
      </w:pPr>
      <w:r>
        <w:rPr>
          <w:rFonts w:hint="eastAsia" w:cs="宋体" w:asciiTheme="minorEastAsia" w:hAnsiTheme="minorEastAsia"/>
          <w:sz w:val="24"/>
          <w:szCs w:val="24"/>
        </w:rPr>
        <w:t>8.1.10 主管领导根据合同要求或公司自身需要，适时下达质量计划任务。</w:t>
      </w:r>
    </w:p>
    <w:p w14:paraId="38E6831F">
      <w:pPr>
        <w:spacing w:line="360" w:lineRule="auto"/>
        <w:rPr>
          <w:rFonts w:cs="宋体" w:asciiTheme="minorEastAsia" w:hAnsiTheme="minorEastAsia"/>
          <w:sz w:val="24"/>
          <w:szCs w:val="24"/>
        </w:rPr>
      </w:pPr>
      <w:r>
        <w:rPr>
          <w:rFonts w:hint="eastAsia" w:cs="宋体" w:asciiTheme="minorEastAsia" w:hAnsiTheme="minorEastAsia"/>
          <w:sz w:val="24"/>
          <w:szCs w:val="24"/>
        </w:rPr>
        <w:t>8.1.11有关部门根据任务要求负责编制质量计划和支持性文件。</w:t>
      </w:r>
    </w:p>
    <w:p w14:paraId="29ED5752">
      <w:pPr>
        <w:spacing w:line="360" w:lineRule="auto"/>
        <w:rPr>
          <w:rFonts w:cs="宋体" w:asciiTheme="minorEastAsia" w:hAnsiTheme="minorEastAsia"/>
          <w:sz w:val="24"/>
          <w:szCs w:val="24"/>
        </w:rPr>
      </w:pPr>
      <w:r>
        <w:rPr>
          <w:rFonts w:hint="eastAsia" w:cs="宋体" w:asciiTheme="minorEastAsia" w:hAnsiTheme="minorEastAsia"/>
          <w:sz w:val="24"/>
          <w:szCs w:val="24"/>
        </w:rPr>
        <w:t>8.1.12质量计划的实施效果可采用检验和试验，或请顾客验证/质量评定等方式进行验证，并做好记录。</w:t>
      </w:r>
    </w:p>
    <w:p w14:paraId="4FF60A44">
      <w:pPr>
        <w:spacing w:line="360" w:lineRule="auto"/>
        <w:rPr>
          <w:rFonts w:cs="宋体" w:asciiTheme="minorEastAsia" w:hAnsiTheme="minorEastAsia"/>
          <w:sz w:val="24"/>
          <w:szCs w:val="24"/>
        </w:rPr>
      </w:pPr>
      <w:r>
        <w:rPr>
          <w:rFonts w:hint="eastAsia" w:cs="宋体" w:asciiTheme="minorEastAsia" w:hAnsiTheme="minorEastAsia"/>
          <w:sz w:val="24"/>
          <w:szCs w:val="24"/>
        </w:rPr>
        <w:t xml:space="preserve">8.1.13公司在体系运行过程中应控制策划的更改，评审非预期变更的后果，必要时，采取措施消除不利影响。 </w:t>
      </w:r>
    </w:p>
    <w:p w14:paraId="3F5DDEF9">
      <w:pPr>
        <w:spacing w:line="360" w:lineRule="auto"/>
        <w:rPr>
          <w:rFonts w:cs="宋体" w:asciiTheme="minorEastAsia" w:hAnsiTheme="minorEastAsia"/>
          <w:sz w:val="24"/>
          <w:szCs w:val="24"/>
        </w:rPr>
      </w:pPr>
      <w:r>
        <w:rPr>
          <w:rFonts w:hint="eastAsia" w:cs="宋体" w:asciiTheme="minorEastAsia" w:hAnsiTheme="minorEastAsia"/>
          <w:sz w:val="24"/>
          <w:szCs w:val="24"/>
        </w:rPr>
        <w:t>8.1.14 公司应确保外包过程受控，保证质量/环境/职业健康安全管理体系的持续有效运行。</w:t>
      </w:r>
    </w:p>
    <w:p w14:paraId="6C4D6565">
      <w:pPr>
        <w:pStyle w:val="3"/>
        <w:spacing w:before="0" w:after="0" w:line="360" w:lineRule="auto"/>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8.2 产品和服务的要求</w:t>
      </w:r>
    </w:p>
    <w:p w14:paraId="51549440">
      <w:pPr>
        <w:spacing w:line="360" w:lineRule="auto"/>
        <w:rPr>
          <w:rFonts w:cs="宋体" w:asciiTheme="minorEastAsia" w:hAnsiTheme="minorEastAsia"/>
          <w:sz w:val="24"/>
          <w:szCs w:val="24"/>
        </w:rPr>
      </w:pPr>
      <w:r>
        <w:rPr>
          <w:rFonts w:hint="eastAsia" w:cs="宋体" w:asciiTheme="minorEastAsia" w:hAnsiTheme="minorEastAsia"/>
          <w:sz w:val="24"/>
          <w:szCs w:val="24"/>
        </w:rPr>
        <w:t>8.2.1 顾客沟通</w:t>
      </w:r>
    </w:p>
    <w:p w14:paraId="1E2E6B69">
      <w:pPr>
        <w:spacing w:line="360" w:lineRule="auto"/>
        <w:rPr>
          <w:rFonts w:cs="宋体" w:asciiTheme="minorEastAsia" w:hAnsiTheme="minorEastAsia"/>
          <w:sz w:val="24"/>
          <w:szCs w:val="24"/>
        </w:rPr>
      </w:pPr>
      <w:r>
        <w:rPr>
          <w:rFonts w:hint="eastAsia" w:cs="宋体" w:asciiTheme="minorEastAsia" w:hAnsiTheme="minorEastAsia"/>
          <w:sz w:val="24"/>
          <w:szCs w:val="24"/>
        </w:rPr>
        <w:t>8.2.1. 业务部编制《顾客投诉及满意测量控制程序》，并组织实施。</w:t>
      </w:r>
    </w:p>
    <w:p w14:paraId="2D3F3190">
      <w:pPr>
        <w:spacing w:line="360" w:lineRule="auto"/>
        <w:rPr>
          <w:rFonts w:cs="宋体" w:asciiTheme="minorEastAsia" w:hAnsiTheme="minorEastAsia"/>
          <w:sz w:val="24"/>
          <w:szCs w:val="24"/>
        </w:rPr>
      </w:pPr>
      <w:r>
        <w:rPr>
          <w:rFonts w:hint="eastAsia" w:cs="宋体" w:asciiTheme="minorEastAsia" w:hAnsiTheme="minorEastAsia"/>
          <w:sz w:val="24"/>
          <w:szCs w:val="24"/>
        </w:rPr>
        <w:t>8.2.1.2 应进行以下活动，实施与顾客沟通：</w:t>
      </w:r>
    </w:p>
    <w:p w14:paraId="033ECC2B">
      <w:pPr>
        <w:spacing w:line="360" w:lineRule="auto"/>
        <w:ind w:firstLine="480" w:firstLineChars="200"/>
        <w:rPr>
          <w:rFonts w:cs="宋体" w:asciiTheme="minorEastAsia" w:hAnsiTheme="minorEastAsia"/>
          <w:sz w:val="24"/>
          <w:szCs w:val="24"/>
        </w:rPr>
      </w:pPr>
      <w:r>
        <w:rPr>
          <w:rFonts w:hint="eastAsia" w:cs="宋体" w:asciiTheme="minorEastAsia" w:hAnsiTheme="minorEastAsia"/>
          <w:sz w:val="24"/>
          <w:szCs w:val="24"/>
        </w:rPr>
        <w:t>1) 向顾客提供服务信息等；</w:t>
      </w:r>
    </w:p>
    <w:p w14:paraId="332FAECF">
      <w:pPr>
        <w:spacing w:line="360" w:lineRule="auto"/>
        <w:ind w:firstLine="480" w:firstLineChars="200"/>
        <w:rPr>
          <w:rFonts w:cs="宋体" w:asciiTheme="minorEastAsia" w:hAnsiTheme="minorEastAsia"/>
          <w:sz w:val="24"/>
          <w:szCs w:val="24"/>
        </w:rPr>
      </w:pPr>
      <w:r>
        <w:rPr>
          <w:rFonts w:hint="eastAsia" w:cs="宋体" w:asciiTheme="minorEastAsia" w:hAnsiTheme="minorEastAsia"/>
          <w:sz w:val="24"/>
          <w:szCs w:val="24"/>
        </w:rPr>
        <w:t>2) 收集顾客对服务要求的合同或订单信息，处理顾客意见，解答顾客的问询；评审顾客服务合同或订单的要求，做好合同更改时与顾客的沟通；</w:t>
      </w:r>
    </w:p>
    <w:p w14:paraId="44E5198F">
      <w:pPr>
        <w:spacing w:line="360" w:lineRule="auto"/>
        <w:rPr>
          <w:rFonts w:cs="宋体" w:asciiTheme="minorEastAsia" w:hAnsiTheme="minorEastAsia"/>
          <w:sz w:val="24"/>
          <w:szCs w:val="24"/>
        </w:rPr>
      </w:pPr>
      <w:r>
        <w:rPr>
          <w:rFonts w:hint="eastAsia" w:cs="宋体" w:asciiTheme="minorEastAsia" w:hAnsiTheme="minorEastAsia"/>
          <w:sz w:val="24"/>
          <w:szCs w:val="24"/>
        </w:rPr>
        <w:t xml:space="preserve">    3) 获取有关服务的顾客反馈，包括顾客抱怨；</w:t>
      </w:r>
    </w:p>
    <w:p w14:paraId="415CB7E6">
      <w:pPr>
        <w:spacing w:line="360" w:lineRule="auto"/>
        <w:rPr>
          <w:rFonts w:cs="宋体" w:asciiTheme="minorEastAsia" w:hAnsiTheme="minorEastAsia"/>
          <w:sz w:val="24"/>
          <w:szCs w:val="24"/>
        </w:rPr>
      </w:pPr>
      <w:r>
        <w:rPr>
          <w:rFonts w:hint="eastAsia" w:cs="宋体" w:asciiTheme="minorEastAsia" w:hAnsiTheme="minorEastAsia"/>
          <w:sz w:val="24"/>
          <w:szCs w:val="24"/>
        </w:rPr>
        <w:t xml:space="preserve">    4）处置或控制顾客财产；</w:t>
      </w:r>
    </w:p>
    <w:p w14:paraId="39208C8B">
      <w:pPr>
        <w:spacing w:line="360" w:lineRule="auto"/>
        <w:rPr>
          <w:rFonts w:cs="宋体" w:asciiTheme="minorEastAsia" w:hAnsiTheme="minorEastAsia"/>
          <w:sz w:val="24"/>
          <w:szCs w:val="24"/>
        </w:rPr>
      </w:pPr>
      <w:r>
        <w:rPr>
          <w:rFonts w:hint="eastAsia" w:cs="宋体" w:asciiTheme="minorEastAsia" w:hAnsiTheme="minorEastAsia"/>
          <w:sz w:val="24"/>
          <w:szCs w:val="24"/>
        </w:rPr>
        <w:t xml:space="preserve">    5) 开展顾客满意/不满意信息调查收集；</w:t>
      </w:r>
    </w:p>
    <w:p w14:paraId="18E2C003">
      <w:pPr>
        <w:spacing w:line="360" w:lineRule="auto"/>
        <w:rPr>
          <w:rFonts w:cs="宋体" w:asciiTheme="minorEastAsia" w:hAnsiTheme="minorEastAsia"/>
          <w:sz w:val="24"/>
          <w:szCs w:val="24"/>
        </w:rPr>
      </w:pPr>
      <w:r>
        <w:rPr>
          <w:rFonts w:hint="eastAsia" w:cs="宋体" w:asciiTheme="minorEastAsia" w:hAnsiTheme="minorEastAsia"/>
          <w:sz w:val="24"/>
          <w:szCs w:val="24"/>
        </w:rPr>
        <w:t xml:space="preserve">    6) 现场宣传介绍服务使用方法、产品和服务性能等。</w:t>
      </w:r>
    </w:p>
    <w:p w14:paraId="3C90FA59">
      <w:pPr>
        <w:spacing w:line="360" w:lineRule="auto"/>
        <w:rPr>
          <w:rFonts w:cs="宋体" w:asciiTheme="minorEastAsia" w:hAnsiTheme="minorEastAsia"/>
          <w:sz w:val="24"/>
          <w:szCs w:val="24"/>
        </w:rPr>
      </w:pPr>
      <w:r>
        <w:rPr>
          <w:rFonts w:hint="eastAsia" w:cs="宋体" w:asciiTheme="minorEastAsia" w:hAnsiTheme="minorEastAsia"/>
          <w:sz w:val="24"/>
          <w:szCs w:val="24"/>
        </w:rPr>
        <w:t xml:space="preserve">    7）关系重大时，制定有关应急措施的特定要求。</w:t>
      </w:r>
    </w:p>
    <w:p w14:paraId="76E6A985">
      <w:pPr>
        <w:spacing w:line="360" w:lineRule="auto"/>
        <w:rPr>
          <w:rFonts w:cs="宋体" w:asciiTheme="minorEastAsia" w:hAnsiTheme="minorEastAsia"/>
          <w:sz w:val="24"/>
          <w:szCs w:val="24"/>
        </w:rPr>
      </w:pPr>
      <w:r>
        <w:rPr>
          <w:rFonts w:hint="eastAsia" w:cs="宋体" w:asciiTheme="minorEastAsia" w:hAnsiTheme="minorEastAsia"/>
          <w:sz w:val="24"/>
          <w:szCs w:val="24"/>
        </w:rPr>
        <w:t>8.2.1.3 业务部按《顾客投诉及满意测量控制程序》要求，对顾客沟通的信息收集、整理、分析、评价、汇总，作好记录。</w:t>
      </w:r>
    </w:p>
    <w:p w14:paraId="776C1193">
      <w:pPr>
        <w:spacing w:line="360" w:lineRule="auto"/>
        <w:rPr>
          <w:rFonts w:cs="宋体" w:asciiTheme="minorEastAsia" w:hAnsiTheme="minorEastAsia"/>
          <w:sz w:val="24"/>
          <w:szCs w:val="24"/>
        </w:rPr>
      </w:pPr>
      <w:r>
        <w:rPr>
          <w:rFonts w:hint="eastAsia" w:cs="宋体" w:asciiTheme="minorEastAsia" w:hAnsiTheme="minorEastAsia"/>
          <w:sz w:val="24"/>
          <w:szCs w:val="24"/>
        </w:rPr>
        <w:t>8.2.1.4 顾客沟通信息作为服务的改进和管理评审的输入。</w:t>
      </w:r>
    </w:p>
    <w:p w14:paraId="4DDEE0AC">
      <w:pPr>
        <w:spacing w:line="360" w:lineRule="auto"/>
        <w:rPr>
          <w:rFonts w:cs="宋体" w:asciiTheme="minorEastAsia" w:hAnsiTheme="minorEastAsia"/>
          <w:sz w:val="24"/>
          <w:szCs w:val="24"/>
        </w:rPr>
      </w:pPr>
      <w:r>
        <w:rPr>
          <w:rFonts w:hint="eastAsia" w:cs="宋体" w:asciiTheme="minorEastAsia" w:hAnsiTheme="minorEastAsia"/>
          <w:sz w:val="24"/>
          <w:szCs w:val="24"/>
        </w:rPr>
        <w:t>8.2.2 与服务有关的要求的确定</w:t>
      </w:r>
    </w:p>
    <w:p w14:paraId="26946ED9">
      <w:pPr>
        <w:spacing w:line="360" w:lineRule="auto"/>
        <w:rPr>
          <w:rFonts w:cs="宋体" w:asciiTheme="minorEastAsia" w:hAnsiTheme="minorEastAsia"/>
          <w:sz w:val="24"/>
          <w:szCs w:val="24"/>
        </w:rPr>
      </w:pPr>
      <w:r>
        <w:rPr>
          <w:rFonts w:hint="eastAsia" w:cs="宋体" w:asciiTheme="minorEastAsia" w:hAnsiTheme="minorEastAsia"/>
          <w:sz w:val="24"/>
          <w:szCs w:val="24"/>
        </w:rPr>
        <w:t>8.2.2.1 业务部编制《与服务有关的要求的控制程序》对顾客要求进行控制，业务部应明确顾客对公司提供产品和服务的各项要求，应获得的信息包括：</w:t>
      </w:r>
    </w:p>
    <w:p w14:paraId="43785A68">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1) 服务标准，包括法律法规的要求、公司认为必要的要求；</w:t>
      </w:r>
    </w:p>
    <w:p w14:paraId="3EF4AAEC">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2) 合同意向书、订单，一般以具体的合同条款为准；</w:t>
      </w:r>
    </w:p>
    <w:p w14:paraId="69954D57">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3) 顾客规定的产品和服务要求，包括有关可用性、交付和支持方面的要求及价格、交货期、服务等要求；</w:t>
      </w:r>
    </w:p>
    <w:p w14:paraId="005EC146">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4) 服务预期用途所必需的要求；</w:t>
      </w:r>
    </w:p>
    <w:p w14:paraId="00D191B6">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5) 公司确定的附加要求。</w:t>
      </w:r>
    </w:p>
    <w:p w14:paraId="59255DF0">
      <w:pPr>
        <w:spacing w:line="360" w:lineRule="auto"/>
        <w:rPr>
          <w:rFonts w:cs="宋体" w:asciiTheme="minorEastAsia" w:hAnsiTheme="minorEastAsia"/>
          <w:sz w:val="24"/>
          <w:szCs w:val="24"/>
        </w:rPr>
      </w:pPr>
      <w:r>
        <w:rPr>
          <w:rFonts w:hint="eastAsia" w:cs="宋体" w:asciiTheme="minorEastAsia" w:hAnsiTheme="minorEastAsia"/>
          <w:sz w:val="24"/>
          <w:szCs w:val="24"/>
        </w:rPr>
        <w:t>8.2.3  与服务有关的要求的评审</w:t>
      </w:r>
    </w:p>
    <w:p w14:paraId="5C1DA55D">
      <w:pPr>
        <w:spacing w:line="360" w:lineRule="auto"/>
        <w:rPr>
          <w:rFonts w:cs="宋体" w:asciiTheme="minorEastAsia" w:hAnsiTheme="minorEastAsia"/>
          <w:sz w:val="24"/>
          <w:szCs w:val="24"/>
        </w:rPr>
      </w:pPr>
      <w:r>
        <w:rPr>
          <w:rFonts w:hint="eastAsia" w:cs="宋体" w:asciiTheme="minorEastAsia" w:hAnsiTheme="minorEastAsia"/>
          <w:sz w:val="24"/>
          <w:szCs w:val="24"/>
        </w:rPr>
        <w:t>8.2.3.1 对已确定的顾客要求的合同、订单的评审，应包括：</w:t>
      </w:r>
    </w:p>
    <w:p w14:paraId="5094C70D">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1) 评审必须在向顾客作出提供服务的承诺之前进行；</w:t>
      </w:r>
    </w:p>
    <w:p w14:paraId="68D66482">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2) 顾客对服务要求（包括对交付及交付后活动的要求）得到规定；</w:t>
      </w:r>
    </w:p>
    <w:p w14:paraId="26B8038E">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3) 在顾客没有形成文件提出要求时，顾客要求在接受前得到确认；</w:t>
      </w:r>
    </w:p>
    <w:p w14:paraId="3ABF80BF">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4) 与以前表述不一致的合同或订单要求已予以解决；</w:t>
      </w:r>
    </w:p>
    <w:p w14:paraId="7DE79905">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5) 本公司有能力满足规定的要求。</w:t>
      </w:r>
    </w:p>
    <w:p w14:paraId="27A8AB7D">
      <w:pPr>
        <w:spacing w:line="360" w:lineRule="auto"/>
        <w:rPr>
          <w:rFonts w:cs="宋体" w:asciiTheme="minorEastAsia" w:hAnsiTheme="minorEastAsia"/>
          <w:sz w:val="24"/>
          <w:szCs w:val="24"/>
        </w:rPr>
      </w:pPr>
      <w:r>
        <w:rPr>
          <w:rFonts w:hint="eastAsia" w:cs="宋体" w:asciiTheme="minorEastAsia" w:hAnsiTheme="minorEastAsia"/>
          <w:sz w:val="24"/>
          <w:szCs w:val="24"/>
        </w:rPr>
        <w:t>8.2.3.2 评审的结果及随后的后续措施办公室必须予以记录。</w:t>
      </w:r>
    </w:p>
    <w:p w14:paraId="55CF3138">
      <w:pPr>
        <w:spacing w:line="360" w:lineRule="auto"/>
        <w:rPr>
          <w:rFonts w:cs="宋体" w:asciiTheme="minorEastAsia" w:hAnsiTheme="minorEastAsia"/>
          <w:sz w:val="24"/>
          <w:szCs w:val="24"/>
        </w:rPr>
      </w:pPr>
      <w:r>
        <w:rPr>
          <w:rFonts w:hint="eastAsia" w:cs="宋体" w:asciiTheme="minorEastAsia" w:hAnsiTheme="minorEastAsia"/>
          <w:sz w:val="24"/>
          <w:szCs w:val="24"/>
        </w:rPr>
        <w:t>8.2.3.3 评审方式：</w:t>
      </w:r>
    </w:p>
    <w:p w14:paraId="2192C4C1">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1) 对已识别的常规服务合同，进行授权评审；</w:t>
      </w:r>
    </w:p>
    <w:p w14:paraId="6A0493B1">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2) 对已识别的特殊服务合同，办公室组织有关部门进行会签或评审。</w:t>
      </w:r>
    </w:p>
    <w:p w14:paraId="217D72FA">
      <w:pPr>
        <w:spacing w:line="360" w:lineRule="auto"/>
        <w:rPr>
          <w:rFonts w:cs="宋体" w:asciiTheme="minorEastAsia" w:hAnsiTheme="minorEastAsia"/>
          <w:sz w:val="24"/>
          <w:szCs w:val="24"/>
        </w:rPr>
      </w:pPr>
      <w:r>
        <w:rPr>
          <w:rFonts w:hint="eastAsia" w:cs="宋体" w:asciiTheme="minorEastAsia" w:hAnsiTheme="minorEastAsia"/>
          <w:sz w:val="24"/>
          <w:szCs w:val="24"/>
        </w:rPr>
        <w:t>8.2.3.4 顾客及服务要求发生变更时（包括合同的变更），办公室应对此进行再次的识别、评审。更改后的信息业务部应及时传递到各有关部门及人员。</w:t>
      </w:r>
    </w:p>
    <w:p w14:paraId="2C23B68F">
      <w:pPr>
        <w:spacing w:line="360" w:lineRule="auto"/>
        <w:rPr>
          <w:rFonts w:cs="宋体" w:asciiTheme="minorEastAsia" w:hAnsiTheme="minorEastAsia"/>
          <w:sz w:val="24"/>
          <w:szCs w:val="24"/>
        </w:rPr>
      </w:pPr>
      <w:r>
        <w:rPr>
          <w:rFonts w:hint="eastAsia" w:cs="宋体" w:asciiTheme="minorEastAsia" w:hAnsiTheme="minorEastAsia"/>
          <w:sz w:val="24"/>
          <w:szCs w:val="24"/>
        </w:rPr>
        <w:t>8.2.3.5 对产品和服务要求评审的记录，业务部应按规定妥善保管。</w:t>
      </w:r>
    </w:p>
    <w:p w14:paraId="2E61BD7D">
      <w:pPr>
        <w:spacing w:line="360" w:lineRule="auto"/>
        <w:rPr>
          <w:rFonts w:cs="宋体" w:asciiTheme="minorEastAsia" w:hAnsiTheme="minorEastAsia"/>
          <w:sz w:val="24"/>
          <w:szCs w:val="24"/>
        </w:rPr>
      </w:pPr>
      <w:r>
        <w:rPr>
          <w:rFonts w:hint="eastAsia" w:cs="宋体" w:asciiTheme="minorEastAsia" w:hAnsiTheme="minorEastAsia"/>
          <w:sz w:val="24"/>
          <w:szCs w:val="24"/>
        </w:rPr>
        <w:t xml:space="preserve">8.2.4 服务要求的更改 </w:t>
      </w:r>
    </w:p>
    <w:p w14:paraId="164ABBD6">
      <w:pPr>
        <w:spacing w:line="360" w:lineRule="auto"/>
        <w:ind w:firstLine="480" w:firstLineChars="200"/>
        <w:rPr>
          <w:rFonts w:cs="宋体" w:asciiTheme="minorEastAsia" w:hAnsiTheme="minorEastAsia"/>
          <w:sz w:val="24"/>
          <w:szCs w:val="24"/>
        </w:rPr>
      </w:pPr>
      <w:r>
        <w:rPr>
          <w:rFonts w:hint="eastAsia" w:cs="宋体" w:asciiTheme="minorEastAsia" w:hAnsiTheme="minorEastAsia"/>
          <w:sz w:val="24"/>
          <w:szCs w:val="24"/>
        </w:rPr>
        <w:t>若服务要求发生更改，组织应确保相关的形成文件的信息得到修改，并确保相关人员知道已更改的要求。</w:t>
      </w:r>
    </w:p>
    <w:p w14:paraId="293367BA">
      <w:pPr>
        <w:spacing w:line="360" w:lineRule="auto"/>
        <w:rPr>
          <w:rFonts w:cs="宋体" w:asciiTheme="minorEastAsia" w:hAnsiTheme="minorEastAsia"/>
          <w:sz w:val="24"/>
          <w:szCs w:val="24"/>
        </w:rPr>
      </w:pPr>
      <w:r>
        <w:rPr>
          <w:rFonts w:hint="eastAsia" w:cs="宋体" w:asciiTheme="minorEastAsia" w:hAnsiTheme="minorEastAsia"/>
          <w:sz w:val="24"/>
          <w:szCs w:val="24"/>
        </w:rPr>
        <w:t>8.2.5 相关/引用文件</w:t>
      </w:r>
    </w:p>
    <w:p w14:paraId="01DC9E7A">
      <w:pPr>
        <w:spacing w:line="360" w:lineRule="auto"/>
        <w:rPr>
          <w:rFonts w:cs="宋体" w:asciiTheme="minorEastAsia" w:hAnsiTheme="minorEastAsia"/>
          <w:sz w:val="24"/>
          <w:szCs w:val="24"/>
        </w:rPr>
      </w:pPr>
      <w:r>
        <w:rPr>
          <w:rFonts w:hint="eastAsia" w:cs="宋体" w:asciiTheme="minorEastAsia" w:hAnsiTheme="minorEastAsia"/>
          <w:sz w:val="24"/>
          <w:szCs w:val="24"/>
        </w:rPr>
        <w:t>8.2.5.1《与服务有关的要求的控制程序》</w:t>
      </w:r>
    </w:p>
    <w:p w14:paraId="7E2F5125">
      <w:pPr>
        <w:spacing w:line="360" w:lineRule="auto"/>
        <w:rPr>
          <w:rFonts w:cs="宋体" w:asciiTheme="minorEastAsia" w:hAnsiTheme="minorEastAsia"/>
          <w:b/>
          <w:sz w:val="24"/>
          <w:szCs w:val="24"/>
        </w:rPr>
      </w:pPr>
      <w:r>
        <w:rPr>
          <w:rFonts w:hint="eastAsia" w:cs="宋体" w:asciiTheme="minorEastAsia" w:hAnsiTheme="minorEastAsia"/>
          <w:sz w:val="24"/>
          <w:szCs w:val="24"/>
        </w:rPr>
        <w:t>8.2.5.2《顾客投诉及满意测量控制程序》</w:t>
      </w:r>
    </w:p>
    <w:p w14:paraId="3EC59EEE">
      <w:pPr>
        <w:pStyle w:val="3"/>
        <w:spacing w:before="0" w:after="0" w:line="360" w:lineRule="auto"/>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8.3 产品和服务的设计和开发</w:t>
      </w:r>
    </w:p>
    <w:p w14:paraId="41C066AD">
      <w:pPr>
        <w:spacing w:line="360" w:lineRule="auto"/>
        <w:ind w:right="-54" w:firstLine="600" w:firstLineChars="250"/>
        <w:jc w:val="left"/>
        <w:rPr>
          <w:rFonts w:cs="宋体" w:asciiTheme="minorEastAsia" w:hAnsiTheme="minorEastAsia"/>
          <w:sz w:val="24"/>
          <w:szCs w:val="24"/>
        </w:rPr>
      </w:pPr>
      <w:r>
        <w:rPr>
          <w:rFonts w:hint="eastAsia" w:cs="宋体" w:asciiTheme="minorEastAsia" w:hAnsiTheme="minorEastAsia"/>
          <w:sz w:val="24"/>
          <w:szCs w:val="24"/>
        </w:rPr>
        <w:t>8.3.1 总则</w:t>
      </w:r>
    </w:p>
    <w:p w14:paraId="3CC36972">
      <w:pPr>
        <w:spacing w:line="360" w:lineRule="auto"/>
        <w:ind w:right="-54" w:firstLine="600" w:firstLineChars="250"/>
        <w:jc w:val="left"/>
        <w:rPr>
          <w:rFonts w:cs="宋体" w:asciiTheme="minorEastAsia" w:hAnsiTheme="minorEastAsia"/>
          <w:sz w:val="24"/>
          <w:szCs w:val="24"/>
        </w:rPr>
      </w:pPr>
      <w:r>
        <w:rPr>
          <w:rFonts w:hint="eastAsia" w:cs="宋体" w:asciiTheme="minorEastAsia" w:hAnsiTheme="minorEastAsia"/>
          <w:sz w:val="24"/>
          <w:szCs w:val="24"/>
        </w:rPr>
        <w:t>组织应建立、实施和保持适当的设计和开发过程，以确保后续的产品和服务的提供。</w:t>
      </w:r>
    </w:p>
    <w:p w14:paraId="27EFDA4E">
      <w:pPr>
        <w:spacing w:line="360" w:lineRule="auto"/>
        <w:ind w:right="-54" w:firstLine="600" w:firstLineChars="250"/>
        <w:jc w:val="left"/>
        <w:rPr>
          <w:rFonts w:cs="宋体" w:asciiTheme="minorEastAsia" w:hAnsiTheme="minorEastAsia"/>
          <w:sz w:val="24"/>
          <w:szCs w:val="24"/>
        </w:rPr>
      </w:pPr>
      <w:r>
        <w:rPr>
          <w:rFonts w:hint="eastAsia" w:cs="宋体" w:asciiTheme="minorEastAsia" w:hAnsiTheme="minorEastAsia"/>
          <w:sz w:val="24"/>
          <w:szCs w:val="24"/>
        </w:rPr>
        <w:t>8.3.2 设计和开发策划</w:t>
      </w:r>
    </w:p>
    <w:p w14:paraId="144D41C3">
      <w:pPr>
        <w:spacing w:line="360" w:lineRule="auto"/>
        <w:ind w:right="-54" w:firstLine="600" w:firstLineChars="250"/>
        <w:jc w:val="left"/>
        <w:rPr>
          <w:rFonts w:cs="宋体" w:asciiTheme="minorEastAsia" w:hAnsiTheme="minorEastAsia"/>
          <w:sz w:val="24"/>
          <w:szCs w:val="24"/>
        </w:rPr>
      </w:pPr>
      <w:r>
        <w:rPr>
          <w:rFonts w:hint="eastAsia" w:cs="宋体" w:asciiTheme="minorEastAsia" w:hAnsiTheme="minorEastAsia"/>
          <w:sz w:val="24"/>
          <w:szCs w:val="24"/>
        </w:rPr>
        <w:t>在确定设计和开发的各个阶段和控制时，组织应考虑：</w:t>
      </w:r>
    </w:p>
    <w:p w14:paraId="77EBF2E1">
      <w:pPr>
        <w:spacing w:line="360" w:lineRule="auto"/>
        <w:ind w:right="-54" w:firstLine="600" w:firstLineChars="250"/>
        <w:jc w:val="left"/>
        <w:rPr>
          <w:rFonts w:cs="宋体" w:asciiTheme="minorEastAsia" w:hAnsiTheme="minorEastAsia"/>
          <w:sz w:val="24"/>
          <w:szCs w:val="24"/>
        </w:rPr>
      </w:pPr>
      <w:r>
        <w:rPr>
          <w:rFonts w:hint="eastAsia" w:cs="宋体" w:asciiTheme="minorEastAsia" w:hAnsiTheme="minorEastAsia"/>
          <w:sz w:val="24"/>
          <w:szCs w:val="24"/>
        </w:rPr>
        <w:t>a）设计和开发活动的性质、持续时间和复杂程度；</w:t>
      </w:r>
    </w:p>
    <w:p w14:paraId="46606C90">
      <w:pPr>
        <w:spacing w:line="360" w:lineRule="auto"/>
        <w:ind w:right="-54" w:firstLine="600" w:firstLineChars="250"/>
        <w:jc w:val="left"/>
        <w:rPr>
          <w:rFonts w:cs="宋体" w:asciiTheme="minorEastAsia" w:hAnsiTheme="minorEastAsia"/>
          <w:sz w:val="24"/>
          <w:szCs w:val="24"/>
        </w:rPr>
      </w:pPr>
      <w:r>
        <w:rPr>
          <w:rFonts w:hint="eastAsia" w:cs="宋体" w:asciiTheme="minorEastAsia" w:hAnsiTheme="minorEastAsia"/>
          <w:sz w:val="24"/>
          <w:szCs w:val="24"/>
        </w:rPr>
        <w:t>b）所需的过程阶段，包括适用的设计和开发评审；</w:t>
      </w:r>
    </w:p>
    <w:p w14:paraId="0F52089E">
      <w:pPr>
        <w:spacing w:line="360" w:lineRule="auto"/>
        <w:ind w:right="-54" w:firstLine="600" w:firstLineChars="250"/>
        <w:jc w:val="left"/>
        <w:rPr>
          <w:rFonts w:cs="宋体" w:asciiTheme="minorEastAsia" w:hAnsiTheme="minorEastAsia"/>
          <w:sz w:val="24"/>
          <w:szCs w:val="24"/>
        </w:rPr>
      </w:pPr>
      <w:r>
        <w:rPr>
          <w:rFonts w:hint="eastAsia" w:cs="宋体" w:asciiTheme="minorEastAsia" w:hAnsiTheme="minorEastAsia"/>
          <w:sz w:val="24"/>
          <w:szCs w:val="24"/>
        </w:rPr>
        <w:t>c）所需的设计和开发验证及确认活动；</w:t>
      </w:r>
    </w:p>
    <w:p w14:paraId="0F2882B4">
      <w:pPr>
        <w:spacing w:line="360" w:lineRule="auto"/>
        <w:ind w:right="-54" w:firstLine="600" w:firstLineChars="250"/>
        <w:jc w:val="left"/>
        <w:rPr>
          <w:rFonts w:cs="宋体" w:asciiTheme="minorEastAsia" w:hAnsiTheme="minorEastAsia"/>
          <w:sz w:val="24"/>
          <w:szCs w:val="24"/>
        </w:rPr>
      </w:pPr>
      <w:r>
        <w:rPr>
          <w:rFonts w:hint="eastAsia" w:cs="宋体" w:asciiTheme="minorEastAsia" w:hAnsiTheme="minorEastAsia"/>
          <w:sz w:val="24"/>
          <w:szCs w:val="24"/>
        </w:rPr>
        <w:t>d）设计和开发过程涉及的职责和权限；</w:t>
      </w:r>
    </w:p>
    <w:p w14:paraId="6D33C721">
      <w:pPr>
        <w:spacing w:line="360" w:lineRule="auto"/>
        <w:ind w:right="-54" w:firstLine="600" w:firstLineChars="250"/>
        <w:jc w:val="left"/>
        <w:rPr>
          <w:rFonts w:cs="宋体" w:asciiTheme="minorEastAsia" w:hAnsiTheme="minorEastAsia"/>
          <w:sz w:val="24"/>
          <w:szCs w:val="24"/>
        </w:rPr>
      </w:pPr>
      <w:r>
        <w:rPr>
          <w:rFonts w:hint="eastAsia" w:cs="宋体" w:asciiTheme="minorEastAsia" w:hAnsiTheme="minorEastAsia"/>
          <w:sz w:val="24"/>
          <w:szCs w:val="24"/>
        </w:rPr>
        <w:t>e）产品和服务的设计和开发所需的内部和外部资源：</w:t>
      </w:r>
    </w:p>
    <w:p w14:paraId="11EE26C7">
      <w:pPr>
        <w:spacing w:line="360" w:lineRule="auto"/>
        <w:ind w:right="-54" w:firstLine="600" w:firstLineChars="250"/>
        <w:jc w:val="left"/>
        <w:rPr>
          <w:rFonts w:cs="宋体" w:asciiTheme="minorEastAsia" w:hAnsiTheme="minorEastAsia"/>
          <w:sz w:val="24"/>
          <w:szCs w:val="24"/>
        </w:rPr>
      </w:pPr>
      <w:r>
        <w:rPr>
          <w:rFonts w:hint="eastAsia" w:cs="宋体" w:asciiTheme="minorEastAsia" w:hAnsiTheme="minorEastAsia"/>
          <w:sz w:val="24"/>
          <w:szCs w:val="24"/>
        </w:rPr>
        <w:t>f）设计和开发过程参与人员之间接口的控制需求；</w:t>
      </w:r>
    </w:p>
    <w:p w14:paraId="2AA5C047">
      <w:pPr>
        <w:spacing w:line="360" w:lineRule="auto"/>
        <w:ind w:right="-54" w:firstLine="600" w:firstLineChars="250"/>
        <w:jc w:val="left"/>
        <w:rPr>
          <w:rFonts w:cs="宋体" w:asciiTheme="minorEastAsia" w:hAnsiTheme="minorEastAsia"/>
          <w:sz w:val="24"/>
          <w:szCs w:val="24"/>
        </w:rPr>
      </w:pPr>
      <w:r>
        <w:rPr>
          <w:rFonts w:hint="eastAsia" w:cs="宋体" w:asciiTheme="minorEastAsia" w:hAnsiTheme="minorEastAsia"/>
          <w:sz w:val="24"/>
          <w:szCs w:val="24"/>
        </w:rPr>
        <w:t>g）顾客和使用者参与设计和开发过程的需求；</w:t>
      </w:r>
    </w:p>
    <w:p w14:paraId="0233B826">
      <w:pPr>
        <w:spacing w:line="360" w:lineRule="auto"/>
        <w:ind w:right="-54" w:firstLine="600" w:firstLineChars="250"/>
        <w:jc w:val="left"/>
        <w:rPr>
          <w:rFonts w:cs="宋体" w:asciiTheme="minorEastAsia" w:hAnsiTheme="minorEastAsia"/>
          <w:sz w:val="24"/>
          <w:szCs w:val="24"/>
        </w:rPr>
      </w:pPr>
      <w:r>
        <w:rPr>
          <w:rFonts w:hint="eastAsia" w:cs="宋体" w:asciiTheme="minorEastAsia" w:hAnsiTheme="minorEastAsia"/>
          <w:sz w:val="24"/>
          <w:szCs w:val="24"/>
        </w:rPr>
        <w:t>h）对后续产品和服务提供的要求；</w:t>
      </w:r>
    </w:p>
    <w:p w14:paraId="79D900BD">
      <w:pPr>
        <w:spacing w:line="360" w:lineRule="auto"/>
        <w:ind w:right="-54" w:firstLine="600" w:firstLineChars="250"/>
        <w:jc w:val="left"/>
        <w:rPr>
          <w:rFonts w:cs="宋体" w:asciiTheme="minorEastAsia" w:hAnsiTheme="minorEastAsia"/>
          <w:sz w:val="24"/>
          <w:szCs w:val="24"/>
        </w:rPr>
      </w:pPr>
      <w:r>
        <w:rPr>
          <w:rFonts w:hint="eastAsia" w:cs="宋体" w:asciiTheme="minorEastAsia" w:hAnsiTheme="minorEastAsia"/>
          <w:sz w:val="24"/>
          <w:szCs w:val="24"/>
        </w:rPr>
        <w:t>i）顾客和其他相关方期望的设计和开发过程的控制水平；</w:t>
      </w:r>
    </w:p>
    <w:p w14:paraId="1DB9C2AE">
      <w:pPr>
        <w:spacing w:line="360" w:lineRule="auto"/>
        <w:ind w:right="-54" w:firstLine="600" w:firstLineChars="250"/>
        <w:jc w:val="left"/>
        <w:rPr>
          <w:rFonts w:cs="宋体" w:asciiTheme="minorEastAsia" w:hAnsiTheme="minorEastAsia"/>
          <w:sz w:val="24"/>
          <w:szCs w:val="24"/>
        </w:rPr>
      </w:pPr>
      <w:r>
        <w:rPr>
          <w:rFonts w:hint="eastAsia" w:cs="宋体" w:asciiTheme="minorEastAsia" w:hAnsiTheme="minorEastAsia"/>
          <w:sz w:val="24"/>
          <w:szCs w:val="24"/>
        </w:rPr>
        <w:t>j）证实已经满足设计和开发要求所需的成文信息。</w:t>
      </w:r>
    </w:p>
    <w:p w14:paraId="4DEAB8EE">
      <w:pPr>
        <w:spacing w:line="360" w:lineRule="auto"/>
        <w:ind w:right="-54" w:firstLine="600" w:firstLineChars="250"/>
        <w:jc w:val="left"/>
        <w:rPr>
          <w:rFonts w:cs="宋体" w:asciiTheme="minorEastAsia" w:hAnsiTheme="minorEastAsia"/>
          <w:sz w:val="24"/>
          <w:szCs w:val="24"/>
        </w:rPr>
      </w:pPr>
      <w:r>
        <w:rPr>
          <w:rFonts w:hint="eastAsia" w:cs="宋体" w:asciiTheme="minorEastAsia" w:hAnsiTheme="minorEastAsia"/>
          <w:sz w:val="24"/>
          <w:szCs w:val="24"/>
        </w:rPr>
        <w:t>8.3.3 设计和开发输入</w:t>
      </w:r>
    </w:p>
    <w:p w14:paraId="445737C2">
      <w:pPr>
        <w:spacing w:line="360" w:lineRule="auto"/>
        <w:ind w:right="-54" w:firstLine="600" w:firstLineChars="250"/>
        <w:jc w:val="left"/>
        <w:rPr>
          <w:rFonts w:cs="宋体" w:asciiTheme="minorEastAsia" w:hAnsiTheme="minorEastAsia"/>
          <w:sz w:val="24"/>
          <w:szCs w:val="24"/>
        </w:rPr>
      </w:pPr>
      <w:r>
        <w:rPr>
          <w:rFonts w:hint="eastAsia" w:cs="宋体" w:asciiTheme="minorEastAsia" w:hAnsiTheme="minorEastAsia"/>
          <w:sz w:val="24"/>
          <w:szCs w:val="24"/>
        </w:rPr>
        <w:t>组织应针对所设计和开发的具体类型的产品和服务，确定必需的要求应考虑：</w:t>
      </w:r>
    </w:p>
    <w:p w14:paraId="37C11E25">
      <w:pPr>
        <w:spacing w:line="360" w:lineRule="auto"/>
        <w:ind w:right="-54" w:firstLine="600" w:firstLineChars="250"/>
        <w:jc w:val="left"/>
        <w:rPr>
          <w:rFonts w:cs="宋体" w:asciiTheme="minorEastAsia" w:hAnsiTheme="minorEastAsia"/>
          <w:sz w:val="24"/>
          <w:szCs w:val="24"/>
        </w:rPr>
      </w:pPr>
      <w:r>
        <w:rPr>
          <w:rFonts w:hint="eastAsia" w:cs="宋体" w:asciiTheme="minorEastAsia" w:hAnsiTheme="minorEastAsia"/>
          <w:sz w:val="24"/>
          <w:szCs w:val="24"/>
        </w:rPr>
        <w:t>a）功能和性能要求；</w:t>
      </w:r>
    </w:p>
    <w:p w14:paraId="6B0E1324">
      <w:pPr>
        <w:spacing w:line="360" w:lineRule="auto"/>
        <w:ind w:right="-54" w:firstLine="600" w:firstLineChars="250"/>
        <w:jc w:val="left"/>
        <w:rPr>
          <w:rFonts w:cs="宋体" w:asciiTheme="minorEastAsia" w:hAnsiTheme="minorEastAsia"/>
          <w:sz w:val="24"/>
          <w:szCs w:val="24"/>
        </w:rPr>
      </w:pPr>
      <w:r>
        <w:rPr>
          <w:rFonts w:hint="eastAsia" w:cs="宋体" w:asciiTheme="minorEastAsia" w:hAnsiTheme="minorEastAsia"/>
          <w:sz w:val="24"/>
          <w:szCs w:val="24"/>
        </w:rPr>
        <w:t>b）来源于以前类似设计和开发活动的信息；</w:t>
      </w:r>
    </w:p>
    <w:p w14:paraId="36818849">
      <w:pPr>
        <w:spacing w:line="360" w:lineRule="auto"/>
        <w:ind w:right="-54" w:firstLine="600" w:firstLineChars="250"/>
        <w:jc w:val="left"/>
        <w:rPr>
          <w:rFonts w:cs="宋体" w:asciiTheme="minorEastAsia" w:hAnsiTheme="minorEastAsia"/>
          <w:sz w:val="24"/>
          <w:szCs w:val="24"/>
        </w:rPr>
      </w:pPr>
      <w:r>
        <w:rPr>
          <w:rFonts w:hint="eastAsia" w:cs="宋体" w:asciiTheme="minorEastAsia" w:hAnsiTheme="minorEastAsia"/>
          <w:sz w:val="24"/>
          <w:szCs w:val="24"/>
        </w:rPr>
        <w:t>c）法律法规要求；</w:t>
      </w:r>
    </w:p>
    <w:p w14:paraId="31C2C17D">
      <w:pPr>
        <w:spacing w:line="360" w:lineRule="auto"/>
        <w:ind w:right="-54" w:firstLine="600" w:firstLineChars="250"/>
        <w:jc w:val="left"/>
        <w:rPr>
          <w:rFonts w:cs="宋体" w:asciiTheme="minorEastAsia" w:hAnsiTheme="minorEastAsia"/>
          <w:sz w:val="24"/>
          <w:szCs w:val="24"/>
        </w:rPr>
      </w:pPr>
      <w:r>
        <w:rPr>
          <w:rFonts w:hint="eastAsia" w:cs="宋体" w:asciiTheme="minorEastAsia" w:hAnsiTheme="minorEastAsia"/>
          <w:sz w:val="24"/>
          <w:szCs w:val="24"/>
        </w:rPr>
        <w:t>d）组织承诺实施的标准或行业规范；</w:t>
      </w:r>
    </w:p>
    <w:p w14:paraId="47D5C329">
      <w:pPr>
        <w:spacing w:line="360" w:lineRule="auto"/>
        <w:ind w:right="-54" w:firstLine="600" w:firstLineChars="250"/>
        <w:jc w:val="left"/>
        <w:rPr>
          <w:rFonts w:cs="宋体" w:asciiTheme="minorEastAsia" w:hAnsiTheme="minorEastAsia"/>
          <w:sz w:val="24"/>
          <w:szCs w:val="24"/>
        </w:rPr>
      </w:pPr>
      <w:r>
        <w:rPr>
          <w:rFonts w:hint="eastAsia" w:cs="宋体" w:asciiTheme="minorEastAsia" w:hAnsiTheme="minorEastAsia"/>
          <w:sz w:val="24"/>
          <w:szCs w:val="24"/>
        </w:rPr>
        <w:t>e）由产品和服务性质所导致的潜在失效后果。</w:t>
      </w:r>
    </w:p>
    <w:p w14:paraId="1AF17545">
      <w:pPr>
        <w:spacing w:line="360" w:lineRule="auto"/>
        <w:ind w:right="-54" w:firstLine="600" w:firstLineChars="250"/>
        <w:jc w:val="left"/>
        <w:rPr>
          <w:rFonts w:cs="宋体" w:asciiTheme="minorEastAsia" w:hAnsiTheme="minorEastAsia"/>
          <w:sz w:val="24"/>
          <w:szCs w:val="24"/>
        </w:rPr>
      </w:pPr>
      <w:r>
        <w:rPr>
          <w:rFonts w:hint="eastAsia" w:cs="宋体" w:asciiTheme="minorEastAsia" w:hAnsiTheme="minorEastAsia"/>
          <w:sz w:val="24"/>
          <w:szCs w:val="24"/>
        </w:rPr>
        <w:t>针对设计和开发的目的，输入应是充分和适宜的，且应完整、清楚。</w:t>
      </w:r>
    </w:p>
    <w:p w14:paraId="2D5F552B">
      <w:pPr>
        <w:spacing w:line="360" w:lineRule="auto"/>
        <w:ind w:right="-54" w:firstLine="600" w:firstLineChars="250"/>
        <w:jc w:val="left"/>
        <w:rPr>
          <w:rFonts w:cs="宋体" w:asciiTheme="minorEastAsia" w:hAnsiTheme="minorEastAsia"/>
          <w:sz w:val="24"/>
          <w:szCs w:val="24"/>
        </w:rPr>
      </w:pPr>
      <w:r>
        <w:rPr>
          <w:rFonts w:hint="eastAsia" w:cs="宋体" w:asciiTheme="minorEastAsia" w:hAnsiTheme="minorEastAsia"/>
          <w:sz w:val="24"/>
          <w:szCs w:val="24"/>
        </w:rPr>
        <w:t>相互矛盾的设计和开发输入应得到解决。。</w:t>
      </w:r>
    </w:p>
    <w:p w14:paraId="5894FB90">
      <w:pPr>
        <w:spacing w:line="360" w:lineRule="auto"/>
        <w:ind w:right="-54" w:firstLine="600" w:firstLineChars="250"/>
        <w:jc w:val="left"/>
        <w:rPr>
          <w:rFonts w:cs="宋体" w:asciiTheme="minorEastAsia" w:hAnsiTheme="minorEastAsia"/>
          <w:sz w:val="24"/>
          <w:szCs w:val="24"/>
        </w:rPr>
      </w:pPr>
      <w:r>
        <w:rPr>
          <w:rFonts w:hint="eastAsia" w:cs="宋体" w:asciiTheme="minorEastAsia" w:hAnsiTheme="minorEastAsia"/>
          <w:sz w:val="24"/>
          <w:szCs w:val="24"/>
        </w:rPr>
        <w:t>组织应保留有关设计和开发输入的成文信息。</w:t>
      </w:r>
    </w:p>
    <w:p w14:paraId="1878EE2C">
      <w:pPr>
        <w:spacing w:line="360" w:lineRule="auto"/>
        <w:ind w:right="-54" w:firstLine="600" w:firstLineChars="250"/>
        <w:jc w:val="left"/>
        <w:rPr>
          <w:rFonts w:cs="宋体" w:asciiTheme="minorEastAsia" w:hAnsiTheme="minorEastAsia"/>
          <w:sz w:val="24"/>
          <w:szCs w:val="24"/>
        </w:rPr>
      </w:pPr>
      <w:r>
        <w:rPr>
          <w:rFonts w:hint="eastAsia" w:cs="宋体" w:asciiTheme="minorEastAsia" w:hAnsiTheme="minorEastAsia"/>
          <w:sz w:val="24"/>
          <w:szCs w:val="24"/>
        </w:rPr>
        <w:t>8.3.4 设计和开发控制</w:t>
      </w:r>
    </w:p>
    <w:p w14:paraId="36F020AE">
      <w:pPr>
        <w:spacing w:line="360" w:lineRule="auto"/>
        <w:ind w:right="-54" w:firstLine="600" w:firstLineChars="250"/>
        <w:jc w:val="left"/>
        <w:rPr>
          <w:rFonts w:cs="宋体" w:asciiTheme="minorEastAsia" w:hAnsiTheme="minorEastAsia"/>
          <w:sz w:val="24"/>
          <w:szCs w:val="24"/>
        </w:rPr>
      </w:pPr>
      <w:r>
        <w:rPr>
          <w:rFonts w:hint="eastAsia" w:cs="宋体" w:asciiTheme="minorEastAsia" w:hAnsiTheme="minorEastAsia"/>
          <w:sz w:val="24"/>
          <w:szCs w:val="24"/>
        </w:rPr>
        <w:t>公司应对设计和开发过程进行控制，以确保：</w:t>
      </w:r>
    </w:p>
    <w:p w14:paraId="02253785">
      <w:pPr>
        <w:spacing w:line="360" w:lineRule="auto"/>
        <w:ind w:right="-54" w:firstLine="600" w:firstLineChars="250"/>
        <w:jc w:val="left"/>
        <w:rPr>
          <w:rFonts w:cs="宋体" w:asciiTheme="minorEastAsia" w:hAnsiTheme="minorEastAsia"/>
          <w:sz w:val="24"/>
          <w:szCs w:val="24"/>
        </w:rPr>
      </w:pPr>
      <w:r>
        <w:rPr>
          <w:rFonts w:hint="eastAsia" w:cs="宋体" w:asciiTheme="minorEastAsia" w:hAnsiTheme="minorEastAsia"/>
          <w:sz w:val="24"/>
          <w:szCs w:val="24"/>
        </w:rPr>
        <w:t>a）规定拟获得的结果；</w:t>
      </w:r>
    </w:p>
    <w:p w14:paraId="783D0A7A">
      <w:pPr>
        <w:spacing w:line="360" w:lineRule="auto"/>
        <w:ind w:right="-54" w:firstLine="600" w:firstLineChars="250"/>
        <w:jc w:val="left"/>
        <w:rPr>
          <w:rFonts w:cs="宋体" w:asciiTheme="minorEastAsia" w:hAnsiTheme="minorEastAsia"/>
          <w:sz w:val="24"/>
          <w:szCs w:val="24"/>
        </w:rPr>
      </w:pPr>
      <w:r>
        <w:rPr>
          <w:rFonts w:hint="eastAsia" w:cs="宋体" w:asciiTheme="minorEastAsia" w:hAnsiTheme="minorEastAsia"/>
          <w:sz w:val="24"/>
          <w:szCs w:val="24"/>
        </w:rPr>
        <w:t>b）实施评审活动，以评价设计和开发的结果满足要求的能力；</w:t>
      </w:r>
    </w:p>
    <w:p w14:paraId="0D7C5B0E">
      <w:pPr>
        <w:spacing w:line="360" w:lineRule="auto"/>
        <w:ind w:right="-54" w:firstLine="600" w:firstLineChars="250"/>
        <w:jc w:val="left"/>
        <w:rPr>
          <w:rFonts w:cs="宋体" w:asciiTheme="minorEastAsia" w:hAnsiTheme="minorEastAsia"/>
          <w:sz w:val="24"/>
          <w:szCs w:val="24"/>
        </w:rPr>
      </w:pPr>
      <w:r>
        <w:rPr>
          <w:rFonts w:hint="eastAsia" w:cs="宋体" w:asciiTheme="minorEastAsia" w:hAnsiTheme="minorEastAsia"/>
          <w:sz w:val="24"/>
          <w:szCs w:val="24"/>
        </w:rPr>
        <w:t>c）实施验证活动，以确保设计和开发输出满足输入的要求；</w:t>
      </w:r>
    </w:p>
    <w:p w14:paraId="7F24D8E6">
      <w:pPr>
        <w:spacing w:line="360" w:lineRule="auto"/>
        <w:ind w:right="-54" w:firstLine="600" w:firstLineChars="250"/>
        <w:jc w:val="left"/>
        <w:rPr>
          <w:rFonts w:cs="宋体" w:asciiTheme="minorEastAsia" w:hAnsiTheme="minorEastAsia"/>
          <w:sz w:val="24"/>
          <w:szCs w:val="24"/>
        </w:rPr>
      </w:pPr>
      <w:r>
        <w:rPr>
          <w:rFonts w:hint="eastAsia" w:cs="宋体" w:asciiTheme="minorEastAsia" w:hAnsiTheme="minorEastAsia"/>
          <w:sz w:val="24"/>
          <w:szCs w:val="24"/>
        </w:rPr>
        <w:t>d）实施确认活动，以确保产品和服务能够满足规定的使用要求或预期用途；</w:t>
      </w:r>
    </w:p>
    <w:p w14:paraId="77B894F7">
      <w:pPr>
        <w:spacing w:line="360" w:lineRule="auto"/>
        <w:ind w:right="-54" w:firstLine="600" w:firstLineChars="250"/>
        <w:jc w:val="left"/>
        <w:rPr>
          <w:rFonts w:cs="宋体" w:asciiTheme="minorEastAsia" w:hAnsiTheme="minorEastAsia"/>
          <w:sz w:val="24"/>
          <w:szCs w:val="24"/>
        </w:rPr>
      </w:pPr>
      <w:r>
        <w:rPr>
          <w:rFonts w:hint="eastAsia" w:cs="宋体" w:asciiTheme="minorEastAsia" w:hAnsiTheme="minorEastAsia"/>
          <w:sz w:val="24"/>
          <w:szCs w:val="24"/>
        </w:rPr>
        <w:t>e）针对评审、验证和确认过程中确定的问题采取必要措施；</w:t>
      </w:r>
    </w:p>
    <w:p w14:paraId="3155AC06">
      <w:pPr>
        <w:spacing w:line="360" w:lineRule="auto"/>
        <w:ind w:right="-54" w:firstLine="600" w:firstLineChars="250"/>
        <w:jc w:val="left"/>
        <w:rPr>
          <w:rFonts w:cs="宋体" w:asciiTheme="minorEastAsia" w:hAnsiTheme="minorEastAsia"/>
          <w:sz w:val="24"/>
          <w:szCs w:val="24"/>
        </w:rPr>
      </w:pPr>
      <w:r>
        <w:rPr>
          <w:rFonts w:hint="eastAsia" w:cs="宋体" w:asciiTheme="minorEastAsia" w:hAnsiTheme="minorEastAsia"/>
          <w:sz w:val="24"/>
          <w:szCs w:val="24"/>
        </w:rPr>
        <w:t>f）保留这些活动的成文信息。</w:t>
      </w:r>
    </w:p>
    <w:p w14:paraId="37FBC3AF">
      <w:pPr>
        <w:spacing w:line="360" w:lineRule="auto"/>
        <w:ind w:right="-54" w:firstLine="600" w:firstLineChars="250"/>
        <w:jc w:val="left"/>
        <w:rPr>
          <w:rFonts w:cs="宋体" w:asciiTheme="minorEastAsia" w:hAnsiTheme="minorEastAsia"/>
          <w:sz w:val="24"/>
          <w:szCs w:val="24"/>
        </w:rPr>
      </w:pPr>
      <w:r>
        <w:rPr>
          <w:rFonts w:hint="eastAsia" w:cs="宋体" w:asciiTheme="minorEastAsia" w:hAnsiTheme="minorEastAsia"/>
          <w:sz w:val="24"/>
          <w:szCs w:val="24"/>
        </w:rPr>
        <w:t>注：设计和开发的评审、验证和确认具有不同目的。根据组织的产品和服务的具体情况，</w:t>
      </w:r>
    </w:p>
    <w:p w14:paraId="54A34850">
      <w:pPr>
        <w:spacing w:line="360" w:lineRule="auto"/>
        <w:ind w:right="-54" w:firstLine="600" w:firstLineChars="250"/>
        <w:jc w:val="left"/>
        <w:rPr>
          <w:rFonts w:cs="宋体" w:asciiTheme="minorEastAsia" w:hAnsiTheme="minorEastAsia"/>
          <w:sz w:val="24"/>
          <w:szCs w:val="24"/>
        </w:rPr>
      </w:pPr>
      <w:r>
        <w:rPr>
          <w:rFonts w:hint="eastAsia" w:cs="宋体" w:asciiTheme="minorEastAsia" w:hAnsiTheme="minorEastAsia"/>
          <w:sz w:val="24"/>
          <w:szCs w:val="24"/>
        </w:rPr>
        <w:t>可单独或以任意组合的方式进行。</w:t>
      </w:r>
    </w:p>
    <w:p w14:paraId="3DBA2F62">
      <w:pPr>
        <w:spacing w:line="360" w:lineRule="auto"/>
        <w:ind w:right="-54" w:firstLine="600" w:firstLineChars="250"/>
        <w:jc w:val="left"/>
        <w:rPr>
          <w:rFonts w:cs="宋体" w:asciiTheme="minorEastAsia" w:hAnsiTheme="minorEastAsia"/>
          <w:sz w:val="24"/>
          <w:szCs w:val="24"/>
        </w:rPr>
      </w:pPr>
      <w:r>
        <w:rPr>
          <w:rFonts w:hint="eastAsia" w:cs="宋体" w:asciiTheme="minorEastAsia" w:hAnsiTheme="minorEastAsia"/>
          <w:sz w:val="24"/>
          <w:szCs w:val="24"/>
        </w:rPr>
        <w:t>8.3.5 设计和开发输出</w:t>
      </w:r>
    </w:p>
    <w:p w14:paraId="2707CFB1">
      <w:pPr>
        <w:spacing w:line="360" w:lineRule="auto"/>
        <w:ind w:right="-54" w:firstLine="600" w:firstLineChars="250"/>
        <w:jc w:val="left"/>
        <w:rPr>
          <w:rFonts w:cs="宋体" w:asciiTheme="minorEastAsia" w:hAnsiTheme="minorEastAsia"/>
          <w:sz w:val="24"/>
          <w:szCs w:val="24"/>
        </w:rPr>
      </w:pPr>
      <w:r>
        <w:rPr>
          <w:rFonts w:hint="eastAsia" w:cs="宋体" w:asciiTheme="minorEastAsia" w:hAnsiTheme="minorEastAsia"/>
          <w:sz w:val="24"/>
          <w:szCs w:val="24"/>
        </w:rPr>
        <w:t>组织应确保设计和开发输出：</w:t>
      </w:r>
    </w:p>
    <w:p w14:paraId="358D9BB7">
      <w:pPr>
        <w:spacing w:line="360" w:lineRule="auto"/>
        <w:ind w:right="-54" w:firstLine="600" w:firstLineChars="250"/>
        <w:jc w:val="left"/>
        <w:rPr>
          <w:rFonts w:cs="宋体" w:asciiTheme="minorEastAsia" w:hAnsiTheme="minorEastAsia"/>
          <w:sz w:val="24"/>
          <w:szCs w:val="24"/>
        </w:rPr>
      </w:pPr>
      <w:r>
        <w:rPr>
          <w:rFonts w:hint="eastAsia" w:cs="宋体" w:asciiTheme="minorEastAsia" w:hAnsiTheme="minorEastAsia"/>
          <w:sz w:val="24"/>
          <w:szCs w:val="24"/>
        </w:rPr>
        <w:t>a）满足输入的要求；</w:t>
      </w:r>
    </w:p>
    <w:p w14:paraId="1C12E2D0">
      <w:pPr>
        <w:spacing w:line="360" w:lineRule="auto"/>
        <w:ind w:right="-54" w:firstLine="600" w:firstLineChars="250"/>
        <w:jc w:val="left"/>
        <w:rPr>
          <w:rFonts w:cs="宋体" w:asciiTheme="minorEastAsia" w:hAnsiTheme="minorEastAsia"/>
          <w:sz w:val="24"/>
          <w:szCs w:val="24"/>
        </w:rPr>
      </w:pPr>
      <w:r>
        <w:rPr>
          <w:rFonts w:hint="eastAsia" w:cs="宋体" w:asciiTheme="minorEastAsia" w:hAnsiTheme="minorEastAsia"/>
          <w:sz w:val="24"/>
          <w:szCs w:val="24"/>
        </w:rPr>
        <w:t>b）满足后续产品和服务提供过程的需要；</w:t>
      </w:r>
    </w:p>
    <w:p w14:paraId="6CD7A335">
      <w:pPr>
        <w:spacing w:line="360" w:lineRule="auto"/>
        <w:ind w:right="-54" w:firstLine="600" w:firstLineChars="250"/>
        <w:jc w:val="left"/>
        <w:rPr>
          <w:rFonts w:cs="宋体" w:asciiTheme="minorEastAsia" w:hAnsiTheme="minorEastAsia"/>
          <w:sz w:val="24"/>
          <w:szCs w:val="24"/>
        </w:rPr>
      </w:pPr>
      <w:r>
        <w:rPr>
          <w:rFonts w:hint="eastAsia" w:cs="宋体" w:asciiTheme="minorEastAsia" w:hAnsiTheme="minorEastAsia"/>
          <w:sz w:val="24"/>
          <w:szCs w:val="24"/>
        </w:rPr>
        <w:t>c）包括或引用监视和测量的要求，适当时，包括接收准则；</w:t>
      </w:r>
    </w:p>
    <w:p w14:paraId="7ECC2A2C">
      <w:pPr>
        <w:spacing w:line="360" w:lineRule="auto"/>
        <w:ind w:right="-54" w:firstLine="600" w:firstLineChars="250"/>
        <w:jc w:val="left"/>
        <w:rPr>
          <w:rFonts w:cs="宋体" w:asciiTheme="minorEastAsia" w:hAnsiTheme="minorEastAsia"/>
          <w:sz w:val="24"/>
          <w:szCs w:val="24"/>
        </w:rPr>
      </w:pPr>
      <w:r>
        <w:rPr>
          <w:rFonts w:hint="eastAsia" w:cs="宋体" w:asciiTheme="minorEastAsia" w:hAnsiTheme="minorEastAsia"/>
          <w:sz w:val="24"/>
          <w:szCs w:val="24"/>
        </w:rPr>
        <w:t>d）规定产品和服务特性，这些特性对于预期目的、安全和正常提供是必需的。</w:t>
      </w:r>
    </w:p>
    <w:p w14:paraId="4DCC25FD">
      <w:pPr>
        <w:spacing w:line="360" w:lineRule="auto"/>
        <w:ind w:right="-54" w:firstLine="600" w:firstLineChars="250"/>
        <w:jc w:val="left"/>
        <w:rPr>
          <w:rFonts w:cs="宋体" w:asciiTheme="minorEastAsia" w:hAnsiTheme="minorEastAsia"/>
          <w:sz w:val="24"/>
          <w:szCs w:val="24"/>
        </w:rPr>
      </w:pPr>
      <w:r>
        <w:rPr>
          <w:rFonts w:hint="eastAsia" w:cs="宋体" w:asciiTheme="minorEastAsia" w:hAnsiTheme="minorEastAsia"/>
          <w:sz w:val="24"/>
          <w:szCs w:val="24"/>
        </w:rPr>
        <w:t>组织应保留有关设计和开发输出的成文信息</w:t>
      </w:r>
    </w:p>
    <w:p w14:paraId="21BA493C">
      <w:pPr>
        <w:spacing w:line="360" w:lineRule="auto"/>
        <w:ind w:right="-54" w:firstLine="600" w:firstLineChars="250"/>
        <w:jc w:val="left"/>
        <w:rPr>
          <w:rFonts w:cs="宋体" w:asciiTheme="minorEastAsia" w:hAnsiTheme="minorEastAsia"/>
          <w:sz w:val="24"/>
          <w:szCs w:val="24"/>
        </w:rPr>
      </w:pPr>
      <w:r>
        <w:rPr>
          <w:rFonts w:hint="eastAsia" w:cs="宋体" w:asciiTheme="minorEastAsia" w:hAnsiTheme="minorEastAsia"/>
          <w:sz w:val="24"/>
          <w:szCs w:val="24"/>
        </w:rPr>
        <w:t>8.3.6 设计和开发更改</w:t>
      </w:r>
    </w:p>
    <w:p w14:paraId="32BCB3C9">
      <w:pPr>
        <w:spacing w:line="360" w:lineRule="auto"/>
        <w:ind w:right="-54" w:firstLine="600" w:firstLineChars="250"/>
        <w:jc w:val="left"/>
        <w:rPr>
          <w:rFonts w:cs="宋体" w:asciiTheme="minorEastAsia" w:hAnsiTheme="minorEastAsia"/>
          <w:sz w:val="24"/>
          <w:szCs w:val="24"/>
        </w:rPr>
      </w:pPr>
      <w:r>
        <w:rPr>
          <w:rFonts w:hint="eastAsia" w:cs="宋体" w:asciiTheme="minorEastAsia" w:hAnsiTheme="minorEastAsia"/>
          <w:sz w:val="24"/>
          <w:szCs w:val="24"/>
        </w:rPr>
        <w:t>组织应对产品和服务设计和开发期间以及后续所做的更改进行适当的识别、评审和控制，</w:t>
      </w:r>
    </w:p>
    <w:p w14:paraId="212FCAB9">
      <w:pPr>
        <w:spacing w:line="360" w:lineRule="auto"/>
        <w:ind w:right="-54" w:firstLine="600" w:firstLineChars="250"/>
        <w:jc w:val="left"/>
        <w:rPr>
          <w:rFonts w:cs="宋体" w:asciiTheme="minorEastAsia" w:hAnsiTheme="minorEastAsia"/>
          <w:sz w:val="24"/>
          <w:szCs w:val="24"/>
        </w:rPr>
      </w:pPr>
      <w:r>
        <w:rPr>
          <w:rFonts w:hint="eastAsia" w:cs="宋体" w:asciiTheme="minorEastAsia" w:hAnsiTheme="minorEastAsia"/>
          <w:sz w:val="24"/>
          <w:szCs w:val="24"/>
        </w:rPr>
        <w:t>以确保这些更改对满足要求不会产生不利影响。</w:t>
      </w:r>
    </w:p>
    <w:p w14:paraId="38112577">
      <w:pPr>
        <w:spacing w:line="360" w:lineRule="auto"/>
        <w:ind w:right="-54" w:firstLine="600" w:firstLineChars="250"/>
        <w:jc w:val="left"/>
        <w:rPr>
          <w:rFonts w:cs="宋体" w:asciiTheme="minorEastAsia" w:hAnsiTheme="minorEastAsia"/>
          <w:sz w:val="24"/>
          <w:szCs w:val="24"/>
        </w:rPr>
      </w:pPr>
      <w:r>
        <w:rPr>
          <w:rFonts w:hint="eastAsia" w:cs="宋体" w:asciiTheme="minorEastAsia" w:hAnsiTheme="minorEastAsia"/>
          <w:sz w:val="24"/>
          <w:szCs w:val="24"/>
        </w:rPr>
        <w:t>组织应保留下列方面的成文信息：</w:t>
      </w:r>
    </w:p>
    <w:p w14:paraId="2A6D4292">
      <w:pPr>
        <w:spacing w:line="360" w:lineRule="auto"/>
        <w:ind w:right="-54" w:firstLine="600" w:firstLineChars="250"/>
        <w:jc w:val="left"/>
        <w:rPr>
          <w:rFonts w:cs="宋体" w:asciiTheme="minorEastAsia" w:hAnsiTheme="minorEastAsia"/>
          <w:sz w:val="24"/>
          <w:szCs w:val="24"/>
        </w:rPr>
      </w:pPr>
      <w:r>
        <w:rPr>
          <w:rFonts w:hint="eastAsia" w:cs="宋体" w:asciiTheme="minorEastAsia" w:hAnsiTheme="minorEastAsia"/>
          <w:sz w:val="24"/>
          <w:szCs w:val="24"/>
        </w:rPr>
        <w:t>a）设计和开发更改；</w:t>
      </w:r>
    </w:p>
    <w:p w14:paraId="0E52B32E">
      <w:pPr>
        <w:spacing w:line="360" w:lineRule="auto"/>
        <w:ind w:right="-54" w:firstLine="600" w:firstLineChars="250"/>
        <w:jc w:val="left"/>
        <w:rPr>
          <w:rFonts w:cs="宋体" w:asciiTheme="minorEastAsia" w:hAnsiTheme="minorEastAsia"/>
          <w:sz w:val="24"/>
          <w:szCs w:val="24"/>
        </w:rPr>
      </w:pPr>
      <w:r>
        <w:rPr>
          <w:rFonts w:hint="eastAsia" w:cs="宋体" w:asciiTheme="minorEastAsia" w:hAnsiTheme="minorEastAsia"/>
          <w:sz w:val="24"/>
          <w:szCs w:val="24"/>
        </w:rPr>
        <w:t>b）评审的结果；</w:t>
      </w:r>
    </w:p>
    <w:p w14:paraId="4972724C">
      <w:pPr>
        <w:spacing w:line="360" w:lineRule="auto"/>
        <w:ind w:right="-54" w:firstLine="600" w:firstLineChars="250"/>
        <w:jc w:val="left"/>
        <w:rPr>
          <w:rFonts w:cs="宋体" w:asciiTheme="minorEastAsia" w:hAnsiTheme="minorEastAsia"/>
          <w:sz w:val="24"/>
          <w:szCs w:val="24"/>
        </w:rPr>
      </w:pPr>
      <w:r>
        <w:rPr>
          <w:rFonts w:hint="eastAsia" w:cs="宋体" w:asciiTheme="minorEastAsia" w:hAnsiTheme="minorEastAsia"/>
          <w:sz w:val="24"/>
          <w:szCs w:val="24"/>
        </w:rPr>
        <w:t>c）更改的授权；</w:t>
      </w:r>
    </w:p>
    <w:p w14:paraId="093F8C4A">
      <w:pPr>
        <w:spacing w:line="360" w:lineRule="auto"/>
        <w:ind w:right="-54" w:firstLine="600" w:firstLineChars="250"/>
        <w:jc w:val="left"/>
        <w:rPr>
          <w:rFonts w:cs="宋体" w:asciiTheme="minorEastAsia" w:hAnsiTheme="minorEastAsia"/>
          <w:sz w:val="24"/>
          <w:szCs w:val="24"/>
        </w:rPr>
      </w:pPr>
      <w:r>
        <w:rPr>
          <w:rFonts w:hint="eastAsia" w:cs="宋体" w:asciiTheme="minorEastAsia" w:hAnsiTheme="minorEastAsia"/>
          <w:sz w:val="24"/>
          <w:szCs w:val="24"/>
        </w:rPr>
        <w:t>d）为防止不利影响而采取的措施。</w:t>
      </w:r>
    </w:p>
    <w:p w14:paraId="46BB11A0">
      <w:pPr>
        <w:pStyle w:val="3"/>
        <w:spacing w:before="0" w:after="0" w:line="360" w:lineRule="auto"/>
        <w:ind w:firstLine="480" w:firstLineChars="200"/>
        <w:rPr>
          <w:rFonts w:cs="宋体" w:asciiTheme="minorEastAsia" w:hAnsiTheme="minorEastAsia" w:eastAsiaTheme="minorEastAsia"/>
          <w:b w:val="0"/>
          <w:sz w:val="24"/>
          <w:szCs w:val="24"/>
        </w:rPr>
      </w:pPr>
      <w:r>
        <w:rPr>
          <w:rFonts w:hint="eastAsia" w:cs="宋体" w:asciiTheme="minorEastAsia" w:hAnsiTheme="minorEastAsia" w:eastAsiaTheme="minorEastAsia"/>
          <w:b w:val="0"/>
          <w:sz w:val="24"/>
          <w:szCs w:val="24"/>
        </w:rPr>
        <w:t xml:space="preserve"> </w:t>
      </w:r>
    </w:p>
    <w:p w14:paraId="51DCEC5E">
      <w:pPr>
        <w:pStyle w:val="3"/>
        <w:spacing w:before="0" w:after="0" w:line="360" w:lineRule="auto"/>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8.4 外部提供过程、产品和服务的控制</w:t>
      </w:r>
    </w:p>
    <w:p w14:paraId="65361B86">
      <w:pPr>
        <w:spacing w:line="360" w:lineRule="auto"/>
        <w:rPr>
          <w:rFonts w:cs="宋体" w:asciiTheme="minorEastAsia" w:hAnsiTheme="minorEastAsia"/>
          <w:sz w:val="24"/>
          <w:szCs w:val="24"/>
        </w:rPr>
      </w:pPr>
      <w:r>
        <w:rPr>
          <w:rFonts w:hint="eastAsia" w:cs="宋体" w:asciiTheme="minorEastAsia" w:hAnsiTheme="minorEastAsia"/>
          <w:sz w:val="24"/>
          <w:szCs w:val="24"/>
        </w:rPr>
        <w:t xml:space="preserve">8.4.1总则 </w:t>
      </w:r>
    </w:p>
    <w:p w14:paraId="1A5ECAA4">
      <w:pPr>
        <w:pStyle w:val="19"/>
        <w:spacing w:line="360" w:lineRule="auto"/>
        <w:ind w:firstLine="0" w:firstLineChars="0"/>
        <w:rPr>
          <w:rFonts w:asciiTheme="minorEastAsia" w:hAnsiTheme="minorEastAsia"/>
          <w:color w:val="auto"/>
          <w:sz w:val="24"/>
        </w:rPr>
      </w:pPr>
      <w:r>
        <w:rPr>
          <w:rFonts w:hint="eastAsia" w:cs="宋体" w:asciiTheme="minorEastAsia" w:hAnsiTheme="minorEastAsia"/>
          <w:color w:val="auto"/>
          <w:sz w:val="24"/>
          <w:szCs w:val="24"/>
        </w:rPr>
        <w:t xml:space="preserve">8.4.1.1 </w:t>
      </w:r>
      <w:r>
        <w:rPr>
          <w:rFonts w:hint="eastAsia" w:asciiTheme="minorEastAsia" w:hAnsiTheme="minorEastAsia"/>
          <w:color w:val="auto"/>
          <w:sz w:val="24"/>
        </w:rPr>
        <w:t>公司编制并实施《</w:t>
      </w:r>
      <w:r>
        <w:rPr>
          <w:rFonts w:hint="eastAsia"/>
          <w:color w:val="auto"/>
          <w:sz w:val="24"/>
          <w:szCs w:val="24"/>
        </w:rPr>
        <w:t>采购控制程序</w:t>
      </w:r>
      <w:r>
        <w:rPr>
          <w:rFonts w:hint="eastAsia" w:asciiTheme="minorEastAsia" w:hAnsiTheme="minorEastAsia"/>
          <w:color w:val="auto"/>
          <w:sz w:val="24"/>
        </w:rPr>
        <w:t>》对评价和选择供方、采购信息的要求、采购产品的验证等作了规定，以确保采购的产品符合规定的采购要求。</w:t>
      </w:r>
    </w:p>
    <w:p w14:paraId="4F1FCE0E">
      <w:pPr>
        <w:autoSpaceDE w:val="0"/>
        <w:autoSpaceDN w:val="0"/>
        <w:adjustRightInd w:val="0"/>
        <w:spacing w:line="360" w:lineRule="auto"/>
        <w:ind w:right="28"/>
        <w:jc w:val="left"/>
        <w:rPr>
          <w:rFonts w:cs="宋体" w:asciiTheme="minorEastAsia" w:hAnsiTheme="minorEastAsia"/>
          <w:kern w:val="0"/>
          <w:sz w:val="24"/>
          <w:szCs w:val="24"/>
        </w:rPr>
      </w:pPr>
      <w:r>
        <w:rPr>
          <w:rFonts w:hint="eastAsia" w:cs="宋体" w:asciiTheme="minorEastAsia" w:hAnsiTheme="minorEastAsia"/>
          <w:kern w:val="0"/>
          <w:sz w:val="24"/>
          <w:szCs w:val="24"/>
        </w:rPr>
        <w:t>识别和控制外包过程：</w:t>
      </w:r>
    </w:p>
    <w:p w14:paraId="517186E8">
      <w:pPr>
        <w:autoSpaceDE w:val="0"/>
        <w:autoSpaceDN w:val="0"/>
        <w:adjustRightInd w:val="0"/>
        <w:spacing w:line="360" w:lineRule="auto"/>
        <w:ind w:right="28" w:firstLine="480" w:firstLineChars="200"/>
        <w:jc w:val="left"/>
        <w:rPr>
          <w:rFonts w:cs="宋体" w:asciiTheme="minorEastAsia" w:hAnsiTheme="minorEastAsia"/>
          <w:kern w:val="0"/>
          <w:sz w:val="24"/>
          <w:szCs w:val="24"/>
        </w:rPr>
      </w:pPr>
      <w:r>
        <w:rPr>
          <w:rFonts w:hint="eastAsia" w:cs="宋体" w:asciiTheme="minorEastAsia" w:hAnsiTheme="minorEastAsia"/>
          <w:kern w:val="0"/>
          <w:sz w:val="24"/>
          <w:szCs w:val="24"/>
        </w:rPr>
        <w:t>外包过程是形成产品的一部分，公司对外包过程进行控制，建立外包供方清单并对外包供方进行有效管理；针对不同的过程，特别是所分担的责任程度和风险程度的不同与外包供方在技术上、工艺环境、职业健康安全方面取得一致，由相关部门对外包供方提出要求，并以协议的方式确定过程监控的具体要求。</w:t>
      </w:r>
    </w:p>
    <w:p w14:paraId="2CABCAEB">
      <w:pPr>
        <w:autoSpaceDE w:val="0"/>
        <w:autoSpaceDN w:val="0"/>
        <w:adjustRightInd w:val="0"/>
        <w:spacing w:line="360" w:lineRule="auto"/>
        <w:ind w:right="28" w:firstLine="480" w:firstLineChars="200"/>
        <w:jc w:val="left"/>
        <w:rPr>
          <w:rFonts w:asciiTheme="minorEastAsia" w:hAnsiTheme="minorEastAsia"/>
          <w:sz w:val="24"/>
        </w:rPr>
      </w:pPr>
      <w:r>
        <w:rPr>
          <w:rFonts w:hint="eastAsia" w:cs="宋体" w:asciiTheme="minorEastAsia" w:hAnsiTheme="minorEastAsia"/>
          <w:bCs/>
          <w:kern w:val="0"/>
          <w:sz w:val="24"/>
          <w:szCs w:val="24"/>
        </w:rPr>
        <w:t>公司</w:t>
      </w:r>
      <w:r>
        <w:rPr>
          <w:rFonts w:hint="eastAsia" w:cs="宋体" w:asciiTheme="minorEastAsia" w:hAnsiTheme="minorEastAsia"/>
          <w:bCs/>
          <w:color w:val="FF0000"/>
          <w:kern w:val="0"/>
          <w:sz w:val="24"/>
          <w:szCs w:val="24"/>
        </w:rPr>
        <w:t>外包过程</w:t>
      </w:r>
      <w:r>
        <w:rPr>
          <w:rFonts w:hint="eastAsia" w:cs="宋体" w:asciiTheme="minorEastAsia" w:hAnsiTheme="minorEastAsia"/>
          <w:bCs/>
          <w:kern w:val="0"/>
          <w:sz w:val="24"/>
          <w:szCs w:val="24"/>
        </w:rPr>
        <w:t>：</w:t>
      </w:r>
      <w:r>
        <w:rPr>
          <w:rFonts w:hint="eastAsia" w:cs="宋体" w:asciiTheme="minorEastAsia" w:hAnsiTheme="minorEastAsia"/>
          <w:bCs/>
          <w:kern w:val="0"/>
          <w:sz w:val="24"/>
          <w:szCs w:val="24"/>
          <w:lang w:val="en-US" w:eastAsia="zh-CN"/>
        </w:rPr>
        <w:t>喷塑</w:t>
      </w:r>
      <w:r>
        <w:rPr>
          <w:rFonts w:hint="eastAsia" w:cs="宋体" w:asciiTheme="minorEastAsia" w:hAnsiTheme="minorEastAsia"/>
          <w:bCs/>
          <w:kern w:val="0"/>
          <w:sz w:val="24"/>
          <w:szCs w:val="24"/>
        </w:rPr>
        <w:t>。</w:t>
      </w:r>
    </w:p>
    <w:p w14:paraId="30991A7C">
      <w:pPr>
        <w:spacing w:line="360" w:lineRule="auto"/>
        <w:rPr>
          <w:rFonts w:cs="宋体" w:asciiTheme="minorEastAsia" w:hAnsiTheme="minorEastAsia"/>
          <w:sz w:val="24"/>
          <w:szCs w:val="24"/>
        </w:rPr>
      </w:pPr>
      <w:r>
        <w:rPr>
          <w:rFonts w:hint="eastAsia" w:cs="宋体" w:asciiTheme="minorEastAsia" w:hAnsiTheme="minorEastAsia"/>
          <w:sz w:val="24"/>
          <w:szCs w:val="24"/>
        </w:rPr>
        <w:t>8.4.1.2业务部对外部供方提供的产品、过程和服务的采购应进行控制，以确保采购的产品、过程和服务符合要求。公司确定对下列外部供方提供的产品、过程和服务进行控制：</w:t>
      </w:r>
    </w:p>
    <w:p w14:paraId="49DA85AC">
      <w:pPr>
        <w:spacing w:line="360" w:lineRule="auto"/>
        <w:ind w:firstLine="480"/>
        <w:rPr>
          <w:rFonts w:cs="宋体" w:asciiTheme="minorEastAsia" w:hAnsiTheme="minorEastAsia"/>
          <w:sz w:val="24"/>
          <w:szCs w:val="24"/>
        </w:rPr>
      </w:pPr>
      <w:r>
        <w:rPr>
          <w:rFonts w:hint="eastAsia" w:cs="宋体" w:asciiTheme="minorEastAsia" w:hAnsiTheme="minorEastAsia"/>
          <w:sz w:val="24"/>
          <w:szCs w:val="24"/>
        </w:rPr>
        <w:t>a) 外部供方提供的产品、过程和服务构成了本公司产品和服务的一部分；</w:t>
      </w:r>
    </w:p>
    <w:p w14:paraId="01A392D0">
      <w:pPr>
        <w:spacing w:line="360" w:lineRule="auto"/>
        <w:ind w:firstLine="480"/>
        <w:rPr>
          <w:rFonts w:cs="宋体" w:asciiTheme="minorEastAsia" w:hAnsiTheme="minorEastAsia"/>
          <w:sz w:val="24"/>
          <w:szCs w:val="24"/>
        </w:rPr>
      </w:pPr>
      <w:r>
        <w:rPr>
          <w:rFonts w:hint="eastAsia" w:cs="宋体" w:asciiTheme="minorEastAsia" w:hAnsiTheme="minorEastAsia"/>
          <w:sz w:val="24"/>
          <w:szCs w:val="24"/>
        </w:rPr>
        <w:t>b) 外部供方替本公司直接将产品和服务提供给顾客；</w:t>
      </w:r>
    </w:p>
    <w:p w14:paraId="408FB820">
      <w:pPr>
        <w:spacing w:line="360" w:lineRule="auto"/>
        <w:ind w:firstLine="480"/>
        <w:rPr>
          <w:rFonts w:cs="宋体" w:asciiTheme="minorEastAsia" w:hAnsiTheme="minorEastAsia"/>
          <w:sz w:val="24"/>
          <w:szCs w:val="24"/>
        </w:rPr>
      </w:pPr>
      <w:r>
        <w:rPr>
          <w:rFonts w:hint="eastAsia" w:cs="宋体" w:asciiTheme="minorEastAsia" w:hAnsiTheme="minorEastAsia"/>
          <w:sz w:val="24"/>
          <w:szCs w:val="24"/>
        </w:rPr>
        <w:t>c) 本公司决定由外部供方提供过程或部分过程。</w:t>
      </w:r>
    </w:p>
    <w:p w14:paraId="46CA852E">
      <w:pPr>
        <w:spacing w:line="360" w:lineRule="auto"/>
        <w:rPr>
          <w:rFonts w:cs="宋体" w:asciiTheme="minorEastAsia" w:hAnsiTheme="minorEastAsia"/>
          <w:sz w:val="24"/>
          <w:szCs w:val="24"/>
        </w:rPr>
      </w:pPr>
      <w:r>
        <w:rPr>
          <w:rFonts w:hint="eastAsia" w:cs="宋体" w:asciiTheme="minorEastAsia" w:hAnsiTheme="minorEastAsia"/>
          <w:sz w:val="24"/>
          <w:szCs w:val="24"/>
        </w:rPr>
        <w:t>8.4.1.3 业务部应根据供方提供产品、过程和服务的能力来评价并选择合格供方；确定外部供方的评价、选择、绩效监视和定期再评价的准则，应予以实施；</w:t>
      </w:r>
    </w:p>
    <w:p w14:paraId="0CD4AB08">
      <w:pPr>
        <w:spacing w:line="360" w:lineRule="auto"/>
        <w:rPr>
          <w:rFonts w:cs="宋体" w:asciiTheme="minorEastAsia" w:hAnsiTheme="minorEastAsia"/>
          <w:sz w:val="24"/>
          <w:szCs w:val="24"/>
        </w:rPr>
      </w:pPr>
      <w:r>
        <w:rPr>
          <w:rFonts w:hint="eastAsia" w:cs="宋体" w:asciiTheme="minorEastAsia" w:hAnsiTheme="minorEastAsia"/>
          <w:sz w:val="24"/>
          <w:szCs w:val="24"/>
        </w:rPr>
        <w:t>8.4.1.4 外部供方的评价的结果及跟踪措施应予以记录并保存。</w:t>
      </w:r>
    </w:p>
    <w:p w14:paraId="6F63BA59">
      <w:pPr>
        <w:spacing w:line="360" w:lineRule="auto"/>
        <w:rPr>
          <w:rFonts w:cs="宋体" w:asciiTheme="minorEastAsia" w:hAnsiTheme="minorEastAsia"/>
          <w:sz w:val="24"/>
          <w:szCs w:val="24"/>
        </w:rPr>
      </w:pPr>
      <w:r>
        <w:rPr>
          <w:rFonts w:hint="eastAsia" w:cs="宋体" w:asciiTheme="minorEastAsia" w:hAnsiTheme="minorEastAsia"/>
          <w:sz w:val="24"/>
          <w:szCs w:val="24"/>
        </w:rPr>
        <w:t xml:space="preserve">8.4.2 控制类型和程度 </w:t>
      </w:r>
    </w:p>
    <w:p w14:paraId="75F39DAD">
      <w:pPr>
        <w:spacing w:line="360" w:lineRule="auto"/>
        <w:rPr>
          <w:rFonts w:cs="宋体" w:asciiTheme="minorEastAsia" w:hAnsiTheme="minorEastAsia"/>
          <w:sz w:val="24"/>
          <w:szCs w:val="24"/>
        </w:rPr>
      </w:pPr>
      <w:r>
        <w:rPr>
          <w:rFonts w:hint="eastAsia" w:cs="宋体" w:asciiTheme="minorEastAsia" w:hAnsiTheme="minorEastAsia"/>
          <w:sz w:val="24"/>
          <w:szCs w:val="24"/>
        </w:rPr>
        <w:t xml:space="preserve">8.4.2.1 公司对外部供方进行管理，确保外部提供的过程、产品和服务不会对公司稳定地向顾客交付合格产品和服务的能力产生不利影响。 </w:t>
      </w:r>
    </w:p>
    <w:p w14:paraId="0764E7C2">
      <w:pPr>
        <w:spacing w:line="360" w:lineRule="auto"/>
        <w:rPr>
          <w:rFonts w:cs="宋体" w:asciiTheme="minorEastAsia" w:hAnsiTheme="minorEastAsia"/>
          <w:sz w:val="24"/>
          <w:szCs w:val="24"/>
        </w:rPr>
      </w:pPr>
      <w:r>
        <w:rPr>
          <w:rFonts w:hint="eastAsia" w:cs="宋体" w:asciiTheme="minorEastAsia" w:hAnsiTheme="minorEastAsia"/>
          <w:sz w:val="24"/>
          <w:szCs w:val="24"/>
        </w:rPr>
        <w:t xml:space="preserve">8.4.2.2 公司在策划对外部供方的管理时，应考虑： </w:t>
      </w:r>
    </w:p>
    <w:p w14:paraId="3DFB1812">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xml:space="preserve">a) 确保外部提供的过程保持在其质量/环境/职业健康安全管理体系的控制之中； </w:t>
      </w:r>
    </w:p>
    <w:p w14:paraId="56F1EEA3">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xml:space="preserve">b）规定对外部供方的控制及其输出结果的控制； </w:t>
      </w:r>
    </w:p>
    <w:p w14:paraId="038BBCDA">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xml:space="preserve">c）外部提供的过程、产品和服务对本公司稳定地提供满足顾客要求和适用的法律法规要求的能力的潜在影响； </w:t>
      </w:r>
    </w:p>
    <w:p w14:paraId="0E559AF1">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xml:space="preserve">d）外部供方自身控制的有效性； </w:t>
      </w:r>
    </w:p>
    <w:p w14:paraId="517C16ED">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e）确定必要的验证或其他活动，以确保外部提供的过程、产品和服务满足要求。</w:t>
      </w:r>
    </w:p>
    <w:p w14:paraId="084BE0EB">
      <w:pPr>
        <w:spacing w:line="360" w:lineRule="auto"/>
        <w:rPr>
          <w:rFonts w:cs="宋体" w:asciiTheme="minorEastAsia" w:hAnsiTheme="minorEastAsia"/>
          <w:sz w:val="24"/>
          <w:szCs w:val="24"/>
        </w:rPr>
      </w:pPr>
      <w:r>
        <w:rPr>
          <w:rFonts w:hint="eastAsia" w:cs="宋体" w:asciiTheme="minorEastAsia" w:hAnsiTheme="minorEastAsia"/>
          <w:sz w:val="24"/>
          <w:szCs w:val="24"/>
        </w:rPr>
        <w:t xml:space="preserve">8.4.3 外部供方的信息 </w:t>
      </w:r>
    </w:p>
    <w:p w14:paraId="6C3E9969">
      <w:pPr>
        <w:spacing w:line="360" w:lineRule="auto"/>
        <w:rPr>
          <w:rFonts w:cs="宋体" w:asciiTheme="minorEastAsia" w:hAnsiTheme="minorEastAsia"/>
          <w:sz w:val="24"/>
          <w:szCs w:val="24"/>
        </w:rPr>
      </w:pPr>
      <w:r>
        <w:rPr>
          <w:rFonts w:hint="eastAsia" w:cs="宋体" w:asciiTheme="minorEastAsia" w:hAnsiTheme="minorEastAsia"/>
          <w:sz w:val="24"/>
          <w:szCs w:val="24"/>
        </w:rPr>
        <w:t>8.4.3.1 公司于外部供方之间的合作通过协议、合同、备忘录等方式确定，应确保在与外部供方沟通之前所确定的要求是充分的。</w:t>
      </w:r>
    </w:p>
    <w:p w14:paraId="1272EB77">
      <w:pPr>
        <w:spacing w:line="360" w:lineRule="auto"/>
        <w:rPr>
          <w:rFonts w:cs="宋体" w:asciiTheme="minorEastAsia" w:hAnsiTheme="minorEastAsia"/>
          <w:sz w:val="24"/>
          <w:szCs w:val="24"/>
        </w:rPr>
      </w:pPr>
      <w:r>
        <w:rPr>
          <w:rFonts w:hint="eastAsia" w:cs="宋体" w:asciiTheme="minorEastAsia" w:hAnsiTheme="minorEastAsia"/>
          <w:sz w:val="24"/>
          <w:szCs w:val="24"/>
        </w:rPr>
        <w:t xml:space="preserve">8.4.3.2 公司与外部供方的沟通可以包括： </w:t>
      </w:r>
    </w:p>
    <w:p w14:paraId="57122F5E">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xml:space="preserve">a) 所提供的过程、产品和服务； </w:t>
      </w:r>
    </w:p>
    <w:p w14:paraId="7C5CEE7F">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xml:space="preserve">b) 对下列内容的批准： </w:t>
      </w:r>
    </w:p>
    <w:p w14:paraId="51EC47C6">
      <w:pPr>
        <w:spacing w:line="360" w:lineRule="auto"/>
        <w:ind w:firstLine="943" w:firstLineChars="393"/>
        <w:rPr>
          <w:rFonts w:cs="宋体" w:asciiTheme="minorEastAsia" w:hAnsiTheme="minorEastAsia"/>
          <w:sz w:val="24"/>
          <w:szCs w:val="24"/>
        </w:rPr>
      </w:pPr>
      <w:r>
        <w:rPr>
          <w:rFonts w:hint="eastAsia" w:cs="宋体" w:asciiTheme="minorEastAsia" w:hAnsiTheme="minorEastAsia"/>
          <w:sz w:val="24"/>
          <w:szCs w:val="24"/>
        </w:rPr>
        <w:t xml:space="preserve">1）产品和服务； </w:t>
      </w:r>
    </w:p>
    <w:p w14:paraId="4034B1D2">
      <w:pPr>
        <w:spacing w:line="360" w:lineRule="auto"/>
        <w:ind w:firstLine="943" w:firstLineChars="393"/>
        <w:rPr>
          <w:rFonts w:cs="宋体" w:asciiTheme="minorEastAsia" w:hAnsiTheme="minorEastAsia"/>
          <w:sz w:val="24"/>
          <w:szCs w:val="24"/>
        </w:rPr>
      </w:pPr>
      <w:r>
        <w:rPr>
          <w:rFonts w:hint="eastAsia" w:cs="宋体" w:asciiTheme="minorEastAsia" w:hAnsiTheme="minorEastAsia"/>
          <w:sz w:val="24"/>
          <w:szCs w:val="24"/>
        </w:rPr>
        <w:t xml:space="preserve">2）方法、过程和设备； </w:t>
      </w:r>
    </w:p>
    <w:p w14:paraId="6A43DF75">
      <w:pPr>
        <w:spacing w:line="360" w:lineRule="auto"/>
        <w:ind w:firstLine="943" w:firstLineChars="393"/>
        <w:rPr>
          <w:rFonts w:cs="宋体" w:asciiTheme="minorEastAsia" w:hAnsiTheme="minorEastAsia"/>
          <w:sz w:val="24"/>
          <w:szCs w:val="24"/>
        </w:rPr>
      </w:pPr>
      <w:r>
        <w:rPr>
          <w:rFonts w:hint="eastAsia" w:cs="宋体" w:asciiTheme="minorEastAsia" w:hAnsiTheme="minorEastAsia"/>
          <w:sz w:val="24"/>
          <w:szCs w:val="24"/>
        </w:rPr>
        <w:t xml:space="preserve">3）产品和服务的放行； </w:t>
      </w:r>
    </w:p>
    <w:p w14:paraId="30BE561A">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xml:space="preserve">c) 能力，包括所要求的人员资质； </w:t>
      </w:r>
    </w:p>
    <w:p w14:paraId="1DA62CDD">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xml:space="preserve">d）外部供方与组织的接口； </w:t>
      </w:r>
    </w:p>
    <w:p w14:paraId="0A88CB57">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xml:space="preserve">e）公司对外部供方绩效的控制和监视； </w:t>
      </w:r>
    </w:p>
    <w:p w14:paraId="08D930A9">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f）公司或其顾客拟在供方现场实施的验证活动。</w:t>
      </w:r>
    </w:p>
    <w:p w14:paraId="6F8F06B4">
      <w:pPr>
        <w:pStyle w:val="3"/>
        <w:spacing w:before="0" w:after="0" w:line="360" w:lineRule="auto"/>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8.5 生产及服务的提供</w:t>
      </w:r>
    </w:p>
    <w:p w14:paraId="198D18F6">
      <w:pPr>
        <w:autoSpaceDE w:val="0"/>
        <w:autoSpaceDN w:val="0"/>
        <w:adjustRightInd w:val="0"/>
        <w:spacing w:line="360" w:lineRule="auto"/>
        <w:ind w:firstLine="480" w:firstLineChars="200"/>
        <w:jc w:val="left"/>
        <w:rPr>
          <w:rFonts w:ascii="宋体" w:hAnsi="宋体" w:eastAsia="宋体" w:cs="Times New Roman"/>
          <w:kern w:val="0"/>
          <w:sz w:val="24"/>
        </w:rPr>
      </w:pPr>
      <w:r>
        <w:rPr>
          <w:rFonts w:hint="eastAsia" w:ascii="宋体" w:hAnsi="宋体" w:eastAsia="宋体" w:cs="Times New Roman"/>
          <w:kern w:val="0"/>
          <w:sz w:val="24"/>
        </w:rPr>
        <w:t>公司编制《</w:t>
      </w:r>
      <w:r>
        <w:rPr>
          <w:rFonts w:hint="eastAsia" w:ascii="宋体" w:hAnsi="宋体" w:eastAsia="宋体" w:cs="Times New Roman"/>
          <w:snapToGrid w:val="0"/>
          <w:color w:val="000000"/>
          <w:kern w:val="0"/>
          <w:sz w:val="24"/>
        </w:rPr>
        <w:t>生产提供控制程序</w:t>
      </w:r>
      <w:r>
        <w:rPr>
          <w:rFonts w:hint="eastAsia" w:ascii="宋体" w:hAnsi="宋体" w:eastAsia="宋体" w:cs="Times New Roman"/>
          <w:kern w:val="0"/>
          <w:sz w:val="24"/>
        </w:rPr>
        <w:t>》，在受控条件下进行产品生产和服务提供。</w:t>
      </w:r>
    </w:p>
    <w:p w14:paraId="047A2540">
      <w:pPr>
        <w:numPr>
          <w:ilvl w:val="1"/>
          <w:numId w:val="6"/>
        </w:numPr>
        <w:autoSpaceDE w:val="0"/>
        <w:autoSpaceDN w:val="0"/>
        <w:adjustRightInd w:val="0"/>
        <w:spacing w:line="360" w:lineRule="auto"/>
        <w:jc w:val="left"/>
        <w:rPr>
          <w:rFonts w:ascii="宋体" w:hAnsi="宋体" w:eastAsia="宋体" w:cs="Times New Roman"/>
          <w:kern w:val="0"/>
          <w:sz w:val="24"/>
        </w:rPr>
      </w:pPr>
      <w:r>
        <w:rPr>
          <w:rFonts w:hint="eastAsia" w:ascii="宋体" w:hAnsi="宋体" w:eastAsia="宋体" w:cs="Times New Roman"/>
          <w:kern w:val="0"/>
          <w:sz w:val="24"/>
        </w:rPr>
        <w:t>生产部编制生产计划</w:t>
      </w:r>
      <w:r>
        <w:rPr>
          <w:rFonts w:hint="eastAsia" w:ascii="宋体" w:hAnsi="宋体" w:eastAsia="宋体" w:cs="Times New Roman"/>
          <w:b/>
          <w:bCs/>
          <w:kern w:val="0"/>
          <w:sz w:val="24"/>
        </w:rPr>
        <w:t>，</w:t>
      </w:r>
      <w:r>
        <w:rPr>
          <w:rFonts w:hint="eastAsia" w:ascii="宋体" w:hAnsi="宋体" w:eastAsia="宋体" w:cs="Times New Roman"/>
          <w:kern w:val="0"/>
          <w:sz w:val="24"/>
        </w:rPr>
        <w:t>生产信息明确。对生产进度完成情况进行了总结分析。</w:t>
      </w:r>
    </w:p>
    <w:p w14:paraId="0861C13F">
      <w:pPr>
        <w:numPr>
          <w:ilvl w:val="1"/>
          <w:numId w:val="6"/>
        </w:numPr>
        <w:autoSpaceDE w:val="0"/>
        <w:autoSpaceDN w:val="0"/>
        <w:adjustRightInd w:val="0"/>
        <w:spacing w:line="360" w:lineRule="auto"/>
        <w:jc w:val="left"/>
        <w:rPr>
          <w:rFonts w:ascii="宋体" w:hAnsi="宋体" w:eastAsia="宋体" w:cs="Times New Roman"/>
          <w:kern w:val="0"/>
          <w:sz w:val="24"/>
        </w:rPr>
      </w:pPr>
      <w:r>
        <w:rPr>
          <w:rFonts w:hint="eastAsia" w:ascii="宋体" w:hAnsi="宋体" w:eastAsia="宋体" w:cs="Times New Roman"/>
          <w:kern w:val="0"/>
          <w:sz w:val="24"/>
        </w:rPr>
        <w:t>生产安排中，按生产计划要求安排使用设备，确保生产设备处于完好状态，</w:t>
      </w:r>
    </w:p>
    <w:p w14:paraId="59DA55D6">
      <w:pPr>
        <w:numPr>
          <w:ilvl w:val="1"/>
          <w:numId w:val="6"/>
        </w:numPr>
        <w:autoSpaceDE w:val="0"/>
        <w:autoSpaceDN w:val="0"/>
        <w:adjustRightInd w:val="0"/>
        <w:spacing w:line="360" w:lineRule="auto"/>
        <w:jc w:val="left"/>
        <w:rPr>
          <w:rFonts w:ascii="宋体" w:hAnsi="宋体" w:eastAsia="宋体" w:cs="Times New Roman"/>
          <w:kern w:val="0"/>
          <w:sz w:val="24"/>
        </w:rPr>
      </w:pPr>
      <w:r>
        <w:rPr>
          <w:rFonts w:hint="eastAsia" w:ascii="宋体" w:hAnsi="宋体" w:eastAsia="宋体" w:cs="Times New Roman"/>
          <w:kern w:val="0"/>
          <w:sz w:val="24"/>
        </w:rPr>
        <w:t>生产过程中，能做到自检和互检。</w:t>
      </w:r>
    </w:p>
    <w:p w14:paraId="3302698A">
      <w:pPr>
        <w:numPr>
          <w:ilvl w:val="1"/>
          <w:numId w:val="6"/>
        </w:numPr>
        <w:autoSpaceDE w:val="0"/>
        <w:autoSpaceDN w:val="0"/>
        <w:adjustRightInd w:val="0"/>
        <w:spacing w:line="360" w:lineRule="auto"/>
        <w:jc w:val="left"/>
        <w:rPr>
          <w:rFonts w:ascii="宋体" w:hAnsi="宋体" w:eastAsia="宋体" w:cs="Times New Roman"/>
          <w:kern w:val="0"/>
          <w:sz w:val="24"/>
        </w:rPr>
      </w:pPr>
      <w:r>
        <w:rPr>
          <w:rFonts w:ascii="宋体" w:hAnsi="宋体" w:eastAsia="宋体" w:cs="Times New Roman"/>
          <w:kern w:val="0"/>
          <w:sz w:val="24"/>
        </w:rPr>
        <w:t>按照国家、地方有关标准和管理体系的规定对进货物资、</w:t>
      </w:r>
      <w:r>
        <w:rPr>
          <w:rFonts w:hint="eastAsia" w:ascii="宋体" w:hAnsi="宋体" w:eastAsia="宋体" w:cs="Times New Roman"/>
          <w:kern w:val="0"/>
          <w:sz w:val="24"/>
        </w:rPr>
        <w:t>生产</w:t>
      </w:r>
      <w:r>
        <w:rPr>
          <w:rFonts w:ascii="宋体" w:hAnsi="宋体" w:eastAsia="宋体" w:cs="Times New Roman"/>
          <w:kern w:val="0"/>
          <w:sz w:val="24"/>
        </w:rPr>
        <w:t>过程产品进行检验和试验，确保未经检验和试验合格的产品不得投入使用和转序。</w:t>
      </w:r>
    </w:p>
    <w:p w14:paraId="47507E00">
      <w:pPr>
        <w:numPr>
          <w:ilvl w:val="1"/>
          <w:numId w:val="6"/>
        </w:numPr>
        <w:autoSpaceDE w:val="0"/>
        <w:autoSpaceDN w:val="0"/>
        <w:adjustRightInd w:val="0"/>
        <w:spacing w:line="360" w:lineRule="auto"/>
        <w:jc w:val="left"/>
        <w:rPr>
          <w:rFonts w:ascii="宋体" w:hAnsi="宋体" w:eastAsia="宋体" w:cs="Times New Roman"/>
          <w:kern w:val="0"/>
          <w:sz w:val="24"/>
        </w:rPr>
      </w:pPr>
      <w:r>
        <w:rPr>
          <w:rFonts w:hint="eastAsia" w:ascii="宋体" w:hAnsi="宋体" w:eastAsia="宋体" w:cs="Times New Roman"/>
          <w:kern w:val="0"/>
          <w:sz w:val="24"/>
        </w:rPr>
        <w:t>根据现场管理有关规对生产作业环境进行控制。</w:t>
      </w:r>
    </w:p>
    <w:p w14:paraId="5E05225E">
      <w:pPr>
        <w:numPr>
          <w:ilvl w:val="1"/>
          <w:numId w:val="6"/>
        </w:numPr>
        <w:autoSpaceDE w:val="0"/>
        <w:autoSpaceDN w:val="0"/>
        <w:adjustRightInd w:val="0"/>
        <w:spacing w:line="360" w:lineRule="auto"/>
        <w:jc w:val="left"/>
        <w:rPr>
          <w:rFonts w:ascii="宋体" w:hAnsi="宋体" w:eastAsia="宋体" w:cs="Times New Roman"/>
          <w:kern w:val="0"/>
          <w:sz w:val="24"/>
        </w:rPr>
      </w:pPr>
      <w:r>
        <w:rPr>
          <w:rFonts w:hint="eastAsia" w:ascii="宋体" w:hAnsi="宋体" w:eastAsia="宋体" w:cs="Times New Roman"/>
          <w:kern w:val="0"/>
          <w:sz w:val="24"/>
        </w:rPr>
        <w:t>采取半成品及成品保护措施</w:t>
      </w:r>
    </w:p>
    <w:p w14:paraId="3F189A4D">
      <w:pPr>
        <w:numPr>
          <w:ilvl w:val="1"/>
          <w:numId w:val="6"/>
        </w:numPr>
        <w:autoSpaceDE w:val="0"/>
        <w:autoSpaceDN w:val="0"/>
        <w:adjustRightInd w:val="0"/>
        <w:spacing w:line="360" w:lineRule="auto"/>
        <w:jc w:val="left"/>
        <w:rPr>
          <w:rFonts w:ascii="宋体" w:hAnsi="宋体" w:eastAsia="宋体" w:cs="Times New Roman"/>
          <w:kern w:val="0"/>
          <w:sz w:val="24"/>
        </w:rPr>
      </w:pPr>
      <w:r>
        <w:rPr>
          <w:rFonts w:hint="eastAsia" w:ascii="宋体" w:hAnsi="宋体" w:eastAsia="宋体" w:cs="Times New Roman"/>
          <w:kern w:val="0"/>
          <w:sz w:val="24"/>
        </w:rPr>
        <w:t>对采用新材料、新设备、新工艺、新技术，进行相应的策划和控制。</w:t>
      </w:r>
    </w:p>
    <w:p w14:paraId="01F887E6">
      <w:pPr>
        <w:numPr>
          <w:ilvl w:val="1"/>
          <w:numId w:val="6"/>
        </w:numPr>
        <w:autoSpaceDE w:val="0"/>
        <w:autoSpaceDN w:val="0"/>
        <w:adjustRightInd w:val="0"/>
        <w:spacing w:line="360" w:lineRule="auto"/>
        <w:jc w:val="left"/>
        <w:rPr>
          <w:rFonts w:ascii="宋体" w:hAnsi="宋体" w:eastAsia="宋体" w:cs="Times New Roman"/>
          <w:kern w:val="0"/>
          <w:sz w:val="24"/>
        </w:rPr>
      </w:pPr>
      <w:r>
        <w:rPr>
          <w:rFonts w:hint="eastAsia" w:ascii="宋体" w:hAnsi="宋体" w:eastAsia="宋体" w:cs="Times New Roman"/>
          <w:kern w:val="0"/>
          <w:sz w:val="24"/>
        </w:rPr>
        <w:t>对若有不稳定性定和能力不足的生产过程、突发事件实施监控人。</w:t>
      </w:r>
    </w:p>
    <w:p w14:paraId="775F23A4">
      <w:pPr>
        <w:numPr>
          <w:ilvl w:val="1"/>
          <w:numId w:val="6"/>
        </w:numPr>
        <w:autoSpaceDE w:val="0"/>
        <w:autoSpaceDN w:val="0"/>
        <w:adjustRightInd w:val="0"/>
        <w:spacing w:line="360" w:lineRule="auto"/>
        <w:jc w:val="left"/>
        <w:rPr>
          <w:rFonts w:ascii="宋体" w:hAnsi="宋体" w:eastAsia="宋体" w:cs="Times New Roman"/>
          <w:kern w:val="0"/>
          <w:sz w:val="24"/>
        </w:rPr>
      </w:pPr>
      <w:r>
        <w:rPr>
          <w:rFonts w:ascii="宋体" w:hAnsi="宋体" w:eastAsia="宋体" w:cs="Times New Roman"/>
          <w:kern w:val="0"/>
          <w:sz w:val="24"/>
        </w:rPr>
        <w:t>合理使用机械设备、监视和测量设备，保证生产过程的正常运作。</w:t>
      </w:r>
    </w:p>
    <w:p w14:paraId="77808F32">
      <w:pPr>
        <w:numPr>
          <w:ilvl w:val="1"/>
          <w:numId w:val="6"/>
        </w:numPr>
        <w:autoSpaceDE w:val="0"/>
        <w:autoSpaceDN w:val="0"/>
        <w:adjustRightInd w:val="0"/>
        <w:spacing w:line="360" w:lineRule="auto"/>
        <w:jc w:val="left"/>
        <w:rPr>
          <w:rFonts w:ascii="宋体" w:hAnsi="宋体" w:eastAsia="宋体" w:cs="Times New Roman"/>
          <w:kern w:val="0"/>
          <w:sz w:val="24"/>
        </w:rPr>
      </w:pPr>
      <w:r>
        <w:rPr>
          <w:rFonts w:hint="eastAsia" w:ascii="宋体" w:hAnsi="宋体" w:eastAsia="宋体" w:cs="Times New Roman"/>
          <w:kern w:val="0"/>
          <w:sz w:val="24"/>
        </w:rPr>
        <w:t>交付放行按检验项目表要求执行。</w:t>
      </w:r>
    </w:p>
    <w:p w14:paraId="6A00B359">
      <w:pPr>
        <w:numPr>
          <w:ilvl w:val="1"/>
          <w:numId w:val="6"/>
        </w:numPr>
        <w:autoSpaceDE w:val="0"/>
        <w:autoSpaceDN w:val="0"/>
        <w:adjustRightInd w:val="0"/>
        <w:spacing w:line="360" w:lineRule="auto"/>
        <w:jc w:val="left"/>
        <w:rPr>
          <w:rFonts w:ascii="宋体" w:hAnsi="宋体" w:eastAsia="宋体" w:cs="Times New Roman"/>
          <w:kern w:val="0"/>
          <w:sz w:val="24"/>
        </w:rPr>
      </w:pPr>
      <w:r>
        <w:rPr>
          <w:rFonts w:hint="eastAsia" w:ascii="宋体" w:hAnsi="宋体" w:eastAsia="宋体" w:cs="Times New Roman"/>
          <w:kern w:val="0"/>
          <w:sz w:val="24"/>
        </w:rPr>
        <w:t>产品放行由</w:t>
      </w:r>
      <w:r>
        <w:rPr>
          <w:rFonts w:hint="eastAsia" w:ascii="宋体" w:hAnsi="宋体"/>
          <w:kern w:val="0"/>
          <w:sz w:val="24"/>
        </w:rPr>
        <w:t>质检部</w:t>
      </w:r>
      <w:r>
        <w:rPr>
          <w:rFonts w:hint="eastAsia" w:ascii="宋体" w:hAnsi="宋体" w:eastAsia="宋体" w:cs="Times New Roman"/>
          <w:kern w:val="0"/>
          <w:sz w:val="24"/>
        </w:rPr>
        <w:t>负责。</w:t>
      </w:r>
    </w:p>
    <w:p w14:paraId="4BE27430">
      <w:pPr>
        <w:numPr>
          <w:ilvl w:val="1"/>
          <w:numId w:val="6"/>
        </w:numPr>
        <w:autoSpaceDE w:val="0"/>
        <w:autoSpaceDN w:val="0"/>
        <w:adjustRightInd w:val="0"/>
        <w:spacing w:line="360" w:lineRule="auto"/>
        <w:jc w:val="left"/>
        <w:rPr>
          <w:rFonts w:ascii="宋体" w:hAnsi="宋体" w:eastAsia="宋体" w:cs="Times New Roman"/>
          <w:kern w:val="0"/>
          <w:sz w:val="24"/>
        </w:rPr>
      </w:pPr>
      <w:r>
        <w:rPr>
          <w:rFonts w:ascii="宋体" w:hAnsi="宋体" w:eastAsia="宋体" w:cs="Times New Roman"/>
          <w:kern w:val="0"/>
          <w:sz w:val="24"/>
        </w:rPr>
        <w:t>对生产和服务提供过程的输出不能由后续的监视和测量加以验证时，</w:t>
      </w:r>
      <w:r>
        <w:rPr>
          <w:rFonts w:hint="eastAsia" w:ascii="宋体" w:hAnsi="宋体" w:eastAsia="宋体" w:cs="Times New Roman"/>
          <w:kern w:val="0"/>
          <w:sz w:val="24"/>
        </w:rPr>
        <w:t>生产部</w:t>
      </w:r>
      <w:r>
        <w:rPr>
          <w:rFonts w:ascii="宋体" w:hAnsi="宋体" w:eastAsia="宋体" w:cs="Times New Roman"/>
          <w:kern w:val="0"/>
          <w:sz w:val="24"/>
        </w:rPr>
        <w:t>应</w:t>
      </w:r>
      <w:r>
        <w:rPr>
          <w:rFonts w:hint="eastAsia" w:ascii="宋体" w:hAnsi="宋体" w:eastAsia="宋体" w:cs="Times New Roman"/>
          <w:kern w:val="0"/>
          <w:sz w:val="24"/>
        </w:rPr>
        <w:t>组织</w:t>
      </w:r>
      <w:r>
        <w:rPr>
          <w:rFonts w:ascii="宋体" w:hAnsi="宋体" w:eastAsia="宋体" w:cs="Times New Roman"/>
          <w:kern w:val="0"/>
          <w:sz w:val="24"/>
        </w:rPr>
        <w:t>在质量计划或生产组织设计中明确规定生产的方法、连续监控的手段和措施</w:t>
      </w:r>
      <w:r>
        <w:rPr>
          <w:rFonts w:hint="eastAsia" w:ascii="宋体" w:hAnsi="宋体" w:eastAsia="宋体" w:cs="Times New Roman"/>
          <w:kern w:val="0"/>
          <w:sz w:val="24"/>
        </w:rPr>
        <w:t>，</w:t>
      </w:r>
      <w:r>
        <w:rPr>
          <w:rFonts w:ascii="宋体" w:hAnsi="宋体" w:eastAsia="宋体" w:cs="Times New Roman"/>
          <w:kern w:val="0"/>
          <w:sz w:val="24"/>
        </w:rPr>
        <w:t>从人、机、料、法、环、测六个方面进行确认。</w:t>
      </w:r>
    </w:p>
    <w:p w14:paraId="349250C2">
      <w:pPr>
        <w:numPr>
          <w:ilvl w:val="1"/>
          <w:numId w:val="6"/>
        </w:numPr>
        <w:autoSpaceDE w:val="0"/>
        <w:autoSpaceDN w:val="0"/>
        <w:adjustRightInd w:val="0"/>
        <w:spacing w:line="360" w:lineRule="auto"/>
        <w:jc w:val="left"/>
        <w:rPr>
          <w:rFonts w:ascii="宋体" w:hAnsi="宋体"/>
          <w:kern w:val="0"/>
          <w:sz w:val="24"/>
        </w:rPr>
      </w:pPr>
      <w:r>
        <w:rPr>
          <w:rFonts w:hint="eastAsia" w:ascii="宋体" w:hAnsi="宋体"/>
          <w:kern w:val="0"/>
          <w:sz w:val="24"/>
        </w:rPr>
        <w:t>在产品生产过程中需确认的特殊</w:t>
      </w:r>
      <w:r>
        <w:rPr>
          <w:rFonts w:hint="eastAsia" w:ascii="宋体" w:hAnsi="宋体" w:eastAsia="宋体" w:cs="Times New Roman"/>
          <w:kern w:val="0"/>
          <w:sz w:val="24"/>
        </w:rPr>
        <w:t>过程</w:t>
      </w:r>
      <w:r>
        <w:rPr>
          <w:rFonts w:hint="eastAsia" w:ascii="宋体" w:hAnsi="宋体"/>
          <w:kern w:val="0"/>
          <w:sz w:val="24"/>
        </w:rPr>
        <w:t>为：</w:t>
      </w:r>
    </w:p>
    <w:p w14:paraId="5F5F3666">
      <w:pPr>
        <w:autoSpaceDE w:val="0"/>
        <w:autoSpaceDN w:val="0"/>
        <w:adjustRightInd w:val="0"/>
        <w:spacing w:line="360" w:lineRule="auto"/>
        <w:ind w:left="840"/>
        <w:jc w:val="left"/>
        <w:rPr>
          <w:rFonts w:ascii="宋体" w:hAnsi="宋体"/>
          <w:kern w:val="0"/>
          <w:sz w:val="24"/>
        </w:rPr>
      </w:pPr>
      <w:r>
        <w:rPr>
          <w:rFonts w:hint="eastAsia" w:ascii="宋体" w:hAnsi="宋体"/>
          <w:kern w:val="0"/>
          <w:sz w:val="24"/>
        </w:rPr>
        <w:t>特殊过程：焊接、喷涂</w:t>
      </w:r>
      <w:r>
        <w:rPr>
          <w:rFonts w:hint="eastAsia" w:ascii="宋体" w:hAnsi="宋体"/>
          <w:kern w:val="0"/>
          <w:sz w:val="24"/>
          <w:lang w:eastAsia="zh-CN"/>
        </w:rPr>
        <w:t>、</w:t>
      </w:r>
      <w:r>
        <w:rPr>
          <w:rFonts w:hint="eastAsia" w:ascii="宋体" w:hAnsi="宋体"/>
          <w:kern w:val="0"/>
          <w:sz w:val="24"/>
          <w:lang w:val="en-US" w:eastAsia="zh-CN"/>
        </w:rPr>
        <w:t>固化</w:t>
      </w:r>
      <w:r>
        <w:rPr>
          <w:rFonts w:hint="eastAsia" w:ascii="宋体" w:hAnsi="宋体"/>
          <w:kern w:val="0"/>
          <w:sz w:val="24"/>
        </w:rPr>
        <w:t>过程；</w:t>
      </w:r>
    </w:p>
    <w:p w14:paraId="23365440">
      <w:pPr>
        <w:autoSpaceDE w:val="0"/>
        <w:autoSpaceDN w:val="0"/>
        <w:adjustRightInd w:val="0"/>
        <w:spacing w:line="360" w:lineRule="auto"/>
        <w:ind w:left="840"/>
        <w:jc w:val="left"/>
        <w:rPr>
          <w:rFonts w:ascii="宋体" w:hAnsi="宋体"/>
          <w:kern w:val="0"/>
          <w:sz w:val="24"/>
        </w:rPr>
      </w:pPr>
      <w:r>
        <w:rPr>
          <w:rFonts w:hint="eastAsia" w:ascii="宋体" w:hAnsi="宋体"/>
          <w:kern w:val="0"/>
          <w:sz w:val="24"/>
        </w:rPr>
        <w:t>关键过程：组装、焊接、喷涂过程。</w:t>
      </w:r>
    </w:p>
    <w:p w14:paraId="5217F0AD">
      <w:pPr>
        <w:autoSpaceDE w:val="0"/>
        <w:autoSpaceDN w:val="0"/>
        <w:adjustRightInd w:val="0"/>
        <w:spacing w:line="360" w:lineRule="auto"/>
        <w:jc w:val="left"/>
        <w:rPr>
          <w:rFonts w:ascii="宋体" w:hAnsi="宋体" w:eastAsia="宋体" w:cs="Times New Roman"/>
          <w:kern w:val="0"/>
          <w:sz w:val="24"/>
        </w:rPr>
      </w:pPr>
      <w:r>
        <w:rPr>
          <w:rFonts w:hint="eastAsia" w:ascii="宋体" w:hAnsi="宋体" w:eastAsia="宋体" w:cs="Times New Roman"/>
          <w:kern w:val="0"/>
          <w:sz w:val="24"/>
        </w:rPr>
        <w:t xml:space="preserve">    </w:t>
      </w:r>
      <w:r>
        <w:rPr>
          <w:rFonts w:ascii="宋体" w:hAnsi="宋体" w:eastAsia="宋体" w:cs="Times New Roman"/>
          <w:kern w:val="0"/>
          <w:sz w:val="24"/>
        </w:rPr>
        <w:t>确认生产过程的每一个环节或工序的检验标准和方法。特殊工种作业人员必须持证上岗，生产设备运行状态要进行认可。使用的特殊作业方法和程序(工艺)，由</w:t>
      </w:r>
      <w:r>
        <w:rPr>
          <w:rFonts w:hint="eastAsia" w:ascii="宋体" w:hAnsi="宋体"/>
          <w:kern w:val="0"/>
          <w:sz w:val="24"/>
        </w:rPr>
        <w:t>质检部</w:t>
      </w:r>
      <w:r>
        <w:rPr>
          <w:rFonts w:ascii="宋体" w:hAnsi="宋体" w:eastAsia="宋体" w:cs="Times New Roman"/>
          <w:kern w:val="0"/>
          <w:sz w:val="24"/>
        </w:rPr>
        <w:t>组织编制。</w:t>
      </w:r>
      <w:r>
        <w:rPr>
          <w:rFonts w:hint="eastAsia" w:ascii="宋体" w:hAnsi="宋体" w:eastAsia="宋体" w:cs="Times New Roman"/>
          <w:kern w:val="0"/>
          <w:sz w:val="24"/>
        </w:rPr>
        <w:t>人员、材料、工艺参数、设备发生变化时</w:t>
      </w:r>
      <w:r>
        <w:rPr>
          <w:rFonts w:ascii="宋体" w:hAnsi="宋体" w:eastAsia="宋体" w:cs="Times New Roman"/>
          <w:kern w:val="0"/>
          <w:sz w:val="24"/>
        </w:rPr>
        <w:t>或在规定的时间间隔，</w:t>
      </w:r>
      <w:r>
        <w:rPr>
          <w:rFonts w:hint="eastAsia" w:ascii="宋体" w:hAnsi="宋体" w:eastAsia="宋体" w:cs="Times New Roman"/>
          <w:kern w:val="0"/>
          <w:sz w:val="24"/>
        </w:rPr>
        <w:t>生产部</w:t>
      </w:r>
      <w:r>
        <w:rPr>
          <w:rFonts w:ascii="宋体" w:hAnsi="宋体" w:eastAsia="宋体" w:cs="Times New Roman"/>
          <w:kern w:val="0"/>
          <w:sz w:val="24"/>
        </w:rPr>
        <w:t>应组织对过程再确认，必要时应提出更改，确保影响过程的变更作出及时反应。对过程的连续监控、检验、再确认和更改，应做好记录。</w:t>
      </w:r>
    </w:p>
    <w:p w14:paraId="4121F65D">
      <w:pPr>
        <w:autoSpaceDE w:val="0"/>
        <w:autoSpaceDN w:val="0"/>
        <w:adjustRightInd w:val="0"/>
        <w:spacing w:line="360" w:lineRule="auto"/>
        <w:jc w:val="left"/>
        <w:rPr>
          <w:rFonts w:ascii="宋体" w:hAnsi="宋体" w:eastAsia="宋体" w:cs="Times New Roman"/>
          <w:kern w:val="0"/>
          <w:sz w:val="24"/>
        </w:rPr>
      </w:pPr>
      <w:r>
        <w:rPr>
          <w:rFonts w:hint="eastAsia" w:ascii="宋体" w:hAnsi="宋体" w:eastAsia="宋体" w:cs="Times New Roman"/>
          <w:b/>
          <w:bCs/>
          <w:kern w:val="0"/>
          <w:sz w:val="24"/>
        </w:rPr>
        <w:t>8</w:t>
      </w:r>
      <w:r>
        <w:rPr>
          <w:rFonts w:ascii="宋体" w:hAnsi="宋体" w:eastAsia="宋体" w:cs="Times New Roman"/>
          <w:kern w:val="0"/>
          <w:sz w:val="24"/>
        </w:rPr>
        <w:t>.5.</w:t>
      </w:r>
      <w:r>
        <w:rPr>
          <w:rFonts w:hint="eastAsia" w:ascii="宋体" w:hAnsi="宋体" w:eastAsia="宋体" w:cs="Times New Roman"/>
          <w:kern w:val="0"/>
          <w:sz w:val="24"/>
        </w:rPr>
        <w:t>2</w:t>
      </w:r>
      <w:r>
        <w:rPr>
          <w:rFonts w:ascii="宋体" w:hAnsi="宋体" w:eastAsia="宋体" w:cs="Times New Roman"/>
          <w:kern w:val="0"/>
          <w:sz w:val="24"/>
        </w:rPr>
        <w:t>标识和可追溯性</w:t>
      </w:r>
    </w:p>
    <w:p w14:paraId="4D06B850">
      <w:pPr>
        <w:autoSpaceDE w:val="0"/>
        <w:autoSpaceDN w:val="0"/>
        <w:adjustRightInd w:val="0"/>
        <w:spacing w:line="360" w:lineRule="auto"/>
        <w:ind w:firstLine="480" w:firstLineChars="200"/>
        <w:jc w:val="left"/>
        <w:rPr>
          <w:rFonts w:ascii="宋体" w:hAnsi="宋体" w:eastAsia="宋体" w:cs="Times New Roman"/>
          <w:kern w:val="0"/>
          <w:sz w:val="24"/>
        </w:rPr>
      </w:pPr>
      <w:r>
        <w:rPr>
          <w:rFonts w:hint="eastAsia" w:ascii="宋体" w:hAnsi="宋体" w:eastAsia="宋体" w:cs="Times New Roman"/>
          <w:kern w:val="0"/>
          <w:sz w:val="24"/>
        </w:rPr>
        <w:t>生产部</w:t>
      </w:r>
      <w:r>
        <w:rPr>
          <w:rFonts w:ascii="宋体" w:hAnsi="宋体" w:eastAsia="宋体" w:cs="Times New Roman"/>
          <w:kern w:val="0"/>
          <w:sz w:val="24"/>
        </w:rPr>
        <w:t>应对不同品种、型号、规格的产品作出标识，确保只有经检验和试验合格的产品才能使用，必要时对形成产品的过程、原材料等进行追溯。</w:t>
      </w:r>
    </w:p>
    <w:p w14:paraId="6626E6D6">
      <w:pPr>
        <w:autoSpaceDE w:val="0"/>
        <w:autoSpaceDN w:val="0"/>
        <w:adjustRightInd w:val="0"/>
        <w:spacing w:line="360" w:lineRule="auto"/>
        <w:jc w:val="left"/>
        <w:rPr>
          <w:rFonts w:ascii="宋体" w:hAnsi="宋体" w:eastAsia="宋体" w:cs="Times New Roman"/>
          <w:kern w:val="0"/>
          <w:sz w:val="24"/>
        </w:rPr>
      </w:pPr>
      <w:r>
        <w:rPr>
          <w:rFonts w:hint="eastAsia" w:ascii="宋体" w:hAnsi="宋体" w:eastAsia="宋体" w:cs="Times New Roman"/>
          <w:kern w:val="0"/>
          <w:sz w:val="24"/>
        </w:rPr>
        <w:t>8</w:t>
      </w:r>
      <w:r>
        <w:rPr>
          <w:rFonts w:ascii="宋体" w:hAnsi="宋体" w:eastAsia="宋体" w:cs="Times New Roman"/>
          <w:kern w:val="0"/>
          <w:sz w:val="24"/>
        </w:rPr>
        <w:t>.5.</w:t>
      </w:r>
      <w:r>
        <w:rPr>
          <w:rFonts w:hint="eastAsia" w:ascii="宋体" w:hAnsi="宋体" w:eastAsia="宋体" w:cs="Times New Roman"/>
          <w:kern w:val="0"/>
          <w:sz w:val="24"/>
        </w:rPr>
        <w:t>2</w:t>
      </w:r>
      <w:r>
        <w:rPr>
          <w:rFonts w:ascii="宋体" w:hAnsi="宋体" w:eastAsia="宋体" w:cs="Times New Roman"/>
          <w:kern w:val="0"/>
          <w:sz w:val="24"/>
        </w:rPr>
        <w:t>.1在有可追溯性要求时，应明确规定可追溯性的范围。当产品出现重大问题时，由</w:t>
      </w:r>
      <w:r>
        <w:rPr>
          <w:rFonts w:hint="eastAsia" w:ascii="宋体" w:hAnsi="宋体" w:eastAsia="宋体" w:cs="Times New Roman"/>
          <w:kern w:val="0"/>
          <w:sz w:val="24"/>
        </w:rPr>
        <w:t>生产部</w:t>
      </w:r>
      <w:r>
        <w:rPr>
          <w:rFonts w:ascii="宋体" w:hAnsi="宋体" w:eastAsia="宋体" w:cs="Times New Roman"/>
          <w:kern w:val="0"/>
          <w:sz w:val="24"/>
        </w:rPr>
        <w:t>组织相关人员根据相应标识和记录进行追溯。</w:t>
      </w:r>
    </w:p>
    <w:p w14:paraId="67EF93B0">
      <w:pPr>
        <w:autoSpaceDE w:val="0"/>
        <w:autoSpaceDN w:val="0"/>
        <w:adjustRightInd w:val="0"/>
        <w:spacing w:line="360" w:lineRule="auto"/>
        <w:jc w:val="left"/>
        <w:rPr>
          <w:rFonts w:ascii="宋体" w:hAnsi="宋体" w:eastAsia="宋体" w:cs="Times New Roman"/>
          <w:kern w:val="0"/>
          <w:sz w:val="24"/>
        </w:rPr>
      </w:pPr>
      <w:r>
        <w:rPr>
          <w:rFonts w:hint="eastAsia" w:ascii="宋体" w:hAnsi="宋体" w:eastAsia="宋体" w:cs="Times New Roman"/>
          <w:kern w:val="0"/>
          <w:sz w:val="24"/>
        </w:rPr>
        <w:t>8</w:t>
      </w:r>
      <w:r>
        <w:rPr>
          <w:rFonts w:ascii="宋体" w:hAnsi="宋体" w:eastAsia="宋体" w:cs="Times New Roman"/>
          <w:kern w:val="0"/>
          <w:sz w:val="24"/>
        </w:rPr>
        <w:t>.5.</w:t>
      </w:r>
      <w:r>
        <w:rPr>
          <w:rFonts w:hint="eastAsia" w:ascii="宋体" w:hAnsi="宋体" w:eastAsia="宋体" w:cs="Times New Roman"/>
          <w:kern w:val="0"/>
          <w:sz w:val="24"/>
        </w:rPr>
        <w:t>2</w:t>
      </w:r>
      <w:r>
        <w:rPr>
          <w:rFonts w:ascii="宋体" w:hAnsi="宋体" w:eastAsia="宋体" w:cs="Times New Roman"/>
          <w:kern w:val="0"/>
          <w:sz w:val="24"/>
        </w:rPr>
        <w:t>.2相关部门负责所属区域内产品的标识，并负责标识的维护，在</w:t>
      </w:r>
      <w:r>
        <w:rPr>
          <w:rFonts w:hint="eastAsia" w:ascii="宋体" w:hAnsi="宋体" w:eastAsia="宋体" w:cs="Times New Roman"/>
          <w:kern w:val="0"/>
          <w:sz w:val="24"/>
        </w:rPr>
        <w:t>生产</w:t>
      </w:r>
      <w:r>
        <w:rPr>
          <w:rFonts w:ascii="宋体" w:hAnsi="宋体" w:eastAsia="宋体" w:cs="Times New Roman"/>
          <w:kern w:val="0"/>
          <w:sz w:val="24"/>
        </w:rPr>
        <w:t>、交付过程中，如有标识移动的情况，应按规定的方法进行标识移置。</w:t>
      </w:r>
      <w:r>
        <w:rPr>
          <w:rFonts w:hint="eastAsia" w:ascii="宋体" w:hAnsi="宋体"/>
          <w:kern w:val="0"/>
          <w:sz w:val="24"/>
        </w:rPr>
        <w:t>质检部</w:t>
      </w:r>
      <w:r>
        <w:rPr>
          <w:rFonts w:ascii="宋体" w:hAnsi="宋体" w:eastAsia="宋体" w:cs="Times New Roman"/>
          <w:kern w:val="0"/>
          <w:sz w:val="24"/>
        </w:rPr>
        <w:t>负责产品标识使用情况的监督检查。</w:t>
      </w:r>
    </w:p>
    <w:p w14:paraId="35A1C57A">
      <w:pPr>
        <w:autoSpaceDE w:val="0"/>
        <w:autoSpaceDN w:val="0"/>
        <w:adjustRightInd w:val="0"/>
        <w:spacing w:line="360" w:lineRule="auto"/>
        <w:jc w:val="left"/>
        <w:rPr>
          <w:rFonts w:ascii="宋体" w:hAnsi="宋体" w:eastAsia="宋体" w:cs="Times New Roman"/>
          <w:kern w:val="0"/>
          <w:sz w:val="24"/>
        </w:rPr>
      </w:pPr>
      <w:r>
        <w:rPr>
          <w:rFonts w:hint="eastAsia" w:ascii="宋体" w:hAnsi="宋体" w:eastAsia="宋体" w:cs="Times New Roman"/>
          <w:kern w:val="0"/>
          <w:sz w:val="24"/>
        </w:rPr>
        <w:t>8</w:t>
      </w:r>
      <w:r>
        <w:rPr>
          <w:rFonts w:ascii="宋体" w:hAnsi="宋体" w:eastAsia="宋体" w:cs="Times New Roman"/>
          <w:kern w:val="0"/>
          <w:sz w:val="24"/>
        </w:rPr>
        <w:t>.5.</w:t>
      </w:r>
      <w:r>
        <w:rPr>
          <w:rFonts w:hint="eastAsia" w:ascii="宋体" w:hAnsi="宋体" w:eastAsia="宋体" w:cs="Times New Roman"/>
          <w:kern w:val="0"/>
          <w:sz w:val="24"/>
        </w:rPr>
        <w:t>2</w:t>
      </w:r>
      <w:r>
        <w:rPr>
          <w:rFonts w:ascii="宋体" w:hAnsi="宋体" w:eastAsia="宋体" w:cs="Times New Roman"/>
          <w:kern w:val="0"/>
          <w:sz w:val="24"/>
        </w:rPr>
        <w:t>.3产品检测状态标识为：合格、不合格、待检三种状态。公司使用标牌、区域、印章和记录等方式进行状态标识，质量检查人员负责实施。</w:t>
      </w:r>
      <w:r>
        <w:rPr>
          <w:rFonts w:hint="eastAsia" w:ascii="宋体" w:hAnsi="宋体"/>
          <w:kern w:val="0"/>
          <w:sz w:val="24"/>
        </w:rPr>
        <w:t>质检部</w:t>
      </w:r>
      <w:r>
        <w:rPr>
          <w:rFonts w:ascii="宋体" w:hAnsi="宋体" w:eastAsia="宋体" w:cs="Times New Roman"/>
          <w:kern w:val="0"/>
          <w:sz w:val="24"/>
        </w:rPr>
        <w:t>负责状态标识的检查监督工作，并对检查中发现的问题及时纠正并保持记录。</w:t>
      </w:r>
    </w:p>
    <w:p w14:paraId="3B16DCF8">
      <w:pPr>
        <w:autoSpaceDE w:val="0"/>
        <w:autoSpaceDN w:val="0"/>
        <w:adjustRightInd w:val="0"/>
        <w:spacing w:line="360" w:lineRule="auto"/>
        <w:jc w:val="left"/>
        <w:rPr>
          <w:rFonts w:ascii="宋体" w:hAnsi="宋体" w:eastAsia="宋体" w:cs="Times New Roman"/>
          <w:kern w:val="0"/>
          <w:sz w:val="24"/>
        </w:rPr>
      </w:pPr>
      <w:r>
        <w:rPr>
          <w:rFonts w:hint="eastAsia" w:ascii="宋体" w:hAnsi="宋体" w:eastAsia="宋体" w:cs="Times New Roman"/>
          <w:kern w:val="0"/>
          <w:sz w:val="24"/>
        </w:rPr>
        <w:t>8</w:t>
      </w:r>
      <w:r>
        <w:rPr>
          <w:rFonts w:ascii="宋体" w:hAnsi="宋体" w:eastAsia="宋体" w:cs="Times New Roman"/>
          <w:kern w:val="0"/>
          <w:sz w:val="24"/>
        </w:rPr>
        <w:t>.5.</w:t>
      </w:r>
      <w:r>
        <w:rPr>
          <w:rFonts w:hint="eastAsia" w:ascii="宋体" w:hAnsi="宋体" w:eastAsia="宋体" w:cs="Times New Roman"/>
          <w:kern w:val="0"/>
          <w:sz w:val="24"/>
        </w:rPr>
        <w:t>2</w:t>
      </w:r>
      <w:r>
        <w:rPr>
          <w:rFonts w:ascii="宋体" w:hAnsi="宋体" w:eastAsia="宋体" w:cs="Times New Roman"/>
          <w:kern w:val="0"/>
          <w:sz w:val="24"/>
        </w:rPr>
        <w:t>.4各种检验和试验记录、报告中应保证各方签字确认齐全有效，并妥善保存。</w:t>
      </w:r>
    </w:p>
    <w:p w14:paraId="58726812">
      <w:pPr>
        <w:autoSpaceDE w:val="0"/>
        <w:autoSpaceDN w:val="0"/>
        <w:adjustRightInd w:val="0"/>
        <w:spacing w:line="360" w:lineRule="auto"/>
        <w:jc w:val="left"/>
        <w:rPr>
          <w:rFonts w:ascii="宋体" w:hAnsi="宋体" w:eastAsia="宋体" w:cs="Times New Roman"/>
          <w:b/>
          <w:bCs/>
          <w:kern w:val="0"/>
          <w:sz w:val="24"/>
        </w:rPr>
      </w:pPr>
      <w:r>
        <w:rPr>
          <w:rFonts w:hint="eastAsia" w:ascii="宋体" w:hAnsi="宋体" w:eastAsia="宋体" w:cs="Times New Roman"/>
          <w:b/>
          <w:bCs/>
          <w:kern w:val="0"/>
          <w:sz w:val="24"/>
        </w:rPr>
        <w:t>8</w:t>
      </w:r>
      <w:r>
        <w:rPr>
          <w:rFonts w:ascii="宋体" w:hAnsi="宋体" w:eastAsia="宋体" w:cs="Times New Roman"/>
          <w:b/>
          <w:bCs/>
          <w:kern w:val="0"/>
          <w:sz w:val="24"/>
        </w:rPr>
        <w:t>.5.</w:t>
      </w:r>
      <w:r>
        <w:rPr>
          <w:rFonts w:hint="eastAsia" w:ascii="宋体" w:hAnsi="宋体" w:eastAsia="宋体" w:cs="Times New Roman"/>
          <w:b/>
          <w:bCs/>
          <w:kern w:val="0"/>
          <w:sz w:val="24"/>
        </w:rPr>
        <w:t>3</w:t>
      </w:r>
      <w:r>
        <w:rPr>
          <w:rFonts w:ascii="宋体" w:hAnsi="宋体" w:eastAsia="宋体" w:cs="Times New Roman"/>
          <w:b/>
          <w:bCs/>
          <w:kern w:val="0"/>
          <w:sz w:val="24"/>
        </w:rPr>
        <w:t>顾客</w:t>
      </w:r>
      <w:r>
        <w:rPr>
          <w:rFonts w:hint="eastAsia" w:ascii="宋体" w:hAnsi="宋体" w:eastAsia="宋体" w:cs="Times New Roman"/>
          <w:b/>
          <w:bCs/>
          <w:kern w:val="0"/>
          <w:sz w:val="24"/>
        </w:rPr>
        <w:t>或外部供方的</w:t>
      </w:r>
      <w:r>
        <w:rPr>
          <w:rFonts w:ascii="宋体" w:hAnsi="宋体" w:eastAsia="宋体" w:cs="Times New Roman"/>
          <w:b/>
          <w:bCs/>
          <w:kern w:val="0"/>
          <w:sz w:val="24"/>
        </w:rPr>
        <w:t>财产</w:t>
      </w:r>
    </w:p>
    <w:p w14:paraId="11733330">
      <w:pPr>
        <w:spacing w:line="360" w:lineRule="auto"/>
        <w:rPr>
          <w:rFonts w:ascii="宋体" w:hAnsi="宋体" w:eastAsia="宋体" w:cs="Times New Roman"/>
          <w:sz w:val="24"/>
        </w:rPr>
      </w:pPr>
      <w:r>
        <w:rPr>
          <w:rFonts w:hint="eastAsia" w:ascii="宋体" w:hAnsi="宋体" w:eastAsia="宋体" w:cs="Times New Roman"/>
          <w:sz w:val="24"/>
        </w:rPr>
        <w:t>8</w:t>
      </w:r>
      <w:r>
        <w:rPr>
          <w:rFonts w:ascii="宋体" w:hAnsi="宋体" w:eastAsia="宋体" w:cs="Times New Roman"/>
          <w:sz w:val="24"/>
        </w:rPr>
        <w:t>.5.</w:t>
      </w:r>
      <w:r>
        <w:rPr>
          <w:rFonts w:hint="eastAsia" w:ascii="宋体" w:hAnsi="宋体" w:eastAsia="宋体" w:cs="Times New Roman"/>
          <w:sz w:val="24"/>
        </w:rPr>
        <w:t>3</w:t>
      </w:r>
      <w:r>
        <w:rPr>
          <w:rFonts w:ascii="宋体" w:hAnsi="宋体" w:eastAsia="宋体" w:cs="Times New Roman"/>
          <w:sz w:val="24"/>
        </w:rPr>
        <w:t>.1为确保顾客提供公司的财产，包括规范、</w:t>
      </w:r>
      <w:r>
        <w:rPr>
          <w:rFonts w:hint="eastAsia" w:ascii="宋体" w:hAnsi="宋体" w:eastAsia="宋体" w:cs="Times New Roman"/>
          <w:sz w:val="24"/>
        </w:rPr>
        <w:t>材料和设备</w:t>
      </w:r>
      <w:r>
        <w:rPr>
          <w:rFonts w:ascii="宋体" w:hAnsi="宋体" w:eastAsia="宋体" w:cs="Times New Roman"/>
          <w:sz w:val="24"/>
        </w:rPr>
        <w:t>等不发生丢失、损坏等情况出现，</w:t>
      </w:r>
      <w:r>
        <w:rPr>
          <w:rFonts w:hint="eastAsia" w:ascii="宋体" w:hAnsi="宋体" w:eastAsia="宋体" w:cs="Times New Roman"/>
          <w:sz w:val="24"/>
        </w:rPr>
        <w:t>生产部</w:t>
      </w:r>
      <w:r>
        <w:rPr>
          <w:rFonts w:ascii="宋体" w:hAnsi="宋体" w:eastAsia="宋体" w:cs="Times New Roman"/>
          <w:sz w:val="24"/>
        </w:rPr>
        <w:t>应实施对顾客财产的控制，包括对顾客财产识别和标识，实施进货验证并按顾客的要求进行贮存和使用。</w:t>
      </w:r>
      <w:r>
        <w:rPr>
          <w:rFonts w:ascii="宋体" w:hAnsi="宋体" w:eastAsia="宋体" w:cs="宋体"/>
          <w:kern w:val="0"/>
          <w:sz w:val="24"/>
        </w:rPr>
        <w:t>对于顾客的知识产权，如核心技术资料，专利技术，管理诀窍或商业机密(包括顾客的个人信息)等，需进行保密控制，未经顾客允许，不得向外界泄露</w:t>
      </w:r>
      <w:r>
        <w:rPr>
          <w:rFonts w:hint="eastAsia" w:ascii="宋体" w:hAnsi="宋体" w:eastAsia="宋体" w:cs="宋体"/>
          <w:kern w:val="0"/>
          <w:sz w:val="24"/>
        </w:rPr>
        <w:t>。</w:t>
      </w:r>
    </w:p>
    <w:p w14:paraId="5DF6A43D">
      <w:pPr>
        <w:spacing w:line="360" w:lineRule="auto"/>
        <w:rPr>
          <w:rFonts w:ascii="宋体" w:hAnsi="宋体" w:eastAsia="宋体" w:cs="Times New Roman"/>
          <w:sz w:val="24"/>
        </w:rPr>
      </w:pPr>
      <w:r>
        <w:rPr>
          <w:rFonts w:hint="eastAsia" w:ascii="宋体" w:hAnsi="宋体" w:eastAsia="宋体" w:cs="Times New Roman"/>
          <w:sz w:val="24"/>
        </w:rPr>
        <w:t>8</w:t>
      </w:r>
      <w:r>
        <w:rPr>
          <w:rFonts w:ascii="宋体" w:hAnsi="宋体" w:eastAsia="宋体" w:cs="Times New Roman"/>
          <w:sz w:val="24"/>
        </w:rPr>
        <w:t>.5.</w:t>
      </w:r>
      <w:r>
        <w:rPr>
          <w:rFonts w:hint="eastAsia" w:ascii="宋体" w:hAnsi="宋体" w:eastAsia="宋体" w:cs="Times New Roman"/>
          <w:sz w:val="24"/>
        </w:rPr>
        <w:t>3</w:t>
      </w:r>
      <w:r>
        <w:rPr>
          <w:rFonts w:ascii="宋体" w:hAnsi="宋体" w:eastAsia="宋体" w:cs="Times New Roman"/>
          <w:sz w:val="24"/>
        </w:rPr>
        <w:t>.2当发生顾客财产丢失、损坏或</w:t>
      </w:r>
      <w:r>
        <w:rPr>
          <w:rFonts w:hint="eastAsia" w:ascii="宋体" w:hAnsi="宋体" w:eastAsia="宋体" w:cs="Times New Roman"/>
          <w:sz w:val="24"/>
        </w:rPr>
        <w:t>在验收、生产过程及使用过程中发现问题</w:t>
      </w:r>
      <w:r>
        <w:rPr>
          <w:rFonts w:ascii="宋体" w:hAnsi="宋体" w:eastAsia="宋体" w:cs="Times New Roman"/>
          <w:sz w:val="24"/>
        </w:rPr>
        <w:t>时，</w:t>
      </w:r>
      <w:r>
        <w:rPr>
          <w:rFonts w:hint="eastAsia" w:ascii="宋体" w:hAnsi="宋体" w:eastAsia="宋体" w:cs="Times New Roman"/>
          <w:sz w:val="24"/>
        </w:rPr>
        <w:t>生产部</w:t>
      </w:r>
      <w:r>
        <w:rPr>
          <w:rFonts w:ascii="宋体" w:hAnsi="宋体" w:eastAsia="宋体" w:cs="Times New Roman"/>
          <w:sz w:val="24"/>
        </w:rPr>
        <w:t>应及时向顾客做出书面报告，并保持发生丢失、损坏或不适用的记录及向顾客报告的记录。</w:t>
      </w:r>
    </w:p>
    <w:p w14:paraId="7CDCBB04">
      <w:pPr>
        <w:spacing w:line="360" w:lineRule="auto"/>
        <w:rPr>
          <w:rFonts w:ascii="宋体" w:hAnsi="宋体" w:eastAsia="宋体" w:cs="Times New Roman"/>
          <w:sz w:val="24"/>
        </w:rPr>
      </w:pPr>
      <w:r>
        <w:rPr>
          <w:rFonts w:hint="eastAsia" w:ascii="宋体" w:hAnsi="宋体" w:eastAsia="宋体" w:cs="Times New Roman"/>
          <w:sz w:val="24"/>
        </w:rPr>
        <w:t>8</w:t>
      </w:r>
      <w:r>
        <w:rPr>
          <w:rFonts w:ascii="宋体" w:hAnsi="宋体" w:eastAsia="宋体" w:cs="Times New Roman"/>
          <w:sz w:val="24"/>
        </w:rPr>
        <w:t>.5.</w:t>
      </w:r>
      <w:r>
        <w:rPr>
          <w:rFonts w:hint="eastAsia" w:ascii="宋体" w:hAnsi="宋体" w:eastAsia="宋体" w:cs="Times New Roman"/>
          <w:sz w:val="24"/>
        </w:rPr>
        <w:t>3</w:t>
      </w:r>
      <w:r>
        <w:rPr>
          <w:rFonts w:ascii="宋体" w:hAnsi="宋体" w:eastAsia="宋体" w:cs="Times New Roman"/>
          <w:sz w:val="24"/>
        </w:rPr>
        <w:t>.</w:t>
      </w:r>
      <w:r>
        <w:rPr>
          <w:rFonts w:hint="eastAsia" w:ascii="宋体" w:hAnsi="宋体" w:eastAsia="宋体" w:cs="Times New Roman"/>
          <w:sz w:val="24"/>
        </w:rPr>
        <w:t>3经识别公司目前顾客财产为顾客信息，由生产部负责管理。</w:t>
      </w:r>
    </w:p>
    <w:p w14:paraId="127563BF">
      <w:pPr>
        <w:autoSpaceDE w:val="0"/>
        <w:autoSpaceDN w:val="0"/>
        <w:adjustRightInd w:val="0"/>
        <w:spacing w:line="360" w:lineRule="auto"/>
        <w:jc w:val="left"/>
        <w:rPr>
          <w:rFonts w:ascii="宋体" w:hAnsi="宋体" w:eastAsia="宋体" w:cs="Times New Roman"/>
          <w:b/>
          <w:bCs/>
          <w:kern w:val="0"/>
          <w:sz w:val="24"/>
        </w:rPr>
      </w:pPr>
      <w:r>
        <w:rPr>
          <w:rFonts w:hint="eastAsia" w:ascii="宋体" w:hAnsi="宋体" w:eastAsia="宋体" w:cs="Times New Roman"/>
          <w:b/>
          <w:bCs/>
          <w:kern w:val="0"/>
          <w:sz w:val="24"/>
        </w:rPr>
        <w:t>8</w:t>
      </w:r>
      <w:r>
        <w:rPr>
          <w:rFonts w:ascii="宋体" w:hAnsi="宋体" w:eastAsia="宋体" w:cs="Times New Roman"/>
          <w:b/>
          <w:bCs/>
          <w:kern w:val="0"/>
          <w:sz w:val="24"/>
        </w:rPr>
        <w:t>.5.</w:t>
      </w:r>
      <w:r>
        <w:rPr>
          <w:rFonts w:hint="eastAsia" w:ascii="宋体" w:hAnsi="宋体" w:eastAsia="宋体" w:cs="Times New Roman"/>
          <w:b/>
          <w:bCs/>
          <w:kern w:val="0"/>
          <w:sz w:val="24"/>
        </w:rPr>
        <w:t>4产品</w:t>
      </w:r>
      <w:r>
        <w:rPr>
          <w:rFonts w:ascii="宋体" w:hAnsi="宋体" w:eastAsia="宋体" w:cs="Times New Roman"/>
          <w:b/>
          <w:bCs/>
          <w:kern w:val="0"/>
          <w:sz w:val="24"/>
        </w:rPr>
        <w:t>防护</w:t>
      </w:r>
    </w:p>
    <w:p w14:paraId="7E365932">
      <w:pPr>
        <w:spacing w:line="360" w:lineRule="auto"/>
        <w:ind w:firstLine="420" w:firstLineChars="175"/>
        <w:rPr>
          <w:rFonts w:ascii="宋体" w:hAnsi="宋体" w:eastAsia="宋体" w:cs="宋体"/>
          <w:sz w:val="24"/>
        </w:rPr>
      </w:pPr>
      <w:r>
        <w:rPr>
          <w:rFonts w:hint="eastAsia" w:ascii="宋体" w:hAnsi="宋体" w:eastAsia="宋体" w:cs="宋体"/>
          <w:sz w:val="24"/>
        </w:rPr>
        <w:t>产品在内部加工直至交付顾客规定的地点之前，公司应对产品的质量特性进行防护，确保产品的符合性。产品防护包括：标识、产品搬运、包装、贮存和保护。</w:t>
      </w:r>
    </w:p>
    <w:p w14:paraId="45BE3C08">
      <w:pPr>
        <w:spacing w:line="360" w:lineRule="auto"/>
        <w:ind w:firstLine="420" w:firstLineChars="175"/>
        <w:rPr>
          <w:rFonts w:ascii="宋体" w:hAnsi="宋体" w:eastAsia="宋体" w:cs="宋体"/>
          <w:sz w:val="24"/>
        </w:rPr>
      </w:pPr>
      <w:r>
        <w:rPr>
          <w:rFonts w:hint="eastAsia" w:ascii="宋体" w:hAnsi="宋体" w:cs="宋体"/>
          <w:sz w:val="24"/>
        </w:rPr>
        <w:t>质检部</w:t>
      </w:r>
      <w:r>
        <w:rPr>
          <w:rFonts w:hint="eastAsia" w:ascii="宋体" w:hAnsi="宋体" w:eastAsia="宋体" w:cs="宋体"/>
          <w:sz w:val="24"/>
        </w:rPr>
        <w:t>应在产品技术文件中提出产品防护的具体要求。</w:t>
      </w:r>
    </w:p>
    <w:p w14:paraId="712936D4">
      <w:pPr>
        <w:autoSpaceDE w:val="0"/>
        <w:autoSpaceDN w:val="0"/>
        <w:adjustRightInd w:val="0"/>
        <w:spacing w:line="360" w:lineRule="auto"/>
        <w:jc w:val="left"/>
        <w:rPr>
          <w:rFonts w:ascii="宋体" w:hAnsi="宋体" w:eastAsia="宋体" w:cs="Times New Roman"/>
          <w:b/>
          <w:kern w:val="0"/>
          <w:sz w:val="24"/>
        </w:rPr>
      </w:pPr>
      <w:r>
        <w:rPr>
          <w:rFonts w:hint="eastAsia" w:ascii="宋体" w:hAnsi="宋体" w:eastAsia="宋体" w:cs="Times New Roman"/>
          <w:b/>
          <w:kern w:val="0"/>
          <w:sz w:val="24"/>
        </w:rPr>
        <w:t>8.5.5交付后的活动</w:t>
      </w:r>
    </w:p>
    <w:p w14:paraId="3A799E78">
      <w:pPr>
        <w:pStyle w:val="32"/>
        <w:spacing w:line="360" w:lineRule="auto"/>
        <w:rPr>
          <w:rFonts w:hAnsi="Calibri" w:eastAsia="宋体"/>
          <w:color w:val="auto"/>
        </w:rPr>
      </w:pPr>
      <w:r>
        <w:rPr>
          <w:rFonts w:hint="eastAsia" w:hAnsi="宋体" w:eastAsia="宋体"/>
          <w:b/>
          <w:color w:val="auto"/>
        </w:rPr>
        <w:t xml:space="preserve">   </w:t>
      </w:r>
      <w:r>
        <w:rPr>
          <w:rFonts w:hint="eastAsia" w:hAnsi="Calibri" w:eastAsia="宋体"/>
          <w:color w:val="auto"/>
        </w:rPr>
        <w:t>公司应满足与产品和服务相关的交付后活动的要求。在确定所要求的交付后活动的覆盖范围和程度时，组织应考虑：</w:t>
      </w:r>
      <w:r>
        <w:rPr>
          <w:rFonts w:hAnsi="Calibri" w:eastAsia="宋体"/>
          <w:color w:val="auto"/>
        </w:rPr>
        <w:t xml:space="preserve"> </w:t>
      </w:r>
    </w:p>
    <w:p w14:paraId="0B809793">
      <w:pPr>
        <w:autoSpaceDE w:val="0"/>
        <w:autoSpaceDN w:val="0"/>
        <w:adjustRightInd w:val="0"/>
        <w:spacing w:line="360" w:lineRule="auto"/>
        <w:ind w:firstLine="480" w:firstLineChars="200"/>
        <w:jc w:val="left"/>
        <w:rPr>
          <w:rFonts w:ascii="Calibri" w:hAnsi="Calibri" w:eastAsia="宋体" w:cs="Times New Roman"/>
          <w:kern w:val="0"/>
          <w:sz w:val="24"/>
        </w:rPr>
      </w:pPr>
      <w:r>
        <w:rPr>
          <w:rFonts w:ascii="宋体" w:hAnsi="Calibri" w:eastAsia="宋体" w:cs="宋体"/>
          <w:kern w:val="0"/>
          <w:sz w:val="24"/>
        </w:rPr>
        <w:t>a</w:t>
      </w:r>
      <w:r>
        <w:rPr>
          <w:rFonts w:hint="eastAsia" w:ascii="宋体" w:hAnsi="Calibri" w:eastAsia="宋体" w:cs="宋体"/>
          <w:kern w:val="0"/>
          <w:sz w:val="24"/>
        </w:rPr>
        <w:t>）法律法规要求；</w:t>
      </w:r>
      <w:r>
        <w:rPr>
          <w:rFonts w:ascii="宋体" w:hAnsi="Calibri" w:eastAsia="宋体" w:cs="宋体"/>
          <w:kern w:val="0"/>
          <w:sz w:val="24"/>
        </w:rPr>
        <w:t xml:space="preserve"> </w:t>
      </w:r>
      <w:r>
        <w:rPr>
          <w:rFonts w:hint="eastAsia" w:ascii="Calibri" w:hAnsi="Calibri" w:eastAsia="宋体" w:cs="Times New Roman"/>
          <w:kern w:val="0"/>
          <w:sz w:val="24"/>
        </w:rPr>
        <w:t xml:space="preserve">        </w:t>
      </w:r>
    </w:p>
    <w:p w14:paraId="661AB39E">
      <w:pPr>
        <w:autoSpaceDE w:val="0"/>
        <w:autoSpaceDN w:val="0"/>
        <w:adjustRightInd w:val="0"/>
        <w:spacing w:line="360" w:lineRule="auto"/>
        <w:ind w:firstLine="480" w:firstLineChars="200"/>
        <w:jc w:val="left"/>
        <w:rPr>
          <w:rFonts w:ascii="Calibri" w:hAnsi="Calibri" w:eastAsia="宋体" w:cs="Times New Roman"/>
          <w:kern w:val="0"/>
          <w:sz w:val="24"/>
        </w:rPr>
      </w:pPr>
      <w:r>
        <w:rPr>
          <w:rFonts w:ascii="宋体" w:hAnsi="Calibri" w:eastAsia="宋体" w:cs="宋体"/>
          <w:kern w:val="0"/>
          <w:sz w:val="24"/>
        </w:rPr>
        <w:t>b</w:t>
      </w:r>
      <w:r>
        <w:rPr>
          <w:rFonts w:hint="eastAsia" w:ascii="宋体" w:hAnsi="Calibri" w:eastAsia="宋体" w:cs="宋体"/>
          <w:kern w:val="0"/>
          <w:sz w:val="24"/>
        </w:rPr>
        <w:t>）与产品和服务相关的潜在不期望的后果；</w:t>
      </w:r>
      <w:r>
        <w:rPr>
          <w:rFonts w:ascii="宋体" w:hAnsi="Calibri" w:eastAsia="宋体" w:cs="宋体"/>
          <w:kern w:val="0"/>
          <w:sz w:val="24"/>
        </w:rPr>
        <w:t xml:space="preserve"> </w:t>
      </w:r>
    </w:p>
    <w:p w14:paraId="57A31591">
      <w:pPr>
        <w:autoSpaceDE w:val="0"/>
        <w:autoSpaceDN w:val="0"/>
        <w:adjustRightInd w:val="0"/>
        <w:spacing w:line="360" w:lineRule="auto"/>
        <w:ind w:firstLine="480" w:firstLineChars="200"/>
        <w:jc w:val="left"/>
        <w:rPr>
          <w:rFonts w:ascii="宋体" w:hAnsi="Calibri" w:eastAsia="宋体" w:cs="宋体"/>
          <w:kern w:val="0"/>
          <w:sz w:val="24"/>
        </w:rPr>
      </w:pPr>
      <w:r>
        <w:rPr>
          <w:rFonts w:ascii="宋体" w:hAnsi="Calibri" w:eastAsia="宋体" w:cs="宋体"/>
          <w:kern w:val="0"/>
          <w:sz w:val="24"/>
        </w:rPr>
        <w:t>c</w:t>
      </w:r>
      <w:r>
        <w:rPr>
          <w:rFonts w:hint="eastAsia" w:ascii="宋体" w:hAnsi="Calibri" w:eastAsia="宋体" w:cs="宋体"/>
          <w:kern w:val="0"/>
          <w:sz w:val="24"/>
        </w:rPr>
        <w:t>）产品和服务的性质、用途和预期寿命；</w:t>
      </w:r>
      <w:r>
        <w:rPr>
          <w:rFonts w:ascii="宋体" w:hAnsi="Calibri" w:eastAsia="宋体" w:cs="宋体"/>
          <w:kern w:val="0"/>
          <w:sz w:val="24"/>
        </w:rPr>
        <w:t xml:space="preserve"> </w:t>
      </w:r>
      <w:r>
        <w:rPr>
          <w:rFonts w:hint="eastAsia" w:ascii="宋体" w:hAnsi="Calibri" w:eastAsia="宋体" w:cs="宋体"/>
          <w:kern w:val="0"/>
          <w:sz w:val="24"/>
        </w:rPr>
        <w:t xml:space="preserve">    </w:t>
      </w:r>
    </w:p>
    <w:p w14:paraId="72C25C56">
      <w:pPr>
        <w:autoSpaceDE w:val="0"/>
        <w:autoSpaceDN w:val="0"/>
        <w:adjustRightInd w:val="0"/>
        <w:spacing w:line="360" w:lineRule="auto"/>
        <w:ind w:firstLine="480" w:firstLineChars="200"/>
        <w:jc w:val="left"/>
        <w:rPr>
          <w:rFonts w:ascii="宋体" w:hAnsi="Calibri" w:eastAsia="宋体" w:cs="宋体"/>
          <w:kern w:val="0"/>
          <w:sz w:val="24"/>
        </w:rPr>
      </w:pPr>
      <w:r>
        <w:rPr>
          <w:rFonts w:ascii="宋体" w:hAnsi="Calibri" w:eastAsia="宋体" w:cs="宋体"/>
          <w:kern w:val="0"/>
          <w:sz w:val="24"/>
        </w:rPr>
        <w:t>d</w:t>
      </w:r>
      <w:r>
        <w:rPr>
          <w:rFonts w:hint="eastAsia" w:ascii="宋体" w:hAnsi="Calibri" w:eastAsia="宋体" w:cs="宋体"/>
          <w:kern w:val="0"/>
          <w:sz w:val="24"/>
        </w:rPr>
        <w:t>）顾客要求；</w:t>
      </w:r>
      <w:r>
        <w:rPr>
          <w:rFonts w:ascii="宋体" w:hAnsi="Calibri" w:eastAsia="宋体" w:cs="宋体"/>
          <w:kern w:val="0"/>
          <w:sz w:val="24"/>
        </w:rPr>
        <w:t xml:space="preserve"> </w:t>
      </w:r>
    </w:p>
    <w:p w14:paraId="5D557B4E">
      <w:pPr>
        <w:autoSpaceDE w:val="0"/>
        <w:autoSpaceDN w:val="0"/>
        <w:adjustRightInd w:val="0"/>
        <w:spacing w:line="360" w:lineRule="auto"/>
        <w:ind w:firstLine="480" w:firstLineChars="200"/>
        <w:jc w:val="left"/>
        <w:rPr>
          <w:rFonts w:ascii="宋体" w:hAnsi="Calibri" w:eastAsia="宋体" w:cs="Times New Roman"/>
          <w:kern w:val="0"/>
          <w:sz w:val="24"/>
        </w:rPr>
      </w:pPr>
      <w:r>
        <w:rPr>
          <w:rFonts w:ascii="宋体" w:hAnsi="Calibri" w:eastAsia="宋体" w:cs="宋体"/>
          <w:kern w:val="0"/>
          <w:sz w:val="24"/>
        </w:rPr>
        <w:t>e</w:t>
      </w:r>
      <w:r>
        <w:rPr>
          <w:rFonts w:hint="eastAsia" w:ascii="宋体" w:hAnsi="Calibri" w:eastAsia="宋体" w:cs="宋体"/>
          <w:kern w:val="0"/>
          <w:sz w:val="24"/>
        </w:rPr>
        <w:t>）顾客反馈。</w:t>
      </w:r>
    </w:p>
    <w:p w14:paraId="341F28F2">
      <w:pPr>
        <w:autoSpaceDE w:val="0"/>
        <w:autoSpaceDN w:val="0"/>
        <w:adjustRightInd w:val="0"/>
        <w:spacing w:line="360" w:lineRule="auto"/>
        <w:ind w:firstLine="480" w:firstLineChars="200"/>
        <w:jc w:val="left"/>
        <w:rPr>
          <w:rFonts w:ascii="宋体" w:hAnsi="Calibri" w:eastAsia="宋体" w:cs="宋体"/>
          <w:kern w:val="0"/>
          <w:sz w:val="24"/>
        </w:rPr>
      </w:pPr>
      <w:r>
        <w:rPr>
          <w:rFonts w:ascii="宋体" w:hAnsi="Calibri" w:eastAsia="宋体" w:cs="Times New Roman"/>
          <w:kern w:val="0"/>
          <w:sz w:val="24"/>
        </w:rPr>
        <w:t>交付后活动可能包括保证条款所规定的相关活动，诸如合同规定的维护服务，以及回收或最终报废处置等附加服务等。</w:t>
      </w:r>
    </w:p>
    <w:p w14:paraId="79C8CCAA">
      <w:pPr>
        <w:autoSpaceDE w:val="0"/>
        <w:autoSpaceDN w:val="0"/>
        <w:adjustRightInd w:val="0"/>
        <w:spacing w:line="360" w:lineRule="auto"/>
        <w:jc w:val="left"/>
        <w:rPr>
          <w:rFonts w:ascii="宋体" w:hAnsi="宋体" w:eastAsia="宋体" w:cs="Times New Roman"/>
          <w:b/>
          <w:bCs/>
          <w:kern w:val="0"/>
          <w:sz w:val="24"/>
        </w:rPr>
      </w:pPr>
      <w:r>
        <w:rPr>
          <w:rFonts w:ascii="宋体" w:hAnsi="宋体" w:eastAsia="宋体" w:cs="Times New Roman"/>
          <w:b/>
          <w:bCs/>
          <w:kern w:val="0"/>
          <w:sz w:val="24"/>
        </w:rPr>
        <w:t>8.</w:t>
      </w:r>
      <w:r>
        <w:rPr>
          <w:rFonts w:hint="eastAsia" w:ascii="宋体" w:hAnsi="宋体" w:eastAsia="宋体" w:cs="Times New Roman"/>
          <w:b/>
          <w:bCs/>
          <w:kern w:val="0"/>
          <w:sz w:val="24"/>
        </w:rPr>
        <w:t>6产品和服务的放行</w:t>
      </w:r>
    </w:p>
    <w:p w14:paraId="46DC3030">
      <w:pPr>
        <w:spacing w:line="360" w:lineRule="auto"/>
        <w:ind w:firstLine="420" w:firstLineChars="175"/>
        <w:rPr>
          <w:rFonts w:ascii="宋体" w:hAnsi="宋体" w:eastAsia="宋体" w:cs="宋体"/>
          <w:sz w:val="24"/>
        </w:rPr>
      </w:pPr>
      <w:r>
        <w:rPr>
          <w:rFonts w:hint="eastAsia" w:ascii="宋体" w:hAnsi="宋体" w:eastAsia="宋体" w:cs="宋体"/>
          <w:sz w:val="24"/>
        </w:rPr>
        <w:t>公司对原料、过程产品和最终产品的质量特性进行检验和试验，以保证接收的原料、过程产品和交付给顾客的产品符合规定的要求。</w:t>
      </w:r>
    </w:p>
    <w:p w14:paraId="3651EB05">
      <w:pPr>
        <w:spacing w:line="360" w:lineRule="auto"/>
        <w:ind w:firstLine="420" w:firstLineChars="175"/>
        <w:rPr>
          <w:rFonts w:ascii="宋体" w:hAnsi="宋体" w:eastAsia="宋体" w:cs="宋体"/>
          <w:sz w:val="24"/>
        </w:rPr>
      </w:pPr>
      <w:r>
        <w:rPr>
          <w:rFonts w:hint="eastAsia" w:ascii="宋体" w:hAnsi="宋体" w:eastAsia="宋体" w:cs="宋体"/>
          <w:sz w:val="24"/>
        </w:rPr>
        <w:t>公司制定《监视和测量设备控制程序》规定检验的依据和方法，并在检验过程中实施。</w:t>
      </w:r>
    </w:p>
    <w:p w14:paraId="144197A8">
      <w:pPr>
        <w:spacing w:line="360" w:lineRule="auto"/>
        <w:ind w:firstLine="420" w:firstLineChars="175"/>
        <w:rPr>
          <w:rFonts w:ascii="宋体" w:hAnsi="宋体" w:eastAsia="宋体" w:cs="宋体"/>
          <w:sz w:val="24"/>
        </w:rPr>
      </w:pPr>
      <w:r>
        <w:rPr>
          <w:rFonts w:hint="eastAsia" w:ascii="宋体" w:hAnsi="宋体" w:cs="宋体"/>
          <w:sz w:val="24"/>
        </w:rPr>
        <w:t>质检部</w:t>
      </w:r>
      <w:r>
        <w:rPr>
          <w:rFonts w:hint="eastAsia" w:ascii="宋体" w:hAnsi="宋体" w:eastAsia="宋体" w:cs="宋体"/>
          <w:sz w:val="24"/>
        </w:rPr>
        <w:t>负责该程序的实施与监督。</w:t>
      </w:r>
    </w:p>
    <w:p w14:paraId="15A7F8B1">
      <w:pPr>
        <w:spacing w:line="360" w:lineRule="auto"/>
        <w:rPr>
          <w:rFonts w:ascii="宋体" w:hAnsi="宋体" w:eastAsia="宋体" w:cs="宋体"/>
          <w:sz w:val="24"/>
        </w:rPr>
      </w:pPr>
      <w:r>
        <w:rPr>
          <w:rFonts w:hint="eastAsia" w:ascii="宋体" w:hAnsi="宋体" w:eastAsia="宋体" w:cs="宋体"/>
          <w:sz w:val="24"/>
        </w:rPr>
        <w:t>8.6.1</w:t>
      </w:r>
      <w:r>
        <w:rPr>
          <w:rFonts w:hint="eastAsia" w:ascii="宋体" w:hAnsi="宋体" w:cs="宋体"/>
          <w:sz w:val="24"/>
        </w:rPr>
        <w:t>质检部</w:t>
      </w:r>
      <w:r>
        <w:rPr>
          <w:rFonts w:hint="eastAsia" w:ascii="宋体" w:hAnsi="宋体" w:eastAsia="宋体" w:cs="宋体"/>
          <w:sz w:val="24"/>
        </w:rPr>
        <w:t>负责编制各类验收标准，作为判定依据，</w:t>
      </w:r>
      <w:r>
        <w:rPr>
          <w:rFonts w:hint="eastAsia" w:ascii="宋体" w:hAnsi="宋体" w:cs="宋体"/>
          <w:sz w:val="24"/>
        </w:rPr>
        <w:t>质检部</w:t>
      </w:r>
      <w:r>
        <w:rPr>
          <w:rFonts w:hint="eastAsia" w:ascii="宋体" w:hAnsi="宋体" w:eastAsia="宋体" w:cs="宋体"/>
          <w:sz w:val="24"/>
        </w:rPr>
        <w:t>负责编制各类检验规程或指导书，规定检验的项目、方法，使用的检测装置等内容。</w:t>
      </w:r>
    </w:p>
    <w:p w14:paraId="46D90141">
      <w:pPr>
        <w:spacing w:line="360" w:lineRule="auto"/>
        <w:rPr>
          <w:rFonts w:ascii="宋体" w:hAnsi="宋体" w:eastAsia="宋体" w:cs="宋体"/>
          <w:sz w:val="24"/>
        </w:rPr>
      </w:pPr>
      <w:r>
        <w:rPr>
          <w:rFonts w:hint="eastAsia" w:ascii="宋体" w:hAnsi="宋体" w:eastAsia="宋体" w:cs="宋体"/>
          <w:sz w:val="24"/>
        </w:rPr>
        <w:t>8.6.2检验员依据相应的检验规程，进行进货、过程和最终产品检验，分别验证原料、过程产品和最终产品满足规定的要求。填写相应的检验记录，并依据验收标准作出判定。</w:t>
      </w:r>
    </w:p>
    <w:p w14:paraId="0C46FAF4">
      <w:pPr>
        <w:spacing w:line="360" w:lineRule="auto"/>
        <w:rPr>
          <w:rFonts w:ascii="宋体" w:hAnsi="宋体" w:eastAsia="宋体" w:cs="宋体"/>
          <w:sz w:val="24"/>
        </w:rPr>
      </w:pPr>
      <w:r>
        <w:rPr>
          <w:rFonts w:hint="eastAsia" w:ascii="宋体" w:hAnsi="宋体" w:eastAsia="宋体" w:cs="宋体"/>
          <w:sz w:val="24"/>
        </w:rPr>
        <w:t>8.6.3由于生产急需，原料来不及检验和试验需紧急放行时，应按规定的要求进行申请审批，做好记录。</w:t>
      </w:r>
    </w:p>
    <w:p w14:paraId="549EB32C">
      <w:pPr>
        <w:spacing w:line="360" w:lineRule="auto"/>
        <w:rPr>
          <w:rFonts w:ascii="宋体" w:hAnsi="宋体" w:eastAsia="宋体" w:cs="宋体"/>
          <w:sz w:val="24"/>
        </w:rPr>
      </w:pPr>
      <w:r>
        <w:rPr>
          <w:rFonts w:hint="eastAsia" w:ascii="宋体" w:hAnsi="宋体" w:eastAsia="宋体" w:cs="宋体"/>
          <w:sz w:val="24"/>
        </w:rPr>
        <w:t>8.6.4对于最终产品，只有在规定的项目全部检验完成且合格后才能交付顾客，否则只有在授权批准后或适当时必须得到顾客的批准，才可放行。</w:t>
      </w:r>
    </w:p>
    <w:p w14:paraId="654AD8A0">
      <w:pPr>
        <w:pStyle w:val="3"/>
        <w:spacing w:before="0" w:after="0" w:line="360" w:lineRule="auto"/>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8.7 不合格输出的控制</w:t>
      </w:r>
    </w:p>
    <w:p w14:paraId="6CA118D8">
      <w:pPr>
        <w:spacing w:line="360" w:lineRule="auto"/>
        <w:rPr>
          <w:rFonts w:asciiTheme="minorEastAsia" w:hAnsiTheme="minorEastAsia"/>
          <w:sz w:val="24"/>
        </w:rPr>
      </w:pPr>
      <w:r>
        <w:rPr>
          <w:rFonts w:hint="eastAsia" w:cs="宋体" w:asciiTheme="minorEastAsia" w:hAnsiTheme="minorEastAsia"/>
          <w:sz w:val="24"/>
          <w:szCs w:val="24"/>
        </w:rPr>
        <w:t>8.7.1质检部应确保不符合要求的服务得到识别并处于受控状态，以防止非预期使用或交付，特制定《不合格品控制程序》。</w:t>
      </w:r>
      <w:r>
        <w:rPr>
          <w:rFonts w:hint="eastAsia" w:asciiTheme="minorEastAsia" w:hAnsiTheme="minorEastAsia"/>
          <w:sz w:val="24"/>
        </w:rPr>
        <w:t>对在各服务过程中或交付后发生的不合格</w:t>
      </w:r>
      <w:r>
        <w:rPr>
          <w:rFonts w:asciiTheme="minorEastAsia" w:hAnsiTheme="minorEastAsia"/>
          <w:sz w:val="24"/>
        </w:rPr>
        <w:t>进行</w:t>
      </w:r>
      <w:r>
        <w:rPr>
          <w:rFonts w:hint="eastAsia" w:asciiTheme="minorEastAsia" w:hAnsiTheme="minorEastAsia"/>
          <w:sz w:val="24"/>
        </w:rPr>
        <w:t>控制以及不合格处置的有关职责和权限作出规定，以确保不符合要求的服务得到识别和控制，防止其非预期交付。</w:t>
      </w:r>
    </w:p>
    <w:p w14:paraId="5C8D1F7D">
      <w:pPr>
        <w:spacing w:line="360" w:lineRule="auto"/>
        <w:rPr>
          <w:rFonts w:cs="宋体" w:asciiTheme="minorEastAsia" w:hAnsiTheme="minorEastAsia"/>
          <w:sz w:val="24"/>
          <w:szCs w:val="24"/>
        </w:rPr>
      </w:pPr>
      <w:r>
        <w:rPr>
          <w:rFonts w:hint="eastAsia" w:cs="宋体" w:asciiTheme="minorEastAsia" w:hAnsiTheme="minorEastAsia"/>
          <w:sz w:val="24"/>
          <w:szCs w:val="24"/>
        </w:rPr>
        <w:t>8.7.2 公司应采取与不合格的性质及其影响相适应的措施，需要时进行纠正。这也适用于在服务交付后和服务后。</w:t>
      </w:r>
    </w:p>
    <w:p w14:paraId="51F0F882">
      <w:pPr>
        <w:spacing w:line="360" w:lineRule="auto"/>
        <w:rPr>
          <w:rFonts w:cs="宋体" w:asciiTheme="minorEastAsia" w:hAnsiTheme="minorEastAsia"/>
          <w:sz w:val="24"/>
          <w:szCs w:val="24"/>
        </w:rPr>
      </w:pPr>
      <w:r>
        <w:rPr>
          <w:rFonts w:hint="eastAsia" w:cs="宋体" w:asciiTheme="minorEastAsia" w:hAnsiTheme="minorEastAsia"/>
          <w:sz w:val="24"/>
          <w:szCs w:val="24"/>
        </w:rPr>
        <w:t>8.7.3 经检验判定为不合格时，应立即报告部门领导，对不合格情况进行记录、标识和采取适当的隔离措施，防止混淆。</w:t>
      </w:r>
    </w:p>
    <w:p w14:paraId="7EC1391B">
      <w:pPr>
        <w:spacing w:line="360" w:lineRule="auto"/>
        <w:rPr>
          <w:rFonts w:cs="宋体" w:asciiTheme="minorEastAsia" w:hAnsiTheme="minorEastAsia"/>
          <w:sz w:val="24"/>
          <w:szCs w:val="24"/>
        </w:rPr>
      </w:pPr>
      <w:r>
        <w:rPr>
          <w:rFonts w:hint="eastAsia" w:cs="宋体" w:asciiTheme="minorEastAsia" w:hAnsiTheme="minorEastAsia"/>
          <w:sz w:val="24"/>
          <w:szCs w:val="24"/>
        </w:rPr>
        <w:t xml:space="preserve">8.7.4 对不合格品的处置方式包括： </w:t>
      </w:r>
    </w:p>
    <w:p w14:paraId="5294D121">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xml:space="preserve">a）纠正； </w:t>
      </w:r>
    </w:p>
    <w:p w14:paraId="53C3CABF">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xml:space="preserve">b）告知顾客； </w:t>
      </w:r>
    </w:p>
    <w:p w14:paraId="7718F5CE">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xml:space="preserve">c）获得让步接收的授权。  </w:t>
      </w:r>
    </w:p>
    <w:p w14:paraId="6A2928D5">
      <w:pPr>
        <w:spacing w:line="360" w:lineRule="auto"/>
        <w:rPr>
          <w:rFonts w:asciiTheme="minorEastAsia" w:hAnsiTheme="minorEastAsia"/>
          <w:sz w:val="24"/>
        </w:rPr>
      </w:pPr>
      <w:r>
        <w:rPr>
          <w:rFonts w:hint="eastAsia" w:cs="宋体" w:asciiTheme="minorEastAsia" w:hAnsiTheme="minorEastAsia"/>
          <w:sz w:val="24"/>
          <w:szCs w:val="24"/>
        </w:rPr>
        <w:t xml:space="preserve">8.7.5 </w:t>
      </w:r>
      <w:r>
        <w:rPr>
          <w:rFonts w:hint="eastAsia" w:asciiTheme="minorEastAsia" w:hAnsiTheme="minorEastAsia"/>
          <w:sz w:val="24"/>
        </w:rPr>
        <w:t>在不合格品得到纠正之后，对服务再次进行验证，以证实符合要求。</w:t>
      </w:r>
    </w:p>
    <w:p w14:paraId="56A61565">
      <w:pPr>
        <w:spacing w:line="360" w:lineRule="auto"/>
        <w:rPr>
          <w:rFonts w:cs="宋体" w:asciiTheme="minorEastAsia" w:hAnsiTheme="minorEastAsia"/>
          <w:sz w:val="24"/>
          <w:szCs w:val="24"/>
        </w:rPr>
      </w:pPr>
      <w:r>
        <w:rPr>
          <w:rFonts w:hint="eastAsia" w:cs="宋体" w:asciiTheme="minorEastAsia" w:hAnsiTheme="minorEastAsia"/>
          <w:sz w:val="24"/>
          <w:szCs w:val="24"/>
        </w:rPr>
        <w:t xml:space="preserve">8.7.6  公司应保留下列形成文件的信息： </w:t>
      </w:r>
    </w:p>
    <w:p w14:paraId="0CB14544">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xml:space="preserve">a）有关不合格的描述； </w:t>
      </w:r>
    </w:p>
    <w:p w14:paraId="3B4FF9C2">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xml:space="preserve">b）所采取措施的描述； </w:t>
      </w:r>
    </w:p>
    <w:p w14:paraId="413F1D9D">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xml:space="preserve">c）获得让步的描述； </w:t>
      </w:r>
    </w:p>
    <w:p w14:paraId="1EB38C9B">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d）处置不合格的授权标识。</w:t>
      </w:r>
    </w:p>
    <w:p w14:paraId="1C5CF47A">
      <w:pPr>
        <w:spacing w:line="360" w:lineRule="auto"/>
        <w:rPr>
          <w:rFonts w:cs="宋体" w:asciiTheme="minorEastAsia" w:hAnsiTheme="minorEastAsia"/>
          <w:sz w:val="24"/>
          <w:szCs w:val="24"/>
        </w:rPr>
      </w:pPr>
      <w:r>
        <w:rPr>
          <w:rFonts w:hint="eastAsia" w:cs="宋体" w:asciiTheme="minorEastAsia" w:hAnsiTheme="minorEastAsia"/>
          <w:sz w:val="24"/>
          <w:szCs w:val="24"/>
        </w:rPr>
        <w:t>8.7.8相关/引用文件</w:t>
      </w:r>
    </w:p>
    <w:p w14:paraId="5FF4F9BE">
      <w:pPr>
        <w:spacing w:line="360" w:lineRule="auto"/>
        <w:rPr>
          <w:rFonts w:cs="宋体" w:asciiTheme="minorEastAsia" w:hAnsiTheme="minorEastAsia"/>
          <w:sz w:val="24"/>
          <w:szCs w:val="24"/>
        </w:rPr>
      </w:pPr>
      <w:r>
        <w:rPr>
          <w:rFonts w:hint="eastAsia" w:cs="宋体" w:asciiTheme="minorEastAsia" w:hAnsiTheme="minorEastAsia"/>
          <w:sz w:val="24"/>
          <w:szCs w:val="24"/>
        </w:rPr>
        <w:t>8.7.8.1《不合格控制程序》。</w:t>
      </w:r>
    </w:p>
    <w:p w14:paraId="2FE2572A">
      <w:pPr>
        <w:pStyle w:val="3"/>
        <w:spacing w:before="0" w:after="0" w:line="360" w:lineRule="auto"/>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8.8 环境和职业健康的运行控制</w:t>
      </w:r>
    </w:p>
    <w:p w14:paraId="54394014">
      <w:pPr>
        <w:spacing w:line="360" w:lineRule="auto"/>
        <w:rPr>
          <w:rFonts w:cs="宋体" w:asciiTheme="minorEastAsia" w:hAnsiTheme="minorEastAsia"/>
          <w:sz w:val="24"/>
          <w:szCs w:val="24"/>
        </w:rPr>
      </w:pPr>
      <w:r>
        <w:rPr>
          <w:rFonts w:hint="eastAsia" w:cs="宋体" w:asciiTheme="minorEastAsia" w:hAnsiTheme="minorEastAsia"/>
          <w:sz w:val="24"/>
          <w:szCs w:val="24"/>
        </w:rPr>
        <w:t>8.8.1 公司建立并保持《环境因素的识别与评价控制程序》和《</w:t>
      </w:r>
      <w:r>
        <w:rPr>
          <w:rFonts w:hint="eastAsia"/>
          <w:sz w:val="24"/>
          <w:szCs w:val="24"/>
        </w:rPr>
        <w:t>危险源辨识、风险评价控制程序</w:t>
      </w:r>
      <w:r>
        <w:rPr>
          <w:rFonts w:hint="eastAsia" w:cs="宋体" w:asciiTheme="minorEastAsia" w:hAnsiTheme="minorEastAsia"/>
          <w:sz w:val="24"/>
          <w:szCs w:val="24"/>
        </w:rPr>
        <w:t>》及《</w:t>
      </w:r>
      <w:r>
        <w:rPr>
          <w:rFonts w:hint="eastAsia"/>
          <w:sz w:val="24"/>
          <w:szCs w:val="24"/>
        </w:rPr>
        <w:t>环境与职业健康安全运行控制程序</w:t>
      </w:r>
      <w:r>
        <w:rPr>
          <w:rFonts w:hint="eastAsia" w:cs="宋体" w:asciiTheme="minorEastAsia" w:hAnsiTheme="minorEastAsia"/>
          <w:sz w:val="24"/>
          <w:szCs w:val="24"/>
        </w:rPr>
        <w:t>》，并在服务过程中加以控制，确保重要环境因素和重要危险源在有关的活动、服务得到有效控制，并对相关方行为施加影响，使管理体系不偏离公司的管理方针，并确保管理目标和指标的实现。</w:t>
      </w:r>
    </w:p>
    <w:p w14:paraId="1C29010B">
      <w:pPr>
        <w:spacing w:line="360" w:lineRule="auto"/>
        <w:rPr>
          <w:rFonts w:cs="宋体" w:asciiTheme="minorEastAsia" w:hAnsiTheme="minorEastAsia"/>
          <w:sz w:val="24"/>
          <w:szCs w:val="24"/>
        </w:rPr>
      </w:pPr>
      <w:r>
        <w:rPr>
          <w:rFonts w:hint="eastAsia" w:cs="宋体" w:asciiTheme="minorEastAsia" w:hAnsiTheme="minorEastAsia"/>
          <w:sz w:val="24"/>
          <w:szCs w:val="24"/>
        </w:rPr>
        <w:t>8.8.2 实施针对环境及职业健康安全建立的程序文件。对一般环境因素和危险源，通过法规和日常检查进行控制。对重要环境因素和不可接受的风险，制定管理方案。</w:t>
      </w:r>
    </w:p>
    <w:p w14:paraId="428127CC">
      <w:pPr>
        <w:spacing w:line="360" w:lineRule="auto"/>
        <w:rPr>
          <w:rFonts w:cs="宋体" w:asciiTheme="minorEastAsia" w:hAnsiTheme="minorEastAsia"/>
          <w:sz w:val="24"/>
          <w:szCs w:val="24"/>
        </w:rPr>
      </w:pPr>
      <w:r>
        <w:rPr>
          <w:rFonts w:hint="eastAsia" w:cs="宋体" w:asciiTheme="minorEastAsia" w:hAnsiTheme="minorEastAsia"/>
          <w:sz w:val="24"/>
          <w:szCs w:val="24"/>
        </w:rPr>
        <w:t>8.8.3 运行程序及相关要求要以书面形式及时通报给相关方，在运行过程中，办公室应及时进行监视和测量。</w:t>
      </w:r>
    </w:p>
    <w:p w14:paraId="1A0CB33A">
      <w:pPr>
        <w:spacing w:line="360" w:lineRule="auto"/>
        <w:rPr>
          <w:rFonts w:cs="宋体" w:asciiTheme="minorEastAsia" w:hAnsiTheme="minorEastAsia"/>
          <w:sz w:val="24"/>
          <w:szCs w:val="24"/>
        </w:rPr>
      </w:pPr>
      <w:r>
        <w:rPr>
          <w:rFonts w:hint="eastAsia" w:cs="宋体" w:asciiTheme="minorEastAsia" w:hAnsiTheme="minorEastAsia"/>
          <w:sz w:val="24"/>
          <w:szCs w:val="24"/>
        </w:rPr>
        <w:t>8.8.4 重要岗位人员严格执行程序的要求和作业指导书的规定，并严格按规程操作。</w:t>
      </w:r>
    </w:p>
    <w:p w14:paraId="4E68E201">
      <w:pPr>
        <w:spacing w:line="360" w:lineRule="auto"/>
        <w:rPr>
          <w:rFonts w:cs="宋体" w:asciiTheme="minorEastAsia" w:hAnsiTheme="minorEastAsia"/>
          <w:sz w:val="24"/>
          <w:szCs w:val="24"/>
        </w:rPr>
      </w:pPr>
      <w:r>
        <w:rPr>
          <w:rFonts w:hint="eastAsia" w:cs="宋体" w:asciiTheme="minorEastAsia" w:hAnsiTheme="minorEastAsia"/>
          <w:sz w:val="24"/>
          <w:szCs w:val="24"/>
        </w:rPr>
        <w:t>8.8.5 对设备有关环境和劳动保护的各项技术参数要进行确认，在工作中要做好环境保护和劳动保护设施设备的日常维护和保养，保证其正常使用。</w:t>
      </w:r>
    </w:p>
    <w:p w14:paraId="1E12C6D1">
      <w:pPr>
        <w:spacing w:line="360" w:lineRule="auto"/>
        <w:rPr>
          <w:rFonts w:cs="宋体" w:asciiTheme="minorEastAsia" w:hAnsiTheme="minorEastAsia"/>
          <w:sz w:val="24"/>
          <w:szCs w:val="24"/>
        </w:rPr>
      </w:pPr>
      <w:r>
        <w:rPr>
          <w:rFonts w:hint="eastAsia" w:cs="宋体" w:asciiTheme="minorEastAsia" w:hAnsiTheme="minorEastAsia"/>
          <w:sz w:val="24"/>
          <w:szCs w:val="24"/>
        </w:rPr>
        <w:t xml:space="preserve">8.8.6 对于公司所购买和使用的物品、设备和服务中已识别的环境、职业健康安全风险，建立并保持程序，并将有关的程序和要求通报供应商和合同方。 </w:t>
      </w:r>
    </w:p>
    <w:p w14:paraId="34E33479">
      <w:pPr>
        <w:spacing w:line="360" w:lineRule="auto"/>
        <w:rPr>
          <w:rFonts w:cs="宋体" w:asciiTheme="minorEastAsia" w:hAnsiTheme="minorEastAsia"/>
          <w:sz w:val="24"/>
          <w:szCs w:val="24"/>
        </w:rPr>
      </w:pPr>
      <w:r>
        <w:rPr>
          <w:rFonts w:hint="eastAsia" w:cs="宋体" w:asciiTheme="minorEastAsia" w:hAnsiTheme="minorEastAsia"/>
          <w:sz w:val="24"/>
          <w:szCs w:val="24"/>
        </w:rPr>
        <w:t>8.8.7 建立过程和准则，并保持程序，用于工作场所、过程、装置、运行程序和工作组织的设计，包括考虑与人的能力相适应和采用控制层（消除、代替、控制和重新组织、培训、个体防护装备等），以便从根本上消除或降低职业健康安全风险。</w:t>
      </w:r>
    </w:p>
    <w:p w14:paraId="62CD23A3">
      <w:pPr>
        <w:spacing w:line="360" w:lineRule="auto"/>
        <w:rPr>
          <w:rFonts w:cs="宋体" w:asciiTheme="minorEastAsia" w:hAnsiTheme="minorEastAsia"/>
          <w:sz w:val="24"/>
          <w:szCs w:val="24"/>
        </w:rPr>
      </w:pPr>
      <w:r>
        <w:rPr>
          <w:rFonts w:hint="eastAsia" w:cs="宋体" w:asciiTheme="minorEastAsia" w:hAnsiTheme="minorEastAsia"/>
          <w:sz w:val="24"/>
          <w:szCs w:val="24"/>
        </w:rPr>
        <w:t>8.8.8 对所使用的产品和服务中可标识的重要环境因素，应建立并保持一套管理程序，并将有关的程序与要求通报供应商和合同方。</w:t>
      </w:r>
    </w:p>
    <w:p w14:paraId="56B6B25A">
      <w:pPr>
        <w:spacing w:line="360" w:lineRule="auto"/>
        <w:rPr>
          <w:rFonts w:cs="宋体" w:asciiTheme="minorEastAsia" w:hAnsiTheme="minorEastAsia"/>
          <w:sz w:val="24"/>
          <w:szCs w:val="24"/>
        </w:rPr>
      </w:pPr>
      <w:r>
        <w:rPr>
          <w:rFonts w:hint="eastAsia" w:cs="宋体" w:asciiTheme="minorEastAsia" w:hAnsiTheme="minorEastAsia"/>
          <w:sz w:val="24"/>
          <w:szCs w:val="24"/>
        </w:rPr>
        <w:t>8.8.9 按照运行准则实施过程控制，通过环境运行和程序化的控制应确保本公司在环境保护和推行清洁服务，作好污染预防的同时能有效的实施:</w:t>
      </w:r>
    </w:p>
    <w:p w14:paraId="43793A04">
      <w:pPr>
        <w:spacing w:line="360" w:lineRule="auto"/>
        <w:ind w:firstLine="480" w:firstLineChars="200"/>
        <w:rPr>
          <w:rFonts w:cs="宋体" w:asciiTheme="minorEastAsia" w:hAnsiTheme="minorEastAsia"/>
          <w:sz w:val="24"/>
          <w:szCs w:val="24"/>
        </w:rPr>
      </w:pPr>
      <w:r>
        <w:rPr>
          <w:rFonts w:hint="eastAsia" w:cs="宋体" w:asciiTheme="minorEastAsia" w:hAnsiTheme="minorEastAsia"/>
          <w:sz w:val="24"/>
          <w:szCs w:val="24"/>
        </w:rPr>
        <w:t>a) 对因缺乏程序文件而导致偏离方针、目标与指标的情况得到预防或纠正；</w:t>
      </w:r>
    </w:p>
    <w:p w14:paraId="3DCCDEC5">
      <w:pPr>
        <w:spacing w:line="360" w:lineRule="auto"/>
        <w:ind w:firstLine="480" w:firstLineChars="200"/>
        <w:rPr>
          <w:rFonts w:cs="宋体" w:asciiTheme="minorEastAsia" w:hAnsiTheme="minorEastAsia"/>
          <w:sz w:val="24"/>
          <w:szCs w:val="24"/>
        </w:rPr>
      </w:pPr>
      <w:r>
        <w:rPr>
          <w:rFonts w:hint="eastAsia" w:cs="宋体" w:asciiTheme="minorEastAsia" w:hAnsiTheme="minorEastAsia"/>
          <w:sz w:val="24"/>
          <w:szCs w:val="24"/>
        </w:rPr>
        <w:t>b) 明确对环境保护和实施清洁服务要该遵循的运行准则；</w:t>
      </w:r>
    </w:p>
    <w:p w14:paraId="2C92FBF2">
      <w:pPr>
        <w:spacing w:line="360" w:lineRule="auto"/>
        <w:ind w:firstLine="480" w:firstLineChars="200"/>
        <w:rPr>
          <w:rFonts w:cs="宋体" w:asciiTheme="minorEastAsia" w:hAnsiTheme="minorEastAsia"/>
          <w:sz w:val="24"/>
          <w:szCs w:val="24"/>
        </w:rPr>
      </w:pPr>
      <w:r>
        <w:rPr>
          <w:rFonts w:hint="eastAsia" w:cs="宋体" w:asciiTheme="minorEastAsia" w:hAnsiTheme="minorEastAsia"/>
          <w:sz w:val="24"/>
          <w:szCs w:val="24"/>
        </w:rPr>
        <w:t>c) 确保公司所使用的产品和服务中可标识的重要环境因素与供方达到交流与沟通。</w:t>
      </w:r>
    </w:p>
    <w:p w14:paraId="2F2AF9A3">
      <w:pPr>
        <w:spacing w:line="360" w:lineRule="auto"/>
        <w:rPr>
          <w:rFonts w:cs="宋体" w:asciiTheme="minorEastAsia" w:hAnsiTheme="minorEastAsia"/>
          <w:sz w:val="24"/>
          <w:szCs w:val="24"/>
        </w:rPr>
      </w:pPr>
      <w:r>
        <w:rPr>
          <w:rFonts w:hint="eastAsia" w:cs="宋体" w:asciiTheme="minorEastAsia" w:hAnsiTheme="minorEastAsia"/>
          <w:sz w:val="24"/>
          <w:szCs w:val="24"/>
        </w:rPr>
        <w:t xml:space="preserve">8.8.10 组织应对计划内的变更进行控制，并对非预期性变更的后果予以评审，必要时，应采取措施降低任何有害影响。 </w:t>
      </w:r>
    </w:p>
    <w:p w14:paraId="2D698C44">
      <w:pPr>
        <w:spacing w:line="360" w:lineRule="auto"/>
        <w:rPr>
          <w:rFonts w:cs="宋体" w:asciiTheme="minorEastAsia" w:hAnsiTheme="minorEastAsia"/>
          <w:sz w:val="24"/>
          <w:szCs w:val="24"/>
        </w:rPr>
      </w:pPr>
      <w:r>
        <w:rPr>
          <w:rFonts w:hint="eastAsia" w:cs="宋体" w:asciiTheme="minorEastAsia" w:hAnsiTheme="minorEastAsia"/>
          <w:sz w:val="24"/>
          <w:szCs w:val="24"/>
        </w:rPr>
        <w:t xml:space="preserve">8.8.11 组织应确保对外包过程实施控制或施加影响。应在环境管理体系内规定对这些过程实施控制或施加影响的类型与程度。 </w:t>
      </w:r>
    </w:p>
    <w:p w14:paraId="52E1F914">
      <w:pPr>
        <w:spacing w:line="360" w:lineRule="auto"/>
        <w:rPr>
          <w:rFonts w:cs="宋体" w:asciiTheme="minorEastAsia" w:hAnsiTheme="minorEastAsia"/>
          <w:sz w:val="24"/>
          <w:szCs w:val="24"/>
        </w:rPr>
      </w:pPr>
      <w:r>
        <w:rPr>
          <w:rFonts w:hint="eastAsia" w:cs="宋体" w:asciiTheme="minorEastAsia" w:hAnsiTheme="minorEastAsia"/>
          <w:sz w:val="24"/>
          <w:szCs w:val="24"/>
        </w:rPr>
        <w:t>8.8.12 从生命周期观点出发，组织应：</w:t>
      </w:r>
    </w:p>
    <w:p w14:paraId="79B8F0D7">
      <w:pPr>
        <w:spacing w:line="360" w:lineRule="auto"/>
        <w:ind w:firstLine="480" w:firstLineChars="200"/>
        <w:rPr>
          <w:rFonts w:cs="宋体" w:asciiTheme="minorEastAsia" w:hAnsiTheme="minorEastAsia"/>
          <w:sz w:val="24"/>
          <w:szCs w:val="24"/>
        </w:rPr>
      </w:pPr>
      <w:r>
        <w:rPr>
          <w:rFonts w:hint="eastAsia" w:cs="宋体" w:asciiTheme="minorEastAsia" w:hAnsiTheme="minorEastAsia"/>
          <w:sz w:val="24"/>
          <w:szCs w:val="24"/>
        </w:rPr>
        <w:t xml:space="preserve">a）适当时，制定控制措施，确保在服务过程中，考虑其生命周期的每一阶段，并提出环境要求； </w:t>
      </w:r>
    </w:p>
    <w:p w14:paraId="79D57421">
      <w:pPr>
        <w:spacing w:line="360" w:lineRule="auto"/>
        <w:ind w:firstLine="480" w:firstLineChars="200"/>
        <w:rPr>
          <w:rFonts w:cs="宋体" w:asciiTheme="minorEastAsia" w:hAnsiTheme="minorEastAsia"/>
          <w:sz w:val="24"/>
          <w:szCs w:val="24"/>
        </w:rPr>
      </w:pPr>
      <w:r>
        <w:rPr>
          <w:rFonts w:hint="eastAsia" w:cs="宋体" w:asciiTheme="minorEastAsia" w:hAnsiTheme="minorEastAsia"/>
          <w:sz w:val="24"/>
          <w:szCs w:val="24"/>
        </w:rPr>
        <w:t xml:space="preserve">b）适当时，确定产品和服务采购的环境要求； </w:t>
      </w:r>
    </w:p>
    <w:p w14:paraId="330C5814">
      <w:pPr>
        <w:spacing w:line="360" w:lineRule="auto"/>
        <w:ind w:firstLine="480" w:firstLineChars="200"/>
        <w:rPr>
          <w:rFonts w:cs="宋体" w:asciiTheme="minorEastAsia" w:hAnsiTheme="minorEastAsia"/>
          <w:sz w:val="24"/>
          <w:szCs w:val="24"/>
        </w:rPr>
      </w:pPr>
      <w:r>
        <w:rPr>
          <w:rFonts w:hint="eastAsia" w:cs="宋体" w:asciiTheme="minorEastAsia" w:hAnsiTheme="minorEastAsia"/>
          <w:sz w:val="24"/>
          <w:szCs w:val="24"/>
        </w:rPr>
        <w:t xml:space="preserve">c）与外部供方（包括合同方）沟通其相关环境要求； </w:t>
      </w:r>
    </w:p>
    <w:p w14:paraId="4D8D8D9D">
      <w:pPr>
        <w:spacing w:line="360" w:lineRule="auto"/>
        <w:ind w:firstLine="480" w:firstLineChars="200"/>
        <w:rPr>
          <w:rFonts w:cs="宋体" w:asciiTheme="minorEastAsia" w:hAnsiTheme="minorEastAsia"/>
          <w:sz w:val="24"/>
          <w:szCs w:val="24"/>
        </w:rPr>
      </w:pPr>
      <w:r>
        <w:rPr>
          <w:rFonts w:hint="eastAsia" w:cs="宋体" w:asciiTheme="minorEastAsia" w:hAnsiTheme="minorEastAsia"/>
          <w:sz w:val="24"/>
          <w:szCs w:val="24"/>
        </w:rPr>
        <w:t>d）考虑提供与产品或服务的运输或交付、使用、寿命结束后处理和最终处置相关的潜在重大环境影响的信息的需求。</w:t>
      </w:r>
    </w:p>
    <w:p w14:paraId="111BCF8C">
      <w:pPr>
        <w:spacing w:line="360" w:lineRule="auto"/>
        <w:rPr>
          <w:rFonts w:cs="宋体" w:asciiTheme="minorEastAsia" w:hAnsiTheme="minorEastAsia"/>
          <w:sz w:val="24"/>
          <w:szCs w:val="24"/>
        </w:rPr>
      </w:pPr>
      <w:r>
        <w:rPr>
          <w:rFonts w:hint="eastAsia" w:cs="宋体" w:asciiTheme="minorEastAsia" w:hAnsiTheme="minorEastAsia"/>
          <w:sz w:val="24"/>
          <w:szCs w:val="24"/>
        </w:rPr>
        <w:t>8.8.13相关/引用文件</w:t>
      </w:r>
    </w:p>
    <w:p w14:paraId="0D238053">
      <w:pPr>
        <w:spacing w:line="360" w:lineRule="auto"/>
        <w:rPr>
          <w:rFonts w:cs="宋体" w:asciiTheme="minorEastAsia" w:hAnsiTheme="minorEastAsia"/>
          <w:sz w:val="24"/>
          <w:szCs w:val="24"/>
        </w:rPr>
      </w:pPr>
      <w:r>
        <w:rPr>
          <w:rFonts w:hint="eastAsia" w:cs="宋体" w:asciiTheme="minorEastAsia" w:hAnsiTheme="minorEastAsia"/>
          <w:sz w:val="24"/>
          <w:szCs w:val="24"/>
        </w:rPr>
        <w:t>8.8.13.1《环境因素的识别与评价控制程序》</w:t>
      </w:r>
    </w:p>
    <w:p w14:paraId="572F4D23">
      <w:pPr>
        <w:spacing w:line="360" w:lineRule="auto"/>
        <w:rPr>
          <w:rFonts w:cs="宋体" w:asciiTheme="minorEastAsia" w:hAnsiTheme="minorEastAsia"/>
          <w:sz w:val="24"/>
          <w:szCs w:val="24"/>
        </w:rPr>
      </w:pPr>
      <w:r>
        <w:rPr>
          <w:rFonts w:hint="eastAsia" w:cs="宋体" w:asciiTheme="minorEastAsia" w:hAnsiTheme="minorEastAsia"/>
          <w:sz w:val="24"/>
          <w:szCs w:val="24"/>
        </w:rPr>
        <w:t>8.8.13.2《</w:t>
      </w:r>
      <w:r>
        <w:rPr>
          <w:rFonts w:hint="eastAsia"/>
          <w:sz w:val="24"/>
          <w:szCs w:val="24"/>
        </w:rPr>
        <w:t>危险源辨识、风险评价控制程序</w:t>
      </w:r>
      <w:r>
        <w:rPr>
          <w:rFonts w:hint="eastAsia" w:cs="宋体" w:asciiTheme="minorEastAsia" w:hAnsiTheme="minorEastAsia"/>
          <w:sz w:val="24"/>
          <w:szCs w:val="24"/>
        </w:rPr>
        <w:t>》</w:t>
      </w:r>
    </w:p>
    <w:p w14:paraId="521BA8D8">
      <w:pPr>
        <w:spacing w:line="360" w:lineRule="auto"/>
        <w:rPr>
          <w:rFonts w:cs="宋体" w:asciiTheme="minorEastAsia" w:hAnsiTheme="minorEastAsia"/>
          <w:sz w:val="24"/>
          <w:szCs w:val="24"/>
        </w:rPr>
      </w:pPr>
      <w:r>
        <w:rPr>
          <w:rFonts w:hint="eastAsia" w:cs="宋体" w:asciiTheme="minorEastAsia" w:hAnsiTheme="minorEastAsia"/>
          <w:sz w:val="24"/>
          <w:szCs w:val="24"/>
        </w:rPr>
        <w:t>8.8.13.3《</w:t>
      </w:r>
      <w:r>
        <w:rPr>
          <w:rFonts w:hint="eastAsia"/>
          <w:sz w:val="24"/>
          <w:szCs w:val="24"/>
        </w:rPr>
        <w:t>环境与职业健康安全运行控制程序</w:t>
      </w:r>
      <w:r>
        <w:rPr>
          <w:rFonts w:hint="eastAsia" w:cs="宋体" w:asciiTheme="minorEastAsia" w:hAnsiTheme="minorEastAsia"/>
          <w:sz w:val="24"/>
          <w:szCs w:val="24"/>
        </w:rPr>
        <w:t>》</w:t>
      </w:r>
    </w:p>
    <w:p w14:paraId="74E81ADC">
      <w:pPr>
        <w:spacing w:line="360" w:lineRule="auto"/>
        <w:rPr>
          <w:rFonts w:cs="宋体" w:asciiTheme="minorEastAsia" w:hAnsiTheme="minorEastAsia"/>
          <w:sz w:val="24"/>
          <w:szCs w:val="24"/>
        </w:rPr>
      </w:pPr>
      <w:r>
        <w:rPr>
          <w:rFonts w:hint="eastAsia" w:cs="宋体" w:asciiTheme="minorEastAsia" w:hAnsiTheme="minorEastAsia"/>
          <w:b/>
          <w:sz w:val="24"/>
          <w:szCs w:val="24"/>
        </w:rPr>
        <w:t>8.9  应急准备和响应</w:t>
      </w:r>
    </w:p>
    <w:p w14:paraId="288EA111">
      <w:pPr>
        <w:spacing w:line="360" w:lineRule="auto"/>
        <w:rPr>
          <w:rFonts w:cs="宋体" w:asciiTheme="minorEastAsia" w:hAnsiTheme="minorEastAsia"/>
          <w:sz w:val="24"/>
          <w:szCs w:val="24"/>
        </w:rPr>
      </w:pPr>
      <w:r>
        <w:rPr>
          <w:rFonts w:hint="eastAsia" w:cs="宋体" w:asciiTheme="minorEastAsia" w:hAnsiTheme="minorEastAsia"/>
          <w:sz w:val="24"/>
          <w:szCs w:val="24"/>
        </w:rPr>
        <w:t>8.9.1 组织应建立并执行《应急准备与响应控制程序》应急预案，实施并保持对6.1.1中识别的潜在紧急情况进行应急准备并做出响应。</w:t>
      </w:r>
    </w:p>
    <w:p w14:paraId="28758EA3">
      <w:pPr>
        <w:autoSpaceDE w:val="0"/>
        <w:autoSpaceDN w:val="0"/>
        <w:adjustRightInd w:val="0"/>
        <w:spacing w:line="360" w:lineRule="auto"/>
        <w:ind w:firstLine="480" w:firstLineChars="200"/>
        <w:jc w:val="left"/>
        <w:rPr>
          <w:rFonts w:asciiTheme="minorEastAsia" w:hAnsiTheme="minorEastAsia"/>
          <w:sz w:val="28"/>
          <w:szCs w:val="21"/>
        </w:rPr>
      </w:pPr>
      <w:r>
        <w:rPr>
          <w:rFonts w:hint="eastAsia" w:cs="楷体_GB2312" w:asciiTheme="minorEastAsia" w:hAnsiTheme="minorEastAsia"/>
          <w:kern w:val="0"/>
          <w:sz w:val="24"/>
          <w:szCs w:val="24"/>
        </w:rPr>
        <w:t>包括：</w:t>
      </w:r>
    </w:p>
    <w:p w14:paraId="1C44B92A">
      <w:pPr>
        <w:numPr>
          <w:ilvl w:val="0"/>
          <w:numId w:val="7"/>
        </w:numPr>
        <w:autoSpaceDE w:val="0"/>
        <w:autoSpaceDN w:val="0"/>
        <w:adjustRightInd w:val="0"/>
        <w:spacing w:line="360" w:lineRule="auto"/>
        <w:ind w:left="0" w:firstLine="480" w:firstLineChars="200"/>
        <w:jc w:val="left"/>
        <w:rPr>
          <w:rFonts w:cs="楷体_GB2312" w:asciiTheme="minorEastAsia" w:hAnsiTheme="minorEastAsia"/>
          <w:kern w:val="0"/>
          <w:sz w:val="24"/>
          <w:szCs w:val="24"/>
        </w:rPr>
      </w:pPr>
      <w:r>
        <w:rPr>
          <w:rFonts w:hint="eastAsia" w:cs="楷体_GB2312" w:asciiTheme="minorEastAsia" w:hAnsiTheme="minorEastAsia"/>
          <w:kern w:val="0"/>
          <w:sz w:val="24"/>
          <w:szCs w:val="24"/>
        </w:rPr>
        <w:t>对潜在的或已经发生的事故(事件)和紧急情况作出应急准备和响应，预防和减少随之产生的有害环境影响和疾病、伤害；</w:t>
      </w:r>
    </w:p>
    <w:p w14:paraId="5E54160F">
      <w:pPr>
        <w:numPr>
          <w:ilvl w:val="0"/>
          <w:numId w:val="7"/>
        </w:numPr>
        <w:autoSpaceDE w:val="0"/>
        <w:autoSpaceDN w:val="0"/>
        <w:adjustRightInd w:val="0"/>
        <w:spacing w:line="360" w:lineRule="auto"/>
        <w:ind w:left="0" w:firstLine="480" w:firstLineChars="200"/>
        <w:jc w:val="left"/>
        <w:rPr>
          <w:rFonts w:cs="楷体_GB2312" w:asciiTheme="minorEastAsia" w:hAnsiTheme="minorEastAsia"/>
          <w:kern w:val="0"/>
          <w:sz w:val="24"/>
          <w:szCs w:val="24"/>
        </w:rPr>
      </w:pPr>
      <w:r>
        <w:rPr>
          <w:rFonts w:hint="eastAsia" w:cs="宋体" w:asciiTheme="minorEastAsia" w:hAnsiTheme="minorEastAsia"/>
          <w:sz w:val="24"/>
          <w:szCs w:val="24"/>
        </w:rPr>
        <w:t>由相应的部门针对潜在的事故或紧急情况，制定有针对性的预防措施、应急措施和事故处理整改方案；</w:t>
      </w:r>
    </w:p>
    <w:p w14:paraId="14679DCC">
      <w:pPr>
        <w:numPr>
          <w:ilvl w:val="0"/>
          <w:numId w:val="7"/>
        </w:numPr>
        <w:autoSpaceDE w:val="0"/>
        <w:autoSpaceDN w:val="0"/>
        <w:adjustRightInd w:val="0"/>
        <w:spacing w:line="360" w:lineRule="auto"/>
        <w:ind w:left="0" w:firstLine="480" w:firstLineChars="200"/>
        <w:jc w:val="left"/>
        <w:rPr>
          <w:rFonts w:cs="楷体_GB2312" w:asciiTheme="minorEastAsia" w:hAnsiTheme="minorEastAsia"/>
          <w:kern w:val="0"/>
          <w:sz w:val="24"/>
          <w:szCs w:val="24"/>
        </w:rPr>
      </w:pPr>
      <w:r>
        <w:rPr>
          <w:rFonts w:hint="eastAsia" w:cs="楷体_GB2312" w:asciiTheme="minorEastAsia" w:hAnsiTheme="minorEastAsia"/>
          <w:kern w:val="0"/>
          <w:sz w:val="24"/>
          <w:szCs w:val="24"/>
        </w:rPr>
        <w:t>定期评审应急准备和响应程序的适宜性和有效性，必要时予以修订，特别是当事故或紧急情况发生后；</w:t>
      </w:r>
    </w:p>
    <w:p w14:paraId="6C91E682">
      <w:pPr>
        <w:spacing w:line="360" w:lineRule="auto"/>
        <w:rPr>
          <w:rFonts w:cs="宋体" w:asciiTheme="minorEastAsia" w:hAnsiTheme="minorEastAsia"/>
          <w:sz w:val="24"/>
          <w:szCs w:val="24"/>
        </w:rPr>
      </w:pPr>
      <w:r>
        <w:rPr>
          <w:rFonts w:hint="eastAsia" w:cs="宋体" w:asciiTheme="minorEastAsia" w:hAnsiTheme="minorEastAsia"/>
          <w:sz w:val="24"/>
          <w:szCs w:val="24"/>
        </w:rPr>
        <w:t>8.9.2 组织应：</w:t>
      </w:r>
    </w:p>
    <w:p w14:paraId="7D3CDD2D">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xml:space="preserve">a）通过策划措施做好响应紧急情况的准备，以预防或减轻它所带来的有害环境影响； </w:t>
      </w:r>
    </w:p>
    <w:p w14:paraId="7CB1E261">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xml:space="preserve">b）对实际发生的紧急情况做出响应； </w:t>
      </w:r>
    </w:p>
    <w:p w14:paraId="7C1FB3D2">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xml:space="preserve">c）根据紧急情况和潜在环境影响的程度，采取相适应的措施预防或减轻紧急情况带来的后果； </w:t>
      </w:r>
    </w:p>
    <w:p w14:paraId="043A6AD7">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xml:space="preserve">d）可行时，定期试验所策划的响应措施； </w:t>
      </w:r>
    </w:p>
    <w:p w14:paraId="0731E401">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xml:space="preserve">e）定期评审并修订过程和策划的响应措施，特别是发生紧急情况后或进行试验后； </w:t>
      </w:r>
    </w:p>
    <w:p w14:paraId="4B84EA92">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f）适用时，向有关的相关方，包括在组织控制下工作的人员提供应急准备和响应相关的信息和培训。</w:t>
      </w:r>
    </w:p>
    <w:p w14:paraId="6538B61B">
      <w:pPr>
        <w:spacing w:line="360" w:lineRule="auto"/>
        <w:rPr>
          <w:rFonts w:cs="宋体" w:asciiTheme="minorEastAsia" w:hAnsiTheme="minorEastAsia"/>
          <w:sz w:val="24"/>
          <w:szCs w:val="24"/>
        </w:rPr>
      </w:pPr>
      <w:r>
        <w:rPr>
          <w:rFonts w:hint="eastAsia" w:cs="宋体" w:asciiTheme="minorEastAsia" w:hAnsiTheme="minorEastAsia"/>
          <w:sz w:val="24"/>
          <w:szCs w:val="24"/>
        </w:rPr>
        <w:t>8.9.3相关/引用文件</w:t>
      </w:r>
    </w:p>
    <w:p w14:paraId="6003A1A0">
      <w:pPr>
        <w:spacing w:line="360" w:lineRule="auto"/>
        <w:rPr>
          <w:rFonts w:cs="宋体" w:asciiTheme="minorEastAsia" w:hAnsiTheme="minorEastAsia"/>
          <w:sz w:val="24"/>
          <w:szCs w:val="24"/>
        </w:rPr>
      </w:pPr>
      <w:r>
        <w:rPr>
          <w:rFonts w:hint="eastAsia" w:cs="宋体" w:asciiTheme="minorEastAsia" w:hAnsiTheme="minorEastAsia"/>
          <w:sz w:val="24"/>
          <w:szCs w:val="24"/>
        </w:rPr>
        <w:t>8.9.3.1《应急准备与响应控制程序》</w:t>
      </w:r>
    </w:p>
    <w:p w14:paraId="41C0E2B6">
      <w:pPr>
        <w:spacing w:line="400" w:lineRule="exact"/>
        <w:rPr>
          <w:rFonts w:asciiTheme="minorEastAsia" w:hAnsiTheme="minorEastAsia"/>
          <w:b/>
          <w:sz w:val="28"/>
          <w:szCs w:val="28"/>
        </w:rPr>
      </w:pPr>
      <w:r>
        <w:rPr>
          <w:rFonts w:hint="eastAsia" w:asciiTheme="minorEastAsia" w:hAnsiTheme="minorEastAsia"/>
          <w:b/>
          <w:sz w:val="28"/>
          <w:szCs w:val="28"/>
        </w:rPr>
        <w:br w:type="page"/>
      </w:r>
    </w:p>
    <w:p w14:paraId="77B029F2">
      <w:pPr>
        <w:pStyle w:val="2"/>
        <w:spacing w:before="0" w:after="0" w:line="360" w:lineRule="auto"/>
        <w:rPr>
          <w:rFonts w:cs="宋体" w:asciiTheme="minorEastAsia" w:hAnsiTheme="minorEastAsia"/>
          <w:sz w:val="24"/>
          <w:szCs w:val="15"/>
        </w:rPr>
      </w:pPr>
      <w:r>
        <w:rPr>
          <w:rFonts w:hint="eastAsia" w:cs="宋体" w:asciiTheme="minorEastAsia" w:hAnsiTheme="minorEastAsia"/>
          <w:sz w:val="24"/>
          <w:szCs w:val="15"/>
        </w:rPr>
        <w:t>9 绩效评价</w:t>
      </w:r>
    </w:p>
    <w:p w14:paraId="711BAC8F">
      <w:pPr>
        <w:pStyle w:val="3"/>
        <w:spacing w:before="0" w:after="0" w:line="360" w:lineRule="auto"/>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9.1 监视、测量、分析和评价</w:t>
      </w:r>
    </w:p>
    <w:p w14:paraId="3B724BD7">
      <w:pPr>
        <w:spacing w:line="360" w:lineRule="auto"/>
        <w:rPr>
          <w:rFonts w:cs="宋体" w:asciiTheme="minorEastAsia" w:hAnsiTheme="minorEastAsia"/>
          <w:sz w:val="24"/>
          <w:szCs w:val="24"/>
        </w:rPr>
      </w:pPr>
      <w:r>
        <w:rPr>
          <w:rFonts w:hint="eastAsia" w:cs="宋体" w:asciiTheme="minorEastAsia" w:hAnsiTheme="minorEastAsia"/>
          <w:sz w:val="24"/>
          <w:szCs w:val="24"/>
        </w:rPr>
        <w:t xml:space="preserve">9.1.1 总则 </w:t>
      </w:r>
    </w:p>
    <w:p w14:paraId="4DEF5061">
      <w:pPr>
        <w:spacing w:line="360" w:lineRule="auto"/>
        <w:rPr>
          <w:rFonts w:cs="宋体" w:asciiTheme="minorEastAsia" w:hAnsiTheme="minorEastAsia"/>
          <w:sz w:val="24"/>
          <w:szCs w:val="24"/>
        </w:rPr>
      </w:pPr>
      <w:r>
        <w:rPr>
          <w:rFonts w:hint="eastAsia" w:cs="宋体" w:asciiTheme="minorEastAsia" w:hAnsiTheme="minorEastAsia"/>
          <w:sz w:val="24"/>
          <w:szCs w:val="24"/>
        </w:rPr>
        <w:t xml:space="preserve">9.1.1.1 公司应考虑已确定的风险和机遇，应： </w:t>
      </w:r>
    </w:p>
    <w:p w14:paraId="61B2004F">
      <w:pPr>
        <w:spacing w:line="360" w:lineRule="auto"/>
        <w:ind w:firstLine="523" w:firstLineChars="218"/>
        <w:rPr>
          <w:rFonts w:cs="宋体" w:asciiTheme="minorEastAsia" w:hAnsiTheme="minorEastAsia"/>
          <w:sz w:val="24"/>
          <w:szCs w:val="24"/>
        </w:rPr>
      </w:pPr>
      <w:bookmarkStart w:id="17" w:name="OLE_LINK39"/>
      <w:r>
        <w:rPr>
          <w:rFonts w:hint="eastAsia" w:cs="宋体" w:asciiTheme="minorEastAsia" w:hAnsiTheme="minorEastAsia"/>
          <w:sz w:val="24"/>
          <w:szCs w:val="24"/>
        </w:rPr>
        <w:t xml:space="preserve">a) </w:t>
      </w:r>
      <w:bookmarkEnd w:id="17"/>
      <w:r>
        <w:rPr>
          <w:rFonts w:hint="eastAsia" w:cs="宋体" w:asciiTheme="minorEastAsia" w:hAnsiTheme="minorEastAsia"/>
          <w:sz w:val="24"/>
          <w:szCs w:val="24"/>
        </w:rPr>
        <w:t>确定监视和测量的对象和内容，以便：</w:t>
      </w:r>
    </w:p>
    <w:p w14:paraId="1BEE2FCD">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xml:space="preserve"> ——证实服务的符合性；</w:t>
      </w:r>
    </w:p>
    <w:p w14:paraId="1506052A">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xml:space="preserve"> ——评价过程质量绩效、环境绩效和职业健康安全管理绩效；</w:t>
      </w:r>
    </w:p>
    <w:p w14:paraId="00971B2A">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xml:space="preserve"> ——确保质量/环境/职业健康安全管理体系的符合性和有效性；</w:t>
      </w:r>
    </w:p>
    <w:p w14:paraId="60DF876F">
      <w:pPr>
        <w:spacing w:line="360" w:lineRule="auto"/>
        <w:ind w:firstLine="523" w:firstLineChars="218"/>
        <w:rPr>
          <w:rFonts w:cs="宋体" w:asciiTheme="minorEastAsia" w:hAnsiTheme="minorEastAsia"/>
          <w:sz w:val="24"/>
          <w:szCs w:val="24"/>
        </w:rPr>
      </w:pPr>
      <w:bookmarkStart w:id="18" w:name="OLE_LINK40"/>
      <w:r>
        <w:rPr>
          <w:rFonts w:hint="eastAsia" w:cs="宋体" w:asciiTheme="minorEastAsia" w:hAnsiTheme="minorEastAsia"/>
          <w:sz w:val="24"/>
          <w:szCs w:val="24"/>
        </w:rPr>
        <w:t>——</w:t>
      </w:r>
      <w:bookmarkEnd w:id="18"/>
      <w:r>
        <w:rPr>
          <w:rFonts w:hint="eastAsia" w:cs="宋体" w:asciiTheme="minorEastAsia" w:hAnsiTheme="minorEastAsia"/>
          <w:sz w:val="24"/>
          <w:szCs w:val="24"/>
        </w:rPr>
        <w:t>评价顾客满意度；</w:t>
      </w:r>
    </w:p>
    <w:p w14:paraId="18999111">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b) 评价外部供方的业绩；</w:t>
      </w:r>
    </w:p>
    <w:p w14:paraId="30EE933E">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xml:space="preserve">c) 确定监视、测量（适用时)、分析和评价的方法，以确保结果可行；  </w:t>
      </w:r>
    </w:p>
    <w:p w14:paraId="1E5507B7">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d) 组织评价其环境绩效所依据的准则和适当的参数；</w:t>
      </w:r>
    </w:p>
    <w:p w14:paraId="6703705A">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xml:space="preserve">e) 确定监视和测量的时机，何时应实施监视和测量； </w:t>
      </w:r>
    </w:p>
    <w:p w14:paraId="73B19983">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xml:space="preserve">e) 确定何时对监测和测量结果进行分析和评价； </w:t>
      </w:r>
    </w:p>
    <w:p w14:paraId="303AFD2B">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xml:space="preserve">f) 确定所需的质量/环境/职业健康安全管理体系绩效指标。 </w:t>
      </w:r>
    </w:p>
    <w:p w14:paraId="2E725778">
      <w:pPr>
        <w:spacing w:line="360" w:lineRule="auto"/>
        <w:rPr>
          <w:rFonts w:cs="宋体" w:asciiTheme="minorEastAsia" w:hAnsiTheme="minorEastAsia"/>
          <w:sz w:val="24"/>
          <w:szCs w:val="24"/>
        </w:rPr>
      </w:pPr>
      <w:r>
        <w:rPr>
          <w:rFonts w:hint="eastAsia" w:cs="宋体" w:asciiTheme="minorEastAsia" w:hAnsiTheme="minorEastAsia"/>
          <w:sz w:val="24"/>
          <w:szCs w:val="24"/>
        </w:rPr>
        <w:t xml:space="preserve">9.1.1.2 适当时，组织应确保使用经校准或经验证的监视和测量设备，并对其予以维护。 </w:t>
      </w:r>
    </w:p>
    <w:p w14:paraId="0063262D">
      <w:pPr>
        <w:spacing w:line="360" w:lineRule="auto"/>
        <w:rPr>
          <w:rFonts w:cs="宋体" w:asciiTheme="minorEastAsia" w:hAnsiTheme="minorEastAsia"/>
          <w:sz w:val="24"/>
          <w:szCs w:val="24"/>
        </w:rPr>
      </w:pPr>
      <w:r>
        <w:rPr>
          <w:rFonts w:hint="eastAsia" w:cs="宋体" w:asciiTheme="minorEastAsia" w:hAnsiTheme="minorEastAsia"/>
          <w:sz w:val="24"/>
          <w:szCs w:val="24"/>
        </w:rPr>
        <w:t xml:space="preserve">9.1.1.3 组织应评价其环境和职业健康安全绩效和管理体系的有效性。 </w:t>
      </w:r>
    </w:p>
    <w:p w14:paraId="1BE3F3E5">
      <w:pPr>
        <w:spacing w:line="360" w:lineRule="auto"/>
        <w:rPr>
          <w:rFonts w:cs="宋体" w:asciiTheme="minorEastAsia" w:hAnsiTheme="minorEastAsia"/>
          <w:sz w:val="24"/>
          <w:szCs w:val="24"/>
        </w:rPr>
      </w:pPr>
      <w:r>
        <w:rPr>
          <w:rFonts w:hint="eastAsia" w:cs="宋体" w:asciiTheme="minorEastAsia" w:hAnsiTheme="minorEastAsia"/>
          <w:sz w:val="24"/>
          <w:szCs w:val="24"/>
        </w:rPr>
        <w:t>9.1.1.4 组织应按其建立的信息交流过程的规定及其合规义务的要求，就有关环境绩效的信息进行内部和外部信息交流。</w:t>
      </w:r>
    </w:p>
    <w:p w14:paraId="1A1D4A15">
      <w:pPr>
        <w:spacing w:line="360" w:lineRule="auto"/>
        <w:rPr>
          <w:rFonts w:cs="宋体" w:asciiTheme="minorEastAsia" w:hAnsiTheme="minorEastAsia"/>
          <w:sz w:val="24"/>
          <w:szCs w:val="24"/>
        </w:rPr>
      </w:pPr>
      <w:r>
        <w:rPr>
          <w:rFonts w:hint="eastAsia" w:cs="宋体" w:asciiTheme="minorEastAsia" w:hAnsiTheme="minorEastAsia"/>
          <w:sz w:val="24"/>
          <w:szCs w:val="24"/>
        </w:rPr>
        <w:t>9.1.1.5 公司应建立过程，以确保监视和测量活动与监视和测量要求相一致的方式实施。</w:t>
      </w:r>
    </w:p>
    <w:p w14:paraId="78A67F2E">
      <w:pPr>
        <w:spacing w:line="360" w:lineRule="auto"/>
        <w:rPr>
          <w:rFonts w:cs="宋体" w:asciiTheme="minorEastAsia" w:hAnsiTheme="minorEastAsia"/>
          <w:sz w:val="24"/>
          <w:szCs w:val="24"/>
        </w:rPr>
      </w:pPr>
      <w:r>
        <w:rPr>
          <w:rFonts w:hint="eastAsia" w:cs="宋体" w:asciiTheme="minorEastAsia" w:hAnsiTheme="minorEastAsia"/>
          <w:sz w:val="24"/>
          <w:szCs w:val="24"/>
        </w:rPr>
        <w:t>9.1.1.6 环境和职业健康安全的监测和测量</w:t>
      </w:r>
    </w:p>
    <w:p w14:paraId="15F77487">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通过《</w:t>
      </w:r>
      <w:r>
        <w:rPr>
          <w:rFonts w:hint="eastAsia"/>
          <w:sz w:val="24"/>
          <w:szCs w:val="24"/>
        </w:rPr>
        <w:t>环境及安全监视和测量控制程序</w:t>
      </w:r>
      <w:r>
        <w:rPr>
          <w:rFonts w:hint="eastAsia" w:cs="宋体" w:asciiTheme="minorEastAsia" w:hAnsiTheme="minorEastAsia"/>
          <w:sz w:val="24"/>
          <w:szCs w:val="24"/>
        </w:rPr>
        <w:t>》的相关规定对具有或可能具有重大环境影响和职业健康安全风险的活动及其关键特性进行监测和测量，通过监测和测量结果对质量/环境/职业健康安全方针、目标、指标、有关法律、法规、标准的符合性程度进行评价。</w:t>
      </w:r>
    </w:p>
    <w:p w14:paraId="53ABE63E">
      <w:pPr>
        <w:autoSpaceDE w:val="0"/>
        <w:autoSpaceDN w:val="0"/>
        <w:adjustRightInd w:val="0"/>
        <w:spacing w:line="360" w:lineRule="auto"/>
        <w:ind w:firstLine="480" w:firstLineChars="200"/>
        <w:jc w:val="left"/>
        <w:rPr>
          <w:rFonts w:cs="宋体" w:asciiTheme="minorEastAsia" w:hAnsiTheme="minorEastAsia"/>
          <w:sz w:val="24"/>
          <w:szCs w:val="24"/>
        </w:rPr>
      </w:pPr>
      <w:r>
        <w:rPr>
          <w:rFonts w:hint="eastAsia" w:cs="宋体" w:asciiTheme="minorEastAsia" w:hAnsiTheme="minorEastAsia"/>
          <w:sz w:val="24"/>
          <w:szCs w:val="24"/>
        </w:rPr>
        <w:t>a) 公司各相关部门负责实施本单位职责范围内的监控、监测和监督活动；</w:t>
      </w:r>
    </w:p>
    <w:p w14:paraId="6CA725C1">
      <w:pPr>
        <w:autoSpaceDE w:val="0"/>
        <w:autoSpaceDN w:val="0"/>
        <w:adjustRightInd w:val="0"/>
        <w:spacing w:line="360" w:lineRule="auto"/>
        <w:ind w:firstLine="480" w:firstLineChars="200"/>
        <w:jc w:val="left"/>
        <w:rPr>
          <w:rFonts w:cs="楷体_GB2312" w:asciiTheme="minorEastAsia" w:hAnsiTheme="minorEastAsia"/>
          <w:kern w:val="0"/>
          <w:sz w:val="24"/>
          <w:szCs w:val="24"/>
        </w:rPr>
      </w:pPr>
      <w:r>
        <w:rPr>
          <w:rFonts w:hint="eastAsia" w:cs="宋体" w:asciiTheme="minorEastAsia" w:hAnsiTheme="minorEastAsia"/>
          <w:sz w:val="24"/>
          <w:szCs w:val="24"/>
        </w:rPr>
        <w:t>b) 监测指对环境和职业健康安全影响或具有影响的活动的易于量化的关键特性进行测量的过程，</w:t>
      </w:r>
      <w:r>
        <w:rPr>
          <w:rFonts w:hint="eastAsia" w:cs="楷体_GB2312" w:asciiTheme="minorEastAsia" w:hAnsiTheme="minorEastAsia"/>
          <w:kern w:val="0"/>
          <w:sz w:val="24"/>
          <w:szCs w:val="24"/>
        </w:rPr>
        <w:t>建立、实施并保持绩效监视和测量。包括：</w:t>
      </w:r>
    </w:p>
    <w:p w14:paraId="027FA414">
      <w:pPr>
        <w:autoSpaceDE w:val="0"/>
        <w:autoSpaceDN w:val="0"/>
        <w:adjustRightInd w:val="0"/>
        <w:spacing w:line="360" w:lineRule="auto"/>
        <w:ind w:left="420" w:leftChars="200"/>
        <w:jc w:val="left"/>
        <w:rPr>
          <w:rFonts w:cs="楷体_GB2312" w:asciiTheme="minorEastAsia" w:hAnsiTheme="minorEastAsia"/>
          <w:kern w:val="0"/>
          <w:sz w:val="24"/>
          <w:szCs w:val="24"/>
        </w:rPr>
      </w:pPr>
      <w:r>
        <w:rPr>
          <w:rFonts w:hint="eastAsia" w:cs="宋体" w:asciiTheme="minorEastAsia" w:hAnsiTheme="minorEastAsia"/>
          <w:sz w:val="24"/>
          <w:szCs w:val="24"/>
        </w:rPr>
        <w:t>——</w:t>
      </w:r>
      <w:r>
        <w:rPr>
          <w:rFonts w:hint="eastAsia" w:cs="楷体_GB2312" w:asciiTheme="minorEastAsia" w:hAnsiTheme="minorEastAsia"/>
          <w:kern w:val="0"/>
          <w:sz w:val="24"/>
          <w:szCs w:val="24"/>
        </w:rPr>
        <w:t>对可能具有重大环境因素影响和重大风险运行的关键特性进行例行监视和测量；</w:t>
      </w:r>
    </w:p>
    <w:p w14:paraId="07F7C166">
      <w:pPr>
        <w:autoSpaceDE w:val="0"/>
        <w:autoSpaceDN w:val="0"/>
        <w:adjustRightInd w:val="0"/>
        <w:spacing w:line="360" w:lineRule="auto"/>
        <w:ind w:left="420" w:leftChars="200"/>
        <w:jc w:val="left"/>
        <w:rPr>
          <w:rFonts w:cs="楷体_GB2312" w:asciiTheme="minorEastAsia" w:hAnsiTheme="minorEastAsia"/>
          <w:kern w:val="0"/>
          <w:sz w:val="24"/>
          <w:szCs w:val="24"/>
        </w:rPr>
      </w:pPr>
      <w:r>
        <w:rPr>
          <w:rFonts w:hint="eastAsia" w:cs="宋体" w:asciiTheme="minorEastAsia" w:hAnsiTheme="minorEastAsia"/>
          <w:sz w:val="24"/>
          <w:szCs w:val="24"/>
        </w:rPr>
        <w:t>——</w:t>
      </w:r>
      <w:r>
        <w:rPr>
          <w:rFonts w:hint="eastAsia" w:cs="楷体_GB2312" w:asciiTheme="minorEastAsia" w:hAnsiTheme="minorEastAsia"/>
          <w:kern w:val="0"/>
          <w:sz w:val="24"/>
          <w:szCs w:val="24"/>
        </w:rPr>
        <w:t>对环境和职业健康安全管理绩效、运行控制、目标和指标符合性及满足程度的监视和测量；</w:t>
      </w:r>
    </w:p>
    <w:p w14:paraId="793EBA03">
      <w:pPr>
        <w:autoSpaceDE w:val="0"/>
        <w:autoSpaceDN w:val="0"/>
        <w:adjustRightInd w:val="0"/>
        <w:spacing w:line="360" w:lineRule="auto"/>
        <w:ind w:left="420" w:leftChars="200"/>
        <w:jc w:val="left"/>
        <w:rPr>
          <w:rFonts w:cs="楷体_GB2312" w:asciiTheme="minorEastAsia" w:hAnsiTheme="minorEastAsia"/>
          <w:kern w:val="0"/>
          <w:sz w:val="24"/>
          <w:szCs w:val="24"/>
        </w:rPr>
      </w:pPr>
      <w:r>
        <w:rPr>
          <w:rFonts w:hint="eastAsia" w:cs="宋体" w:asciiTheme="minorEastAsia" w:hAnsiTheme="minorEastAsia"/>
          <w:sz w:val="24"/>
          <w:szCs w:val="24"/>
        </w:rPr>
        <w:t>——</w:t>
      </w:r>
      <w:r>
        <w:rPr>
          <w:rFonts w:hint="eastAsia" w:cs="楷体_GB2312" w:asciiTheme="minorEastAsia" w:hAnsiTheme="minorEastAsia"/>
          <w:kern w:val="0"/>
          <w:sz w:val="24"/>
          <w:szCs w:val="24"/>
        </w:rPr>
        <w:t>对职业健康安全管理方案、运行准则和适用的法规要求的符合性及满足程度的测量。具体按《合规性评价控制程序》执行；</w:t>
      </w:r>
    </w:p>
    <w:p w14:paraId="79722C2F">
      <w:pPr>
        <w:autoSpaceDE w:val="0"/>
        <w:autoSpaceDN w:val="0"/>
        <w:adjustRightInd w:val="0"/>
        <w:spacing w:line="360" w:lineRule="auto"/>
        <w:ind w:left="420" w:leftChars="200"/>
        <w:jc w:val="left"/>
        <w:rPr>
          <w:rFonts w:cs="楷体_GB2312" w:asciiTheme="minorEastAsia" w:hAnsiTheme="minorEastAsia"/>
          <w:kern w:val="0"/>
          <w:sz w:val="24"/>
          <w:szCs w:val="24"/>
        </w:rPr>
      </w:pPr>
      <w:bookmarkStart w:id="19" w:name="OLE_LINK41"/>
      <w:r>
        <w:rPr>
          <w:rFonts w:hint="eastAsia" w:cs="宋体" w:asciiTheme="minorEastAsia" w:hAnsiTheme="minorEastAsia"/>
          <w:sz w:val="24"/>
          <w:szCs w:val="24"/>
        </w:rPr>
        <w:t>——</w:t>
      </w:r>
      <w:bookmarkEnd w:id="19"/>
      <w:r>
        <w:rPr>
          <w:rFonts w:hint="eastAsia" w:cs="楷体_GB2312" w:asciiTheme="minorEastAsia" w:hAnsiTheme="minorEastAsia"/>
          <w:kern w:val="0"/>
          <w:sz w:val="24"/>
          <w:szCs w:val="24"/>
        </w:rPr>
        <w:t>对事故、疾病、事件和其他不良职业健康安全绩效的历史证据的测量；</w:t>
      </w:r>
    </w:p>
    <w:p w14:paraId="0E3EC7F5">
      <w:pPr>
        <w:autoSpaceDE w:val="0"/>
        <w:autoSpaceDN w:val="0"/>
        <w:adjustRightInd w:val="0"/>
        <w:spacing w:line="360" w:lineRule="auto"/>
        <w:ind w:left="420" w:leftChars="200"/>
        <w:jc w:val="left"/>
        <w:rPr>
          <w:rFonts w:cs="楷体_GB2312" w:asciiTheme="minorEastAsia" w:hAnsiTheme="minorEastAsia"/>
          <w:kern w:val="0"/>
          <w:sz w:val="24"/>
          <w:szCs w:val="24"/>
        </w:rPr>
      </w:pPr>
      <w:r>
        <w:rPr>
          <w:rFonts w:hint="eastAsia" w:cs="宋体" w:asciiTheme="minorEastAsia" w:hAnsiTheme="minorEastAsia"/>
          <w:sz w:val="24"/>
          <w:szCs w:val="24"/>
        </w:rPr>
        <w:t>——</w:t>
      </w:r>
      <w:r>
        <w:rPr>
          <w:rFonts w:hint="eastAsia" w:cs="楷体_GB2312" w:asciiTheme="minorEastAsia" w:hAnsiTheme="minorEastAsia"/>
          <w:kern w:val="0"/>
          <w:sz w:val="24"/>
          <w:szCs w:val="24"/>
        </w:rPr>
        <w:t>记录充分的监视和测量的数据及结果，并予保存，以便于后面的纠正和预防措施的分析；</w:t>
      </w:r>
    </w:p>
    <w:p w14:paraId="616D4791">
      <w:pPr>
        <w:autoSpaceDE w:val="0"/>
        <w:autoSpaceDN w:val="0"/>
        <w:adjustRightInd w:val="0"/>
        <w:spacing w:line="360" w:lineRule="auto"/>
        <w:ind w:left="420" w:leftChars="200"/>
        <w:jc w:val="left"/>
        <w:rPr>
          <w:rFonts w:cs="楷体_GB2312" w:asciiTheme="minorEastAsia" w:hAnsiTheme="minorEastAsia"/>
          <w:kern w:val="0"/>
          <w:sz w:val="24"/>
          <w:szCs w:val="24"/>
        </w:rPr>
      </w:pPr>
      <w:r>
        <w:rPr>
          <w:rFonts w:hint="eastAsia" w:cs="宋体" w:asciiTheme="minorEastAsia" w:hAnsiTheme="minorEastAsia"/>
          <w:sz w:val="24"/>
          <w:szCs w:val="24"/>
        </w:rPr>
        <w:t>——</w:t>
      </w:r>
      <w:r>
        <w:rPr>
          <w:rFonts w:hint="eastAsia" w:cs="楷体_GB2312" w:asciiTheme="minorEastAsia" w:hAnsiTheme="minorEastAsia"/>
          <w:kern w:val="0"/>
          <w:sz w:val="24"/>
          <w:szCs w:val="24"/>
        </w:rPr>
        <w:t>确保监视和测量所需的设备经过校准或验证，并予以维护，同时保存相关校准和维护及其结果的记录。</w:t>
      </w:r>
    </w:p>
    <w:p w14:paraId="6544E8CC">
      <w:pPr>
        <w:spacing w:line="360" w:lineRule="auto"/>
        <w:rPr>
          <w:rFonts w:cs="宋体" w:asciiTheme="minorEastAsia" w:hAnsiTheme="minorEastAsia"/>
          <w:sz w:val="24"/>
          <w:szCs w:val="24"/>
        </w:rPr>
      </w:pPr>
      <w:r>
        <w:rPr>
          <w:rFonts w:hint="eastAsia" w:cs="宋体" w:asciiTheme="minorEastAsia" w:hAnsiTheme="minorEastAsia"/>
          <w:sz w:val="24"/>
          <w:szCs w:val="24"/>
        </w:rPr>
        <w:t xml:space="preserve">9.1.2 顾客满意 </w:t>
      </w:r>
    </w:p>
    <w:p w14:paraId="61673A2D">
      <w:pPr>
        <w:spacing w:line="360" w:lineRule="auto"/>
        <w:rPr>
          <w:rFonts w:cs="宋体" w:asciiTheme="minorEastAsia" w:hAnsiTheme="minorEastAsia"/>
          <w:sz w:val="24"/>
          <w:szCs w:val="24"/>
        </w:rPr>
      </w:pPr>
      <w:r>
        <w:rPr>
          <w:rFonts w:hint="eastAsia" w:cs="宋体" w:asciiTheme="minorEastAsia" w:hAnsiTheme="minorEastAsia"/>
          <w:sz w:val="24"/>
          <w:szCs w:val="24"/>
        </w:rPr>
        <w:t>9.1.2.1业务部应收集有关顾客对公司服务满意和/或不满意的信息，作为质量/环境/职业健康安全管理体系实施业绩的一种测量手段；</w:t>
      </w:r>
    </w:p>
    <w:p w14:paraId="2B84A2AA">
      <w:pPr>
        <w:spacing w:line="360" w:lineRule="auto"/>
        <w:rPr>
          <w:rFonts w:cs="宋体" w:asciiTheme="minorEastAsia" w:hAnsiTheme="minorEastAsia"/>
          <w:sz w:val="24"/>
          <w:szCs w:val="24"/>
        </w:rPr>
      </w:pPr>
      <w:r>
        <w:rPr>
          <w:rFonts w:hint="eastAsia" w:cs="宋体" w:asciiTheme="minorEastAsia" w:hAnsiTheme="minorEastAsia"/>
          <w:sz w:val="24"/>
          <w:szCs w:val="24"/>
        </w:rPr>
        <w:t>9.1.2.2 公司《顾客投诉及满意测量控制程序》规定收集并分析这些信息的方法；</w:t>
      </w:r>
    </w:p>
    <w:p w14:paraId="52F42436">
      <w:pPr>
        <w:spacing w:line="360" w:lineRule="auto"/>
        <w:rPr>
          <w:rFonts w:cs="宋体" w:asciiTheme="minorEastAsia" w:hAnsiTheme="minorEastAsia"/>
          <w:sz w:val="24"/>
          <w:szCs w:val="24"/>
        </w:rPr>
      </w:pPr>
      <w:r>
        <w:rPr>
          <w:rFonts w:hint="eastAsia" w:cs="宋体" w:asciiTheme="minorEastAsia" w:hAnsiTheme="minorEastAsia"/>
          <w:sz w:val="24"/>
          <w:szCs w:val="24"/>
        </w:rPr>
        <w:t>9.1.2.3 监视顾客感受的例子可包括顾客调查、顾客对交付服务的反馈、顾客会晤、市场占有率分析、赞扬、担保索赔和经销商报告。</w:t>
      </w:r>
    </w:p>
    <w:p w14:paraId="6334682E">
      <w:pPr>
        <w:spacing w:line="360" w:lineRule="auto"/>
        <w:rPr>
          <w:rFonts w:cs="宋体" w:asciiTheme="minorEastAsia" w:hAnsiTheme="minorEastAsia"/>
          <w:sz w:val="24"/>
          <w:szCs w:val="24"/>
        </w:rPr>
      </w:pPr>
      <w:r>
        <w:rPr>
          <w:rFonts w:hint="eastAsia" w:cs="宋体" w:asciiTheme="minorEastAsia" w:hAnsiTheme="minorEastAsia"/>
          <w:sz w:val="24"/>
          <w:szCs w:val="24"/>
        </w:rPr>
        <w:t xml:space="preserve">9.1.3 分析与评价 </w:t>
      </w:r>
    </w:p>
    <w:p w14:paraId="4E247C04">
      <w:pPr>
        <w:spacing w:line="360" w:lineRule="auto"/>
        <w:rPr>
          <w:rFonts w:cs="宋体" w:asciiTheme="minorEastAsia" w:hAnsiTheme="minorEastAsia"/>
          <w:sz w:val="24"/>
          <w:szCs w:val="24"/>
        </w:rPr>
      </w:pPr>
      <w:r>
        <w:rPr>
          <w:rFonts w:hint="eastAsia" w:cs="宋体" w:asciiTheme="minorEastAsia" w:hAnsiTheme="minorEastAsia"/>
          <w:sz w:val="24"/>
          <w:szCs w:val="24"/>
        </w:rPr>
        <w:t>9.1.3.1办公室应确定数据分析的应用场所及应用方法，各部门应收集和分析适用数据，以确定质量/环境/职业健康安全管理体系的适用性和有效性，并规定采取的改进的措施。包括通过监视和测量活动以及其他相关来源所产生的数据。公司应分析这些数据，以获得下列信息：</w:t>
      </w:r>
    </w:p>
    <w:p w14:paraId="20ABE135">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xml:space="preserve">a）服务的符合性； </w:t>
      </w:r>
    </w:p>
    <w:p w14:paraId="002E4A1C">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xml:space="preserve">b）顾客满意程度； </w:t>
      </w:r>
    </w:p>
    <w:p w14:paraId="4A2DA162">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xml:space="preserve">c）质量/环境/职业健康安全管理体系的绩效和有效性； </w:t>
      </w:r>
    </w:p>
    <w:p w14:paraId="48985FE1">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xml:space="preserve">d）策划是否得到有效实施； </w:t>
      </w:r>
    </w:p>
    <w:p w14:paraId="60051F55">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xml:space="preserve">e）针对风险和机遇所采取措施的有效性； </w:t>
      </w:r>
    </w:p>
    <w:p w14:paraId="352E0FEF">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xml:space="preserve">f）外部供方的绩效； </w:t>
      </w:r>
    </w:p>
    <w:p w14:paraId="5AF6AC9E">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g）质量/环境/职业健康安全管理体系改进的需求。</w:t>
      </w:r>
    </w:p>
    <w:p w14:paraId="3ACD577F">
      <w:pPr>
        <w:spacing w:line="360" w:lineRule="auto"/>
        <w:rPr>
          <w:rFonts w:cs="宋体" w:asciiTheme="minorEastAsia" w:hAnsiTheme="minorEastAsia"/>
          <w:sz w:val="24"/>
          <w:szCs w:val="24"/>
        </w:rPr>
      </w:pPr>
      <w:r>
        <w:rPr>
          <w:rFonts w:hint="eastAsia" w:cs="宋体" w:asciiTheme="minorEastAsia" w:hAnsiTheme="minorEastAsia"/>
          <w:sz w:val="24"/>
          <w:szCs w:val="24"/>
        </w:rPr>
        <w:t xml:space="preserve">9.1.4 合规性评价 </w:t>
      </w:r>
    </w:p>
    <w:p w14:paraId="50BBDA7C">
      <w:pPr>
        <w:spacing w:line="360" w:lineRule="auto"/>
        <w:rPr>
          <w:rFonts w:cs="宋体" w:asciiTheme="minorEastAsia" w:hAnsiTheme="minorEastAsia"/>
          <w:sz w:val="24"/>
          <w:szCs w:val="24"/>
        </w:rPr>
      </w:pPr>
      <w:r>
        <w:rPr>
          <w:rFonts w:hint="eastAsia" w:cs="宋体" w:asciiTheme="minorEastAsia" w:hAnsiTheme="minorEastAsia"/>
          <w:sz w:val="24"/>
          <w:szCs w:val="24"/>
        </w:rPr>
        <w:t>9.1.4.1 组织建立和实施《合规性评价控制程序》，明确合规性评价的相关要求。</w:t>
      </w:r>
    </w:p>
    <w:p w14:paraId="4ED89FF3">
      <w:pPr>
        <w:spacing w:line="360" w:lineRule="auto"/>
        <w:rPr>
          <w:rFonts w:cs="宋体" w:asciiTheme="minorEastAsia" w:hAnsiTheme="minorEastAsia"/>
          <w:sz w:val="24"/>
          <w:szCs w:val="24"/>
        </w:rPr>
      </w:pPr>
      <w:r>
        <w:rPr>
          <w:rFonts w:hint="eastAsia" w:cs="宋体" w:asciiTheme="minorEastAsia" w:hAnsiTheme="minorEastAsia"/>
          <w:sz w:val="24"/>
          <w:szCs w:val="24"/>
        </w:rPr>
        <w:t>9.1.4.2 管理者代表每年组织（每年至少一次，一般在年初或年末，中间间隔不超过12个月）对全公司经营、服务活动遵守有关的环境安全方面的法律法规及其他要求的情况进行必要的评价。</w:t>
      </w:r>
    </w:p>
    <w:p w14:paraId="458464BE">
      <w:pPr>
        <w:spacing w:line="360" w:lineRule="auto"/>
        <w:rPr>
          <w:rFonts w:cs="宋体" w:asciiTheme="minorEastAsia" w:hAnsiTheme="minorEastAsia"/>
          <w:sz w:val="24"/>
          <w:szCs w:val="24"/>
        </w:rPr>
      </w:pPr>
      <w:r>
        <w:rPr>
          <w:rFonts w:hint="eastAsia" w:cs="宋体" w:asciiTheme="minorEastAsia" w:hAnsiTheme="minorEastAsia"/>
          <w:sz w:val="24"/>
          <w:szCs w:val="24"/>
        </w:rPr>
        <w:t>9.1.4.3 对组织的合规性进行评价，对未合规的过程或活动采取相应的改进措施，保证管理体系的持续有效。</w:t>
      </w:r>
    </w:p>
    <w:p w14:paraId="04AE8B05">
      <w:pPr>
        <w:spacing w:line="360" w:lineRule="auto"/>
        <w:rPr>
          <w:rFonts w:cs="宋体" w:asciiTheme="minorEastAsia" w:hAnsiTheme="minorEastAsia"/>
          <w:sz w:val="24"/>
          <w:szCs w:val="24"/>
        </w:rPr>
      </w:pPr>
      <w:r>
        <w:rPr>
          <w:rFonts w:hint="eastAsia" w:cs="宋体" w:asciiTheme="minorEastAsia" w:hAnsiTheme="minorEastAsia"/>
          <w:sz w:val="24"/>
          <w:szCs w:val="24"/>
        </w:rPr>
        <w:t>9.1.4.4 在召开管理评审会议时,对所应该履行的法律法规要求的承诺和应遵循的其他要求的遵守情况进行汇报,提交讨论，保持其合规情况的知识和对其合规情况的理解。</w:t>
      </w:r>
    </w:p>
    <w:p w14:paraId="5E950C78">
      <w:pPr>
        <w:spacing w:line="360" w:lineRule="auto"/>
        <w:rPr>
          <w:rFonts w:cs="宋体" w:asciiTheme="minorEastAsia" w:hAnsiTheme="minorEastAsia"/>
          <w:sz w:val="24"/>
          <w:szCs w:val="24"/>
        </w:rPr>
      </w:pPr>
      <w:r>
        <w:rPr>
          <w:rFonts w:hint="eastAsia" w:cs="宋体" w:asciiTheme="minorEastAsia" w:hAnsiTheme="minorEastAsia"/>
          <w:sz w:val="24"/>
          <w:szCs w:val="24"/>
        </w:rPr>
        <w:t>9.1.4.5 组织应保留文件化信息，作为合规性评价结果的证据。</w:t>
      </w:r>
    </w:p>
    <w:p w14:paraId="6F94826E">
      <w:pPr>
        <w:spacing w:line="360" w:lineRule="auto"/>
        <w:rPr>
          <w:rFonts w:cs="宋体" w:asciiTheme="minorEastAsia" w:hAnsiTheme="minorEastAsia"/>
          <w:sz w:val="24"/>
          <w:szCs w:val="24"/>
        </w:rPr>
      </w:pPr>
      <w:r>
        <w:rPr>
          <w:rFonts w:hint="eastAsia" w:cs="宋体" w:asciiTheme="minorEastAsia" w:hAnsiTheme="minorEastAsia"/>
          <w:sz w:val="24"/>
          <w:szCs w:val="24"/>
        </w:rPr>
        <w:t>9.1.5相关/引用文件</w:t>
      </w:r>
    </w:p>
    <w:p w14:paraId="575D325A">
      <w:pPr>
        <w:spacing w:line="360" w:lineRule="auto"/>
        <w:rPr>
          <w:rFonts w:cs="宋体" w:asciiTheme="minorEastAsia" w:hAnsiTheme="minorEastAsia"/>
          <w:sz w:val="24"/>
          <w:szCs w:val="24"/>
        </w:rPr>
      </w:pPr>
      <w:r>
        <w:rPr>
          <w:rFonts w:hint="eastAsia" w:cs="宋体" w:asciiTheme="minorEastAsia" w:hAnsiTheme="minorEastAsia"/>
          <w:sz w:val="24"/>
          <w:szCs w:val="24"/>
        </w:rPr>
        <w:t>9.1.5.1《顾客投诉及满意测量控制程序》。</w:t>
      </w:r>
    </w:p>
    <w:p w14:paraId="081F68E3">
      <w:pPr>
        <w:spacing w:line="360" w:lineRule="auto"/>
        <w:rPr>
          <w:rFonts w:cs="宋体" w:asciiTheme="minorEastAsia" w:hAnsiTheme="minorEastAsia"/>
          <w:sz w:val="24"/>
          <w:szCs w:val="24"/>
        </w:rPr>
      </w:pPr>
      <w:r>
        <w:rPr>
          <w:rFonts w:hint="eastAsia" w:cs="宋体" w:asciiTheme="minorEastAsia" w:hAnsiTheme="minorEastAsia"/>
          <w:sz w:val="24"/>
          <w:szCs w:val="24"/>
        </w:rPr>
        <w:t>9.1.5.2《</w:t>
      </w:r>
      <w:r>
        <w:rPr>
          <w:rFonts w:hint="eastAsia"/>
          <w:sz w:val="24"/>
          <w:szCs w:val="24"/>
        </w:rPr>
        <w:t>环境及安全监视和测量控制程序</w:t>
      </w:r>
      <w:r>
        <w:rPr>
          <w:rFonts w:hint="eastAsia" w:cs="宋体" w:asciiTheme="minorEastAsia" w:hAnsiTheme="minorEastAsia"/>
          <w:sz w:val="24"/>
          <w:szCs w:val="24"/>
        </w:rPr>
        <w:t>》</w:t>
      </w:r>
    </w:p>
    <w:p w14:paraId="2933D2E6">
      <w:pPr>
        <w:spacing w:line="360" w:lineRule="auto"/>
        <w:rPr>
          <w:rFonts w:cs="宋体" w:asciiTheme="minorEastAsia" w:hAnsiTheme="minorEastAsia"/>
          <w:sz w:val="24"/>
          <w:szCs w:val="24"/>
        </w:rPr>
      </w:pPr>
      <w:r>
        <w:rPr>
          <w:rFonts w:hint="eastAsia" w:cs="宋体" w:asciiTheme="minorEastAsia" w:hAnsiTheme="minorEastAsia"/>
          <w:sz w:val="24"/>
          <w:szCs w:val="24"/>
        </w:rPr>
        <w:t>9.1.5.3《合规性评价控制程序》</w:t>
      </w:r>
    </w:p>
    <w:p w14:paraId="5927BFC9">
      <w:pPr>
        <w:pStyle w:val="3"/>
        <w:spacing w:before="0" w:after="0" w:line="360" w:lineRule="auto"/>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9.2 内部审核</w:t>
      </w:r>
    </w:p>
    <w:p w14:paraId="394D050A">
      <w:pPr>
        <w:spacing w:line="360" w:lineRule="auto"/>
        <w:rPr>
          <w:rFonts w:cs="宋体" w:asciiTheme="minorEastAsia" w:hAnsiTheme="minorEastAsia"/>
          <w:sz w:val="24"/>
          <w:szCs w:val="24"/>
        </w:rPr>
      </w:pPr>
      <w:r>
        <w:rPr>
          <w:rFonts w:hint="eastAsia" w:cs="宋体" w:asciiTheme="minorEastAsia" w:hAnsiTheme="minorEastAsia"/>
          <w:sz w:val="24"/>
          <w:szCs w:val="24"/>
        </w:rPr>
        <w:t>9.2.1 内部审核策划</w:t>
      </w:r>
    </w:p>
    <w:p w14:paraId="2F6A5E9E">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1）管理者代表负责策划并督促实施。</w:t>
      </w:r>
    </w:p>
    <w:p w14:paraId="36C694B4">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2）办公室负责编制年度审核计划，每次审核由组长编制审核计划，经管理者代表批准后实施。</w:t>
      </w:r>
    </w:p>
    <w:p w14:paraId="27099A27">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3）内部审核每年至少一次应覆盖质量/环境/职业健康安全管理体系标准中全部过程。并基于拟审核的活动和区域的状况和重要程度以及以往审核的结果，扩大审核频次。</w:t>
      </w:r>
    </w:p>
    <w:p w14:paraId="3D33216B">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4）内审人员应经过培训和资格认可，由管理者代表任命，审核员不应该审核自己（自己部门）工作。</w:t>
      </w:r>
    </w:p>
    <w:p w14:paraId="675AD843">
      <w:pPr>
        <w:spacing w:line="360" w:lineRule="auto"/>
        <w:rPr>
          <w:rFonts w:cs="宋体" w:asciiTheme="minorEastAsia" w:hAnsiTheme="minorEastAsia"/>
          <w:sz w:val="24"/>
          <w:szCs w:val="24"/>
        </w:rPr>
      </w:pPr>
      <w:r>
        <w:rPr>
          <w:rFonts w:hint="eastAsia" w:cs="宋体" w:asciiTheme="minorEastAsia" w:hAnsiTheme="minorEastAsia"/>
          <w:sz w:val="24"/>
          <w:szCs w:val="24"/>
        </w:rPr>
        <w:t>9.2.2 内部审核的实施要求</w:t>
      </w:r>
    </w:p>
    <w:p w14:paraId="68822C7C">
      <w:pPr>
        <w:spacing w:line="360" w:lineRule="auto"/>
        <w:ind w:firstLine="480" w:firstLineChars="200"/>
        <w:rPr>
          <w:rFonts w:cs="宋体" w:asciiTheme="minorEastAsia" w:hAnsiTheme="minorEastAsia"/>
          <w:sz w:val="24"/>
          <w:szCs w:val="24"/>
        </w:rPr>
      </w:pPr>
      <w:r>
        <w:rPr>
          <w:rFonts w:hint="eastAsia" w:cs="宋体" w:asciiTheme="minorEastAsia" w:hAnsiTheme="minorEastAsia"/>
          <w:sz w:val="24"/>
          <w:szCs w:val="24"/>
        </w:rPr>
        <w:t>通过现场调查，检查文件和对现场活动的观察来寻找客观证据证明体系运行与相关要求的符合性。对审核中发现的不符合项应填写不符合项报告，并经受审部门确认。</w:t>
      </w:r>
    </w:p>
    <w:p w14:paraId="1320ED7D">
      <w:pPr>
        <w:spacing w:line="360" w:lineRule="auto"/>
        <w:rPr>
          <w:rFonts w:cs="宋体" w:asciiTheme="minorEastAsia" w:hAnsiTheme="minorEastAsia"/>
          <w:sz w:val="24"/>
          <w:szCs w:val="24"/>
        </w:rPr>
      </w:pPr>
      <w:r>
        <w:rPr>
          <w:rFonts w:hint="eastAsia" w:cs="宋体" w:asciiTheme="minorEastAsia" w:hAnsiTheme="minorEastAsia"/>
          <w:sz w:val="24"/>
          <w:szCs w:val="24"/>
        </w:rPr>
        <w:t>9.2.3 对不符合项报告，受审核部门应按《事故、不符合处置和纠正与预防措施控制程序》制订纠正措施，审核组负责验证。</w:t>
      </w:r>
    </w:p>
    <w:p w14:paraId="132908E0">
      <w:pPr>
        <w:spacing w:line="360" w:lineRule="auto"/>
        <w:rPr>
          <w:rFonts w:cs="宋体" w:asciiTheme="minorEastAsia" w:hAnsiTheme="minorEastAsia"/>
          <w:sz w:val="24"/>
          <w:szCs w:val="24"/>
        </w:rPr>
      </w:pPr>
      <w:r>
        <w:rPr>
          <w:rFonts w:hint="eastAsia" w:cs="宋体" w:asciiTheme="minorEastAsia" w:hAnsiTheme="minorEastAsia"/>
          <w:sz w:val="24"/>
          <w:szCs w:val="24"/>
        </w:rPr>
        <w:t>9.2.4 每次审核结果由审核组长组织编制审核报告，报管理者代表批准，按规定发放并提交管理评审。</w:t>
      </w:r>
    </w:p>
    <w:p w14:paraId="23C885A1">
      <w:pPr>
        <w:spacing w:line="360" w:lineRule="auto"/>
        <w:rPr>
          <w:rFonts w:cs="宋体" w:asciiTheme="minorEastAsia" w:hAnsiTheme="minorEastAsia"/>
          <w:sz w:val="24"/>
          <w:szCs w:val="24"/>
        </w:rPr>
      </w:pPr>
      <w:r>
        <w:rPr>
          <w:rFonts w:hint="eastAsia" w:cs="宋体" w:asciiTheme="minorEastAsia" w:hAnsiTheme="minorEastAsia"/>
          <w:sz w:val="24"/>
          <w:szCs w:val="24"/>
        </w:rPr>
        <w:t>9.2.5 审核过程全部记录，由审核组移交办公室妥善保存。</w:t>
      </w:r>
    </w:p>
    <w:p w14:paraId="47DA6B8F">
      <w:pPr>
        <w:spacing w:line="360" w:lineRule="auto"/>
        <w:rPr>
          <w:rFonts w:cs="宋体" w:asciiTheme="minorEastAsia" w:hAnsiTheme="minorEastAsia"/>
          <w:sz w:val="24"/>
          <w:szCs w:val="24"/>
        </w:rPr>
      </w:pPr>
      <w:r>
        <w:rPr>
          <w:rFonts w:hint="eastAsia" w:cs="宋体" w:asciiTheme="minorEastAsia" w:hAnsiTheme="minorEastAsia"/>
          <w:sz w:val="24"/>
          <w:szCs w:val="24"/>
        </w:rPr>
        <w:t>9.2.6相关/引用文件</w:t>
      </w:r>
    </w:p>
    <w:p w14:paraId="32849EB8">
      <w:pPr>
        <w:spacing w:line="360" w:lineRule="auto"/>
        <w:rPr>
          <w:rFonts w:cs="宋体" w:asciiTheme="minorEastAsia" w:hAnsiTheme="minorEastAsia"/>
          <w:sz w:val="24"/>
          <w:szCs w:val="24"/>
        </w:rPr>
      </w:pPr>
      <w:r>
        <w:rPr>
          <w:rFonts w:hint="eastAsia" w:cs="宋体" w:asciiTheme="minorEastAsia" w:hAnsiTheme="minorEastAsia"/>
          <w:sz w:val="24"/>
          <w:szCs w:val="24"/>
        </w:rPr>
        <w:t>9.2.6.1《内部审核控制程序》</w:t>
      </w:r>
    </w:p>
    <w:p w14:paraId="32679AB4">
      <w:pPr>
        <w:pStyle w:val="3"/>
        <w:spacing w:before="0" w:after="0" w:line="360" w:lineRule="auto"/>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9.3 管理评审</w:t>
      </w:r>
    </w:p>
    <w:p w14:paraId="1D2DC7CA">
      <w:pPr>
        <w:spacing w:line="360" w:lineRule="auto"/>
        <w:rPr>
          <w:rFonts w:cs="宋体" w:asciiTheme="minorEastAsia" w:hAnsiTheme="minorEastAsia"/>
          <w:sz w:val="24"/>
          <w:szCs w:val="24"/>
        </w:rPr>
      </w:pPr>
      <w:r>
        <w:rPr>
          <w:rFonts w:hint="eastAsia" w:cs="宋体" w:asciiTheme="minorEastAsia" w:hAnsiTheme="minorEastAsia"/>
          <w:sz w:val="24"/>
          <w:szCs w:val="24"/>
        </w:rPr>
        <w:t xml:space="preserve">9.3.1总则 </w:t>
      </w:r>
    </w:p>
    <w:p w14:paraId="090FA126">
      <w:pPr>
        <w:spacing w:line="360" w:lineRule="auto"/>
        <w:ind w:firstLine="480" w:firstLineChars="200"/>
        <w:rPr>
          <w:rFonts w:cs="宋体" w:asciiTheme="minorEastAsia" w:hAnsiTheme="minorEastAsia"/>
          <w:sz w:val="24"/>
          <w:szCs w:val="24"/>
        </w:rPr>
      </w:pPr>
      <w:r>
        <w:rPr>
          <w:rFonts w:hint="eastAsia" w:cs="宋体" w:asciiTheme="minorEastAsia" w:hAnsiTheme="minorEastAsia"/>
          <w:sz w:val="24"/>
          <w:szCs w:val="24"/>
        </w:rPr>
        <w:t>总经理每年至少召开一次管理评审会议（时间间隔不超过12个月）对质量/环境/职业健康安全管理体系进行评审，以确保持续的适宜性、充分性和有效性。管理评审应对质量/环境/职业健康安全方针和目标的适宜性和实现程度进行评价并审议，确定是否需要对公司质量/环境/职业健康安全管理体系进行修订或改进。</w:t>
      </w:r>
    </w:p>
    <w:p w14:paraId="706E269E">
      <w:pPr>
        <w:spacing w:line="360" w:lineRule="auto"/>
        <w:rPr>
          <w:rFonts w:cs="宋体" w:asciiTheme="minorEastAsia" w:hAnsiTheme="minorEastAsia"/>
          <w:sz w:val="24"/>
          <w:szCs w:val="24"/>
        </w:rPr>
      </w:pPr>
      <w:r>
        <w:rPr>
          <w:rFonts w:hint="eastAsia" w:cs="宋体" w:asciiTheme="minorEastAsia" w:hAnsiTheme="minorEastAsia"/>
          <w:sz w:val="24"/>
          <w:szCs w:val="24"/>
        </w:rPr>
        <w:t>9.3.2 评审输入</w:t>
      </w:r>
    </w:p>
    <w:p w14:paraId="76BBB504">
      <w:pPr>
        <w:spacing w:line="360" w:lineRule="auto"/>
        <w:ind w:firstLine="480" w:firstLineChars="200"/>
        <w:rPr>
          <w:rFonts w:cs="宋体" w:asciiTheme="minorEastAsia" w:hAnsiTheme="minorEastAsia"/>
          <w:sz w:val="24"/>
          <w:szCs w:val="24"/>
        </w:rPr>
      </w:pPr>
      <w:r>
        <w:rPr>
          <w:rFonts w:hint="eastAsia" w:cs="宋体" w:asciiTheme="minorEastAsia" w:hAnsiTheme="minorEastAsia"/>
          <w:sz w:val="24"/>
          <w:szCs w:val="24"/>
        </w:rPr>
        <w:t>管理评审的输入应包括目前体系运行情况和改进的需要：</w:t>
      </w:r>
    </w:p>
    <w:p w14:paraId="1D9FA431">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xml:space="preserve">a）以往管理评审所采取措施的实施情况； </w:t>
      </w:r>
    </w:p>
    <w:p w14:paraId="0DF64290">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xml:space="preserve">b）与质量/环境/职业健康安全管理体系相关的内外部问题及因素的变化； </w:t>
      </w:r>
    </w:p>
    <w:p w14:paraId="6E20BCB0">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xml:space="preserve">c）有关质量/环境/职业健康安全管理体系绩效和有效性的信息，包括下列趋势性信息： </w:t>
      </w:r>
    </w:p>
    <w:p w14:paraId="1B60A2CD">
      <w:pPr>
        <w:spacing w:line="360" w:lineRule="auto"/>
        <w:ind w:firstLine="943" w:firstLineChars="393"/>
        <w:rPr>
          <w:rFonts w:cs="宋体" w:asciiTheme="minorEastAsia" w:hAnsiTheme="minorEastAsia"/>
          <w:sz w:val="24"/>
          <w:szCs w:val="24"/>
        </w:rPr>
      </w:pPr>
      <w:r>
        <w:rPr>
          <w:rFonts w:hint="eastAsia" w:cs="宋体" w:asciiTheme="minorEastAsia" w:hAnsiTheme="minorEastAsia"/>
          <w:sz w:val="24"/>
          <w:szCs w:val="24"/>
        </w:rPr>
        <w:t xml:space="preserve">——顾客满意和相关方的反馈； </w:t>
      </w:r>
    </w:p>
    <w:p w14:paraId="62AAEE9F">
      <w:pPr>
        <w:spacing w:line="360" w:lineRule="auto"/>
        <w:ind w:firstLine="943" w:firstLineChars="393"/>
        <w:rPr>
          <w:rFonts w:cs="宋体" w:asciiTheme="minorEastAsia" w:hAnsiTheme="minorEastAsia"/>
          <w:sz w:val="24"/>
          <w:szCs w:val="24"/>
        </w:rPr>
      </w:pPr>
      <w:r>
        <w:rPr>
          <w:rFonts w:hint="eastAsia" w:cs="宋体" w:asciiTheme="minorEastAsia" w:hAnsiTheme="minorEastAsia"/>
          <w:sz w:val="24"/>
          <w:szCs w:val="24"/>
        </w:rPr>
        <w:t>——相关方的需求和期望，包括合规义务；</w:t>
      </w:r>
    </w:p>
    <w:p w14:paraId="06780CB0">
      <w:pPr>
        <w:spacing w:line="360" w:lineRule="auto"/>
        <w:ind w:firstLine="943" w:firstLineChars="393"/>
        <w:rPr>
          <w:rFonts w:cs="宋体" w:asciiTheme="minorEastAsia" w:hAnsiTheme="minorEastAsia"/>
          <w:sz w:val="24"/>
          <w:szCs w:val="24"/>
        </w:rPr>
      </w:pPr>
      <w:r>
        <w:rPr>
          <w:rFonts w:hint="eastAsia" w:cs="宋体" w:asciiTheme="minorEastAsia" w:hAnsiTheme="minorEastAsia"/>
          <w:sz w:val="24"/>
          <w:szCs w:val="24"/>
        </w:rPr>
        <w:t xml:space="preserve">——重要环境因素及其变化情况； </w:t>
      </w:r>
    </w:p>
    <w:p w14:paraId="431DA407">
      <w:pPr>
        <w:spacing w:line="360" w:lineRule="auto"/>
        <w:ind w:firstLine="943" w:firstLineChars="393"/>
        <w:rPr>
          <w:rFonts w:cs="宋体" w:asciiTheme="minorEastAsia" w:hAnsiTheme="minorEastAsia"/>
          <w:sz w:val="24"/>
          <w:szCs w:val="24"/>
        </w:rPr>
      </w:pPr>
      <w:r>
        <w:rPr>
          <w:rFonts w:hint="eastAsia" w:cs="宋体" w:asciiTheme="minorEastAsia" w:hAnsiTheme="minorEastAsia"/>
          <w:sz w:val="24"/>
          <w:szCs w:val="24"/>
        </w:rPr>
        <w:t>——风险和机遇；</w:t>
      </w:r>
    </w:p>
    <w:p w14:paraId="346EA81F">
      <w:pPr>
        <w:spacing w:line="360" w:lineRule="auto"/>
        <w:ind w:firstLine="943" w:firstLineChars="393"/>
        <w:rPr>
          <w:rFonts w:cs="宋体" w:asciiTheme="minorEastAsia" w:hAnsiTheme="minorEastAsia"/>
          <w:sz w:val="24"/>
          <w:szCs w:val="24"/>
        </w:rPr>
      </w:pPr>
      <w:r>
        <w:rPr>
          <w:rFonts w:hint="eastAsia" w:cs="宋体" w:asciiTheme="minorEastAsia" w:hAnsiTheme="minorEastAsia"/>
          <w:sz w:val="24"/>
          <w:szCs w:val="24"/>
        </w:rPr>
        <w:t xml:space="preserve">——质量目标和环境目标指标的实现程度； </w:t>
      </w:r>
    </w:p>
    <w:p w14:paraId="1223BE1E">
      <w:pPr>
        <w:spacing w:line="360" w:lineRule="auto"/>
        <w:ind w:firstLine="943" w:firstLineChars="393"/>
        <w:rPr>
          <w:rFonts w:cs="宋体" w:asciiTheme="minorEastAsia" w:hAnsiTheme="minorEastAsia"/>
          <w:sz w:val="24"/>
          <w:szCs w:val="24"/>
        </w:rPr>
      </w:pPr>
      <w:r>
        <w:rPr>
          <w:rFonts w:hint="eastAsia" w:cs="宋体" w:asciiTheme="minorEastAsia" w:hAnsiTheme="minorEastAsia"/>
          <w:sz w:val="24"/>
          <w:szCs w:val="24"/>
        </w:rPr>
        <w:t xml:space="preserve">——过程绩效以及服务的符合性； </w:t>
      </w:r>
    </w:p>
    <w:p w14:paraId="6E1F780E">
      <w:pPr>
        <w:spacing w:line="360" w:lineRule="auto"/>
        <w:ind w:firstLine="943" w:firstLineChars="393"/>
        <w:rPr>
          <w:rFonts w:cs="宋体" w:asciiTheme="minorEastAsia" w:hAnsiTheme="minorEastAsia"/>
          <w:sz w:val="24"/>
          <w:szCs w:val="24"/>
        </w:rPr>
      </w:pPr>
      <w:r>
        <w:rPr>
          <w:rFonts w:hint="eastAsia" w:cs="宋体" w:asciiTheme="minorEastAsia" w:hAnsiTheme="minorEastAsia"/>
          <w:sz w:val="24"/>
          <w:szCs w:val="24"/>
        </w:rPr>
        <w:t xml:space="preserve">——不合格以及纠正措施； </w:t>
      </w:r>
    </w:p>
    <w:p w14:paraId="55D0FDBE">
      <w:pPr>
        <w:spacing w:line="360" w:lineRule="auto"/>
        <w:ind w:firstLine="943" w:firstLineChars="393"/>
        <w:rPr>
          <w:rFonts w:cs="宋体" w:asciiTheme="minorEastAsia" w:hAnsiTheme="minorEastAsia"/>
          <w:sz w:val="24"/>
          <w:szCs w:val="24"/>
        </w:rPr>
      </w:pPr>
      <w:r>
        <w:rPr>
          <w:rFonts w:hint="eastAsia" w:cs="宋体" w:asciiTheme="minorEastAsia" w:hAnsiTheme="minorEastAsia"/>
          <w:sz w:val="24"/>
          <w:szCs w:val="24"/>
        </w:rPr>
        <w:t>——监视和测量结果；</w:t>
      </w:r>
    </w:p>
    <w:p w14:paraId="2E88A7E7">
      <w:pPr>
        <w:spacing w:line="360" w:lineRule="auto"/>
        <w:ind w:firstLine="943" w:firstLineChars="393"/>
        <w:rPr>
          <w:rFonts w:cs="宋体" w:asciiTheme="minorEastAsia" w:hAnsiTheme="minorEastAsia"/>
          <w:sz w:val="24"/>
          <w:szCs w:val="24"/>
        </w:rPr>
      </w:pPr>
      <w:r>
        <w:rPr>
          <w:rFonts w:hint="eastAsia" w:cs="宋体" w:asciiTheme="minorEastAsia" w:hAnsiTheme="minorEastAsia"/>
          <w:sz w:val="24"/>
          <w:szCs w:val="24"/>
        </w:rPr>
        <w:t xml:space="preserve">——其合规义务的履行情况；  </w:t>
      </w:r>
    </w:p>
    <w:p w14:paraId="4CE10FF1">
      <w:pPr>
        <w:spacing w:line="360" w:lineRule="auto"/>
        <w:ind w:firstLine="943" w:firstLineChars="393"/>
        <w:rPr>
          <w:rFonts w:cs="宋体" w:asciiTheme="minorEastAsia" w:hAnsiTheme="minorEastAsia"/>
          <w:sz w:val="24"/>
          <w:szCs w:val="24"/>
        </w:rPr>
      </w:pPr>
      <w:r>
        <w:rPr>
          <w:rFonts w:hint="eastAsia" w:cs="宋体" w:asciiTheme="minorEastAsia" w:hAnsiTheme="minorEastAsia"/>
          <w:sz w:val="24"/>
          <w:szCs w:val="24"/>
        </w:rPr>
        <w:t xml:space="preserve">——审核结果； </w:t>
      </w:r>
    </w:p>
    <w:p w14:paraId="69CDE98F">
      <w:pPr>
        <w:spacing w:line="360" w:lineRule="auto"/>
        <w:ind w:firstLine="943" w:firstLineChars="393"/>
        <w:rPr>
          <w:rFonts w:cs="宋体" w:asciiTheme="minorEastAsia" w:hAnsiTheme="minorEastAsia"/>
          <w:sz w:val="24"/>
          <w:szCs w:val="24"/>
        </w:rPr>
      </w:pPr>
      <w:r>
        <w:rPr>
          <w:rFonts w:hint="eastAsia" w:cs="宋体" w:asciiTheme="minorEastAsia" w:hAnsiTheme="minorEastAsia"/>
          <w:sz w:val="24"/>
          <w:szCs w:val="24"/>
        </w:rPr>
        <w:t xml:space="preserve">——外部供方的绩效。 </w:t>
      </w:r>
    </w:p>
    <w:p w14:paraId="55973BEE">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xml:space="preserve">d）资源的充分性； </w:t>
      </w:r>
    </w:p>
    <w:p w14:paraId="7968D870">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xml:space="preserve">e）应对风险和机遇所采取措施的有效性（见6.1）； </w:t>
      </w:r>
    </w:p>
    <w:p w14:paraId="07299F65">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f）来自相关方的有关信息交流，包括抱怨；</w:t>
      </w:r>
    </w:p>
    <w:p w14:paraId="25A458C1">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g）持续改进的机会。</w:t>
      </w:r>
    </w:p>
    <w:p w14:paraId="70C4CCDA">
      <w:pPr>
        <w:spacing w:line="360" w:lineRule="auto"/>
        <w:rPr>
          <w:rFonts w:cs="宋体" w:asciiTheme="minorEastAsia" w:hAnsiTheme="minorEastAsia"/>
          <w:sz w:val="24"/>
          <w:szCs w:val="24"/>
        </w:rPr>
      </w:pPr>
      <w:r>
        <w:rPr>
          <w:rFonts w:hint="eastAsia" w:cs="宋体" w:asciiTheme="minorEastAsia" w:hAnsiTheme="minorEastAsia"/>
          <w:sz w:val="24"/>
          <w:szCs w:val="24"/>
        </w:rPr>
        <w:t>9.3.3 评审输出</w:t>
      </w:r>
    </w:p>
    <w:p w14:paraId="49DC5A6E">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管理评审的输出应包括与以下活动有关的措施：</w:t>
      </w:r>
    </w:p>
    <w:p w14:paraId="1221C998">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a) 对质量/环境/职业健康安全管理体系适宜性、充分性和有效性的总体评价结论；</w:t>
      </w:r>
    </w:p>
    <w:p w14:paraId="59F0F12F">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b) 质量/环境/职业健康安全管理体系及其过程有效性的改进方面的有关决策；</w:t>
      </w:r>
    </w:p>
    <w:p w14:paraId="2C027DC5">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c) 与质量/环境/职业健康安全管理体系变更的任何需求相关的决策，包括资源；</w:t>
      </w:r>
    </w:p>
    <w:p w14:paraId="248973FC">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d) 质量目标和环境目标未实现时需要采取的措施；</w:t>
      </w:r>
    </w:p>
    <w:p w14:paraId="49A611B7">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f）以适应法律、法规的要求和顾客的需求而改进产品和服务要求的决定措施。</w:t>
      </w:r>
    </w:p>
    <w:p w14:paraId="45FDDA93">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xml:space="preserve">g）如需要，改进质量/环境/职业健康安全管理体系与其他业务过程融合的机遇； </w:t>
      </w:r>
    </w:p>
    <w:p w14:paraId="34AA21FD">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h）任何与组织战略方向相关的结论。</w:t>
      </w:r>
    </w:p>
    <w:p w14:paraId="4DC30DA9">
      <w:pPr>
        <w:spacing w:line="360" w:lineRule="auto"/>
        <w:rPr>
          <w:rFonts w:cs="宋体" w:asciiTheme="minorEastAsia" w:hAnsiTheme="minorEastAsia"/>
          <w:sz w:val="24"/>
          <w:szCs w:val="24"/>
        </w:rPr>
      </w:pPr>
      <w:r>
        <w:rPr>
          <w:rFonts w:hint="eastAsia" w:cs="宋体" w:asciiTheme="minorEastAsia" w:hAnsiTheme="minorEastAsia"/>
          <w:sz w:val="24"/>
          <w:szCs w:val="24"/>
        </w:rPr>
        <w:t>9.3.4 管理评审期间处理的事项及决议均应形成文件。管理评审记录由办公室代为保存。</w:t>
      </w:r>
    </w:p>
    <w:p w14:paraId="640A2FF4">
      <w:pPr>
        <w:spacing w:line="360" w:lineRule="auto"/>
        <w:rPr>
          <w:rFonts w:cs="宋体" w:asciiTheme="minorEastAsia" w:hAnsiTheme="minorEastAsia"/>
          <w:sz w:val="24"/>
          <w:szCs w:val="24"/>
        </w:rPr>
      </w:pPr>
      <w:r>
        <w:rPr>
          <w:rFonts w:hint="eastAsia" w:cs="宋体" w:asciiTheme="minorEastAsia" w:hAnsiTheme="minorEastAsia"/>
          <w:sz w:val="24"/>
          <w:szCs w:val="24"/>
        </w:rPr>
        <w:t>9.3.5 管理者代表负责管理评审会议决定中所提纠正和预防措施的成效性跟踪，并予以记录。具体详见《管理评审控制程序》</w:t>
      </w:r>
    </w:p>
    <w:p w14:paraId="10320F1B">
      <w:pPr>
        <w:spacing w:line="360" w:lineRule="auto"/>
        <w:rPr>
          <w:rFonts w:cs="宋体" w:asciiTheme="minorEastAsia" w:hAnsiTheme="minorEastAsia"/>
          <w:sz w:val="24"/>
          <w:szCs w:val="24"/>
        </w:rPr>
      </w:pPr>
      <w:r>
        <w:rPr>
          <w:rFonts w:hint="eastAsia" w:cs="宋体" w:asciiTheme="minorEastAsia" w:hAnsiTheme="minorEastAsia"/>
          <w:sz w:val="24"/>
          <w:szCs w:val="24"/>
        </w:rPr>
        <w:t>9.3.6相关/引用文件</w:t>
      </w:r>
    </w:p>
    <w:p w14:paraId="446BE580">
      <w:pPr>
        <w:spacing w:line="360" w:lineRule="auto"/>
        <w:rPr>
          <w:rFonts w:cs="宋体" w:asciiTheme="minorEastAsia" w:hAnsiTheme="minorEastAsia"/>
          <w:sz w:val="24"/>
          <w:szCs w:val="24"/>
        </w:rPr>
      </w:pPr>
      <w:r>
        <w:rPr>
          <w:rFonts w:hint="eastAsia" w:cs="宋体" w:asciiTheme="minorEastAsia" w:hAnsiTheme="minorEastAsia"/>
          <w:sz w:val="24"/>
          <w:szCs w:val="24"/>
        </w:rPr>
        <w:t>9.3.6.1《管理评审控制程序》</w:t>
      </w:r>
    </w:p>
    <w:p w14:paraId="4E1D7432">
      <w:pPr>
        <w:spacing w:line="360" w:lineRule="auto"/>
        <w:rPr>
          <w:rFonts w:cs="宋体" w:asciiTheme="minorEastAsia" w:hAnsiTheme="minorEastAsia"/>
          <w:sz w:val="24"/>
          <w:szCs w:val="24"/>
        </w:rPr>
      </w:pPr>
    </w:p>
    <w:p w14:paraId="4F2C0443">
      <w:pPr>
        <w:spacing w:line="360" w:lineRule="auto"/>
        <w:rPr>
          <w:rFonts w:cs="宋体" w:asciiTheme="minorEastAsia" w:hAnsiTheme="minorEastAsia"/>
          <w:sz w:val="24"/>
          <w:szCs w:val="24"/>
        </w:rPr>
      </w:pPr>
    </w:p>
    <w:p w14:paraId="23691922">
      <w:pPr>
        <w:spacing w:line="360" w:lineRule="auto"/>
        <w:rPr>
          <w:rFonts w:cs="宋体" w:asciiTheme="minorEastAsia" w:hAnsiTheme="minorEastAsia"/>
          <w:sz w:val="24"/>
          <w:szCs w:val="24"/>
        </w:rPr>
      </w:pPr>
    </w:p>
    <w:p w14:paraId="6A2EDEF4">
      <w:pPr>
        <w:spacing w:line="360" w:lineRule="auto"/>
        <w:rPr>
          <w:rFonts w:cs="宋体" w:asciiTheme="minorEastAsia" w:hAnsiTheme="minorEastAsia"/>
          <w:sz w:val="24"/>
          <w:szCs w:val="24"/>
        </w:rPr>
      </w:pPr>
    </w:p>
    <w:p w14:paraId="0B692213">
      <w:pPr>
        <w:spacing w:line="360" w:lineRule="auto"/>
        <w:rPr>
          <w:rFonts w:cs="宋体" w:asciiTheme="minorEastAsia" w:hAnsiTheme="minorEastAsia"/>
          <w:sz w:val="24"/>
          <w:szCs w:val="24"/>
        </w:rPr>
      </w:pPr>
    </w:p>
    <w:p w14:paraId="7B592BCD">
      <w:pPr>
        <w:spacing w:line="360" w:lineRule="auto"/>
        <w:rPr>
          <w:rFonts w:cs="宋体" w:asciiTheme="minorEastAsia" w:hAnsiTheme="minorEastAsia"/>
          <w:sz w:val="24"/>
          <w:szCs w:val="24"/>
        </w:rPr>
      </w:pPr>
      <w:r>
        <w:rPr>
          <w:rFonts w:hint="eastAsia" w:cs="宋体" w:asciiTheme="minorEastAsia" w:hAnsiTheme="minorEastAsia"/>
          <w:sz w:val="24"/>
          <w:szCs w:val="24"/>
        </w:rPr>
        <w:br w:type="page"/>
      </w:r>
    </w:p>
    <w:p w14:paraId="2834250A">
      <w:pPr>
        <w:pStyle w:val="2"/>
        <w:spacing w:before="0" w:after="0" w:line="360" w:lineRule="auto"/>
        <w:rPr>
          <w:rFonts w:cs="宋体" w:asciiTheme="minorEastAsia" w:hAnsiTheme="minorEastAsia"/>
          <w:sz w:val="24"/>
          <w:szCs w:val="15"/>
        </w:rPr>
      </w:pPr>
      <w:r>
        <w:rPr>
          <w:rFonts w:hint="eastAsia" w:cs="宋体" w:asciiTheme="minorEastAsia" w:hAnsiTheme="minorEastAsia"/>
          <w:sz w:val="24"/>
          <w:szCs w:val="15"/>
        </w:rPr>
        <w:t>10  持续改进</w:t>
      </w:r>
    </w:p>
    <w:p w14:paraId="369B6FEC">
      <w:pPr>
        <w:pStyle w:val="3"/>
        <w:spacing w:before="0" w:after="0" w:line="360" w:lineRule="auto"/>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 xml:space="preserve">10.1 总则 </w:t>
      </w:r>
    </w:p>
    <w:p w14:paraId="2C5F3A0C">
      <w:pPr>
        <w:spacing w:line="360" w:lineRule="auto"/>
        <w:rPr>
          <w:rFonts w:cs="宋体" w:asciiTheme="minorEastAsia" w:hAnsiTheme="minorEastAsia"/>
          <w:sz w:val="24"/>
          <w:szCs w:val="24"/>
        </w:rPr>
      </w:pPr>
      <w:r>
        <w:rPr>
          <w:rFonts w:hint="eastAsia" w:cs="宋体" w:asciiTheme="minorEastAsia" w:hAnsiTheme="minorEastAsia"/>
          <w:sz w:val="24"/>
          <w:szCs w:val="24"/>
        </w:rPr>
        <w:t xml:space="preserve">10.1.1 公司应确定并选择改进机会，采取必要措施，满足顾客要求和增强顾客满意。 </w:t>
      </w:r>
    </w:p>
    <w:p w14:paraId="74BF73DF">
      <w:pPr>
        <w:spacing w:line="360" w:lineRule="auto"/>
        <w:rPr>
          <w:rFonts w:cs="宋体" w:asciiTheme="minorEastAsia" w:hAnsiTheme="minorEastAsia"/>
          <w:sz w:val="24"/>
          <w:szCs w:val="24"/>
        </w:rPr>
      </w:pPr>
      <w:r>
        <w:rPr>
          <w:rFonts w:hint="eastAsia" w:cs="宋体" w:asciiTheme="minorEastAsia" w:hAnsiTheme="minorEastAsia"/>
          <w:sz w:val="24"/>
          <w:szCs w:val="24"/>
        </w:rPr>
        <w:t xml:space="preserve">10.1.2 采取改进措施，主要包括： </w:t>
      </w:r>
    </w:p>
    <w:p w14:paraId="091AACDD">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xml:space="preserve">a）改进服务以满足要求并关注未来的需求和期望； </w:t>
      </w:r>
    </w:p>
    <w:p w14:paraId="32ACB40E">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xml:space="preserve">b）纠正、预防或减少不利影响； </w:t>
      </w:r>
    </w:p>
    <w:p w14:paraId="3C427CC2">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xml:space="preserve">c）改进质量/环境/职业健康安全管理体系的绩效和有效性。 </w:t>
      </w:r>
    </w:p>
    <w:p w14:paraId="2D518AAB">
      <w:pPr>
        <w:spacing w:line="360" w:lineRule="auto"/>
        <w:rPr>
          <w:rFonts w:cs="宋体" w:asciiTheme="minorEastAsia" w:hAnsiTheme="minorEastAsia"/>
          <w:sz w:val="24"/>
          <w:szCs w:val="24"/>
        </w:rPr>
      </w:pPr>
      <w:r>
        <w:rPr>
          <w:rFonts w:hint="eastAsia" w:cs="宋体" w:asciiTheme="minorEastAsia" w:hAnsiTheme="minorEastAsia"/>
          <w:sz w:val="24"/>
          <w:szCs w:val="24"/>
        </w:rPr>
        <w:t>10.1.3 改进可包括纠正、纠正措施、预防、预防措施、持续改进、突变、创新和重组。</w:t>
      </w:r>
    </w:p>
    <w:p w14:paraId="4C08014F">
      <w:pPr>
        <w:pStyle w:val="3"/>
        <w:spacing w:before="0" w:after="0" w:line="360" w:lineRule="auto"/>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 xml:space="preserve">10.2 不合格和纠正措施 </w:t>
      </w:r>
    </w:p>
    <w:p w14:paraId="4DFABF8C">
      <w:pPr>
        <w:spacing w:line="360" w:lineRule="auto"/>
        <w:rPr>
          <w:rFonts w:cs="宋体" w:asciiTheme="minorEastAsia" w:hAnsiTheme="minorEastAsia"/>
          <w:sz w:val="24"/>
          <w:szCs w:val="24"/>
        </w:rPr>
      </w:pPr>
      <w:r>
        <w:rPr>
          <w:rFonts w:hint="eastAsia" w:cs="宋体" w:asciiTheme="minorEastAsia" w:hAnsiTheme="minorEastAsia"/>
          <w:sz w:val="24"/>
          <w:szCs w:val="24"/>
        </w:rPr>
        <w:t xml:space="preserve">10.2.1 若出现不合格，包括投诉所引起的不合格，各相关部门应对不合格做出应对，采取必要的临时对策： </w:t>
      </w:r>
    </w:p>
    <w:p w14:paraId="02C290FF">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xml:space="preserve">1）采取措施予以控制和纠正； </w:t>
      </w:r>
    </w:p>
    <w:p w14:paraId="6F291924">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xml:space="preserve">2）处置产生的后果。包括减轻有害的环境影响。  </w:t>
      </w:r>
    </w:p>
    <w:p w14:paraId="7838F774">
      <w:pPr>
        <w:spacing w:line="360" w:lineRule="auto"/>
        <w:rPr>
          <w:rFonts w:cs="宋体" w:asciiTheme="minorEastAsia" w:hAnsiTheme="minorEastAsia"/>
          <w:sz w:val="24"/>
          <w:szCs w:val="24"/>
        </w:rPr>
      </w:pPr>
      <w:r>
        <w:rPr>
          <w:rFonts w:hint="eastAsia" w:cs="宋体" w:asciiTheme="minorEastAsia" w:hAnsiTheme="minorEastAsia"/>
          <w:sz w:val="24"/>
          <w:szCs w:val="24"/>
        </w:rPr>
        <w:t xml:space="preserve">10.2.2 通过下列活动，评价是否需要采取措施，以消除产生不合格的原因，避免其再次发生（纠正措施）或者在其他场合发生（预防措施）： </w:t>
      </w:r>
    </w:p>
    <w:p w14:paraId="665F4CD2">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xml:space="preserve">1）评审和分析不合格； </w:t>
      </w:r>
    </w:p>
    <w:p w14:paraId="3DC3EB36">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xml:space="preserve">2）确定不合格的原因； </w:t>
      </w:r>
    </w:p>
    <w:p w14:paraId="380AAC82">
      <w:pPr>
        <w:spacing w:line="360" w:lineRule="auto"/>
        <w:ind w:firstLine="523" w:firstLineChars="218"/>
        <w:rPr>
          <w:rFonts w:cs="宋体" w:asciiTheme="minorEastAsia" w:hAnsiTheme="minorEastAsia"/>
          <w:sz w:val="24"/>
          <w:szCs w:val="24"/>
        </w:rPr>
      </w:pPr>
      <w:r>
        <w:rPr>
          <w:rFonts w:hint="eastAsia" w:cs="宋体" w:asciiTheme="minorEastAsia" w:hAnsiTheme="minorEastAsia"/>
          <w:sz w:val="24"/>
          <w:szCs w:val="24"/>
        </w:rPr>
        <w:t xml:space="preserve">3）举一反三，确定是否存在或可能发生类似的不合格。 </w:t>
      </w:r>
    </w:p>
    <w:p w14:paraId="497F0B40">
      <w:pPr>
        <w:spacing w:line="360" w:lineRule="auto"/>
        <w:rPr>
          <w:rFonts w:cs="宋体" w:asciiTheme="minorEastAsia" w:hAnsiTheme="minorEastAsia"/>
          <w:sz w:val="24"/>
          <w:szCs w:val="24"/>
        </w:rPr>
      </w:pPr>
      <w:r>
        <w:rPr>
          <w:rFonts w:hint="eastAsia" w:cs="宋体" w:asciiTheme="minorEastAsia" w:hAnsiTheme="minorEastAsia"/>
          <w:sz w:val="24"/>
          <w:szCs w:val="24"/>
        </w:rPr>
        <w:t xml:space="preserve">10.2.3 确定和实施所需采取的改进措施； </w:t>
      </w:r>
    </w:p>
    <w:p w14:paraId="3E87F5E1">
      <w:pPr>
        <w:spacing w:line="360" w:lineRule="auto"/>
        <w:rPr>
          <w:rFonts w:cs="宋体" w:asciiTheme="minorEastAsia" w:hAnsiTheme="minorEastAsia"/>
          <w:sz w:val="24"/>
          <w:szCs w:val="24"/>
        </w:rPr>
      </w:pPr>
      <w:r>
        <w:rPr>
          <w:rFonts w:hint="eastAsia" w:cs="宋体" w:asciiTheme="minorEastAsia" w:hAnsiTheme="minorEastAsia"/>
          <w:sz w:val="24"/>
          <w:szCs w:val="24"/>
        </w:rPr>
        <w:t xml:space="preserve">10.2.4 评审所采取的纠正措施的有效性； </w:t>
      </w:r>
    </w:p>
    <w:p w14:paraId="777BB8AD">
      <w:pPr>
        <w:spacing w:line="360" w:lineRule="auto"/>
        <w:rPr>
          <w:rFonts w:cs="宋体" w:asciiTheme="minorEastAsia" w:hAnsiTheme="minorEastAsia"/>
          <w:sz w:val="24"/>
          <w:szCs w:val="24"/>
        </w:rPr>
      </w:pPr>
      <w:r>
        <w:rPr>
          <w:rFonts w:hint="eastAsia" w:cs="宋体" w:asciiTheme="minorEastAsia" w:hAnsiTheme="minorEastAsia"/>
          <w:sz w:val="24"/>
          <w:szCs w:val="24"/>
        </w:rPr>
        <w:t xml:space="preserve">10.2.5 需要时，更新策划期间确定的风险和机遇；需要时，变更质量/环境/职业健康安全管理体系。 </w:t>
      </w:r>
    </w:p>
    <w:p w14:paraId="481CF925">
      <w:pPr>
        <w:spacing w:line="360" w:lineRule="auto"/>
        <w:rPr>
          <w:rFonts w:cs="宋体" w:asciiTheme="minorEastAsia" w:hAnsiTheme="minorEastAsia"/>
          <w:sz w:val="24"/>
          <w:szCs w:val="24"/>
        </w:rPr>
      </w:pPr>
      <w:r>
        <w:rPr>
          <w:rFonts w:hint="eastAsia" w:cs="宋体" w:asciiTheme="minorEastAsia" w:hAnsiTheme="minorEastAsia"/>
          <w:sz w:val="24"/>
          <w:szCs w:val="24"/>
        </w:rPr>
        <w:t xml:space="preserve">10.2.6 纠正措施应与所产生的不合格的影响（包括环境影响）的重要程度相适应。 </w:t>
      </w:r>
    </w:p>
    <w:p w14:paraId="3637E0EF">
      <w:pPr>
        <w:spacing w:line="360" w:lineRule="auto"/>
        <w:rPr>
          <w:rFonts w:cs="宋体" w:asciiTheme="minorEastAsia" w:hAnsiTheme="minorEastAsia"/>
          <w:sz w:val="24"/>
          <w:szCs w:val="24"/>
        </w:rPr>
      </w:pPr>
      <w:r>
        <w:rPr>
          <w:rFonts w:hint="eastAsia" w:cs="宋体" w:asciiTheme="minorEastAsia" w:hAnsiTheme="minorEastAsia"/>
          <w:spacing w:val="-2"/>
          <w:sz w:val="24"/>
          <w:szCs w:val="24"/>
        </w:rPr>
        <w:t>10.2.7 对不合格的性质以及随后所采取的措施的记录，及纠正措施的结果的记录予以保</w:t>
      </w:r>
      <w:r>
        <w:rPr>
          <w:rFonts w:hint="eastAsia" w:cs="宋体" w:asciiTheme="minorEastAsia" w:hAnsiTheme="minorEastAsia"/>
          <w:sz w:val="24"/>
          <w:szCs w:val="24"/>
        </w:rPr>
        <w:t>留。</w:t>
      </w:r>
    </w:p>
    <w:p w14:paraId="06FD2058">
      <w:pPr>
        <w:pStyle w:val="3"/>
        <w:spacing w:before="0" w:after="0" w:line="360" w:lineRule="auto"/>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 xml:space="preserve">10.3 持续改进 </w:t>
      </w:r>
    </w:p>
    <w:p w14:paraId="03C64E04">
      <w:pPr>
        <w:spacing w:line="360" w:lineRule="auto"/>
        <w:jc w:val="left"/>
        <w:rPr>
          <w:rFonts w:cs="宋体" w:asciiTheme="minorEastAsia" w:hAnsiTheme="minorEastAsia"/>
          <w:sz w:val="24"/>
          <w:szCs w:val="24"/>
        </w:rPr>
      </w:pPr>
      <w:r>
        <w:rPr>
          <w:rFonts w:hint="eastAsia" w:cs="宋体" w:asciiTheme="minorEastAsia" w:hAnsiTheme="minorEastAsia"/>
          <w:sz w:val="24"/>
          <w:szCs w:val="24"/>
        </w:rPr>
        <w:t>10.3.1公司建立和运行《</w:t>
      </w:r>
      <w:r>
        <w:rPr>
          <w:rFonts w:hint="eastAsia"/>
          <w:sz w:val="24"/>
          <w:szCs w:val="24"/>
        </w:rPr>
        <w:t>事故、事件、不符合管理程序</w:t>
      </w:r>
      <w:r>
        <w:rPr>
          <w:rFonts w:hint="eastAsia" w:cs="宋体" w:asciiTheme="minorEastAsia" w:hAnsiTheme="minorEastAsia"/>
          <w:sz w:val="24"/>
          <w:szCs w:val="24"/>
        </w:rPr>
        <w:t>》、</w:t>
      </w:r>
      <w:r>
        <w:rPr>
          <w:rFonts w:hint="eastAsia"/>
          <w:sz w:val="24"/>
          <w:szCs w:val="24"/>
        </w:rPr>
        <w:t xml:space="preserve"> </w:t>
      </w:r>
      <w:r>
        <w:rPr>
          <w:rFonts w:hint="eastAsia" w:cs="宋体" w:asciiTheme="minorEastAsia" w:hAnsiTheme="minorEastAsia"/>
          <w:sz w:val="24"/>
          <w:szCs w:val="24"/>
        </w:rPr>
        <w:t>《</w:t>
      </w:r>
      <w:r>
        <w:rPr>
          <w:rFonts w:hint="eastAsia"/>
          <w:sz w:val="24"/>
          <w:szCs w:val="24"/>
        </w:rPr>
        <w:t>纠正与预防措施控制程序</w:t>
      </w:r>
      <w:r>
        <w:rPr>
          <w:rFonts w:hint="eastAsia" w:cs="宋体" w:asciiTheme="minorEastAsia" w:hAnsiTheme="minorEastAsia"/>
          <w:sz w:val="24"/>
          <w:szCs w:val="24"/>
        </w:rPr>
        <w:t>》，持续改进质量/环境/职业健康安全管理体系的适宜性、充分性和有效性，以提升质量绩效和环境绩效。</w:t>
      </w:r>
    </w:p>
    <w:p w14:paraId="50B03071">
      <w:pPr>
        <w:spacing w:line="360" w:lineRule="auto"/>
        <w:rPr>
          <w:rFonts w:cs="宋体" w:asciiTheme="minorEastAsia" w:hAnsiTheme="minorEastAsia"/>
          <w:sz w:val="24"/>
          <w:szCs w:val="24"/>
        </w:rPr>
      </w:pPr>
      <w:r>
        <w:rPr>
          <w:rFonts w:hint="eastAsia" w:cs="宋体" w:asciiTheme="minorEastAsia" w:hAnsiTheme="minorEastAsia"/>
          <w:sz w:val="24"/>
          <w:szCs w:val="24"/>
        </w:rPr>
        <w:t>10.3.2公司为促进持续改进，控制以下活动确定改进目标。</w:t>
      </w:r>
    </w:p>
    <w:p w14:paraId="49E8C66C">
      <w:pPr>
        <w:spacing w:line="360" w:lineRule="auto"/>
        <w:ind w:firstLine="480" w:firstLineChars="200"/>
        <w:rPr>
          <w:rFonts w:cs="宋体" w:asciiTheme="minorEastAsia" w:hAnsiTheme="minorEastAsia"/>
          <w:sz w:val="24"/>
          <w:szCs w:val="24"/>
        </w:rPr>
      </w:pPr>
      <w:r>
        <w:rPr>
          <w:rFonts w:hint="eastAsia" w:cs="宋体" w:asciiTheme="minorEastAsia" w:hAnsiTheme="minorEastAsia"/>
          <w:sz w:val="24"/>
          <w:szCs w:val="24"/>
        </w:rPr>
        <w:t>1) 通过质量/环境/职业健康安全方针和目标的建立与实施，评价方针与目标，提出改进方向；</w:t>
      </w:r>
    </w:p>
    <w:p w14:paraId="538FE3EF">
      <w:pPr>
        <w:spacing w:line="360" w:lineRule="auto"/>
        <w:rPr>
          <w:rFonts w:cs="宋体" w:asciiTheme="minorEastAsia" w:hAnsiTheme="minorEastAsia"/>
          <w:sz w:val="24"/>
          <w:szCs w:val="24"/>
        </w:rPr>
      </w:pPr>
      <w:r>
        <w:rPr>
          <w:rFonts w:hint="eastAsia" w:cs="宋体" w:asciiTheme="minorEastAsia" w:hAnsiTheme="minorEastAsia"/>
          <w:sz w:val="24"/>
          <w:szCs w:val="24"/>
        </w:rPr>
        <w:t xml:space="preserve">    2) 通过数据分析，内外部审核不断寻求改进机会，并作出适当的改进活动安排；</w:t>
      </w:r>
    </w:p>
    <w:p w14:paraId="1BFF8680">
      <w:pPr>
        <w:spacing w:line="360" w:lineRule="auto"/>
        <w:rPr>
          <w:rFonts w:cs="宋体" w:asciiTheme="minorEastAsia" w:hAnsiTheme="minorEastAsia"/>
          <w:sz w:val="24"/>
          <w:szCs w:val="24"/>
        </w:rPr>
      </w:pPr>
      <w:r>
        <w:rPr>
          <w:rFonts w:hint="eastAsia" w:cs="宋体" w:asciiTheme="minorEastAsia" w:hAnsiTheme="minorEastAsia"/>
          <w:sz w:val="24"/>
          <w:szCs w:val="24"/>
        </w:rPr>
        <w:t xml:space="preserve">    3) 实施纠正和预防措施以及其他适用的措施，实现改进； </w:t>
      </w:r>
    </w:p>
    <w:p w14:paraId="448B6D6A">
      <w:pPr>
        <w:spacing w:line="360" w:lineRule="auto"/>
        <w:rPr>
          <w:rFonts w:cs="宋体" w:asciiTheme="minorEastAsia" w:hAnsiTheme="minorEastAsia"/>
          <w:sz w:val="24"/>
          <w:szCs w:val="24"/>
        </w:rPr>
      </w:pPr>
      <w:r>
        <w:rPr>
          <w:rFonts w:hint="eastAsia" w:cs="宋体" w:asciiTheme="minorEastAsia" w:hAnsiTheme="minorEastAsia"/>
          <w:sz w:val="24"/>
          <w:szCs w:val="24"/>
        </w:rPr>
        <w:t xml:space="preserve">    4) 考虑管理评审的分析、评价结果，以及管理评审的输出，确定是否存在持续改进的需求或机会。</w:t>
      </w:r>
    </w:p>
    <w:p w14:paraId="6B78D637">
      <w:pPr>
        <w:spacing w:line="360" w:lineRule="auto"/>
        <w:rPr>
          <w:rFonts w:cs="宋体" w:asciiTheme="minorEastAsia" w:hAnsiTheme="minorEastAsia"/>
          <w:sz w:val="24"/>
          <w:szCs w:val="24"/>
        </w:rPr>
      </w:pPr>
      <w:r>
        <w:rPr>
          <w:rFonts w:hint="eastAsia" w:cs="宋体" w:asciiTheme="minorEastAsia" w:hAnsiTheme="minorEastAsia"/>
          <w:sz w:val="24"/>
          <w:szCs w:val="24"/>
        </w:rPr>
        <w:t>10.3.3 有关部门按改进目标组织策划，制定改进方案并负责实施。</w:t>
      </w:r>
    </w:p>
    <w:p w14:paraId="76A8316A">
      <w:pPr>
        <w:spacing w:line="360" w:lineRule="auto"/>
        <w:rPr>
          <w:rFonts w:cs="宋体" w:asciiTheme="minorEastAsia" w:hAnsiTheme="minorEastAsia"/>
          <w:sz w:val="24"/>
          <w:szCs w:val="24"/>
        </w:rPr>
      </w:pPr>
      <w:r>
        <w:rPr>
          <w:rFonts w:hint="eastAsia" w:cs="宋体" w:asciiTheme="minorEastAsia" w:hAnsiTheme="minorEastAsia"/>
          <w:sz w:val="24"/>
          <w:szCs w:val="24"/>
        </w:rPr>
        <w:t>10.3.4 办公室组织有关部门对改进方案的实施结果，进行测量和验证。</w:t>
      </w:r>
    </w:p>
    <w:p w14:paraId="079DF220">
      <w:pPr>
        <w:spacing w:line="360" w:lineRule="auto"/>
        <w:rPr>
          <w:rFonts w:cs="宋体" w:asciiTheme="minorEastAsia" w:hAnsiTheme="minorEastAsia"/>
          <w:sz w:val="24"/>
          <w:szCs w:val="24"/>
        </w:rPr>
      </w:pPr>
      <w:r>
        <w:rPr>
          <w:rFonts w:hint="eastAsia" w:cs="宋体" w:asciiTheme="minorEastAsia" w:hAnsiTheme="minorEastAsia"/>
          <w:sz w:val="24"/>
          <w:szCs w:val="24"/>
        </w:rPr>
        <w:t>10.3.5 改进方案的测量和验证结果，应提交管理评审，对其有效性进行评价。</w:t>
      </w:r>
    </w:p>
    <w:p w14:paraId="391D550A">
      <w:pPr>
        <w:spacing w:line="360" w:lineRule="auto"/>
        <w:rPr>
          <w:rFonts w:cs="宋体" w:asciiTheme="minorEastAsia" w:hAnsiTheme="minorEastAsia"/>
          <w:sz w:val="24"/>
          <w:szCs w:val="24"/>
        </w:rPr>
      </w:pPr>
      <w:r>
        <w:rPr>
          <w:rFonts w:hint="eastAsia" w:cs="宋体" w:asciiTheme="minorEastAsia" w:hAnsiTheme="minorEastAsia"/>
          <w:sz w:val="24"/>
          <w:szCs w:val="24"/>
        </w:rPr>
        <w:t>10.3.6 因改进措施引起的文件更改按《文件控制程序》进行。</w:t>
      </w:r>
    </w:p>
    <w:p w14:paraId="2529B3C0">
      <w:pPr>
        <w:spacing w:line="360" w:lineRule="auto"/>
        <w:rPr>
          <w:rFonts w:cs="宋体" w:asciiTheme="minorEastAsia" w:hAnsiTheme="minorEastAsia"/>
          <w:sz w:val="24"/>
          <w:szCs w:val="24"/>
        </w:rPr>
      </w:pPr>
      <w:r>
        <w:rPr>
          <w:rFonts w:hint="eastAsia" w:cs="宋体" w:asciiTheme="minorEastAsia" w:hAnsiTheme="minorEastAsia"/>
          <w:sz w:val="24"/>
          <w:szCs w:val="24"/>
        </w:rPr>
        <w:t>10.4.相关/引用文件</w:t>
      </w:r>
    </w:p>
    <w:p w14:paraId="7221F466">
      <w:pPr>
        <w:spacing w:line="360" w:lineRule="auto"/>
        <w:rPr>
          <w:rFonts w:cs="宋体" w:asciiTheme="minorEastAsia" w:hAnsiTheme="minorEastAsia"/>
          <w:sz w:val="24"/>
          <w:szCs w:val="24"/>
        </w:rPr>
      </w:pPr>
      <w:r>
        <w:rPr>
          <w:rFonts w:hint="eastAsia" w:cs="宋体" w:asciiTheme="minorEastAsia" w:hAnsiTheme="minorEastAsia"/>
          <w:sz w:val="24"/>
          <w:szCs w:val="24"/>
        </w:rPr>
        <w:t>10.4.1《</w:t>
      </w:r>
      <w:r>
        <w:rPr>
          <w:rFonts w:hint="eastAsia"/>
          <w:sz w:val="24"/>
          <w:szCs w:val="24"/>
        </w:rPr>
        <w:t>事故、事件、不符合管理程序</w:t>
      </w:r>
      <w:r>
        <w:rPr>
          <w:rFonts w:hint="eastAsia" w:cs="宋体" w:asciiTheme="minorEastAsia" w:hAnsiTheme="minorEastAsia"/>
          <w:sz w:val="24"/>
          <w:szCs w:val="24"/>
        </w:rPr>
        <w:t>》、</w:t>
      </w:r>
      <w:r>
        <w:rPr>
          <w:rFonts w:hint="eastAsia"/>
          <w:sz w:val="24"/>
          <w:szCs w:val="24"/>
        </w:rPr>
        <w:t xml:space="preserve"> </w:t>
      </w:r>
      <w:r>
        <w:rPr>
          <w:rFonts w:hint="eastAsia" w:cs="宋体" w:asciiTheme="minorEastAsia" w:hAnsiTheme="minorEastAsia"/>
          <w:sz w:val="24"/>
          <w:szCs w:val="24"/>
        </w:rPr>
        <w:t>《</w:t>
      </w:r>
      <w:r>
        <w:rPr>
          <w:rFonts w:hint="eastAsia"/>
          <w:sz w:val="24"/>
          <w:szCs w:val="24"/>
        </w:rPr>
        <w:t>纠正与预防措施控制程序</w:t>
      </w:r>
      <w:r>
        <w:rPr>
          <w:rFonts w:hint="eastAsia" w:cs="宋体" w:asciiTheme="minorEastAsia" w:hAnsiTheme="minorEastAsia"/>
          <w:sz w:val="24"/>
          <w:szCs w:val="24"/>
        </w:rPr>
        <w:t>》</w:t>
      </w:r>
    </w:p>
    <w:p w14:paraId="7A3FCE5B">
      <w:pPr>
        <w:spacing w:line="360" w:lineRule="auto"/>
        <w:rPr>
          <w:rFonts w:cs="宋体" w:asciiTheme="minorEastAsia" w:hAnsiTheme="minorEastAsia"/>
          <w:b/>
          <w:sz w:val="24"/>
          <w:szCs w:val="24"/>
        </w:rPr>
      </w:pPr>
    </w:p>
    <w:p w14:paraId="224BA105">
      <w:pPr>
        <w:spacing w:line="360" w:lineRule="auto"/>
        <w:rPr>
          <w:rFonts w:cs="宋体" w:asciiTheme="minorEastAsia" w:hAnsiTheme="minorEastAsia"/>
          <w:b/>
          <w:sz w:val="24"/>
          <w:szCs w:val="24"/>
        </w:rPr>
      </w:pPr>
    </w:p>
    <w:p w14:paraId="103C2637">
      <w:pPr>
        <w:spacing w:line="360" w:lineRule="auto"/>
        <w:rPr>
          <w:rFonts w:cs="宋体" w:asciiTheme="minorEastAsia" w:hAnsiTheme="minorEastAsia"/>
          <w:b/>
          <w:sz w:val="24"/>
          <w:szCs w:val="24"/>
        </w:rPr>
      </w:pPr>
    </w:p>
    <w:p w14:paraId="3D165068">
      <w:pPr>
        <w:spacing w:line="360" w:lineRule="auto"/>
        <w:rPr>
          <w:rFonts w:cs="宋体" w:asciiTheme="minorEastAsia" w:hAnsiTheme="minorEastAsia"/>
          <w:b/>
          <w:sz w:val="24"/>
          <w:szCs w:val="24"/>
        </w:rPr>
      </w:pPr>
    </w:p>
    <w:p w14:paraId="11005B74">
      <w:pPr>
        <w:spacing w:line="360" w:lineRule="auto"/>
        <w:rPr>
          <w:rFonts w:cs="宋体" w:asciiTheme="minorEastAsia" w:hAnsiTheme="minorEastAsia"/>
          <w:b/>
          <w:sz w:val="24"/>
          <w:szCs w:val="24"/>
        </w:rPr>
      </w:pPr>
    </w:p>
    <w:p w14:paraId="4D780C42">
      <w:pPr>
        <w:spacing w:line="360" w:lineRule="auto"/>
        <w:rPr>
          <w:rFonts w:cs="宋体" w:asciiTheme="minorEastAsia" w:hAnsiTheme="minorEastAsia"/>
          <w:b/>
          <w:sz w:val="24"/>
          <w:szCs w:val="24"/>
        </w:rPr>
      </w:pPr>
    </w:p>
    <w:p w14:paraId="38110FEF">
      <w:pPr>
        <w:spacing w:line="360" w:lineRule="auto"/>
        <w:rPr>
          <w:rFonts w:cs="宋体" w:asciiTheme="minorEastAsia" w:hAnsiTheme="minorEastAsia"/>
          <w:b/>
          <w:sz w:val="24"/>
          <w:szCs w:val="24"/>
        </w:rPr>
      </w:pPr>
    </w:p>
    <w:p w14:paraId="57F79C98">
      <w:pPr>
        <w:spacing w:line="360" w:lineRule="auto"/>
        <w:rPr>
          <w:rFonts w:cs="宋体" w:asciiTheme="minorEastAsia" w:hAnsiTheme="minorEastAsia"/>
          <w:b/>
          <w:sz w:val="24"/>
          <w:szCs w:val="24"/>
        </w:rPr>
      </w:pPr>
    </w:p>
    <w:p w14:paraId="0E551C85">
      <w:pPr>
        <w:spacing w:line="360" w:lineRule="auto"/>
        <w:rPr>
          <w:rFonts w:cs="宋体" w:asciiTheme="minorEastAsia" w:hAnsiTheme="minorEastAsia"/>
          <w:b/>
          <w:sz w:val="24"/>
          <w:szCs w:val="24"/>
        </w:rPr>
      </w:pPr>
    </w:p>
    <w:p w14:paraId="2ADBD52B">
      <w:pPr>
        <w:spacing w:line="360" w:lineRule="auto"/>
        <w:rPr>
          <w:rFonts w:cs="宋体" w:asciiTheme="minorEastAsia" w:hAnsiTheme="minorEastAsia"/>
          <w:b/>
          <w:sz w:val="24"/>
          <w:szCs w:val="24"/>
        </w:rPr>
      </w:pPr>
    </w:p>
    <w:p w14:paraId="0E5E478D">
      <w:pPr>
        <w:spacing w:line="360" w:lineRule="auto"/>
        <w:rPr>
          <w:rFonts w:cs="宋体" w:asciiTheme="minorEastAsia" w:hAnsiTheme="minorEastAsia"/>
          <w:b/>
          <w:sz w:val="24"/>
          <w:szCs w:val="24"/>
        </w:rPr>
      </w:pPr>
    </w:p>
    <w:p w14:paraId="45620F88">
      <w:pPr>
        <w:spacing w:line="360" w:lineRule="auto"/>
        <w:rPr>
          <w:rFonts w:cs="宋体" w:asciiTheme="minorEastAsia" w:hAnsiTheme="minorEastAsia"/>
          <w:b/>
          <w:sz w:val="24"/>
          <w:szCs w:val="24"/>
        </w:rPr>
      </w:pPr>
    </w:p>
    <w:p w14:paraId="79DB0F05">
      <w:pPr>
        <w:spacing w:line="360" w:lineRule="auto"/>
        <w:rPr>
          <w:rFonts w:cs="宋体" w:asciiTheme="minorEastAsia" w:hAnsiTheme="minorEastAsia"/>
          <w:b/>
          <w:sz w:val="24"/>
          <w:szCs w:val="24"/>
        </w:rPr>
      </w:pPr>
    </w:p>
    <w:p w14:paraId="7CA2544E">
      <w:pPr>
        <w:spacing w:line="360" w:lineRule="auto"/>
        <w:rPr>
          <w:rFonts w:cs="宋体" w:asciiTheme="minorEastAsia" w:hAnsiTheme="minorEastAsia"/>
          <w:b/>
          <w:sz w:val="24"/>
          <w:szCs w:val="24"/>
        </w:rPr>
      </w:pPr>
    </w:p>
    <w:p w14:paraId="1D22F883">
      <w:pPr>
        <w:spacing w:line="360" w:lineRule="auto"/>
        <w:rPr>
          <w:rFonts w:cs="宋体" w:asciiTheme="minorEastAsia" w:hAnsiTheme="minorEastAsia"/>
          <w:b/>
          <w:sz w:val="24"/>
          <w:szCs w:val="24"/>
        </w:rPr>
      </w:pPr>
    </w:p>
    <w:p w14:paraId="40BEF2EC">
      <w:pPr>
        <w:spacing w:line="360" w:lineRule="auto"/>
        <w:rPr>
          <w:rFonts w:cs="宋体" w:asciiTheme="minorEastAsia" w:hAnsiTheme="minorEastAsia"/>
          <w:b/>
          <w:sz w:val="24"/>
          <w:szCs w:val="24"/>
        </w:rPr>
      </w:pPr>
    </w:p>
    <w:p w14:paraId="3E4389CD">
      <w:pPr>
        <w:spacing w:line="360" w:lineRule="auto"/>
        <w:rPr>
          <w:rFonts w:cs="宋体" w:asciiTheme="minorEastAsia" w:hAnsiTheme="minorEastAsia"/>
          <w:b/>
          <w:sz w:val="24"/>
          <w:szCs w:val="24"/>
        </w:rPr>
      </w:pPr>
    </w:p>
    <w:p w14:paraId="26054BA0">
      <w:pPr>
        <w:rPr>
          <w:rFonts w:ascii="宋体" w:hAnsi="宋体"/>
          <w:sz w:val="24"/>
          <w:szCs w:val="24"/>
        </w:rPr>
      </w:pPr>
      <w:r>
        <w:rPr>
          <w:rFonts w:hint="eastAsia" w:ascii="宋体" w:hAnsi="宋体"/>
          <w:color w:val="FF0000"/>
          <w:sz w:val="24"/>
          <w:szCs w:val="24"/>
        </w:rPr>
        <w:t>生产流程</w:t>
      </w:r>
      <w:r>
        <w:rPr>
          <w:rFonts w:hint="eastAsia" w:ascii="宋体" w:hAnsi="宋体"/>
          <w:sz w:val="24"/>
          <w:szCs w:val="24"/>
        </w:rPr>
        <w:t>：</w:t>
      </w:r>
    </w:p>
    <w:p w14:paraId="190B8439">
      <w:pPr>
        <w:rPr>
          <w:rFonts w:ascii="宋体" w:hAnsi="宋体"/>
          <w:sz w:val="24"/>
          <w:szCs w:val="24"/>
        </w:rPr>
      </w:pPr>
      <w:r>
        <w:rPr>
          <w:rFonts w:hint="eastAsia" w:ascii="宋体" w:hAnsi="宋体"/>
          <w:sz w:val="24"/>
          <w:szCs w:val="24"/>
        </w:rPr>
        <w:t xml:space="preserve"> </w:t>
      </w:r>
    </w:p>
    <w:p w14:paraId="1697D329">
      <w:pPr>
        <w:tabs>
          <w:tab w:val="left" w:pos="3037"/>
        </w:tabs>
        <w:spacing w:line="400" w:lineRule="exact"/>
        <w:jc w:val="left"/>
        <w:rPr>
          <w:rFonts w:hint="eastAsia" w:ascii="宋体" w:hAnsi="宋体" w:eastAsiaTheme="minorEastAsia"/>
          <w:sz w:val="24"/>
          <w:szCs w:val="24"/>
          <w:lang w:eastAsia="zh-CN"/>
        </w:rPr>
      </w:pPr>
      <w:r>
        <w:rPr>
          <w:rFonts w:hint="eastAsia" w:ascii="宋体" w:hAnsi="宋体"/>
          <w:sz w:val="24"/>
          <w:szCs w:val="24"/>
        </w:rPr>
        <w:t>下料-折弯-焊接-喷涂（外包）-木制板件（外购）-组装-成品-检验-入库</w:t>
      </w:r>
      <w:r>
        <w:rPr>
          <w:rFonts w:hint="eastAsia" w:ascii="宋体" w:hAnsi="宋体"/>
          <w:sz w:val="24"/>
          <w:szCs w:val="24"/>
          <w:lang w:eastAsia="zh-CN"/>
        </w:rPr>
        <w:tab/>
      </w:r>
    </w:p>
    <w:sectPr>
      <w:footerReference r:id="rId17" w:type="first"/>
      <w:headerReference r:id="rId13" w:type="default"/>
      <w:footerReference r:id="rId15" w:type="default"/>
      <w:headerReference r:id="rId14" w:type="even"/>
      <w:footerReference r:id="rId16" w:type="even"/>
      <w:pgSz w:w="11907" w:h="16839"/>
      <w:pgMar w:top="1417" w:right="1134" w:bottom="1134" w:left="1417" w:header="598" w:footer="850" w:gutter="0"/>
      <w:cols w:space="0" w:num="1"/>
      <w:docGrid w:type="lines" w:linePitch="32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84DB8B">
    <w:pPr>
      <w:pStyle w:val="25"/>
      <w:jc w:val="center"/>
      <w:rPr>
        <w:rStyle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CD2395">
    <w:pPr>
      <w:pStyle w:val="9"/>
      <w:ind w:right="2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6E82C2">
    <w:pPr>
      <w:pStyle w:val="9"/>
      <w:ind w:right="21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6C6BB6">
    <w:pPr>
      <w:pStyle w:val="25"/>
      <w:jc w:val="center"/>
      <w:rPr>
        <w:rStyle w:val="16"/>
      </w:rPr>
    </w:pPr>
    <w:r>
      <w:pict>
        <v:shape id="_x0000_s2049" o:spid="_x0000_s2049" o:spt="202" type="#_x0000_t202" style="position:absolute;left:0pt;margin-left:197.75pt;margin-top:0pt;height:144pt;width:90.1pt;mso-position-horizontal-relative:margin;z-index:251670528;mso-width-relative:page;mso-height-relative:page;" filled="f" stroked="f" coordsize="21600,21600">
          <v:path/>
          <v:fill on="f" focussize="0,0"/>
          <v:stroke on="f" weight="0.5pt" joinstyle="miter"/>
          <v:imagedata o:title=""/>
          <o:lock v:ext="edit"/>
          <v:textbox inset="0mm,0mm,0mm,0mm" style="mso-fit-shape-to-text:t;">
            <w:txbxContent>
              <w:p w14:paraId="55D60587">
                <w:pPr>
                  <w:snapToGrid w:val="0"/>
                  <w:rPr>
                    <w:rFonts w:eastAsia="宋体"/>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13</w:t>
                </w:r>
                <w:r>
                  <w:rPr>
                    <w:rFonts w:hint="eastAsia"/>
                    <w:sz w:val="18"/>
                  </w:rPr>
                  <w:fldChar w:fldCharType="end"/>
                </w:r>
                <w:r>
                  <w:rPr>
                    <w:rFonts w:hint="eastAsia"/>
                    <w:sz w:val="18"/>
                  </w:rPr>
                  <w:t xml:space="preserve"> 页 共 </w:t>
                </w:r>
                <w:r>
                  <w:fldChar w:fldCharType="begin"/>
                </w:r>
                <w:r>
                  <w:instrText xml:space="preserve"> NUMPAGES  \* MERGEFORMAT </w:instrText>
                </w:r>
                <w:r>
                  <w:fldChar w:fldCharType="separate"/>
                </w:r>
                <w:r>
                  <w:rPr>
                    <w:sz w:val="18"/>
                  </w:rPr>
                  <w:t>65</w:t>
                </w:r>
                <w:r>
                  <w:rPr>
                    <w:sz w:val="18"/>
                  </w:rPr>
                  <w:fldChar w:fldCharType="end"/>
                </w:r>
                <w:r>
                  <w:rPr>
                    <w:rFonts w:hint="eastAsia"/>
                    <w:sz w:val="18"/>
                  </w:rPr>
                  <w:t xml:space="preserve"> 页</w:t>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789CCE">
    <w:pPr>
      <w:pStyle w:val="9"/>
      <w:ind w:right="21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D42EF6">
    <w:pPr>
      <w:pStyle w:val="9"/>
      <w:ind w:right="21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5838EF">
    <w:pPr>
      <w:pStyle w:val="25"/>
      <w:jc w:val="center"/>
      <w:rPr>
        <w:rStyle w:val="16"/>
      </w:rPr>
    </w:pPr>
    <w:r>
      <w:pict>
        <v:shape id="_x0000_s2050" o:spid="_x0000_s2050" o:spt="202" type="#_x0000_t202" style="position:absolute;left:0pt;margin-left:197.75pt;margin-top:0pt;height:144pt;width:90.1pt;mso-position-horizontal-relative:margin;z-index:251669504;mso-width-relative:page;mso-height-relative:page;" filled="f" stroked="f" coordsize="21600,21600">
          <v:path/>
          <v:fill on="f" focussize="0,0"/>
          <v:stroke on="f" weight="0.5pt" joinstyle="miter"/>
          <v:imagedata o:title=""/>
          <o:lock v:ext="edit"/>
          <v:textbox inset="0mm,0mm,0mm,0mm" style="mso-fit-shape-to-text:t;">
            <w:txbxContent>
              <w:p w14:paraId="09177E38">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46</w:t>
                </w:r>
                <w:r>
                  <w:rPr>
                    <w:rFonts w:hint="eastAsia"/>
                    <w:sz w:val="18"/>
                  </w:rPr>
                  <w:fldChar w:fldCharType="end"/>
                </w:r>
                <w:r>
                  <w:rPr>
                    <w:rFonts w:hint="eastAsia"/>
                    <w:sz w:val="18"/>
                  </w:rPr>
                  <w:t xml:space="preserve"> 页 共 </w:t>
                </w:r>
                <w:r>
                  <w:fldChar w:fldCharType="begin"/>
                </w:r>
                <w:r>
                  <w:instrText xml:space="preserve"> NUMPAGES  \* MERGEFORMAT </w:instrText>
                </w:r>
                <w:r>
                  <w:fldChar w:fldCharType="separate"/>
                </w:r>
                <w:r>
                  <w:rPr>
                    <w:sz w:val="18"/>
                  </w:rPr>
                  <w:t>65</w:t>
                </w:r>
                <w:r>
                  <w:rPr>
                    <w:sz w:val="18"/>
                  </w:rPr>
                  <w:fldChar w:fldCharType="end"/>
                </w:r>
                <w:r>
                  <w:rPr>
                    <w:rFonts w:hint="eastAsia"/>
                    <w:sz w:val="18"/>
                  </w:rPr>
                  <w:t xml:space="preserve"> 页</w:t>
                </w:r>
              </w:p>
            </w:txbxContent>
          </v:textbox>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2D3F31">
    <w:pPr>
      <w:pStyle w:val="9"/>
      <w:ind w:right="21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A76753">
    <w:pPr>
      <w:pStyle w:val="9"/>
      <w:ind w:right="2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EF8ED3">
    <w:pPr>
      <w:pStyle w:val="10"/>
      <w:jc w:val="both"/>
      <w:rPr>
        <w:rFonts w:asciiTheme="minorEastAsia" w:hAnsiTheme="minorEastAsia"/>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ED0805">
    <w:pPr>
      <w:pStyle w:val="10"/>
      <w:pBdr>
        <w:bottom w:val="none" w:color="auto" w:sz="0" w:space="1"/>
      </w:pBdr>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1C7EF5">
    <w:pPr>
      <w:pStyle w:val="10"/>
      <w:jc w:val="both"/>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8F5487">
    <w:pPr>
      <w:pStyle w:val="10"/>
      <w:pBdr>
        <w:bottom w:val="none" w:color="auto" w:sz="0" w:space="0"/>
      </w:pBdr>
      <w:tabs>
        <w:tab w:val="center" w:pos="4320"/>
        <w:tab w:val="left" w:pos="7371"/>
        <w:tab w:val="clear" w:pos="4153"/>
        <w:tab w:val="clear" w:pos="8306"/>
      </w:tabs>
      <w:spacing w:line="360" w:lineRule="exact"/>
      <w:jc w:val="left"/>
      <w:rPr>
        <w:rFonts w:ascii="宋体" w:hAnsi="宋体"/>
        <w:sz w:val="21"/>
      </w:rPr>
    </w:pPr>
    <w:r>
      <w:rPr>
        <w:rFonts w:hint="eastAsia" w:ascii="宋体" w:hAnsi="宋体"/>
        <w:sz w:val="21"/>
      </w:rPr>
      <w:t>版本：A</w:t>
    </w:r>
    <w:r>
      <w:rPr>
        <w:rFonts w:hint="eastAsia" w:ascii="宋体" w:hAnsi="宋体"/>
        <w:sz w:val="21"/>
      </w:rPr>
      <w:tab/>
    </w:r>
    <w:r>
      <w:rPr>
        <w:rFonts w:hint="eastAsia" w:ascii="宋体" w:hAnsi="宋体"/>
        <w:sz w:val="21"/>
      </w:rPr>
      <w:t>日期：2015-10-08</w:t>
    </w:r>
  </w:p>
  <w:p w14:paraId="152E37E8">
    <w:pPr>
      <w:pStyle w:val="10"/>
      <w:pBdr>
        <w:bottom w:val="single" w:color="auto" w:sz="4" w:space="1"/>
      </w:pBdr>
      <w:tabs>
        <w:tab w:val="center" w:pos="4320"/>
        <w:tab w:val="left" w:pos="7371"/>
        <w:tab w:val="left" w:pos="7439"/>
        <w:tab w:val="clear" w:pos="4153"/>
        <w:tab w:val="clear" w:pos="8306"/>
      </w:tabs>
      <w:spacing w:line="360" w:lineRule="exact"/>
      <w:jc w:val="left"/>
      <w:rPr>
        <w:rFonts w:ascii="宋体" w:hAnsi="宋体"/>
        <w:sz w:val="21"/>
      </w:rPr>
    </w:pPr>
    <w:r>
      <w:rPr>
        <w:rFonts w:hint="eastAsia" w:ascii="宋体" w:hAnsi="宋体"/>
        <w:sz w:val="21"/>
      </w:rPr>
      <w:t>修改码：0</w:t>
    </w:r>
    <w:r>
      <w:rPr>
        <w:rFonts w:hint="eastAsia" w:ascii="黑体" w:hAnsi="黑体" w:eastAsia="黑体"/>
        <w:b/>
        <w:sz w:val="28"/>
      </w:rPr>
      <w:t>山西和泰隆商贸</w:t>
    </w:r>
    <w:r>
      <w:rPr>
        <w:rFonts w:ascii="黑体" w:hAnsi="黑体" w:eastAsia="黑体"/>
        <w:b/>
        <w:sz w:val="28"/>
      </w:rPr>
      <w:t>有限公司</w:t>
    </w:r>
    <w:r>
      <w:rPr>
        <w:rFonts w:hint="eastAsia" w:ascii="宋体" w:hAnsi="宋体"/>
        <w:sz w:val="21"/>
      </w:rPr>
      <w:tab/>
    </w:r>
    <w:r>
      <w:rPr>
        <w:rFonts w:hint="eastAsia" w:ascii="宋体" w:hAnsi="宋体"/>
        <w:sz w:val="21"/>
      </w:rPr>
      <w:t>页次：</w:t>
    </w:r>
    <w:r>
      <w:rPr>
        <w:rFonts w:ascii="宋体" w:hAnsi="宋体"/>
        <w:b/>
        <w:bCs/>
        <w:sz w:val="21"/>
      </w:rPr>
      <w:fldChar w:fldCharType="begin"/>
    </w:r>
    <w:r>
      <w:rPr>
        <w:rFonts w:ascii="宋体" w:hAnsi="宋体"/>
        <w:b/>
        <w:bCs/>
        <w:sz w:val="21"/>
      </w:rPr>
      <w:instrText xml:space="preserve">PAGE  \* Arabic  \* MERGEFORMAT</w:instrText>
    </w:r>
    <w:r>
      <w:rPr>
        <w:rFonts w:ascii="宋体" w:hAnsi="宋体"/>
        <w:b/>
        <w:bCs/>
        <w:sz w:val="21"/>
      </w:rPr>
      <w:fldChar w:fldCharType="separate"/>
    </w:r>
    <w:r>
      <w:rPr>
        <w:rFonts w:ascii="宋体" w:hAnsi="宋体"/>
        <w:b/>
        <w:bCs/>
        <w:sz w:val="21"/>
        <w:lang w:val="zh-CN"/>
      </w:rPr>
      <w:t>28</w:t>
    </w:r>
    <w:r>
      <w:rPr>
        <w:rFonts w:ascii="宋体" w:hAnsi="宋体"/>
        <w:b/>
        <w:bCs/>
        <w:sz w:val="21"/>
      </w:rPr>
      <w:fldChar w:fldCharType="end"/>
    </w:r>
    <w:r>
      <w:rPr>
        <w:rFonts w:ascii="宋体" w:hAnsi="宋体"/>
        <w:sz w:val="21"/>
        <w:lang w:val="zh-CN"/>
      </w:rPr>
      <w:t xml:space="preserve"> / </w:t>
    </w:r>
    <w:r>
      <w:fldChar w:fldCharType="begin"/>
    </w:r>
    <w:r>
      <w:instrText xml:space="preserve">NUMPAGES  \* Arabic  \* MERGEFORMAT</w:instrText>
    </w:r>
    <w:r>
      <w:fldChar w:fldCharType="separate"/>
    </w:r>
    <w:r>
      <w:rPr>
        <w:rFonts w:ascii="宋体" w:hAnsi="宋体"/>
        <w:b/>
        <w:bCs/>
        <w:sz w:val="21"/>
        <w:lang w:val="zh-CN"/>
      </w:rPr>
      <w:t>61</w:t>
    </w:r>
    <w:r>
      <w:rPr>
        <w:rFonts w:ascii="宋体" w:hAnsi="宋体"/>
        <w:b/>
        <w:bCs/>
        <w:sz w:val="21"/>
        <w:lang w:val="zh-CN"/>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93A361">
    <w:pPr>
      <w:pStyle w:val="10"/>
      <w:jc w:val="both"/>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BF786E">
    <w:pPr>
      <w:pStyle w:val="10"/>
      <w:pBdr>
        <w:bottom w:val="none" w:color="auto" w:sz="0" w:space="0"/>
      </w:pBdr>
      <w:tabs>
        <w:tab w:val="center" w:pos="4320"/>
        <w:tab w:val="left" w:pos="7371"/>
        <w:tab w:val="clear" w:pos="4153"/>
        <w:tab w:val="clear" w:pos="8306"/>
      </w:tabs>
      <w:spacing w:line="360" w:lineRule="exact"/>
      <w:jc w:val="left"/>
      <w:rPr>
        <w:rFonts w:ascii="宋体" w:hAnsi="宋体"/>
        <w:sz w:val="21"/>
      </w:rPr>
    </w:pPr>
    <w:r>
      <w:rPr>
        <w:rFonts w:hint="eastAsia" w:ascii="宋体" w:hAnsi="宋体"/>
        <w:sz w:val="21"/>
      </w:rPr>
      <w:t>版本：A</w:t>
    </w:r>
    <w:r>
      <w:rPr>
        <w:rFonts w:hint="eastAsia" w:ascii="宋体" w:hAnsi="宋体"/>
        <w:sz w:val="21"/>
      </w:rPr>
      <w:tab/>
    </w:r>
    <w:r>
      <w:rPr>
        <w:rFonts w:hint="eastAsia" w:ascii="宋体" w:hAnsi="宋体"/>
        <w:sz w:val="21"/>
      </w:rPr>
      <w:t>日期：2015-10-08</w:t>
    </w:r>
  </w:p>
  <w:p w14:paraId="48C74276">
    <w:pPr>
      <w:pStyle w:val="10"/>
      <w:pBdr>
        <w:bottom w:val="single" w:color="auto" w:sz="4" w:space="1"/>
      </w:pBdr>
      <w:tabs>
        <w:tab w:val="center" w:pos="4320"/>
        <w:tab w:val="left" w:pos="7371"/>
        <w:tab w:val="left" w:pos="7439"/>
        <w:tab w:val="clear" w:pos="4153"/>
        <w:tab w:val="clear" w:pos="8306"/>
      </w:tabs>
      <w:spacing w:line="360" w:lineRule="exact"/>
      <w:jc w:val="left"/>
      <w:rPr>
        <w:rFonts w:ascii="宋体" w:hAnsi="宋体"/>
        <w:sz w:val="21"/>
      </w:rPr>
    </w:pPr>
    <w:r>
      <w:rPr>
        <w:rFonts w:hint="eastAsia" w:ascii="宋体" w:hAnsi="宋体"/>
        <w:sz w:val="21"/>
      </w:rPr>
      <w:t>修改码：0</w:t>
    </w:r>
    <w:r>
      <w:rPr>
        <w:rFonts w:hint="eastAsia" w:ascii="黑体" w:hAnsi="黑体" w:eastAsia="黑体"/>
        <w:b/>
        <w:sz w:val="28"/>
      </w:rPr>
      <w:t>山西和泰隆商贸</w:t>
    </w:r>
    <w:r>
      <w:rPr>
        <w:rFonts w:ascii="黑体" w:hAnsi="黑体" w:eastAsia="黑体"/>
        <w:b/>
        <w:sz w:val="28"/>
      </w:rPr>
      <w:t>有限公司</w:t>
    </w:r>
    <w:r>
      <w:rPr>
        <w:rFonts w:hint="eastAsia" w:ascii="宋体" w:hAnsi="宋体"/>
        <w:sz w:val="21"/>
      </w:rPr>
      <w:tab/>
    </w:r>
    <w:r>
      <w:rPr>
        <w:rFonts w:hint="eastAsia" w:ascii="宋体" w:hAnsi="宋体"/>
        <w:sz w:val="21"/>
      </w:rPr>
      <w:t>页次：</w:t>
    </w:r>
    <w:r>
      <w:rPr>
        <w:rFonts w:ascii="宋体" w:hAnsi="宋体"/>
        <w:b/>
        <w:bCs/>
        <w:sz w:val="21"/>
      </w:rPr>
      <w:fldChar w:fldCharType="begin"/>
    </w:r>
    <w:r>
      <w:rPr>
        <w:rFonts w:ascii="宋体" w:hAnsi="宋体"/>
        <w:b/>
        <w:bCs/>
        <w:sz w:val="21"/>
      </w:rPr>
      <w:instrText xml:space="preserve">PAGE  \* Arabic  \* MERGEFORMAT</w:instrText>
    </w:r>
    <w:r>
      <w:rPr>
        <w:rFonts w:ascii="宋体" w:hAnsi="宋体"/>
        <w:b/>
        <w:bCs/>
        <w:sz w:val="21"/>
      </w:rPr>
      <w:fldChar w:fldCharType="separate"/>
    </w:r>
    <w:r>
      <w:rPr>
        <w:rFonts w:ascii="宋体" w:hAnsi="宋体"/>
        <w:b/>
        <w:bCs/>
        <w:sz w:val="21"/>
        <w:lang w:val="zh-CN"/>
      </w:rPr>
      <w:t>28</w:t>
    </w:r>
    <w:r>
      <w:rPr>
        <w:rFonts w:ascii="宋体" w:hAnsi="宋体"/>
        <w:b/>
        <w:bCs/>
        <w:sz w:val="21"/>
      </w:rPr>
      <w:fldChar w:fldCharType="end"/>
    </w:r>
    <w:r>
      <w:rPr>
        <w:rFonts w:ascii="宋体" w:hAnsi="宋体"/>
        <w:sz w:val="21"/>
        <w:lang w:val="zh-CN"/>
      </w:rPr>
      <w:t xml:space="preserve"> / </w:t>
    </w:r>
    <w:r>
      <w:fldChar w:fldCharType="begin"/>
    </w:r>
    <w:r>
      <w:instrText xml:space="preserve">NUMPAGES  \* Arabic  \* MERGEFORMAT</w:instrText>
    </w:r>
    <w:r>
      <w:fldChar w:fldCharType="separate"/>
    </w:r>
    <w:r>
      <w:rPr>
        <w:rFonts w:ascii="宋体" w:hAnsi="宋体"/>
        <w:b/>
        <w:bCs/>
        <w:sz w:val="21"/>
        <w:lang w:val="zh-CN"/>
      </w:rPr>
      <w:t>61</w:t>
    </w:r>
    <w:r>
      <w:rPr>
        <w:rFonts w:ascii="宋体" w:hAnsi="宋体"/>
        <w:b/>
        <w:bCs/>
        <w:sz w:val="21"/>
        <w:lang w:val="zh-CN"/>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F"/>
    <w:multiLevelType w:val="multilevel"/>
    <w:tmpl w:val="0000000F"/>
    <w:lvl w:ilvl="0" w:tentative="0">
      <w:start w:val="1"/>
      <w:numFmt w:val="none"/>
      <w:pStyle w:val="21"/>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ind w:left="0" w:firstLine="0"/>
      </w:pPr>
      <w:rPr>
        <w:rFonts w:hint="eastAsia" w:ascii="黑体" w:hAnsi="Times New Roman" w:eastAsia="黑体"/>
        <w:b w:val="0"/>
        <w:i w:val="0"/>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33BC7E46"/>
    <w:multiLevelType w:val="multilevel"/>
    <w:tmpl w:val="33BC7E46"/>
    <w:lvl w:ilvl="0" w:tentative="0">
      <w:start w:val="1"/>
      <w:numFmt w:val="bullet"/>
      <w:lvlText w:val=""/>
      <w:lvlJc w:val="left"/>
      <w:pPr>
        <w:tabs>
          <w:tab w:val="left" w:pos="945"/>
        </w:tabs>
        <w:ind w:left="945" w:hanging="420"/>
      </w:pPr>
      <w:rPr>
        <w:rFonts w:hint="default" w:ascii="Wingdings" w:hAnsi="Wingdings"/>
      </w:rPr>
    </w:lvl>
    <w:lvl w:ilvl="1" w:tentative="0">
      <w:start w:val="1"/>
      <w:numFmt w:val="bullet"/>
      <w:lvlText w:val=""/>
      <w:lvlJc w:val="left"/>
      <w:pPr>
        <w:tabs>
          <w:tab w:val="left" w:pos="1365"/>
        </w:tabs>
        <w:ind w:left="1365" w:hanging="420"/>
      </w:pPr>
      <w:rPr>
        <w:rFonts w:hint="default" w:ascii="Wingdings" w:hAnsi="Wingdings"/>
      </w:rPr>
    </w:lvl>
    <w:lvl w:ilvl="2" w:tentative="0">
      <w:start w:val="1"/>
      <w:numFmt w:val="bullet"/>
      <w:lvlText w:val=""/>
      <w:lvlJc w:val="left"/>
      <w:pPr>
        <w:tabs>
          <w:tab w:val="left" w:pos="1785"/>
        </w:tabs>
        <w:ind w:left="1785" w:hanging="420"/>
      </w:pPr>
      <w:rPr>
        <w:rFonts w:hint="default" w:ascii="Wingdings" w:hAnsi="Wingdings"/>
      </w:rPr>
    </w:lvl>
    <w:lvl w:ilvl="3" w:tentative="0">
      <w:start w:val="1"/>
      <w:numFmt w:val="bullet"/>
      <w:lvlText w:val=""/>
      <w:lvlJc w:val="left"/>
      <w:pPr>
        <w:tabs>
          <w:tab w:val="left" w:pos="2205"/>
        </w:tabs>
        <w:ind w:left="2205" w:hanging="420"/>
      </w:pPr>
      <w:rPr>
        <w:rFonts w:hint="default" w:ascii="Wingdings" w:hAnsi="Wingdings"/>
      </w:rPr>
    </w:lvl>
    <w:lvl w:ilvl="4" w:tentative="0">
      <w:start w:val="1"/>
      <w:numFmt w:val="bullet"/>
      <w:lvlText w:val=""/>
      <w:lvlJc w:val="left"/>
      <w:pPr>
        <w:tabs>
          <w:tab w:val="left" w:pos="2625"/>
        </w:tabs>
        <w:ind w:left="2625" w:hanging="420"/>
      </w:pPr>
      <w:rPr>
        <w:rFonts w:hint="default" w:ascii="Wingdings" w:hAnsi="Wingdings"/>
      </w:rPr>
    </w:lvl>
    <w:lvl w:ilvl="5" w:tentative="0">
      <w:start w:val="1"/>
      <w:numFmt w:val="bullet"/>
      <w:lvlText w:val=""/>
      <w:lvlJc w:val="left"/>
      <w:pPr>
        <w:tabs>
          <w:tab w:val="left" w:pos="3045"/>
        </w:tabs>
        <w:ind w:left="3045" w:hanging="420"/>
      </w:pPr>
      <w:rPr>
        <w:rFonts w:hint="default" w:ascii="Wingdings" w:hAnsi="Wingdings"/>
      </w:rPr>
    </w:lvl>
    <w:lvl w:ilvl="6" w:tentative="0">
      <w:start w:val="1"/>
      <w:numFmt w:val="bullet"/>
      <w:lvlText w:val=""/>
      <w:lvlJc w:val="left"/>
      <w:pPr>
        <w:tabs>
          <w:tab w:val="left" w:pos="3465"/>
        </w:tabs>
        <w:ind w:left="3465" w:hanging="420"/>
      </w:pPr>
      <w:rPr>
        <w:rFonts w:hint="default" w:ascii="Wingdings" w:hAnsi="Wingdings"/>
      </w:rPr>
    </w:lvl>
    <w:lvl w:ilvl="7" w:tentative="0">
      <w:start w:val="1"/>
      <w:numFmt w:val="bullet"/>
      <w:lvlText w:val=""/>
      <w:lvlJc w:val="left"/>
      <w:pPr>
        <w:tabs>
          <w:tab w:val="left" w:pos="3885"/>
        </w:tabs>
        <w:ind w:left="3885" w:hanging="420"/>
      </w:pPr>
      <w:rPr>
        <w:rFonts w:hint="default" w:ascii="Wingdings" w:hAnsi="Wingdings"/>
      </w:rPr>
    </w:lvl>
    <w:lvl w:ilvl="8" w:tentative="0">
      <w:start w:val="1"/>
      <w:numFmt w:val="bullet"/>
      <w:lvlText w:val=""/>
      <w:lvlJc w:val="left"/>
      <w:pPr>
        <w:tabs>
          <w:tab w:val="left" w:pos="4305"/>
        </w:tabs>
        <w:ind w:left="4305" w:hanging="420"/>
      </w:pPr>
      <w:rPr>
        <w:rFonts w:hint="default" w:ascii="Wingdings" w:hAnsi="Wingdings"/>
      </w:rPr>
    </w:lvl>
  </w:abstractNum>
  <w:abstractNum w:abstractNumId="2">
    <w:nsid w:val="38BA0044"/>
    <w:multiLevelType w:val="multilevel"/>
    <w:tmpl w:val="38BA0044"/>
    <w:lvl w:ilvl="0" w:tentative="0">
      <w:start w:val="1"/>
      <w:numFmt w:val="bullet"/>
      <w:lvlText w:val=""/>
      <w:lvlJc w:val="left"/>
      <w:pPr>
        <w:tabs>
          <w:tab w:val="left" w:pos="0"/>
        </w:tabs>
        <w:ind w:left="420" w:hanging="420"/>
      </w:pPr>
      <w:rPr>
        <w:rFonts w:hint="default" w:ascii="Wingdings" w:hAnsi="Wingdings"/>
      </w:rPr>
    </w:lvl>
    <w:lvl w:ilvl="1" w:tentative="0">
      <w:start w:val="1"/>
      <w:numFmt w:val="bullet"/>
      <w:lvlText w:val=""/>
      <w:lvlJc w:val="left"/>
      <w:pPr>
        <w:tabs>
          <w:tab w:val="left" w:pos="0"/>
        </w:tabs>
        <w:ind w:left="840" w:hanging="420"/>
      </w:pPr>
      <w:rPr>
        <w:rFonts w:hint="default" w:ascii="Wingdings" w:hAnsi="Wingdings"/>
      </w:rPr>
    </w:lvl>
    <w:lvl w:ilvl="2" w:tentative="0">
      <w:start w:val="1"/>
      <w:numFmt w:val="bullet"/>
      <w:lvlText w:val=""/>
      <w:lvlJc w:val="left"/>
      <w:pPr>
        <w:tabs>
          <w:tab w:val="left" w:pos="0"/>
        </w:tabs>
        <w:ind w:left="1260" w:hanging="420"/>
      </w:pPr>
      <w:rPr>
        <w:rFonts w:hint="default" w:ascii="Wingdings" w:hAnsi="Wingdings"/>
      </w:rPr>
    </w:lvl>
    <w:lvl w:ilvl="3" w:tentative="0">
      <w:start w:val="1"/>
      <w:numFmt w:val="bullet"/>
      <w:lvlText w:val=""/>
      <w:lvlJc w:val="left"/>
      <w:pPr>
        <w:tabs>
          <w:tab w:val="left" w:pos="0"/>
        </w:tabs>
        <w:ind w:left="1680" w:hanging="420"/>
      </w:pPr>
      <w:rPr>
        <w:rFonts w:hint="default" w:ascii="Wingdings" w:hAnsi="Wingdings"/>
      </w:rPr>
    </w:lvl>
    <w:lvl w:ilvl="4" w:tentative="0">
      <w:start w:val="1"/>
      <w:numFmt w:val="bullet"/>
      <w:lvlText w:val=""/>
      <w:lvlJc w:val="left"/>
      <w:pPr>
        <w:tabs>
          <w:tab w:val="left" w:pos="0"/>
        </w:tabs>
        <w:ind w:left="2100" w:hanging="420"/>
      </w:pPr>
      <w:rPr>
        <w:rFonts w:hint="default" w:ascii="Wingdings" w:hAnsi="Wingdings"/>
      </w:rPr>
    </w:lvl>
    <w:lvl w:ilvl="5" w:tentative="0">
      <w:start w:val="1"/>
      <w:numFmt w:val="bullet"/>
      <w:lvlText w:val=""/>
      <w:lvlJc w:val="left"/>
      <w:pPr>
        <w:tabs>
          <w:tab w:val="left" w:pos="0"/>
        </w:tabs>
        <w:ind w:left="2520" w:hanging="420"/>
      </w:pPr>
      <w:rPr>
        <w:rFonts w:hint="default" w:ascii="Wingdings" w:hAnsi="Wingdings"/>
      </w:rPr>
    </w:lvl>
    <w:lvl w:ilvl="6" w:tentative="0">
      <w:start w:val="1"/>
      <w:numFmt w:val="bullet"/>
      <w:lvlText w:val=""/>
      <w:lvlJc w:val="left"/>
      <w:pPr>
        <w:tabs>
          <w:tab w:val="left" w:pos="0"/>
        </w:tabs>
        <w:ind w:left="2940" w:hanging="420"/>
      </w:pPr>
      <w:rPr>
        <w:rFonts w:hint="default" w:ascii="Wingdings" w:hAnsi="Wingdings"/>
      </w:rPr>
    </w:lvl>
    <w:lvl w:ilvl="7" w:tentative="0">
      <w:start w:val="1"/>
      <w:numFmt w:val="bullet"/>
      <w:lvlText w:val=""/>
      <w:lvlJc w:val="left"/>
      <w:pPr>
        <w:tabs>
          <w:tab w:val="left" w:pos="0"/>
        </w:tabs>
        <w:ind w:left="3360" w:hanging="420"/>
      </w:pPr>
      <w:rPr>
        <w:rFonts w:hint="default" w:ascii="Wingdings" w:hAnsi="Wingdings"/>
      </w:rPr>
    </w:lvl>
    <w:lvl w:ilvl="8" w:tentative="0">
      <w:start w:val="1"/>
      <w:numFmt w:val="bullet"/>
      <w:lvlText w:val=""/>
      <w:lvlJc w:val="left"/>
      <w:pPr>
        <w:tabs>
          <w:tab w:val="left" w:pos="0"/>
        </w:tabs>
        <w:ind w:left="3780" w:hanging="420"/>
      </w:pPr>
      <w:rPr>
        <w:rFonts w:hint="default" w:ascii="Wingdings" w:hAnsi="Wingdings"/>
      </w:rPr>
    </w:lvl>
  </w:abstractNum>
  <w:abstractNum w:abstractNumId="3">
    <w:nsid w:val="3A4524F2"/>
    <w:multiLevelType w:val="multilevel"/>
    <w:tmpl w:val="3A4524F2"/>
    <w:lvl w:ilvl="0" w:tentative="0">
      <w:start w:val="1"/>
      <w:numFmt w:val="bullet"/>
      <w:lvlText w:val=""/>
      <w:lvlJc w:val="left"/>
      <w:pPr>
        <w:tabs>
          <w:tab w:val="left" w:pos="0"/>
        </w:tabs>
        <w:ind w:left="780" w:hanging="420"/>
      </w:pPr>
      <w:rPr>
        <w:rFonts w:hint="default" w:ascii="Wingdings" w:hAnsi="Wingdings"/>
      </w:rPr>
    </w:lvl>
    <w:lvl w:ilvl="1" w:tentative="0">
      <w:start w:val="1"/>
      <w:numFmt w:val="bullet"/>
      <w:lvlText w:val=""/>
      <w:lvlJc w:val="left"/>
      <w:pPr>
        <w:tabs>
          <w:tab w:val="left" w:pos="0"/>
        </w:tabs>
        <w:ind w:left="1200" w:hanging="420"/>
      </w:pPr>
      <w:rPr>
        <w:rFonts w:hint="default" w:ascii="Wingdings" w:hAnsi="Wingdings"/>
      </w:rPr>
    </w:lvl>
    <w:lvl w:ilvl="2" w:tentative="0">
      <w:start w:val="1"/>
      <w:numFmt w:val="bullet"/>
      <w:lvlText w:val=""/>
      <w:lvlJc w:val="left"/>
      <w:pPr>
        <w:tabs>
          <w:tab w:val="left" w:pos="0"/>
        </w:tabs>
        <w:ind w:left="1620" w:hanging="420"/>
      </w:pPr>
      <w:rPr>
        <w:rFonts w:hint="default" w:ascii="Wingdings" w:hAnsi="Wingdings"/>
      </w:rPr>
    </w:lvl>
    <w:lvl w:ilvl="3" w:tentative="0">
      <w:start w:val="1"/>
      <w:numFmt w:val="bullet"/>
      <w:lvlText w:val=""/>
      <w:lvlJc w:val="left"/>
      <w:pPr>
        <w:tabs>
          <w:tab w:val="left" w:pos="0"/>
        </w:tabs>
        <w:ind w:left="2040" w:hanging="420"/>
      </w:pPr>
      <w:rPr>
        <w:rFonts w:hint="default" w:ascii="Wingdings" w:hAnsi="Wingdings"/>
      </w:rPr>
    </w:lvl>
    <w:lvl w:ilvl="4" w:tentative="0">
      <w:start w:val="1"/>
      <w:numFmt w:val="bullet"/>
      <w:lvlText w:val=""/>
      <w:lvlJc w:val="left"/>
      <w:pPr>
        <w:tabs>
          <w:tab w:val="left" w:pos="0"/>
        </w:tabs>
        <w:ind w:left="2460" w:hanging="420"/>
      </w:pPr>
      <w:rPr>
        <w:rFonts w:hint="default" w:ascii="Wingdings" w:hAnsi="Wingdings"/>
      </w:rPr>
    </w:lvl>
    <w:lvl w:ilvl="5" w:tentative="0">
      <w:start w:val="1"/>
      <w:numFmt w:val="bullet"/>
      <w:lvlText w:val=""/>
      <w:lvlJc w:val="left"/>
      <w:pPr>
        <w:tabs>
          <w:tab w:val="left" w:pos="0"/>
        </w:tabs>
        <w:ind w:left="2880" w:hanging="420"/>
      </w:pPr>
      <w:rPr>
        <w:rFonts w:hint="default" w:ascii="Wingdings" w:hAnsi="Wingdings"/>
      </w:rPr>
    </w:lvl>
    <w:lvl w:ilvl="6" w:tentative="0">
      <w:start w:val="1"/>
      <w:numFmt w:val="bullet"/>
      <w:lvlText w:val=""/>
      <w:lvlJc w:val="left"/>
      <w:pPr>
        <w:tabs>
          <w:tab w:val="left" w:pos="0"/>
        </w:tabs>
        <w:ind w:left="3300" w:hanging="420"/>
      </w:pPr>
      <w:rPr>
        <w:rFonts w:hint="default" w:ascii="Wingdings" w:hAnsi="Wingdings"/>
      </w:rPr>
    </w:lvl>
    <w:lvl w:ilvl="7" w:tentative="0">
      <w:start w:val="1"/>
      <w:numFmt w:val="bullet"/>
      <w:lvlText w:val=""/>
      <w:lvlJc w:val="left"/>
      <w:pPr>
        <w:tabs>
          <w:tab w:val="left" w:pos="0"/>
        </w:tabs>
        <w:ind w:left="3720" w:hanging="420"/>
      </w:pPr>
      <w:rPr>
        <w:rFonts w:hint="default" w:ascii="Wingdings" w:hAnsi="Wingdings"/>
      </w:rPr>
    </w:lvl>
    <w:lvl w:ilvl="8" w:tentative="0">
      <w:start w:val="1"/>
      <w:numFmt w:val="bullet"/>
      <w:lvlText w:val=""/>
      <w:lvlJc w:val="left"/>
      <w:pPr>
        <w:tabs>
          <w:tab w:val="left" w:pos="0"/>
        </w:tabs>
        <w:ind w:left="4140" w:hanging="420"/>
      </w:pPr>
      <w:rPr>
        <w:rFonts w:hint="default" w:ascii="Wingdings" w:hAnsi="Wingdings"/>
      </w:rPr>
    </w:lvl>
  </w:abstractNum>
  <w:abstractNum w:abstractNumId="4">
    <w:nsid w:val="5700D821"/>
    <w:multiLevelType w:val="singleLevel"/>
    <w:tmpl w:val="5700D821"/>
    <w:lvl w:ilvl="0" w:tentative="0">
      <w:start w:val="1"/>
      <w:numFmt w:val="decimal"/>
      <w:lvlText w:val="%1)"/>
      <w:lvlJc w:val="left"/>
      <w:pPr>
        <w:tabs>
          <w:tab w:val="left" w:pos="425"/>
        </w:tabs>
        <w:ind w:left="425" w:hanging="425"/>
      </w:pPr>
      <w:rPr>
        <w:rFonts w:hint="default"/>
      </w:rPr>
    </w:lvl>
  </w:abstractNum>
  <w:abstractNum w:abstractNumId="5">
    <w:nsid w:val="587B9F48"/>
    <w:multiLevelType w:val="singleLevel"/>
    <w:tmpl w:val="587B9F48"/>
    <w:lvl w:ilvl="0" w:tentative="0">
      <w:start w:val="1"/>
      <w:numFmt w:val="lowerLetter"/>
      <w:suff w:val="space"/>
      <w:lvlText w:val="%1)"/>
      <w:lvlJc w:val="left"/>
    </w:lvl>
  </w:abstractNum>
  <w:abstractNum w:abstractNumId="6">
    <w:nsid w:val="5CB26080"/>
    <w:multiLevelType w:val="multilevel"/>
    <w:tmpl w:val="5CB26080"/>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2"/>
  </w:num>
  <w:num w:numId="4">
    <w:abstractNumId w:val="1"/>
  </w:num>
  <w:num w:numId="5">
    <w:abstractNumId w:val="5"/>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61"/>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mQ5ZmI1MTVkYWZkOWE1ZGM1ZGY4MzNlMzNjOTg3NDMifQ=="/>
  </w:docVars>
  <w:rsids>
    <w:rsidRoot w:val="373F2DDB"/>
    <w:rsid w:val="00005B22"/>
    <w:rsid w:val="00036147"/>
    <w:rsid w:val="00064F95"/>
    <w:rsid w:val="00087ED8"/>
    <w:rsid w:val="00091362"/>
    <w:rsid w:val="000927A9"/>
    <w:rsid w:val="00097AE8"/>
    <w:rsid w:val="000A2DAD"/>
    <w:rsid w:val="000A4056"/>
    <w:rsid w:val="000A4F86"/>
    <w:rsid w:val="000B095B"/>
    <w:rsid w:val="000B1FDA"/>
    <w:rsid w:val="000B5245"/>
    <w:rsid w:val="000B678A"/>
    <w:rsid w:val="000E222A"/>
    <w:rsid w:val="000E34B1"/>
    <w:rsid w:val="000F754F"/>
    <w:rsid w:val="00135735"/>
    <w:rsid w:val="00155434"/>
    <w:rsid w:val="00161D93"/>
    <w:rsid w:val="00162234"/>
    <w:rsid w:val="001729EA"/>
    <w:rsid w:val="0019073C"/>
    <w:rsid w:val="001A0E8C"/>
    <w:rsid w:val="001A19C8"/>
    <w:rsid w:val="001C0D61"/>
    <w:rsid w:val="001C400F"/>
    <w:rsid w:val="001C7E69"/>
    <w:rsid w:val="001E6941"/>
    <w:rsid w:val="001F20F7"/>
    <w:rsid w:val="002073E8"/>
    <w:rsid w:val="00211A4B"/>
    <w:rsid w:val="0023238D"/>
    <w:rsid w:val="002430C4"/>
    <w:rsid w:val="002572F5"/>
    <w:rsid w:val="00277D9B"/>
    <w:rsid w:val="002A2971"/>
    <w:rsid w:val="002A4F20"/>
    <w:rsid w:val="002C5A8E"/>
    <w:rsid w:val="002E2B50"/>
    <w:rsid w:val="002E34A0"/>
    <w:rsid w:val="002E648A"/>
    <w:rsid w:val="00311288"/>
    <w:rsid w:val="0031632C"/>
    <w:rsid w:val="0032630E"/>
    <w:rsid w:val="00332ACD"/>
    <w:rsid w:val="0036129F"/>
    <w:rsid w:val="00365819"/>
    <w:rsid w:val="00377B7B"/>
    <w:rsid w:val="003A454A"/>
    <w:rsid w:val="003A7781"/>
    <w:rsid w:val="003A77EF"/>
    <w:rsid w:val="003B74A5"/>
    <w:rsid w:val="003C7211"/>
    <w:rsid w:val="003D5C0A"/>
    <w:rsid w:val="003E56A4"/>
    <w:rsid w:val="00402FAD"/>
    <w:rsid w:val="00407C9A"/>
    <w:rsid w:val="00407EFF"/>
    <w:rsid w:val="004164CA"/>
    <w:rsid w:val="00423A32"/>
    <w:rsid w:val="00423C36"/>
    <w:rsid w:val="00436C9B"/>
    <w:rsid w:val="00445145"/>
    <w:rsid w:val="00445DED"/>
    <w:rsid w:val="0044630A"/>
    <w:rsid w:val="004553A8"/>
    <w:rsid w:val="00461907"/>
    <w:rsid w:val="004718E0"/>
    <w:rsid w:val="0047299D"/>
    <w:rsid w:val="00481192"/>
    <w:rsid w:val="004A76EC"/>
    <w:rsid w:val="004B2682"/>
    <w:rsid w:val="004B6FBB"/>
    <w:rsid w:val="004C36B1"/>
    <w:rsid w:val="004C5B9D"/>
    <w:rsid w:val="004E4185"/>
    <w:rsid w:val="004F61E1"/>
    <w:rsid w:val="0050518E"/>
    <w:rsid w:val="00506FFD"/>
    <w:rsid w:val="00510022"/>
    <w:rsid w:val="00516DB7"/>
    <w:rsid w:val="0053049D"/>
    <w:rsid w:val="005316EE"/>
    <w:rsid w:val="005455E2"/>
    <w:rsid w:val="00545AE3"/>
    <w:rsid w:val="00547A53"/>
    <w:rsid w:val="005830BC"/>
    <w:rsid w:val="00583F80"/>
    <w:rsid w:val="005843DF"/>
    <w:rsid w:val="005924BB"/>
    <w:rsid w:val="005955A9"/>
    <w:rsid w:val="005A2498"/>
    <w:rsid w:val="005A4DE9"/>
    <w:rsid w:val="005B077D"/>
    <w:rsid w:val="005C12AB"/>
    <w:rsid w:val="005E2F9D"/>
    <w:rsid w:val="005F6961"/>
    <w:rsid w:val="00615BC0"/>
    <w:rsid w:val="0061759A"/>
    <w:rsid w:val="00622AFF"/>
    <w:rsid w:val="00631D83"/>
    <w:rsid w:val="00644979"/>
    <w:rsid w:val="00647822"/>
    <w:rsid w:val="00654E74"/>
    <w:rsid w:val="00665F8B"/>
    <w:rsid w:val="00677547"/>
    <w:rsid w:val="006808FE"/>
    <w:rsid w:val="00691B70"/>
    <w:rsid w:val="006B24BB"/>
    <w:rsid w:val="006B2CBA"/>
    <w:rsid w:val="006B4B2D"/>
    <w:rsid w:val="006D1F59"/>
    <w:rsid w:val="006D48D8"/>
    <w:rsid w:val="006F2909"/>
    <w:rsid w:val="006F3042"/>
    <w:rsid w:val="006F3F8D"/>
    <w:rsid w:val="006F63AF"/>
    <w:rsid w:val="0070104F"/>
    <w:rsid w:val="00704649"/>
    <w:rsid w:val="007056D9"/>
    <w:rsid w:val="00711A7A"/>
    <w:rsid w:val="0071266F"/>
    <w:rsid w:val="00715B79"/>
    <w:rsid w:val="00723E65"/>
    <w:rsid w:val="0072749F"/>
    <w:rsid w:val="00732377"/>
    <w:rsid w:val="00735ADC"/>
    <w:rsid w:val="00737881"/>
    <w:rsid w:val="0074587C"/>
    <w:rsid w:val="00760788"/>
    <w:rsid w:val="0076552C"/>
    <w:rsid w:val="00783EE0"/>
    <w:rsid w:val="007B1684"/>
    <w:rsid w:val="007B4614"/>
    <w:rsid w:val="007C1629"/>
    <w:rsid w:val="007C2EDE"/>
    <w:rsid w:val="007C528D"/>
    <w:rsid w:val="007C53A2"/>
    <w:rsid w:val="007D4E90"/>
    <w:rsid w:val="007F0AD9"/>
    <w:rsid w:val="007F32DD"/>
    <w:rsid w:val="008200C5"/>
    <w:rsid w:val="00824F84"/>
    <w:rsid w:val="008267AC"/>
    <w:rsid w:val="008307E8"/>
    <w:rsid w:val="00837133"/>
    <w:rsid w:val="00847542"/>
    <w:rsid w:val="00873BBE"/>
    <w:rsid w:val="00874CB0"/>
    <w:rsid w:val="008901DC"/>
    <w:rsid w:val="008A0E9E"/>
    <w:rsid w:val="008B1B1D"/>
    <w:rsid w:val="008C2F76"/>
    <w:rsid w:val="008C5951"/>
    <w:rsid w:val="008C7809"/>
    <w:rsid w:val="008E058F"/>
    <w:rsid w:val="008E2D19"/>
    <w:rsid w:val="008F3DEA"/>
    <w:rsid w:val="0090202B"/>
    <w:rsid w:val="00904506"/>
    <w:rsid w:val="00904C35"/>
    <w:rsid w:val="00910CD6"/>
    <w:rsid w:val="009252D0"/>
    <w:rsid w:val="009279EB"/>
    <w:rsid w:val="0093574D"/>
    <w:rsid w:val="0095238F"/>
    <w:rsid w:val="00953DDB"/>
    <w:rsid w:val="009720CF"/>
    <w:rsid w:val="00974F3D"/>
    <w:rsid w:val="00975D6C"/>
    <w:rsid w:val="0099509C"/>
    <w:rsid w:val="009A0204"/>
    <w:rsid w:val="009A4B58"/>
    <w:rsid w:val="009A4D17"/>
    <w:rsid w:val="009B4681"/>
    <w:rsid w:val="009C0930"/>
    <w:rsid w:val="009C09BC"/>
    <w:rsid w:val="009C2DF0"/>
    <w:rsid w:val="009C6D74"/>
    <w:rsid w:val="009D615E"/>
    <w:rsid w:val="009E3906"/>
    <w:rsid w:val="00A0081A"/>
    <w:rsid w:val="00A03219"/>
    <w:rsid w:val="00A11604"/>
    <w:rsid w:val="00A24081"/>
    <w:rsid w:val="00A428B9"/>
    <w:rsid w:val="00A42930"/>
    <w:rsid w:val="00A430D6"/>
    <w:rsid w:val="00A52C5C"/>
    <w:rsid w:val="00A5504B"/>
    <w:rsid w:val="00A55FA6"/>
    <w:rsid w:val="00A5733D"/>
    <w:rsid w:val="00A715FE"/>
    <w:rsid w:val="00A8469F"/>
    <w:rsid w:val="00A84756"/>
    <w:rsid w:val="00A96612"/>
    <w:rsid w:val="00A96A1B"/>
    <w:rsid w:val="00A97ACE"/>
    <w:rsid w:val="00AA6DDA"/>
    <w:rsid w:val="00AB6E16"/>
    <w:rsid w:val="00AC3339"/>
    <w:rsid w:val="00AC4145"/>
    <w:rsid w:val="00AD4C85"/>
    <w:rsid w:val="00AD5A46"/>
    <w:rsid w:val="00AE1062"/>
    <w:rsid w:val="00AF5226"/>
    <w:rsid w:val="00B03C33"/>
    <w:rsid w:val="00B47670"/>
    <w:rsid w:val="00B53646"/>
    <w:rsid w:val="00B6646B"/>
    <w:rsid w:val="00B9638A"/>
    <w:rsid w:val="00B9691D"/>
    <w:rsid w:val="00BA2134"/>
    <w:rsid w:val="00BE4387"/>
    <w:rsid w:val="00BE4C4D"/>
    <w:rsid w:val="00BE7559"/>
    <w:rsid w:val="00C03EAF"/>
    <w:rsid w:val="00C04A1A"/>
    <w:rsid w:val="00C07125"/>
    <w:rsid w:val="00C13690"/>
    <w:rsid w:val="00C273F9"/>
    <w:rsid w:val="00C31A03"/>
    <w:rsid w:val="00C34702"/>
    <w:rsid w:val="00C378C0"/>
    <w:rsid w:val="00C41928"/>
    <w:rsid w:val="00C45F65"/>
    <w:rsid w:val="00C52630"/>
    <w:rsid w:val="00C5613B"/>
    <w:rsid w:val="00C91A72"/>
    <w:rsid w:val="00CA3AFD"/>
    <w:rsid w:val="00CE4F46"/>
    <w:rsid w:val="00CE58DF"/>
    <w:rsid w:val="00CE74D6"/>
    <w:rsid w:val="00CF0696"/>
    <w:rsid w:val="00D17583"/>
    <w:rsid w:val="00D24D98"/>
    <w:rsid w:val="00D24E4A"/>
    <w:rsid w:val="00D42D73"/>
    <w:rsid w:val="00D62065"/>
    <w:rsid w:val="00D742DB"/>
    <w:rsid w:val="00D7709E"/>
    <w:rsid w:val="00D778F7"/>
    <w:rsid w:val="00D919C7"/>
    <w:rsid w:val="00D91D21"/>
    <w:rsid w:val="00DA1594"/>
    <w:rsid w:val="00DA2F83"/>
    <w:rsid w:val="00DA3B19"/>
    <w:rsid w:val="00DA3BCB"/>
    <w:rsid w:val="00DB179B"/>
    <w:rsid w:val="00DB217C"/>
    <w:rsid w:val="00DC644B"/>
    <w:rsid w:val="00DD2AFB"/>
    <w:rsid w:val="00DD7492"/>
    <w:rsid w:val="00DE0A68"/>
    <w:rsid w:val="00DF431B"/>
    <w:rsid w:val="00E15B25"/>
    <w:rsid w:val="00E16131"/>
    <w:rsid w:val="00E279E8"/>
    <w:rsid w:val="00E4608B"/>
    <w:rsid w:val="00E51129"/>
    <w:rsid w:val="00E51E6D"/>
    <w:rsid w:val="00E52C84"/>
    <w:rsid w:val="00E531B5"/>
    <w:rsid w:val="00E54BB5"/>
    <w:rsid w:val="00E636DA"/>
    <w:rsid w:val="00E7264E"/>
    <w:rsid w:val="00E91C53"/>
    <w:rsid w:val="00EA58FD"/>
    <w:rsid w:val="00EC6B3A"/>
    <w:rsid w:val="00ED1814"/>
    <w:rsid w:val="00EE1F01"/>
    <w:rsid w:val="00EF2922"/>
    <w:rsid w:val="00EF50BA"/>
    <w:rsid w:val="00F119A6"/>
    <w:rsid w:val="00F25257"/>
    <w:rsid w:val="00F3038F"/>
    <w:rsid w:val="00F40DE8"/>
    <w:rsid w:val="00F716F5"/>
    <w:rsid w:val="00F75798"/>
    <w:rsid w:val="00F909AC"/>
    <w:rsid w:val="00FB1C40"/>
    <w:rsid w:val="00FB3564"/>
    <w:rsid w:val="00FB3983"/>
    <w:rsid w:val="00FB5E2C"/>
    <w:rsid w:val="00FB66CC"/>
    <w:rsid w:val="00FC750C"/>
    <w:rsid w:val="00FD07DD"/>
    <w:rsid w:val="00FD3DDF"/>
    <w:rsid w:val="00FD7AAE"/>
    <w:rsid w:val="00FF248C"/>
    <w:rsid w:val="00FF636C"/>
    <w:rsid w:val="00FF690F"/>
    <w:rsid w:val="010A6538"/>
    <w:rsid w:val="011810CE"/>
    <w:rsid w:val="01227865"/>
    <w:rsid w:val="012524B4"/>
    <w:rsid w:val="012968EB"/>
    <w:rsid w:val="0131423F"/>
    <w:rsid w:val="01367059"/>
    <w:rsid w:val="013A53D1"/>
    <w:rsid w:val="013E1A55"/>
    <w:rsid w:val="014A11D9"/>
    <w:rsid w:val="014F7A71"/>
    <w:rsid w:val="016269CC"/>
    <w:rsid w:val="0166164A"/>
    <w:rsid w:val="01707875"/>
    <w:rsid w:val="018A09A2"/>
    <w:rsid w:val="01A36DDC"/>
    <w:rsid w:val="01A53E90"/>
    <w:rsid w:val="01AE792A"/>
    <w:rsid w:val="01C06B03"/>
    <w:rsid w:val="01CA7090"/>
    <w:rsid w:val="01CB47CF"/>
    <w:rsid w:val="01D4654D"/>
    <w:rsid w:val="01DB318E"/>
    <w:rsid w:val="01E146D1"/>
    <w:rsid w:val="01F55BB3"/>
    <w:rsid w:val="02056153"/>
    <w:rsid w:val="021A61E1"/>
    <w:rsid w:val="02256FA1"/>
    <w:rsid w:val="022766D9"/>
    <w:rsid w:val="022A3BC4"/>
    <w:rsid w:val="02335E29"/>
    <w:rsid w:val="0250388E"/>
    <w:rsid w:val="025B73BF"/>
    <w:rsid w:val="025E7FB5"/>
    <w:rsid w:val="025F292C"/>
    <w:rsid w:val="026262AE"/>
    <w:rsid w:val="026331B5"/>
    <w:rsid w:val="027405BA"/>
    <w:rsid w:val="02816DA7"/>
    <w:rsid w:val="028F4A07"/>
    <w:rsid w:val="02A1111E"/>
    <w:rsid w:val="02B13F38"/>
    <w:rsid w:val="02B50726"/>
    <w:rsid w:val="02D43C8B"/>
    <w:rsid w:val="02F70D3E"/>
    <w:rsid w:val="031D0929"/>
    <w:rsid w:val="03214121"/>
    <w:rsid w:val="03237A58"/>
    <w:rsid w:val="03250E5E"/>
    <w:rsid w:val="0328110B"/>
    <w:rsid w:val="0332363D"/>
    <w:rsid w:val="033A0C2B"/>
    <w:rsid w:val="03414871"/>
    <w:rsid w:val="034C193A"/>
    <w:rsid w:val="035B6EE2"/>
    <w:rsid w:val="035E2B6B"/>
    <w:rsid w:val="035E7F12"/>
    <w:rsid w:val="03750F0F"/>
    <w:rsid w:val="0384332D"/>
    <w:rsid w:val="03990047"/>
    <w:rsid w:val="03A92896"/>
    <w:rsid w:val="03C05F09"/>
    <w:rsid w:val="03C76963"/>
    <w:rsid w:val="03D3204D"/>
    <w:rsid w:val="03D472D2"/>
    <w:rsid w:val="03D71CE1"/>
    <w:rsid w:val="043057D6"/>
    <w:rsid w:val="04455174"/>
    <w:rsid w:val="044C4165"/>
    <w:rsid w:val="045E2E25"/>
    <w:rsid w:val="04713DA5"/>
    <w:rsid w:val="04753F15"/>
    <w:rsid w:val="048E6F69"/>
    <w:rsid w:val="04974A2E"/>
    <w:rsid w:val="049C5421"/>
    <w:rsid w:val="04BC144D"/>
    <w:rsid w:val="04C32841"/>
    <w:rsid w:val="04CE11F5"/>
    <w:rsid w:val="04CE3C81"/>
    <w:rsid w:val="04DB1DB3"/>
    <w:rsid w:val="04DC4690"/>
    <w:rsid w:val="04E452F2"/>
    <w:rsid w:val="050D06E4"/>
    <w:rsid w:val="05205407"/>
    <w:rsid w:val="052056CA"/>
    <w:rsid w:val="05281F87"/>
    <w:rsid w:val="054C5D71"/>
    <w:rsid w:val="055004A1"/>
    <w:rsid w:val="056D6F35"/>
    <w:rsid w:val="05721D61"/>
    <w:rsid w:val="05815C1D"/>
    <w:rsid w:val="059C307B"/>
    <w:rsid w:val="05AA673E"/>
    <w:rsid w:val="05AD2793"/>
    <w:rsid w:val="05AF09AC"/>
    <w:rsid w:val="05B71FB9"/>
    <w:rsid w:val="05CB2669"/>
    <w:rsid w:val="05D87CBF"/>
    <w:rsid w:val="05DD2851"/>
    <w:rsid w:val="05DF28B8"/>
    <w:rsid w:val="06174648"/>
    <w:rsid w:val="06315AA2"/>
    <w:rsid w:val="063B3638"/>
    <w:rsid w:val="064E6EC7"/>
    <w:rsid w:val="065E163C"/>
    <w:rsid w:val="068A6564"/>
    <w:rsid w:val="069123F0"/>
    <w:rsid w:val="06A57E78"/>
    <w:rsid w:val="06A66853"/>
    <w:rsid w:val="06A97114"/>
    <w:rsid w:val="06BE0EAF"/>
    <w:rsid w:val="06C00E56"/>
    <w:rsid w:val="06CB0518"/>
    <w:rsid w:val="06E63486"/>
    <w:rsid w:val="06FA325D"/>
    <w:rsid w:val="06FA704F"/>
    <w:rsid w:val="06FB0E58"/>
    <w:rsid w:val="07010073"/>
    <w:rsid w:val="070D2FC4"/>
    <w:rsid w:val="070F0A20"/>
    <w:rsid w:val="07133C6D"/>
    <w:rsid w:val="072313D6"/>
    <w:rsid w:val="072A61C6"/>
    <w:rsid w:val="07360CDC"/>
    <w:rsid w:val="07495984"/>
    <w:rsid w:val="074E23AC"/>
    <w:rsid w:val="07730277"/>
    <w:rsid w:val="07776869"/>
    <w:rsid w:val="07830F73"/>
    <w:rsid w:val="07833F52"/>
    <w:rsid w:val="07871BF5"/>
    <w:rsid w:val="078D16D3"/>
    <w:rsid w:val="07AB75FE"/>
    <w:rsid w:val="07AD51F8"/>
    <w:rsid w:val="07B85473"/>
    <w:rsid w:val="07C166A5"/>
    <w:rsid w:val="07F52692"/>
    <w:rsid w:val="07FB57E0"/>
    <w:rsid w:val="08060B53"/>
    <w:rsid w:val="08196C27"/>
    <w:rsid w:val="081C413E"/>
    <w:rsid w:val="081E6D6D"/>
    <w:rsid w:val="081E7DBC"/>
    <w:rsid w:val="085B318B"/>
    <w:rsid w:val="086E6140"/>
    <w:rsid w:val="087879BD"/>
    <w:rsid w:val="087A005E"/>
    <w:rsid w:val="088918F1"/>
    <w:rsid w:val="08B5126B"/>
    <w:rsid w:val="08CC0577"/>
    <w:rsid w:val="08CE7A34"/>
    <w:rsid w:val="08F52D32"/>
    <w:rsid w:val="08F73198"/>
    <w:rsid w:val="08F93498"/>
    <w:rsid w:val="09175C96"/>
    <w:rsid w:val="0966535E"/>
    <w:rsid w:val="09694A6B"/>
    <w:rsid w:val="09896468"/>
    <w:rsid w:val="09904CC9"/>
    <w:rsid w:val="0994282F"/>
    <w:rsid w:val="09AA4A40"/>
    <w:rsid w:val="09BF2FF0"/>
    <w:rsid w:val="09D87044"/>
    <w:rsid w:val="09DC2A3C"/>
    <w:rsid w:val="09E42D5E"/>
    <w:rsid w:val="09E732BC"/>
    <w:rsid w:val="0A00672A"/>
    <w:rsid w:val="0A152DD6"/>
    <w:rsid w:val="0A2B53F6"/>
    <w:rsid w:val="0A3606AD"/>
    <w:rsid w:val="0A3A7C50"/>
    <w:rsid w:val="0A597CF8"/>
    <w:rsid w:val="0A656ED5"/>
    <w:rsid w:val="0A7254AF"/>
    <w:rsid w:val="0A990765"/>
    <w:rsid w:val="0A9953FE"/>
    <w:rsid w:val="0A9B037D"/>
    <w:rsid w:val="0AB20AFF"/>
    <w:rsid w:val="0AB337DD"/>
    <w:rsid w:val="0AB532E4"/>
    <w:rsid w:val="0AC259DA"/>
    <w:rsid w:val="0ADB00F0"/>
    <w:rsid w:val="0AE404DB"/>
    <w:rsid w:val="0AE66620"/>
    <w:rsid w:val="0AF51705"/>
    <w:rsid w:val="0AFB2271"/>
    <w:rsid w:val="0AFE0FC6"/>
    <w:rsid w:val="0B0202CA"/>
    <w:rsid w:val="0B1517AE"/>
    <w:rsid w:val="0B2B469E"/>
    <w:rsid w:val="0B48279C"/>
    <w:rsid w:val="0B516167"/>
    <w:rsid w:val="0B551299"/>
    <w:rsid w:val="0B5A55DA"/>
    <w:rsid w:val="0B5B0D79"/>
    <w:rsid w:val="0B80011E"/>
    <w:rsid w:val="0B9C754B"/>
    <w:rsid w:val="0BB21CA6"/>
    <w:rsid w:val="0BB86D72"/>
    <w:rsid w:val="0BBC6AB7"/>
    <w:rsid w:val="0BD07E75"/>
    <w:rsid w:val="0BE54F1C"/>
    <w:rsid w:val="0BEB3238"/>
    <w:rsid w:val="0C182F0C"/>
    <w:rsid w:val="0C6334CB"/>
    <w:rsid w:val="0C646B26"/>
    <w:rsid w:val="0C656D19"/>
    <w:rsid w:val="0C781F3E"/>
    <w:rsid w:val="0C92364E"/>
    <w:rsid w:val="0C986661"/>
    <w:rsid w:val="0C9B265A"/>
    <w:rsid w:val="0CAF5A9D"/>
    <w:rsid w:val="0CB54854"/>
    <w:rsid w:val="0CC27913"/>
    <w:rsid w:val="0CC70E2F"/>
    <w:rsid w:val="0CF47CB8"/>
    <w:rsid w:val="0CFD2EE7"/>
    <w:rsid w:val="0D3B7B89"/>
    <w:rsid w:val="0D41594E"/>
    <w:rsid w:val="0D4C7ED9"/>
    <w:rsid w:val="0D501777"/>
    <w:rsid w:val="0D641039"/>
    <w:rsid w:val="0D6E10F8"/>
    <w:rsid w:val="0D766D04"/>
    <w:rsid w:val="0D7A3E31"/>
    <w:rsid w:val="0D8E3A24"/>
    <w:rsid w:val="0D954726"/>
    <w:rsid w:val="0D9C4CE2"/>
    <w:rsid w:val="0DA3465D"/>
    <w:rsid w:val="0DB96584"/>
    <w:rsid w:val="0DBF4799"/>
    <w:rsid w:val="0DCE428E"/>
    <w:rsid w:val="0E0E0D86"/>
    <w:rsid w:val="0E230C39"/>
    <w:rsid w:val="0E496BBC"/>
    <w:rsid w:val="0E5E50EA"/>
    <w:rsid w:val="0E626EB2"/>
    <w:rsid w:val="0E627282"/>
    <w:rsid w:val="0E68658D"/>
    <w:rsid w:val="0E6E74E9"/>
    <w:rsid w:val="0E7238B7"/>
    <w:rsid w:val="0E81086D"/>
    <w:rsid w:val="0E8651E7"/>
    <w:rsid w:val="0E8F2773"/>
    <w:rsid w:val="0E9A73D9"/>
    <w:rsid w:val="0E9D2A7F"/>
    <w:rsid w:val="0E9E282E"/>
    <w:rsid w:val="0EA93DB8"/>
    <w:rsid w:val="0EC2197A"/>
    <w:rsid w:val="0EEF4707"/>
    <w:rsid w:val="0F037349"/>
    <w:rsid w:val="0F0A3136"/>
    <w:rsid w:val="0F0D3CB2"/>
    <w:rsid w:val="0F184D50"/>
    <w:rsid w:val="0F1B2BF6"/>
    <w:rsid w:val="0F28075F"/>
    <w:rsid w:val="0F2C13A5"/>
    <w:rsid w:val="0F31673D"/>
    <w:rsid w:val="0F5B1F7B"/>
    <w:rsid w:val="0F5E309C"/>
    <w:rsid w:val="0F5E3D61"/>
    <w:rsid w:val="0F735BF1"/>
    <w:rsid w:val="0F745841"/>
    <w:rsid w:val="0F985C64"/>
    <w:rsid w:val="0F9F00D3"/>
    <w:rsid w:val="0FAD1479"/>
    <w:rsid w:val="0FC90321"/>
    <w:rsid w:val="0FE04151"/>
    <w:rsid w:val="0FF16526"/>
    <w:rsid w:val="0FFC3E38"/>
    <w:rsid w:val="101E093C"/>
    <w:rsid w:val="102F7D69"/>
    <w:rsid w:val="103B49F8"/>
    <w:rsid w:val="10436FC2"/>
    <w:rsid w:val="10495598"/>
    <w:rsid w:val="10502686"/>
    <w:rsid w:val="10510D72"/>
    <w:rsid w:val="10584A36"/>
    <w:rsid w:val="107626CC"/>
    <w:rsid w:val="10840B88"/>
    <w:rsid w:val="108A211D"/>
    <w:rsid w:val="109F3A82"/>
    <w:rsid w:val="10D40299"/>
    <w:rsid w:val="10DC5984"/>
    <w:rsid w:val="10EF02FC"/>
    <w:rsid w:val="110172BE"/>
    <w:rsid w:val="111A2ED4"/>
    <w:rsid w:val="111D5F75"/>
    <w:rsid w:val="113C146E"/>
    <w:rsid w:val="114945CC"/>
    <w:rsid w:val="11561326"/>
    <w:rsid w:val="115775B7"/>
    <w:rsid w:val="11580FCC"/>
    <w:rsid w:val="115B2DE0"/>
    <w:rsid w:val="117619EB"/>
    <w:rsid w:val="11787829"/>
    <w:rsid w:val="1182354C"/>
    <w:rsid w:val="11854431"/>
    <w:rsid w:val="11937ACA"/>
    <w:rsid w:val="11AF1429"/>
    <w:rsid w:val="12084B20"/>
    <w:rsid w:val="120D2FEC"/>
    <w:rsid w:val="12195C8D"/>
    <w:rsid w:val="122D5891"/>
    <w:rsid w:val="123759BF"/>
    <w:rsid w:val="124810C4"/>
    <w:rsid w:val="125A79FF"/>
    <w:rsid w:val="125F2A05"/>
    <w:rsid w:val="12685C8D"/>
    <w:rsid w:val="12887A06"/>
    <w:rsid w:val="12887CDA"/>
    <w:rsid w:val="12A24B09"/>
    <w:rsid w:val="12D0178E"/>
    <w:rsid w:val="12FE7EC7"/>
    <w:rsid w:val="130C6140"/>
    <w:rsid w:val="13167943"/>
    <w:rsid w:val="132F3390"/>
    <w:rsid w:val="133D4BEC"/>
    <w:rsid w:val="1356519C"/>
    <w:rsid w:val="135668EE"/>
    <w:rsid w:val="137C3830"/>
    <w:rsid w:val="1385653D"/>
    <w:rsid w:val="139703A3"/>
    <w:rsid w:val="13997A88"/>
    <w:rsid w:val="139E0D62"/>
    <w:rsid w:val="139E5E0C"/>
    <w:rsid w:val="139F46C0"/>
    <w:rsid w:val="13A41DAF"/>
    <w:rsid w:val="13AC7923"/>
    <w:rsid w:val="13AD288E"/>
    <w:rsid w:val="13E22C53"/>
    <w:rsid w:val="13EA62BF"/>
    <w:rsid w:val="13EB3FA7"/>
    <w:rsid w:val="140659DD"/>
    <w:rsid w:val="14117D11"/>
    <w:rsid w:val="141A5676"/>
    <w:rsid w:val="14353D81"/>
    <w:rsid w:val="14676D1D"/>
    <w:rsid w:val="146B310F"/>
    <w:rsid w:val="146D1C8C"/>
    <w:rsid w:val="14842D62"/>
    <w:rsid w:val="148D07C0"/>
    <w:rsid w:val="14AB19D1"/>
    <w:rsid w:val="14C03686"/>
    <w:rsid w:val="14C3596D"/>
    <w:rsid w:val="14E26AE8"/>
    <w:rsid w:val="14EE2633"/>
    <w:rsid w:val="150359AC"/>
    <w:rsid w:val="150850B0"/>
    <w:rsid w:val="15196039"/>
    <w:rsid w:val="15202377"/>
    <w:rsid w:val="15261B64"/>
    <w:rsid w:val="152A0AFF"/>
    <w:rsid w:val="152D6718"/>
    <w:rsid w:val="15543315"/>
    <w:rsid w:val="155605EB"/>
    <w:rsid w:val="15585291"/>
    <w:rsid w:val="156D7A2B"/>
    <w:rsid w:val="157354CE"/>
    <w:rsid w:val="157D083B"/>
    <w:rsid w:val="158A271A"/>
    <w:rsid w:val="158F65E2"/>
    <w:rsid w:val="15A76133"/>
    <w:rsid w:val="15BA0E2A"/>
    <w:rsid w:val="15CE7053"/>
    <w:rsid w:val="15E03E4B"/>
    <w:rsid w:val="15E35EA8"/>
    <w:rsid w:val="15EC2A02"/>
    <w:rsid w:val="160A43FA"/>
    <w:rsid w:val="160D4CB4"/>
    <w:rsid w:val="16310C8D"/>
    <w:rsid w:val="16336BC0"/>
    <w:rsid w:val="16455315"/>
    <w:rsid w:val="16465E0D"/>
    <w:rsid w:val="16473933"/>
    <w:rsid w:val="164D4EF5"/>
    <w:rsid w:val="16595721"/>
    <w:rsid w:val="165A5F46"/>
    <w:rsid w:val="16702E8A"/>
    <w:rsid w:val="16AC278C"/>
    <w:rsid w:val="16BA09C8"/>
    <w:rsid w:val="16CA2694"/>
    <w:rsid w:val="16CD3E38"/>
    <w:rsid w:val="16DE1BA1"/>
    <w:rsid w:val="16E627A7"/>
    <w:rsid w:val="16EF5CC2"/>
    <w:rsid w:val="172779EC"/>
    <w:rsid w:val="17321EED"/>
    <w:rsid w:val="173C7F43"/>
    <w:rsid w:val="173E545A"/>
    <w:rsid w:val="17435680"/>
    <w:rsid w:val="17464622"/>
    <w:rsid w:val="17965122"/>
    <w:rsid w:val="17BA5911"/>
    <w:rsid w:val="17C157CC"/>
    <w:rsid w:val="17C4515D"/>
    <w:rsid w:val="17C7206D"/>
    <w:rsid w:val="17C7506C"/>
    <w:rsid w:val="17CA65DF"/>
    <w:rsid w:val="17D42FA4"/>
    <w:rsid w:val="17ED16E2"/>
    <w:rsid w:val="181871F0"/>
    <w:rsid w:val="1839330F"/>
    <w:rsid w:val="186A130A"/>
    <w:rsid w:val="187716DE"/>
    <w:rsid w:val="187B0097"/>
    <w:rsid w:val="187E2DC6"/>
    <w:rsid w:val="18801B4B"/>
    <w:rsid w:val="188B75FE"/>
    <w:rsid w:val="18B97E9F"/>
    <w:rsid w:val="19063069"/>
    <w:rsid w:val="190E5FC5"/>
    <w:rsid w:val="191A75A1"/>
    <w:rsid w:val="192432CB"/>
    <w:rsid w:val="19337933"/>
    <w:rsid w:val="19485AAB"/>
    <w:rsid w:val="194C364D"/>
    <w:rsid w:val="194F718C"/>
    <w:rsid w:val="19714930"/>
    <w:rsid w:val="19801E8E"/>
    <w:rsid w:val="198D62F9"/>
    <w:rsid w:val="198E25D5"/>
    <w:rsid w:val="19907008"/>
    <w:rsid w:val="19916805"/>
    <w:rsid w:val="199E0D3F"/>
    <w:rsid w:val="19A167C6"/>
    <w:rsid w:val="19E97783"/>
    <w:rsid w:val="19FA323E"/>
    <w:rsid w:val="1A256A04"/>
    <w:rsid w:val="1A2C77DE"/>
    <w:rsid w:val="1A30565A"/>
    <w:rsid w:val="1A381DE1"/>
    <w:rsid w:val="1A3A2636"/>
    <w:rsid w:val="1A41097C"/>
    <w:rsid w:val="1A410C8B"/>
    <w:rsid w:val="1A622A41"/>
    <w:rsid w:val="1A6D0536"/>
    <w:rsid w:val="1A6F3C16"/>
    <w:rsid w:val="1A712A4B"/>
    <w:rsid w:val="1A7A5331"/>
    <w:rsid w:val="1A8106B9"/>
    <w:rsid w:val="1A8370E7"/>
    <w:rsid w:val="1A907657"/>
    <w:rsid w:val="1A946E45"/>
    <w:rsid w:val="1AC93C23"/>
    <w:rsid w:val="1AD77713"/>
    <w:rsid w:val="1AE1034E"/>
    <w:rsid w:val="1AE23C2A"/>
    <w:rsid w:val="1AE71241"/>
    <w:rsid w:val="1AF3134E"/>
    <w:rsid w:val="1AF87010"/>
    <w:rsid w:val="1AF916A0"/>
    <w:rsid w:val="1B0F7711"/>
    <w:rsid w:val="1B1A295C"/>
    <w:rsid w:val="1B1A6EE1"/>
    <w:rsid w:val="1B1C546C"/>
    <w:rsid w:val="1B1D609B"/>
    <w:rsid w:val="1B2A16CC"/>
    <w:rsid w:val="1B5D0179"/>
    <w:rsid w:val="1B7B7738"/>
    <w:rsid w:val="1B7E3804"/>
    <w:rsid w:val="1BA2742B"/>
    <w:rsid w:val="1BB05AD7"/>
    <w:rsid w:val="1BD367A8"/>
    <w:rsid w:val="1BDD6F7F"/>
    <w:rsid w:val="1BF40372"/>
    <w:rsid w:val="1C026962"/>
    <w:rsid w:val="1C036B0B"/>
    <w:rsid w:val="1C053991"/>
    <w:rsid w:val="1C0650EE"/>
    <w:rsid w:val="1C0D3430"/>
    <w:rsid w:val="1C273FEB"/>
    <w:rsid w:val="1C2A21E8"/>
    <w:rsid w:val="1C344F75"/>
    <w:rsid w:val="1C355247"/>
    <w:rsid w:val="1C3A2A85"/>
    <w:rsid w:val="1C4268D5"/>
    <w:rsid w:val="1C433C15"/>
    <w:rsid w:val="1C4C4C83"/>
    <w:rsid w:val="1C53627A"/>
    <w:rsid w:val="1C544C8A"/>
    <w:rsid w:val="1C5A075D"/>
    <w:rsid w:val="1C7B5AEF"/>
    <w:rsid w:val="1C7D4CDA"/>
    <w:rsid w:val="1C81041C"/>
    <w:rsid w:val="1C8F5C84"/>
    <w:rsid w:val="1CA91B27"/>
    <w:rsid w:val="1CBD6764"/>
    <w:rsid w:val="1CD52005"/>
    <w:rsid w:val="1CD61AFA"/>
    <w:rsid w:val="1D0713F1"/>
    <w:rsid w:val="1D0E7E07"/>
    <w:rsid w:val="1D1545CE"/>
    <w:rsid w:val="1D440BEE"/>
    <w:rsid w:val="1D4C7EF3"/>
    <w:rsid w:val="1D5A219E"/>
    <w:rsid w:val="1D71491D"/>
    <w:rsid w:val="1D85546D"/>
    <w:rsid w:val="1D947594"/>
    <w:rsid w:val="1D9E0D9C"/>
    <w:rsid w:val="1DB30BCD"/>
    <w:rsid w:val="1DDD5690"/>
    <w:rsid w:val="1DE877AA"/>
    <w:rsid w:val="1E0D0FBE"/>
    <w:rsid w:val="1E197974"/>
    <w:rsid w:val="1E2E4CEF"/>
    <w:rsid w:val="1E326FFB"/>
    <w:rsid w:val="1E3649B9"/>
    <w:rsid w:val="1E386B56"/>
    <w:rsid w:val="1E511E16"/>
    <w:rsid w:val="1E6540AE"/>
    <w:rsid w:val="1E75648E"/>
    <w:rsid w:val="1E82375A"/>
    <w:rsid w:val="1E8C4BFD"/>
    <w:rsid w:val="1E8D7351"/>
    <w:rsid w:val="1E94348E"/>
    <w:rsid w:val="1EAE1EFC"/>
    <w:rsid w:val="1EB35DE2"/>
    <w:rsid w:val="1EBF046F"/>
    <w:rsid w:val="1ED146E2"/>
    <w:rsid w:val="1F072DE8"/>
    <w:rsid w:val="1F2E628D"/>
    <w:rsid w:val="1F3172FB"/>
    <w:rsid w:val="1F3A78E3"/>
    <w:rsid w:val="1F473932"/>
    <w:rsid w:val="1F505A2D"/>
    <w:rsid w:val="1F512D9A"/>
    <w:rsid w:val="1F5A5233"/>
    <w:rsid w:val="1F617389"/>
    <w:rsid w:val="1F6F1F16"/>
    <w:rsid w:val="1F7A5D80"/>
    <w:rsid w:val="1F9F43AC"/>
    <w:rsid w:val="1FBD38DE"/>
    <w:rsid w:val="1FBF5519"/>
    <w:rsid w:val="1FCF0C21"/>
    <w:rsid w:val="1FD224BF"/>
    <w:rsid w:val="1FE7626A"/>
    <w:rsid w:val="20014B53"/>
    <w:rsid w:val="20020299"/>
    <w:rsid w:val="20046083"/>
    <w:rsid w:val="20085EE1"/>
    <w:rsid w:val="200C0649"/>
    <w:rsid w:val="200C6CE6"/>
    <w:rsid w:val="202C2ED4"/>
    <w:rsid w:val="203E3DF8"/>
    <w:rsid w:val="20410CE9"/>
    <w:rsid w:val="205B601A"/>
    <w:rsid w:val="207538D3"/>
    <w:rsid w:val="2076109D"/>
    <w:rsid w:val="208052CC"/>
    <w:rsid w:val="20822314"/>
    <w:rsid w:val="20A035E0"/>
    <w:rsid w:val="20A06B36"/>
    <w:rsid w:val="20B22968"/>
    <w:rsid w:val="20B43520"/>
    <w:rsid w:val="20BA7640"/>
    <w:rsid w:val="20CC6317"/>
    <w:rsid w:val="20F168FA"/>
    <w:rsid w:val="20F24049"/>
    <w:rsid w:val="212B7F06"/>
    <w:rsid w:val="2131251C"/>
    <w:rsid w:val="213172AB"/>
    <w:rsid w:val="213339EB"/>
    <w:rsid w:val="21483B30"/>
    <w:rsid w:val="2148446D"/>
    <w:rsid w:val="214C3840"/>
    <w:rsid w:val="21506E60"/>
    <w:rsid w:val="2158184D"/>
    <w:rsid w:val="215D7536"/>
    <w:rsid w:val="216E1657"/>
    <w:rsid w:val="21704489"/>
    <w:rsid w:val="21931FC1"/>
    <w:rsid w:val="21941850"/>
    <w:rsid w:val="21A8794D"/>
    <w:rsid w:val="21AA4421"/>
    <w:rsid w:val="21BC43C0"/>
    <w:rsid w:val="21BE3880"/>
    <w:rsid w:val="21C92CE9"/>
    <w:rsid w:val="21C9329F"/>
    <w:rsid w:val="21ED6884"/>
    <w:rsid w:val="21F273B2"/>
    <w:rsid w:val="21F33B8D"/>
    <w:rsid w:val="2210487A"/>
    <w:rsid w:val="222A052E"/>
    <w:rsid w:val="222B0932"/>
    <w:rsid w:val="222B77D5"/>
    <w:rsid w:val="22345B48"/>
    <w:rsid w:val="22362A5E"/>
    <w:rsid w:val="224551CB"/>
    <w:rsid w:val="22680EAA"/>
    <w:rsid w:val="22787ACE"/>
    <w:rsid w:val="2293637F"/>
    <w:rsid w:val="2299571A"/>
    <w:rsid w:val="229D4B00"/>
    <w:rsid w:val="22A546C5"/>
    <w:rsid w:val="22AF0344"/>
    <w:rsid w:val="22AF7380"/>
    <w:rsid w:val="22B326B3"/>
    <w:rsid w:val="22B331BB"/>
    <w:rsid w:val="22BB5E23"/>
    <w:rsid w:val="22C27688"/>
    <w:rsid w:val="22D62D78"/>
    <w:rsid w:val="22D87589"/>
    <w:rsid w:val="22DF686C"/>
    <w:rsid w:val="22EF279D"/>
    <w:rsid w:val="23003C1D"/>
    <w:rsid w:val="23114BF7"/>
    <w:rsid w:val="23232B0B"/>
    <w:rsid w:val="232D48A0"/>
    <w:rsid w:val="23353491"/>
    <w:rsid w:val="23381747"/>
    <w:rsid w:val="233A1D29"/>
    <w:rsid w:val="235B77DA"/>
    <w:rsid w:val="236006EA"/>
    <w:rsid w:val="23612E12"/>
    <w:rsid w:val="236E3D99"/>
    <w:rsid w:val="238A4A41"/>
    <w:rsid w:val="23B814DE"/>
    <w:rsid w:val="23BF71FF"/>
    <w:rsid w:val="23D25637"/>
    <w:rsid w:val="23DF164F"/>
    <w:rsid w:val="23E354CF"/>
    <w:rsid w:val="23F6330D"/>
    <w:rsid w:val="23F86C88"/>
    <w:rsid w:val="240F3CE2"/>
    <w:rsid w:val="24215F84"/>
    <w:rsid w:val="242E57F3"/>
    <w:rsid w:val="243172B3"/>
    <w:rsid w:val="24443926"/>
    <w:rsid w:val="2461481A"/>
    <w:rsid w:val="249F6E2C"/>
    <w:rsid w:val="24A3656A"/>
    <w:rsid w:val="24A80605"/>
    <w:rsid w:val="24AB32DF"/>
    <w:rsid w:val="24AD04A0"/>
    <w:rsid w:val="24C7636B"/>
    <w:rsid w:val="24DD747A"/>
    <w:rsid w:val="24E911EC"/>
    <w:rsid w:val="24F3185C"/>
    <w:rsid w:val="25164BFC"/>
    <w:rsid w:val="25360C67"/>
    <w:rsid w:val="25386D1D"/>
    <w:rsid w:val="253B28B5"/>
    <w:rsid w:val="253B4B2D"/>
    <w:rsid w:val="254661C6"/>
    <w:rsid w:val="255D51FB"/>
    <w:rsid w:val="25604827"/>
    <w:rsid w:val="258C3EC7"/>
    <w:rsid w:val="25981697"/>
    <w:rsid w:val="25A35392"/>
    <w:rsid w:val="25B861AE"/>
    <w:rsid w:val="25C71483"/>
    <w:rsid w:val="25C84F4D"/>
    <w:rsid w:val="25C95C24"/>
    <w:rsid w:val="25CA0DE6"/>
    <w:rsid w:val="25DF1492"/>
    <w:rsid w:val="25E8766F"/>
    <w:rsid w:val="25EB3874"/>
    <w:rsid w:val="25FD7285"/>
    <w:rsid w:val="26114D1D"/>
    <w:rsid w:val="261D79E7"/>
    <w:rsid w:val="263A6020"/>
    <w:rsid w:val="264F5D2A"/>
    <w:rsid w:val="26607E77"/>
    <w:rsid w:val="266268B6"/>
    <w:rsid w:val="266A5AE9"/>
    <w:rsid w:val="26725B10"/>
    <w:rsid w:val="267419A6"/>
    <w:rsid w:val="26802C75"/>
    <w:rsid w:val="268302D5"/>
    <w:rsid w:val="26865DB2"/>
    <w:rsid w:val="26C6461C"/>
    <w:rsid w:val="26D3400E"/>
    <w:rsid w:val="26E022F5"/>
    <w:rsid w:val="26E62A27"/>
    <w:rsid w:val="26F95DC4"/>
    <w:rsid w:val="26FE7038"/>
    <w:rsid w:val="27166B8D"/>
    <w:rsid w:val="271D59E1"/>
    <w:rsid w:val="272814F2"/>
    <w:rsid w:val="27295F42"/>
    <w:rsid w:val="27370EEE"/>
    <w:rsid w:val="275872F3"/>
    <w:rsid w:val="275C7D98"/>
    <w:rsid w:val="278C1FCE"/>
    <w:rsid w:val="27A33DA4"/>
    <w:rsid w:val="27A57654"/>
    <w:rsid w:val="27A732B0"/>
    <w:rsid w:val="27AC7822"/>
    <w:rsid w:val="27DB3EDB"/>
    <w:rsid w:val="27E212A0"/>
    <w:rsid w:val="27E3508C"/>
    <w:rsid w:val="280A362A"/>
    <w:rsid w:val="28171332"/>
    <w:rsid w:val="281C3059"/>
    <w:rsid w:val="28250BB0"/>
    <w:rsid w:val="282C529B"/>
    <w:rsid w:val="2844639B"/>
    <w:rsid w:val="286B39A6"/>
    <w:rsid w:val="286E6918"/>
    <w:rsid w:val="287B5006"/>
    <w:rsid w:val="287C38CC"/>
    <w:rsid w:val="289016CB"/>
    <w:rsid w:val="28AF6FC7"/>
    <w:rsid w:val="28B30B2A"/>
    <w:rsid w:val="28C91552"/>
    <w:rsid w:val="292A0DEA"/>
    <w:rsid w:val="293741CB"/>
    <w:rsid w:val="293F41A1"/>
    <w:rsid w:val="294E211F"/>
    <w:rsid w:val="295206E8"/>
    <w:rsid w:val="295A02AB"/>
    <w:rsid w:val="29631534"/>
    <w:rsid w:val="29701FBB"/>
    <w:rsid w:val="298813DD"/>
    <w:rsid w:val="29A419B4"/>
    <w:rsid w:val="29BA604F"/>
    <w:rsid w:val="29D057B8"/>
    <w:rsid w:val="29D44E41"/>
    <w:rsid w:val="29DC331A"/>
    <w:rsid w:val="29E31E87"/>
    <w:rsid w:val="2A1839D5"/>
    <w:rsid w:val="2A2B5AF0"/>
    <w:rsid w:val="2A2D5487"/>
    <w:rsid w:val="2A333F9B"/>
    <w:rsid w:val="2A3E70CF"/>
    <w:rsid w:val="2A776DF7"/>
    <w:rsid w:val="2A8B3C47"/>
    <w:rsid w:val="2A9A1E4A"/>
    <w:rsid w:val="2A9B04B2"/>
    <w:rsid w:val="2AA04055"/>
    <w:rsid w:val="2AA66EC5"/>
    <w:rsid w:val="2AAE77E7"/>
    <w:rsid w:val="2AD47437"/>
    <w:rsid w:val="2AD71F3C"/>
    <w:rsid w:val="2AD829B4"/>
    <w:rsid w:val="2AE517F3"/>
    <w:rsid w:val="2AEB3E89"/>
    <w:rsid w:val="2AEC43B7"/>
    <w:rsid w:val="2AEF5814"/>
    <w:rsid w:val="2AF43A74"/>
    <w:rsid w:val="2AFF726D"/>
    <w:rsid w:val="2B455B00"/>
    <w:rsid w:val="2B4D44D1"/>
    <w:rsid w:val="2B6253AB"/>
    <w:rsid w:val="2B6C0390"/>
    <w:rsid w:val="2B706DE7"/>
    <w:rsid w:val="2B772DDD"/>
    <w:rsid w:val="2B90527E"/>
    <w:rsid w:val="2B977DDF"/>
    <w:rsid w:val="2BA35EF7"/>
    <w:rsid w:val="2BAE38B5"/>
    <w:rsid w:val="2BD37228"/>
    <w:rsid w:val="2BDF6242"/>
    <w:rsid w:val="2BE938CC"/>
    <w:rsid w:val="2BED599B"/>
    <w:rsid w:val="2C097503"/>
    <w:rsid w:val="2C097EB5"/>
    <w:rsid w:val="2C0F3D4C"/>
    <w:rsid w:val="2C210A56"/>
    <w:rsid w:val="2C2612A9"/>
    <w:rsid w:val="2C2F5753"/>
    <w:rsid w:val="2C360F6A"/>
    <w:rsid w:val="2C366A75"/>
    <w:rsid w:val="2C3F2139"/>
    <w:rsid w:val="2C47503C"/>
    <w:rsid w:val="2C5E76AA"/>
    <w:rsid w:val="2C8D2362"/>
    <w:rsid w:val="2C9819C6"/>
    <w:rsid w:val="2C9F197B"/>
    <w:rsid w:val="2CAA7E08"/>
    <w:rsid w:val="2CD01C96"/>
    <w:rsid w:val="2CD93A5B"/>
    <w:rsid w:val="2CD93FEA"/>
    <w:rsid w:val="2CDC3185"/>
    <w:rsid w:val="2CE3504F"/>
    <w:rsid w:val="2D2B77C4"/>
    <w:rsid w:val="2D3B7BAC"/>
    <w:rsid w:val="2D3F4C3F"/>
    <w:rsid w:val="2D420226"/>
    <w:rsid w:val="2D506576"/>
    <w:rsid w:val="2D567803"/>
    <w:rsid w:val="2D5D3DB6"/>
    <w:rsid w:val="2D6A4102"/>
    <w:rsid w:val="2D747654"/>
    <w:rsid w:val="2D8C2005"/>
    <w:rsid w:val="2D8E024A"/>
    <w:rsid w:val="2D9B23CF"/>
    <w:rsid w:val="2DB06875"/>
    <w:rsid w:val="2DB15E0A"/>
    <w:rsid w:val="2DB57BBE"/>
    <w:rsid w:val="2DC277E3"/>
    <w:rsid w:val="2DC975F8"/>
    <w:rsid w:val="2DD86F75"/>
    <w:rsid w:val="2DD8784F"/>
    <w:rsid w:val="2DEE54EC"/>
    <w:rsid w:val="2E1343CF"/>
    <w:rsid w:val="2E150C31"/>
    <w:rsid w:val="2E25321B"/>
    <w:rsid w:val="2E334A71"/>
    <w:rsid w:val="2E3C3645"/>
    <w:rsid w:val="2E521A64"/>
    <w:rsid w:val="2E643D46"/>
    <w:rsid w:val="2E662150"/>
    <w:rsid w:val="2E7203F1"/>
    <w:rsid w:val="2E8404C9"/>
    <w:rsid w:val="2EA51F61"/>
    <w:rsid w:val="2EB67C3B"/>
    <w:rsid w:val="2EB81A5C"/>
    <w:rsid w:val="2ED25DF5"/>
    <w:rsid w:val="2ED4642B"/>
    <w:rsid w:val="2ED9480E"/>
    <w:rsid w:val="2F0200B7"/>
    <w:rsid w:val="2F1946D3"/>
    <w:rsid w:val="2F68440D"/>
    <w:rsid w:val="2F7C14FF"/>
    <w:rsid w:val="2F7E1394"/>
    <w:rsid w:val="2F847E03"/>
    <w:rsid w:val="2F895F32"/>
    <w:rsid w:val="2FAC4579"/>
    <w:rsid w:val="2FC27F78"/>
    <w:rsid w:val="2FCB5E1B"/>
    <w:rsid w:val="2FD770AE"/>
    <w:rsid w:val="2FD940B0"/>
    <w:rsid w:val="2FEA5603"/>
    <w:rsid w:val="300F64A0"/>
    <w:rsid w:val="303F08A4"/>
    <w:rsid w:val="305A62E5"/>
    <w:rsid w:val="306D4E1E"/>
    <w:rsid w:val="308816E5"/>
    <w:rsid w:val="308D0330"/>
    <w:rsid w:val="30985577"/>
    <w:rsid w:val="30B10567"/>
    <w:rsid w:val="30B17437"/>
    <w:rsid w:val="31085D41"/>
    <w:rsid w:val="31206EB8"/>
    <w:rsid w:val="31232B7B"/>
    <w:rsid w:val="314E224C"/>
    <w:rsid w:val="316C1CF2"/>
    <w:rsid w:val="317A3668"/>
    <w:rsid w:val="317E0281"/>
    <w:rsid w:val="318D3FEB"/>
    <w:rsid w:val="31C26DC2"/>
    <w:rsid w:val="31C3610C"/>
    <w:rsid w:val="31E461EA"/>
    <w:rsid w:val="31E554D6"/>
    <w:rsid w:val="31E97A49"/>
    <w:rsid w:val="32052B77"/>
    <w:rsid w:val="320C598B"/>
    <w:rsid w:val="320F61D5"/>
    <w:rsid w:val="3242061B"/>
    <w:rsid w:val="3243090F"/>
    <w:rsid w:val="3262178C"/>
    <w:rsid w:val="32874183"/>
    <w:rsid w:val="32887A9E"/>
    <w:rsid w:val="32895A47"/>
    <w:rsid w:val="3295370F"/>
    <w:rsid w:val="32A13D90"/>
    <w:rsid w:val="32A75469"/>
    <w:rsid w:val="32A87A5E"/>
    <w:rsid w:val="32C115B2"/>
    <w:rsid w:val="32C75788"/>
    <w:rsid w:val="32FF2E46"/>
    <w:rsid w:val="331C1F78"/>
    <w:rsid w:val="33331BB4"/>
    <w:rsid w:val="333408DD"/>
    <w:rsid w:val="33411461"/>
    <w:rsid w:val="33482236"/>
    <w:rsid w:val="337A67A6"/>
    <w:rsid w:val="339E4856"/>
    <w:rsid w:val="33A67B98"/>
    <w:rsid w:val="33E93145"/>
    <w:rsid w:val="33EC5939"/>
    <w:rsid w:val="33F52379"/>
    <w:rsid w:val="33F71923"/>
    <w:rsid w:val="34002ECA"/>
    <w:rsid w:val="343601EE"/>
    <w:rsid w:val="34457CB7"/>
    <w:rsid w:val="3454020B"/>
    <w:rsid w:val="345D09F2"/>
    <w:rsid w:val="34863A74"/>
    <w:rsid w:val="34896896"/>
    <w:rsid w:val="34A02734"/>
    <w:rsid w:val="34AA2520"/>
    <w:rsid w:val="34AD0434"/>
    <w:rsid w:val="34B35F58"/>
    <w:rsid w:val="34BD50A2"/>
    <w:rsid w:val="34BE00C8"/>
    <w:rsid w:val="34BF3388"/>
    <w:rsid w:val="34DE57C6"/>
    <w:rsid w:val="350042E6"/>
    <w:rsid w:val="351072C3"/>
    <w:rsid w:val="351C6900"/>
    <w:rsid w:val="352D6F16"/>
    <w:rsid w:val="35362DB5"/>
    <w:rsid w:val="354431AA"/>
    <w:rsid w:val="354A75EF"/>
    <w:rsid w:val="35511F00"/>
    <w:rsid w:val="35542C75"/>
    <w:rsid w:val="3555090E"/>
    <w:rsid w:val="35606275"/>
    <w:rsid w:val="357B7A29"/>
    <w:rsid w:val="357E578A"/>
    <w:rsid w:val="35AA7874"/>
    <w:rsid w:val="35AE1338"/>
    <w:rsid w:val="35C03368"/>
    <w:rsid w:val="35E51415"/>
    <w:rsid w:val="35E86141"/>
    <w:rsid w:val="35F93DAC"/>
    <w:rsid w:val="3602659C"/>
    <w:rsid w:val="360D204B"/>
    <w:rsid w:val="3616178C"/>
    <w:rsid w:val="36263CA8"/>
    <w:rsid w:val="363461E5"/>
    <w:rsid w:val="3647142E"/>
    <w:rsid w:val="36731D18"/>
    <w:rsid w:val="36806742"/>
    <w:rsid w:val="36835866"/>
    <w:rsid w:val="36913256"/>
    <w:rsid w:val="369A7929"/>
    <w:rsid w:val="36A82885"/>
    <w:rsid w:val="36AF2E3A"/>
    <w:rsid w:val="36BE5673"/>
    <w:rsid w:val="36C30B54"/>
    <w:rsid w:val="36C506A5"/>
    <w:rsid w:val="36DF36E5"/>
    <w:rsid w:val="36E82C45"/>
    <w:rsid w:val="36F963BA"/>
    <w:rsid w:val="36FE586A"/>
    <w:rsid w:val="36FF7BE6"/>
    <w:rsid w:val="373C5EAC"/>
    <w:rsid w:val="373F17A9"/>
    <w:rsid w:val="373F2DDB"/>
    <w:rsid w:val="375025F3"/>
    <w:rsid w:val="3758647B"/>
    <w:rsid w:val="37A831CA"/>
    <w:rsid w:val="37AC6D7C"/>
    <w:rsid w:val="37BA279B"/>
    <w:rsid w:val="37C4498C"/>
    <w:rsid w:val="37C97827"/>
    <w:rsid w:val="37F8564A"/>
    <w:rsid w:val="37FA6563"/>
    <w:rsid w:val="37FB0122"/>
    <w:rsid w:val="37FE58C1"/>
    <w:rsid w:val="38077B4C"/>
    <w:rsid w:val="381C0807"/>
    <w:rsid w:val="3828048A"/>
    <w:rsid w:val="382E3923"/>
    <w:rsid w:val="3845787B"/>
    <w:rsid w:val="38471742"/>
    <w:rsid w:val="385C15DE"/>
    <w:rsid w:val="387A46F8"/>
    <w:rsid w:val="388047A6"/>
    <w:rsid w:val="38836395"/>
    <w:rsid w:val="38941445"/>
    <w:rsid w:val="38985F2D"/>
    <w:rsid w:val="38A452C9"/>
    <w:rsid w:val="38A624CD"/>
    <w:rsid w:val="38AE0B26"/>
    <w:rsid w:val="38BB473B"/>
    <w:rsid w:val="38C04CD1"/>
    <w:rsid w:val="38C70754"/>
    <w:rsid w:val="38C72D68"/>
    <w:rsid w:val="391E1048"/>
    <w:rsid w:val="39384246"/>
    <w:rsid w:val="394606E8"/>
    <w:rsid w:val="39462BF8"/>
    <w:rsid w:val="394C28B8"/>
    <w:rsid w:val="397146A0"/>
    <w:rsid w:val="3993018F"/>
    <w:rsid w:val="399C4079"/>
    <w:rsid w:val="39B4026D"/>
    <w:rsid w:val="39C37C5B"/>
    <w:rsid w:val="39D1081F"/>
    <w:rsid w:val="39D709A6"/>
    <w:rsid w:val="39DB6F0B"/>
    <w:rsid w:val="39E03AE0"/>
    <w:rsid w:val="3A01056C"/>
    <w:rsid w:val="3A100242"/>
    <w:rsid w:val="3A17458C"/>
    <w:rsid w:val="3A2B5497"/>
    <w:rsid w:val="3A3548E4"/>
    <w:rsid w:val="3A4C5233"/>
    <w:rsid w:val="3A5F3C7F"/>
    <w:rsid w:val="3A644887"/>
    <w:rsid w:val="3A6D51E5"/>
    <w:rsid w:val="3A9F5CC3"/>
    <w:rsid w:val="3AAB5B8C"/>
    <w:rsid w:val="3AC67D44"/>
    <w:rsid w:val="3ADA73EE"/>
    <w:rsid w:val="3ADE02CB"/>
    <w:rsid w:val="3AF01864"/>
    <w:rsid w:val="3AF32B49"/>
    <w:rsid w:val="3AF8251B"/>
    <w:rsid w:val="3AFA5580"/>
    <w:rsid w:val="3AFF4DD9"/>
    <w:rsid w:val="3B173724"/>
    <w:rsid w:val="3B1F7ABF"/>
    <w:rsid w:val="3B2974E2"/>
    <w:rsid w:val="3B357E55"/>
    <w:rsid w:val="3B474369"/>
    <w:rsid w:val="3B4F1516"/>
    <w:rsid w:val="3B5129DA"/>
    <w:rsid w:val="3B8113CA"/>
    <w:rsid w:val="3B864361"/>
    <w:rsid w:val="3B903503"/>
    <w:rsid w:val="3BAA0972"/>
    <w:rsid w:val="3BAC5E63"/>
    <w:rsid w:val="3BB204D3"/>
    <w:rsid w:val="3BC746EB"/>
    <w:rsid w:val="3BD12350"/>
    <w:rsid w:val="3BD33C46"/>
    <w:rsid w:val="3BD553B9"/>
    <w:rsid w:val="3BE92596"/>
    <w:rsid w:val="3BEF7F77"/>
    <w:rsid w:val="3C19519E"/>
    <w:rsid w:val="3C227152"/>
    <w:rsid w:val="3C3C68D5"/>
    <w:rsid w:val="3C3D745E"/>
    <w:rsid w:val="3C436B55"/>
    <w:rsid w:val="3C4E1B93"/>
    <w:rsid w:val="3C6F4322"/>
    <w:rsid w:val="3C72726A"/>
    <w:rsid w:val="3C77021F"/>
    <w:rsid w:val="3C7A3CB1"/>
    <w:rsid w:val="3C7C57B4"/>
    <w:rsid w:val="3C860149"/>
    <w:rsid w:val="3C9A7B37"/>
    <w:rsid w:val="3CAC4A3B"/>
    <w:rsid w:val="3CB34EAF"/>
    <w:rsid w:val="3CB54EEF"/>
    <w:rsid w:val="3CC05722"/>
    <w:rsid w:val="3CC10F40"/>
    <w:rsid w:val="3D0543F1"/>
    <w:rsid w:val="3D172628"/>
    <w:rsid w:val="3D2A26A6"/>
    <w:rsid w:val="3D7041CE"/>
    <w:rsid w:val="3DA912F6"/>
    <w:rsid w:val="3DDF59A4"/>
    <w:rsid w:val="3DFF3BEB"/>
    <w:rsid w:val="3E03620E"/>
    <w:rsid w:val="3E18643C"/>
    <w:rsid w:val="3E1A47D4"/>
    <w:rsid w:val="3E2241BA"/>
    <w:rsid w:val="3E2D5C37"/>
    <w:rsid w:val="3E4A20F5"/>
    <w:rsid w:val="3E4A37D1"/>
    <w:rsid w:val="3E5007FF"/>
    <w:rsid w:val="3E777260"/>
    <w:rsid w:val="3E7807DF"/>
    <w:rsid w:val="3E7A34F7"/>
    <w:rsid w:val="3E7F1F9B"/>
    <w:rsid w:val="3E817133"/>
    <w:rsid w:val="3E867BA0"/>
    <w:rsid w:val="3E917168"/>
    <w:rsid w:val="3EA77D6E"/>
    <w:rsid w:val="3EAD616D"/>
    <w:rsid w:val="3EB37228"/>
    <w:rsid w:val="3EB93AA6"/>
    <w:rsid w:val="3EC12AC5"/>
    <w:rsid w:val="3EDB1E12"/>
    <w:rsid w:val="3EEA2F2A"/>
    <w:rsid w:val="3EF00CCD"/>
    <w:rsid w:val="3EFB4507"/>
    <w:rsid w:val="3EFC556F"/>
    <w:rsid w:val="3F1707E5"/>
    <w:rsid w:val="3F1E6F5B"/>
    <w:rsid w:val="3F325000"/>
    <w:rsid w:val="3F485CFC"/>
    <w:rsid w:val="3F515EF7"/>
    <w:rsid w:val="3F520ACF"/>
    <w:rsid w:val="3F5C6E97"/>
    <w:rsid w:val="3F62018D"/>
    <w:rsid w:val="3F80213A"/>
    <w:rsid w:val="3FAB2091"/>
    <w:rsid w:val="3FB114C1"/>
    <w:rsid w:val="3FB94DF7"/>
    <w:rsid w:val="3FD40807"/>
    <w:rsid w:val="3FD65825"/>
    <w:rsid w:val="3FD9291B"/>
    <w:rsid w:val="3FDD75A0"/>
    <w:rsid w:val="3FE22EDE"/>
    <w:rsid w:val="3FE369D6"/>
    <w:rsid w:val="3FE47012"/>
    <w:rsid w:val="3FE77469"/>
    <w:rsid w:val="3FEA495A"/>
    <w:rsid w:val="3FEE1264"/>
    <w:rsid w:val="3FF424D6"/>
    <w:rsid w:val="40040D15"/>
    <w:rsid w:val="40044EA3"/>
    <w:rsid w:val="40193EF2"/>
    <w:rsid w:val="401A01BA"/>
    <w:rsid w:val="40216F88"/>
    <w:rsid w:val="40270B72"/>
    <w:rsid w:val="40316AC8"/>
    <w:rsid w:val="40401228"/>
    <w:rsid w:val="404A26C6"/>
    <w:rsid w:val="404E602D"/>
    <w:rsid w:val="404F5239"/>
    <w:rsid w:val="405014B2"/>
    <w:rsid w:val="40566A9F"/>
    <w:rsid w:val="408324BA"/>
    <w:rsid w:val="409E221E"/>
    <w:rsid w:val="40BB51B8"/>
    <w:rsid w:val="40D75337"/>
    <w:rsid w:val="40F0184B"/>
    <w:rsid w:val="40F91FE1"/>
    <w:rsid w:val="40F9235F"/>
    <w:rsid w:val="40FA4DD7"/>
    <w:rsid w:val="410450A0"/>
    <w:rsid w:val="41074958"/>
    <w:rsid w:val="410C72D9"/>
    <w:rsid w:val="412E1A25"/>
    <w:rsid w:val="413C66F5"/>
    <w:rsid w:val="416845DA"/>
    <w:rsid w:val="41741A0A"/>
    <w:rsid w:val="418351CF"/>
    <w:rsid w:val="41835FE9"/>
    <w:rsid w:val="418807D8"/>
    <w:rsid w:val="418E711F"/>
    <w:rsid w:val="41A25D3E"/>
    <w:rsid w:val="41CE1B8E"/>
    <w:rsid w:val="41CE4DE7"/>
    <w:rsid w:val="42277FF1"/>
    <w:rsid w:val="422E68B3"/>
    <w:rsid w:val="42497F67"/>
    <w:rsid w:val="42553A9C"/>
    <w:rsid w:val="425E10F9"/>
    <w:rsid w:val="42643F45"/>
    <w:rsid w:val="42691485"/>
    <w:rsid w:val="42695066"/>
    <w:rsid w:val="426E70DD"/>
    <w:rsid w:val="42727DA6"/>
    <w:rsid w:val="4291240B"/>
    <w:rsid w:val="42B212AA"/>
    <w:rsid w:val="42C24D7A"/>
    <w:rsid w:val="42EA0813"/>
    <w:rsid w:val="42EB05ED"/>
    <w:rsid w:val="4304383F"/>
    <w:rsid w:val="4309045E"/>
    <w:rsid w:val="43160F21"/>
    <w:rsid w:val="431B5DA8"/>
    <w:rsid w:val="43240CBF"/>
    <w:rsid w:val="433C474B"/>
    <w:rsid w:val="43411138"/>
    <w:rsid w:val="43427DEB"/>
    <w:rsid w:val="434D5F05"/>
    <w:rsid w:val="435237AE"/>
    <w:rsid w:val="435B55FC"/>
    <w:rsid w:val="436306B0"/>
    <w:rsid w:val="436529B7"/>
    <w:rsid w:val="436F0D3D"/>
    <w:rsid w:val="43820AE4"/>
    <w:rsid w:val="4386427B"/>
    <w:rsid w:val="43910C09"/>
    <w:rsid w:val="439B1FB4"/>
    <w:rsid w:val="43A52A74"/>
    <w:rsid w:val="43D02E16"/>
    <w:rsid w:val="43D41AF2"/>
    <w:rsid w:val="43F540A8"/>
    <w:rsid w:val="44011FB4"/>
    <w:rsid w:val="440719D8"/>
    <w:rsid w:val="440E76BA"/>
    <w:rsid w:val="442D122D"/>
    <w:rsid w:val="44325A91"/>
    <w:rsid w:val="44521DF7"/>
    <w:rsid w:val="44582FDD"/>
    <w:rsid w:val="445F49B3"/>
    <w:rsid w:val="4461334A"/>
    <w:rsid w:val="446C3577"/>
    <w:rsid w:val="446D0597"/>
    <w:rsid w:val="447F34BD"/>
    <w:rsid w:val="44815866"/>
    <w:rsid w:val="448A5D6A"/>
    <w:rsid w:val="44BE1BD1"/>
    <w:rsid w:val="44C928FF"/>
    <w:rsid w:val="44D2693A"/>
    <w:rsid w:val="44D97CC8"/>
    <w:rsid w:val="44DA21AC"/>
    <w:rsid w:val="44EC7259"/>
    <w:rsid w:val="44F76EE9"/>
    <w:rsid w:val="45094847"/>
    <w:rsid w:val="452B63D9"/>
    <w:rsid w:val="45566E48"/>
    <w:rsid w:val="456559F2"/>
    <w:rsid w:val="45666645"/>
    <w:rsid w:val="459376FC"/>
    <w:rsid w:val="45967968"/>
    <w:rsid w:val="45AF27D7"/>
    <w:rsid w:val="45B2031D"/>
    <w:rsid w:val="45BB0D03"/>
    <w:rsid w:val="45DC10F2"/>
    <w:rsid w:val="46132471"/>
    <w:rsid w:val="4621383D"/>
    <w:rsid w:val="465765A9"/>
    <w:rsid w:val="466F26DB"/>
    <w:rsid w:val="46707F95"/>
    <w:rsid w:val="467759E9"/>
    <w:rsid w:val="468B3219"/>
    <w:rsid w:val="468B6887"/>
    <w:rsid w:val="468E2CBD"/>
    <w:rsid w:val="469863B3"/>
    <w:rsid w:val="46A3604E"/>
    <w:rsid w:val="46AA6E3C"/>
    <w:rsid w:val="46C31112"/>
    <w:rsid w:val="46C674F8"/>
    <w:rsid w:val="46C67DD9"/>
    <w:rsid w:val="46D72756"/>
    <w:rsid w:val="472F4448"/>
    <w:rsid w:val="47324424"/>
    <w:rsid w:val="47355629"/>
    <w:rsid w:val="474317E7"/>
    <w:rsid w:val="47466CBF"/>
    <w:rsid w:val="474D77E5"/>
    <w:rsid w:val="474E4819"/>
    <w:rsid w:val="474F5244"/>
    <w:rsid w:val="47655567"/>
    <w:rsid w:val="477D269F"/>
    <w:rsid w:val="479E2B03"/>
    <w:rsid w:val="47A310C2"/>
    <w:rsid w:val="47A53469"/>
    <w:rsid w:val="47A67C0A"/>
    <w:rsid w:val="47AA594C"/>
    <w:rsid w:val="47D50702"/>
    <w:rsid w:val="47D72C8D"/>
    <w:rsid w:val="47E267C9"/>
    <w:rsid w:val="47F320A6"/>
    <w:rsid w:val="47FB28FE"/>
    <w:rsid w:val="480919A2"/>
    <w:rsid w:val="48162522"/>
    <w:rsid w:val="481B52DA"/>
    <w:rsid w:val="482B10BA"/>
    <w:rsid w:val="483E7E42"/>
    <w:rsid w:val="48452C89"/>
    <w:rsid w:val="484F16B5"/>
    <w:rsid w:val="486F624E"/>
    <w:rsid w:val="48701B66"/>
    <w:rsid w:val="487E70FF"/>
    <w:rsid w:val="48800903"/>
    <w:rsid w:val="4886386A"/>
    <w:rsid w:val="489A40BE"/>
    <w:rsid w:val="48B9086C"/>
    <w:rsid w:val="48C93F43"/>
    <w:rsid w:val="48F20DC9"/>
    <w:rsid w:val="490D442E"/>
    <w:rsid w:val="4911624C"/>
    <w:rsid w:val="491444A6"/>
    <w:rsid w:val="49211C3E"/>
    <w:rsid w:val="492434DC"/>
    <w:rsid w:val="492C51ED"/>
    <w:rsid w:val="49431BB4"/>
    <w:rsid w:val="494F1A76"/>
    <w:rsid w:val="495E24F3"/>
    <w:rsid w:val="499838FF"/>
    <w:rsid w:val="499B018E"/>
    <w:rsid w:val="49AA3E5A"/>
    <w:rsid w:val="49E50EBD"/>
    <w:rsid w:val="49E86178"/>
    <w:rsid w:val="49ED7940"/>
    <w:rsid w:val="4A045C07"/>
    <w:rsid w:val="4A0C753D"/>
    <w:rsid w:val="4A176E45"/>
    <w:rsid w:val="4A1976EC"/>
    <w:rsid w:val="4A24318A"/>
    <w:rsid w:val="4A3D1A6F"/>
    <w:rsid w:val="4A4F0215"/>
    <w:rsid w:val="4A610858"/>
    <w:rsid w:val="4A690D48"/>
    <w:rsid w:val="4A6F2B96"/>
    <w:rsid w:val="4A731AEC"/>
    <w:rsid w:val="4A7A7858"/>
    <w:rsid w:val="4A914543"/>
    <w:rsid w:val="4AA45137"/>
    <w:rsid w:val="4ABE1AF9"/>
    <w:rsid w:val="4AC9433B"/>
    <w:rsid w:val="4AD60806"/>
    <w:rsid w:val="4B0C4228"/>
    <w:rsid w:val="4B1919EF"/>
    <w:rsid w:val="4B2630A5"/>
    <w:rsid w:val="4B462700"/>
    <w:rsid w:val="4B4D13C9"/>
    <w:rsid w:val="4B4D3980"/>
    <w:rsid w:val="4B531E57"/>
    <w:rsid w:val="4B5F0338"/>
    <w:rsid w:val="4B76465D"/>
    <w:rsid w:val="4B802E3E"/>
    <w:rsid w:val="4B87242E"/>
    <w:rsid w:val="4B8C65E0"/>
    <w:rsid w:val="4B91750D"/>
    <w:rsid w:val="4BA803F5"/>
    <w:rsid w:val="4BA85880"/>
    <w:rsid w:val="4BAE63C2"/>
    <w:rsid w:val="4BB778DD"/>
    <w:rsid w:val="4BBA61B5"/>
    <w:rsid w:val="4BBA71FA"/>
    <w:rsid w:val="4BE14685"/>
    <w:rsid w:val="4BEE75A7"/>
    <w:rsid w:val="4BEF071E"/>
    <w:rsid w:val="4C043151"/>
    <w:rsid w:val="4C0520CC"/>
    <w:rsid w:val="4C15271A"/>
    <w:rsid w:val="4C1533D7"/>
    <w:rsid w:val="4C307089"/>
    <w:rsid w:val="4C323F1B"/>
    <w:rsid w:val="4C395EDC"/>
    <w:rsid w:val="4C3E77AF"/>
    <w:rsid w:val="4C41224E"/>
    <w:rsid w:val="4C481290"/>
    <w:rsid w:val="4C4B2C2A"/>
    <w:rsid w:val="4C6D5E8C"/>
    <w:rsid w:val="4C792761"/>
    <w:rsid w:val="4C8A7108"/>
    <w:rsid w:val="4C8C675C"/>
    <w:rsid w:val="4CB22BAD"/>
    <w:rsid w:val="4CC528E0"/>
    <w:rsid w:val="4CD80F78"/>
    <w:rsid w:val="4D02781A"/>
    <w:rsid w:val="4D045993"/>
    <w:rsid w:val="4D067D3B"/>
    <w:rsid w:val="4D1D0C41"/>
    <w:rsid w:val="4D4F0A73"/>
    <w:rsid w:val="4D514DE3"/>
    <w:rsid w:val="4D586112"/>
    <w:rsid w:val="4D597962"/>
    <w:rsid w:val="4D6D7812"/>
    <w:rsid w:val="4D8063A9"/>
    <w:rsid w:val="4D8A312B"/>
    <w:rsid w:val="4D92173F"/>
    <w:rsid w:val="4D9D3022"/>
    <w:rsid w:val="4DA07728"/>
    <w:rsid w:val="4DA4699A"/>
    <w:rsid w:val="4DCD7C9F"/>
    <w:rsid w:val="4DDA5484"/>
    <w:rsid w:val="4E077246"/>
    <w:rsid w:val="4E121B5B"/>
    <w:rsid w:val="4E13495B"/>
    <w:rsid w:val="4E1A4273"/>
    <w:rsid w:val="4E257ADB"/>
    <w:rsid w:val="4E476680"/>
    <w:rsid w:val="4E4A1ADF"/>
    <w:rsid w:val="4E676F0E"/>
    <w:rsid w:val="4EA049FC"/>
    <w:rsid w:val="4EA37D37"/>
    <w:rsid w:val="4EA75327"/>
    <w:rsid w:val="4EA93C5C"/>
    <w:rsid w:val="4EBA76B3"/>
    <w:rsid w:val="4EC20E91"/>
    <w:rsid w:val="4EC84FB1"/>
    <w:rsid w:val="4EDB72E3"/>
    <w:rsid w:val="4EED611E"/>
    <w:rsid w:val="4EFE0B1D"/>
    <w:rsid w:val="4F075432"/>
    <w:rsid w:val="4F09639F"/>
    <w:rsid w:val="4F0F400C"/>
    <w:rsid w:val="4F100F62"/>
    <w:rsid w:val="4F2C06B7"/>
    <w:rsid w:val="4F2D738B"/>
    <w:rsid w:val="4F304890"/>
    <w:rsid w:val="4F3C60E5"/>
    <w:rsid w:val="4F49373D"/>
    <w:rsid w:val="4F687D66"/>
    <w:rsid w:val="4F6D08ED"/>
    <w:rsid w:val="4F85670B"/>
    <w:rsid w:val="4F89140A"/>
    <w:rsid w:val="4F8E784D"/>
    <w:rsid w:val="4FAA3F72"/>
    <w:rsid w:val="4FB671F2"/>
    <w:rsid w:val="4FB9601C"/>
    <w:rsid w:val="4FBB7827"/>
    <w:rsid w:val="4FBB7FCB"/>
    <w:rsid w:val="4FDD77C4"/>
    <w:rsid w:val="4FE0783F"/>
    <w:rsid w:val="4FFB0FA4"/>
    <w:rsid w:val="50104F86"/>
    <w:rsid w:val="501219D9"/>
    <w:rsid w:val="502174B6"/>
    <w:rsid w:val="50435A8C"/>
    <w:rsid w:val="50442FB4"/>
    <w:rsid w:val="50483F54"/>
    <w:rsid w:val="504D22EA"/>
    <w:rsid w:val="50623D8F"/>
    <w:rsid w:val="506C43F8"/>
    <w:rsid w:val="507A3FE7"/>
    <w:rsid w:val="507D77EF"/>
    <w:rsid w:val="509845F7"/>
    <w:rsid w:val="50A9305B"/>
    <w:rsid w:val="50BE7D72"/>
    <w:rsid w:val="50BF5719"/>
    <w:rsid w:val="50DE198F"/>
    <w:rsid w:val="50E0712F"/>
    <w:rsid w:val="50E15981"/>
    <w:rsid w:val="50E5699A"/>
    <w:rsid w:val="50ED6973"/>
    <w:rsid w:val="50EE2237"/>
    <w:rsid w:val="5105657C"/>
    <w:rsid w:val="51123AE4"/>
    <w:rsid w:val="51294A30"/>
    <w:rsid w:val="513140C5"/>
    <w:rsid w:val="51336621"/>
    <w:rsid w:val="5134471B"/>
    <w:rsid w:val="513E16DF"/>
    <w:rsid w:val="514B3CFC"/>
    <w:rsid w:val="515E5CF6"/>
    <w:rsid w:val="516213E0"/>
    <w:rsid w:val="51734266"/>
    <w:rsid w:val="51770FCD"/>
    <w:rsid w:val="51816421"/>
    <w:rsid w:val="51840FBC"/>
    <w:rsid w:val="51917235"/>
    <w:rsid w:val="519A4669"/>
    <w:rsid w:val="51A72168"/>
    <w:rsid w:val="51B2264F"/>
    <w:rsid w:val="51C8333E"/>
    <w:rsid w:val="51E11E18"/>
    <w:rsid w:val="520257F9"/>
    <w:rsid w:val="521179DF"/>
    <w:rsid w:val="5214146F"/>
    <w:rsid w:val="522B6787"/>
    <w:rsid w:val="523D3CAC"/>
    <w:rsid w:val="5240080C"/>
    <w:rsid w:val="524C061D"/>
    <w:rsid w:val="524F45F6"/>
    <w:rsid w:val="525D1149"/>
    <w:rsid w:val="526B7C00"/>
    <w:rsid w:val="526C1105"/>
    <w:rsid w:val="527F1B45"/>
    <w:rsid w:val="529F560A"/>
    <w:rsid w:val="52AD5551"/>
    <w:rsid w:val="52B41B78"/>
    <w:rsid w:val="52B65791"/>
    <w:rsid w:val="52C82BFD"/>
    <w:rsid w:val="52E21F53"/>
    <w:rsid w:val="52FF17C1"/>
    <w:rsid w:val="530464A8"/>
    <w:rsid w:val="53152D36"/>
    <w:rsid w:val="5336525E"/>
    <w:rsid w:val="533C5675"/>
    <w:rsid w:val="53634C01"/>
    <w:rsid w:val="536B5FE3"/>
    <w:rsid w:val="536C1ECE"/>
    <w:rsid w:val="53860558"/>
    <w:rsid w:val="538C53AE"/>
    <w:rsid w:val="539A3AB3"/>
    <w:rsid w:val="53A43816"/>
    <w:rsid w:val="53D71A87"/>
    <w:rsid w:val="53F730E7"/>
    <w:rsid w:val="54071E0A"/>
    <w:rsid w:val="541F321E"/>
    <w:rsid w:val="54567EFE"/>
    <w:rsid w:val="545F2B95"/>
    <w:rsid w:val="546E0955"/>
    <w:rsid w:val="547B514A"/>
    <w:rsid w:val="548C66EA"/>
    <w:rsid w:val="54984B35"/>
    <w:rsid w:val="54A52E4A"/>
    <w:rsid w:val="54C51B63"/>
    <w:rsid w:val="54D85645"/>
    <w:rsid w:val="54EB0097"/>
    <w:rsid w:val="54F76CDC"/>
    <w:rsid w:val="54F94A34"/>
    <w:rsid w:val="550637F8"/>
    <w:rsid w:val="5519105A"/>
    <w:rsid w:val="55216AB6"/>
    <w:rsid w:val="554A2DD8"/>
    <w:rsid w:val="55551B9E"/>
    <w:rsid w:val="55552CFE"/>
    <w:rsid w:val="555E380C"/>
    <w:rsid w:val="556B3818"/>
    <w:rsid w:val="557C1FAA"/>
    <w:rsid w:val="558132DA"/>
    <w:rsid w:val="55A40492"/>
    <w:rsid w:val="55C40236"/>
    <w:rsid w:val="55CB2C59"/>
    <w:rsid w:val="55CF657E"/>
    <w:rsid w:val="55E26C26"/>
    <w:rsid w:val="55EB35EE"/>
    <w:rsid w:val="55F60FFE"/>
    <w:rsid w:val="55F86AD1"/>
    <w:rsid w:val="55F87D78"/>
    <w:rsid w:val="55FC0E75"/>
    <w:rsid w:val="561A5604"/>
    <w:rsid w:val="5637690C"/>
    <w:rsid w:val="56813660"/>
    <w:rsid w:val="56957692"/>
    <w:rsid w:val="56B67901"/>
    <w:rsid w:val="56D24C62"/>
    <w:rsid w:val="56D410C1"/>
    <w:rsid w:val="56E04342"/>
    <w:rsid w:val="56EB4764"/>
    <w:rsid w:val="56FC0A62"/>
    <w:rsid w:val="570109B9"/>
    <w:rsid w:val="57137314"/>
    <w:rsid w:val="571D3C5A"/>
    <w:rsid w:val="57215F2F"/>
    <w:rsid w:val="574E596C"/>
    <w:rsid w:val="575B631B"/>
    <w:rsid w:val="576C34C9"/>
    <w:rsid w:val="576E1B33"/>
    <w:rsid w:val="577216B2"/>
    <w:rsid w:val="57780234"/>
    <w:rsid w:val="57797773"/>
    <w:rsid w:val="579E433B"/>
    <w:rsid w:val="57A100B2"/>
    <w:rsid w:val="57AB7009"/>
    <w:rsid w:val="57B1418D"/>
    <w:rsid w:val="57BE4AFC"/>
    <w:rsid w:val="57C00443"/>
    <w:rsid w:val="57DF783B"/>
    <w:rsid w:val="58162C2D"/>
    <w:rsid w:val="581C2D8D"/>
    <w:rsid w:val="58261EA5"/>
    <w:rsid w:val="582A42EA"/>
    <w:rsid w:val="58337298"/>
    <w:rsid w:val="583A6878"/>
    <w:rsid w:val="5848053E"/>
    <w:rsid w:val="58640620"/>
    <w:rsid w:val="586738AF"/>
    <w:rsid w:val="586951EA"/>
    <w:rsid w:val="58D35AF8"/>
    <w:rsid w:val="58D5373F"/>
    <w:rsid w:val="58F140D1"/>
    <w:rsid w:val="58F824C3"/>
    <w:rsid w:val="59334DED"/>
    <w:rsid w:val="59397DDB"/>
    <w:rsid w:val="593B1FE5"/>
    <w:rsid w:val="59423C72"/>
    <w:rsid w:val="59575F86"/>
    <w:rsid w:val="595B0854"/>
    <w:rsid w:val="59736CE0"/>
    <w:rsid w:val="59767D6C"/>
    <w:rsid w:val="59772894"/>
    <w:rsid w:val="597B0787"/>
    <w:rsid w:val="597E2795"/>
    <w:rsid w:val="597F1145"/>
    <w:rsid w:val="599C771B"/>
    <w:rsid w:val="59AA2AE2"/>
    <w:rsid w:val="59B77E12"/>
    <w:rsid w:val="59C06E34"/>
    <w:rsid w:val="59C363FA"/>
    <w:rsid w:val="59C4219C"/>
    <w:rsid w:val="59CC4972"/>
    <w:rsid w:val="59DF1CDE"/>
    <w:rsid w:val="59E45FA5"/>
    <w:rsid w:val="59ED7771"/>
    <w:rsid w:val="5A0434DC"/>
    <w:rsid w:val="5A10066B"/>
    <w:rsid w:val="5A14086E"/>
    <w:rsid w:val="5A1F79CB"/>
    <w:rsid w:val="5A2A6D32"/>
    <w:rsid w:val="5A2F4A71"/>
    <w:rsid w:val="5A3C3D16"/>
    <w:rsid w:val="5A3F7CD0"/>
    <w:rsid w:val="5A4106BF"/>
    <w:rsid w:val="5A423875"/>
    <w:rsid w:val="5A511C57"/>
    <w:rsid w:val="5A5C518E"/>
    <w:rsid w:val="5A886D19"/>
    <w:rsid w:val="5A906C0B"/>
    <w:rsid w:val="5A913F5D"/>
    <w:rsid w:val="5A9E3DD4"/>
    <w:rsid w:val="5AA1474B"/>
    <w:rsid w:val="5AA93466"/>
    <w:rsid w:val="5AB02E22"/>
    <w:rsid w:val="5ABC7C90"/>
    <w:rsid w:val="5ACF7901"/>
    <w:rsid w:val="5AD24057"/>
    <w:rsid w:val="5ADE157B"/>
    <w:rsid w:val="5AE42E56"/>
    <w:rsid w:val="5B302E47"/>
    <w:rsid w:val="5B3D264F"/>
    <w:rsid w:val="5B462C57"/>
    <w:rsid w:val="5B5A30A0"/>
    <w:rsid w:val="5B731F4C"/>
    <w:rsid w:val="5B73794A"/>
    <w:rsid w:val="5B7F35F4"/>
    <w:rsid w:val="5B8D3163"/>
    <w:rsid w:val="5B942D1E"/>
    <w:rsid w:val="5B9A084F"/>
    <w:rsid w:val="5B9A1AFF"/>
    <w:rsid w:val="5BA94B94"/>
    <w:rsid w:val="5BAC49CB"/>
    <w:rsid w:val="5BBC3462"/>
    <w:rsid w:val="5BCC39A8"/>
    <w:rsid w:val="5BD96E41"/>
    <w:rsid w:val="5BE17E38"/>
    <w:rsid w:val="5BEC2D79"/>
    <w:rsid w:val="5BF907F8"/>
    <w:rsid w:val="5BF91E3A"/>
    <w:rsid w:val="5C15045B"/>
    <w:rsid w:val="5C19051B"/>
    <w:rsid w:val="5C27587D"/>
    <w:rsid w:val="5C307818"/>
    <w:rsid w:val="5C337866"/>
    <w:rsid w:val="5C401F83"/>
    <w:rsid w:val="5C5F62CA"/>
    <w:rsid w:val="5C8E2CEF"/>
    <w:rsid w:val="5CA310A9"/>
    <w:rsid w:val="5CAE54EE"/>
    <w:rsid w:val="5CB15892"/>
    <w:rsid w:val="5CC90B7E"/>
    <w:rsid w:val="5CCA4916"/>
    <w:rsid w:val="5CCC0C1E"/>
    <w:rsid w:val="5CDA0FDE"/>
    <w:rsid w:val="5CFF26A6"/>
    <w:rsid w:val="5CFF6702"/>
    <w:rsid w:val="5D002527"/>
    <w:rsid w:val="5D0B519A"/>
    <w:rsid w:val="5D25603C"/>
    <w:rsid w:val="5D3526D6"/>
    <w:rsid w:val="5D3D0D8D"/>
    <w:rsid w:val="5D544F4C"/>
    <w:rsid w:val="5D5C103F"/>
    <w:rsid w:val="5D6A73A8"/>
    <w:rsid w:val="5D7208ED"/>
    <w:rsid w:val="5D7C3170"/>
    <w:rsid w:val="5D8C2314"/>
    <w:rsid w:val="5D9B56DB"/>
    <w:rsid w:val="5D9E7126"/>
    <w:rsid w:val="5DA04B23"/>
    <w:rsid w:val="5DCC22A0"/>
    <w:rsid w:val="5DD03A21"/>
    <w:rsid w:val="5DDA69C8"/>
    <w:rsid w:val="5E0619CF"/>
    <w:rsid w:val="5E133529"/>
    <w:rsid w:val="5E4958F5"/>
    <w:rsid w:val="5E7036C4"/>
    <w:rsid w:val="5E994B60"/>
    <w:rsid w:val="5EA03285"/>
    <w:rsid w:val="5EA14421"/>
    <w:rsid w:val="5EB626E1"/>
    <w:rsid w:val="5EBE1738"/>
    <w:rsid w:val="5EDD7F57"/>
    <w:rsid w:val="5F0C66CE"/>
    <w:rsid w:val="5F0E055B"/>
    <w:rsid w:val="5F267DE6"/>
    <w:rsid w:val="5F38095F"/>
    <w:rsid w:val="5F3A0D8C"/>
    <w:rsid w:val="5F3C2ED6"/>
    <w:rsid w:val="5F4203EE"/>
    <w:rsid w:val="5F572F12"/>
    <w:rsid w:val="5F7C007F"/>
    <w:rsid w:val="5F9175F3"/>
    <w:rsid w:val="5F9741CE"/>
    <w:rsid w:val="5FAC0201"/>
    <w:rsid w:val="5FB1193E"/>
    <w:rsid w:val="5FBB646D"/>
    <w:rsid w:val="5FC609F2"/>
    <w:rsid w:val="5FDC15F8"/>
    <w:rsid w:val="5FE2727E"/>
    <w:rsid w:val="600E5ACA"/>
    <w:rsid w:val="601A041D"/>
    <w:rsid w:val="602B235E"/>
    <w:rsid w:val="602B695B"/>
    <w:rsid w:val="607B31FC"/>
    <w:rsid w:val="60936B26"/>
    <w:rsid w:val="609F7061"/>
    <w:rsid w:val="60B23FEB"/>
    <w:rsid w:val="60B50159"/>
    <w:rsid w:val="60B77378"/>
    <w:rsid w:val="60B857D4"/>
    <w:rsid w:val="60BA525E"/>
    <w:rsid w:val="60D660EC"/>
    <w:rsid w:val="60DC58EB"/>
    <w:rsid w:val="60ED26FD"/>
    <w:rsid w:val="60FF7687"/>
    <w:rsid w:val="610C4690"/>
    <w:rsid w:val="612A76BA"/>
    <w:rsid w:val="613E0F68"/>
    <w:rsid w:val="613F0239"/>
    <w:rsid w:val="61475C14"/>
    <w:rsid w:val="618A5879"/>
    <w:rsid w:val="618D6233"/>
    <w:rsid w:val="61A049BD"/>
    <w:rsid w:val="61A72A5B"/>
    <w:rsid w:val="61A81641"/>
    <w:rsid w:val="61B624A5"/>
    <w:rsid w:val="61C8398D"/>
    <w:rsid w:val="61F6585D"/>
    <w:rsid w:val="61F97DB1"/>
    <w:rsid w:val="62071729"/>
    <w:rsid w:val="62136D7D"/>
    <w:rsid w:val="621414B3"/>
    <w:rsid w:val="621816AB"/>
    <w:rsid w:val="621C12F4"/>
    <w:rsid w:val="622F6D22"/>
    <w:rsid w:val="623C6290"/>
    <w:rsid w:val="6254716B"/>
    <w:rsid w:val="62595B4D"/>
    <w:rsid w:val="6275460F"/>
    <w:rsid w:val="627A4C90"/>
    <w:rsid w:val="628618D5"/>
    <w:rsid w:val="62981CD8"/>
    <w:rsid w:val="62AF1D97"/>
    <w:rsid w:val="62D3581A"/>
    <w:rsid w:val="62E95D68"/>
    <w:rsid w:val="62F835B8"/>
    <w:rsid w:val="62FE2F88"/>
    <w:rsid w:val="63143E3A"/>
    <w:rsid w:val="6318569A"/>
    <w:rsid w:val="6324498B"/>
    <w:rsid w:val="633C13C7"/>
    <w:rsid w:val="63637B25"/>
    <w:rsid w:val="63683289"/>
    <w:rsid w:val="63984453"/>
    <w:rsid w:val="63C74D38"/>
    <w:rsid w:val="63C83D6B"/>
    <w:rsid w:val="63E23A3E"/>
    <w:rsid w:val="63EF28E8"/>
    <w:rsid w:val="63F126C8"/>
    <w:rsid w:val="63FD756D"/>
    <w:rsid w:val="64021600"/>
    <w:rsid w:val="6406613E"/>
    <w:rsid w:val="6409575F"/>
    <w:rsid w:val="640D6240"/>
    <w:rsid w:val="640E28CB"/>
    <w:rsid w:val="641C5084"/>
    <w:rsid w:val="641F0E1C"/>
    <w:rsid w:val="64273961"/>
    <w:rsid w:val="643610BD"/>
    <w:rsid w:val="643D7ADF"/>
    <w:rsid w:val="644228E5"/>
    <w:rsid w:val="64613F6F"/>
    <w:rsid w:val="646F371E"/>
    <w:rsid w:val="64795593"/>
    <w:rsid w:val="647C01DD"/>
    <w:rsid w:val="64831D74"/>
    <w:rsid w:val="64834F63"/>
    <w:rsid w:val="649228EC"/>
    <w:rsid w:val="64CA2B75"/>
    <w:rsid w:val="64ED6D62"/>
    <w:rsid w:val="65125D68"/>
    <w:rsid w:val="652E1513"/>
    <w:rsid w:val="65341D8A"/>
    <w:rsid w:val="65426D82"/>
    <w:rsid w:val="65474383"/>
    <w:rsid w:val="65532D27"/>
    <w:rsid w:val="65710647"/>
    <w:rsid w:val="65715D9E"/>
    <w:rsid w:val="657A298A"/>
    <w:rsid w:val="658224AF"/>
    <w:rsid w:val="6595421E"/>
    <w:rsid w:val="659D1793"/>
    <w:rsid w:val="659F7D1B"/>
    <w:rsid w:val="65A0459B"/>
    <w:rsid w:val="65AA2639"/>
    <w:rsid w:val="65C854C3"/>
    <w:rsid w:val="65DE4326"/>
    <w:rsid w:val="65F04A1A"/>
    <w:rsid w:val="65F21D0A"/>
    <w:rsid w:val="65FD4113"/>
    <w:rsid w:val="66151194"/>
    <w:rsid w:val="66195D1F"/>
    <w:rsid w:val="6623149F"/>
    <w:rsid w:val="663A0BE6"/>
    <w:rsid w:val="663C3D3E"/>
    <w:rsid w:val="66622E24"/>
    <w:rsid w:val="667E7AE5"/>
    <w:rsid w:val="66867F7C"/>
    <w:rsid w:val="669121B5"/>
    <w:rsid w:val="66920579"/>
    <w:rsid w:val="669C1EC9"/>
    <w:rsid w:val="66AD6991"/>
    <w:rsid w:val="66BD6C7A"/>
    <w:rsid w:val="66CC056A"/>
    <w:rsid w:val="66F05FF5"/>
    <w:rsid w:val="67046A12"/>
    <w:rsid w:val="67053F86"/>
    <w:rsid w:val="67201B8D"/>
    <w:rsid w:val="67352DB1"/>
    <w:rsid w:val="673B2CCA"/>
    <w:rsid w:val="674949A7"/>
    <w:rsid w:val="67547474"/>
    <w:rsid w:val="67776000"/>
    <w:rsid w:val="67895281"/>
    <w:rsid w:val="679574DA"/>
    <w:rsid w:val="67B164C7"/>
    <w:rsid w:val="67D45827"/>
    <w:rsid w:val="67E71DF9"/>
    <w:rsid w:val="67F26828"/>
    <w:rsid w:val="680D5D8B"/>
    <w:rsid w:val="681201DF"/>
    <w:rsid w:val="68212854"/>
    <w:rsid w:val="68270AB5"/>
    <w:rsid w:val="683055A2"/>
    <w:rsid w:val="68322270"/>
    <w:rsid w:val="6833394F"/>
    <w:rsid w:val="68486D14"/>
    <w:rsid w:val="68A02EDB"/>
    <w:rsid w:val="68AC1362"/>
    <w:rsid w:val="68AC5A83"/>
    <w:rsid w:val="68B66D5F"/>
    <w:rsid w:val="68B95597"/>
    <w:rsid w:val="68D01FA4"/>
    <w:rsid w:val="68DD1F5A"/>
    <w:rsid w:val="68FA7F66"/>
    <w:rsid w:val="68FD7AA5"/>
    <w:rsid w:val="6901103C"/>
    <w:rsid w:val="69133D8A"/>
    <w:rsid w:val="69315911"/>
    <w:rsid w:val="69316733"/>
    <w:rsid w:val="69360748"/>
    <w:rsid w:val="69392443"/>
    <w:rsid w:val="695366D9"/>
    <w:rsid w:val="695860B4"/>
    <w:rsid w:val="697F6B9A"/>
    <w:rsid w:val="69A0282A"/>
    <w:rsid w:val="69A6589C"/>
    <w:rsid w:val="69BA71AA"/>
    <w:rsid w:val="69C14DE4"/>
    <w:rsid w:val="69DA57C5"/>
    <w:rsid w:val="69FC7995"/>
    <w:rsid w:val="69FD14B4"/>
    <w:rsid w:val="6A0C0EB6"/>
    <w:rsid w:val="6A0F70B8"/>
    <w:rsid w:val="6A101471"/>
    <w:rsid w:val="6A12241D"/>
    <w:rsid w:val="6A552DBA"/>
    <w:rsid w:val="6A570F79"/>
    <w:rsid w:val="6A5F246C"/>
    <w:rsid w:val="6A6F4263"/>
    <w:rsid w:val="6A7824D8"/>
    <w:rsid w:val="6A7B5A52"/>
    <w:rsid w:val="6A9A47A8"/>
    <w:rsid w:val="6AC410E7"/>
    <w:rsid w:val="6AC839DA"/>
    <w:rsid w:val="6B1B3D1A"/>
    <w:rsid w:val="6B485836"/>
    <w:rsid w:val="6B737E77"/>
    <w:rsid w:val="6B802F4D"/>
    <w:rsid w:val="6B9C7903"/>
    <w:rsid w:val="6BAA36E5"/>
    <w:rsid w:val="6BB379C0"/>
    <w:rsid w:val="6BC41A1F"/>
    <w:rsid w:val="6BC81BAC"/>
    <w:rsid w:val="6BC916CF"/>
    <w:rsid w:val="6BE1783F"/>
    <w:rsid w:val="6BE7527B"/>
    <w:rsid w:val="6BFB7C75"/>
    <w:rsid w:val="6C233384"/>
    <w:rsid w:val="6C2F5C5B"/>
    <w:rsid w:val="6C387EF0"/>
    <w:rsid w:val="6C5326C7"/>
    <w:rsid w:val="6C53488E"/>
    <w:rsid w:val="6C785C86"/>
    <w:rsid w:val="6C7C731D"/>
    <w:rsid w:val="6C7F08A6"/>
    <w:rsid w:val="6CA51995"/>
    <w:rsid w:val="6CC555F7"/>
    <w:rsid w:val="6CD9597B"/>
    <w:rsid w:val="6CF77614"/>
    <w:rsid w:val="6D012E0B"/>
    <w:rsid w:val="6D216A90"/>
    <w:rsid w:val="6D3E223E"/>
    <w:rsid w:val="6D455923"/>
    <w:rsid w:val="6D495AA1"/>
    <w:rsid w:val="6D6954D6"/>
    <w:rsid w:val="6D7A165F"/>
    <w:rsid w:val="6D89362E"/>
    <w:rsid w:val="6D8E0E0E"/>
    <w:rsid w:val="6D8E222D"/>
    <w:rsid w:val="6D94085E"/>
    <w:rsid w:val="6D997E6A"/>
    <w:rsid w:val="6D9C6664"/>
    <w:rsid w:val="6DAF4E37"/>
    <w:rsid w:val="6DB021A4"/>
    <w:rsid w:val="6DB8188A"/>
    <w:rsid w:val="6DC707DF"/>
    <w:rsid w:val="6DDA17BF"/>
    <w:rsid w:val="6DDB3B80"/>
    <w:rsid w:val="6E055A23"/>
    <w:rsid w:val="6E071F89"/>
    <w:rsid w:val="6E1A484C"/>
    <w:rsid w:val="6E200C6A"/>
    <w:rsid w:val="6E42449F"/>
    <w:rsid w:val="6E687D97"/>
    <w:rsid w:val="6E70408B"/>
    <w:rsid w:val="6E7368AD"/>
    <w:rsid w:val="6E8C5A30"/>
    <w:rsid w:val="6EA45408"/>
    <w:rsid w:val="6ED924EF"/>
    <w:rsid w:val="6F0020F9"/>
    <w:rsid w:val="6F004EF6"/>
    <w:rsid w:val="6F0211B2"/>
    <w:rsid w:val="6F051644"/>
    <w:rsid w:val="6F05731C"/>
    <w:rsid w:val="6F0C2363"/>
    <w:rsid w:val="6F152690"/>
    <w:rsid w:val="6F153F31"/>
    <w:rsid w:val="6F273078"/>
    <w:rsid w:val="6F462A13"/>
    <w:rsid w:val="6F5B6AC0"/>
    <w:rsid w:val="6F7152CF"/>
    <w:rsid w:val="6F8768F4"/>
    <w:rsid w:val="6F9B138A"/>
    <w:rsid w:val="6F9C1CD6"/>
    <w:rsid w:val="6F9E1AB4"/>
    <w:rsid w:val="6FB1308B"/>
    <w:rsid w:val="6FDA6B0C"/>
    <w:rsid w:val="6FDF246D"/>
    <w:rsid w:val="6FE42FAB"/>
    <w:rsid w:val="6FE608E6"/>
    <w:rsid w:val="6FEF3E6E"/>
    <w:rsid w:val="6FF94481"/>
    <w:rsid w:val="70031CCC"/>
    <w:rsid w:val="703B0636"/>
    <w:rsid w:val="704B68A8"/>
    <w:rsid w:val="704F3D33"/>
    <w:rsid w:val="7057246C"/>
    <w:rsid w:val="70685D17"/>
    <w:rsid w:val="70887675"/>
    <w:rsid w:val="708B7819"/>
    <w:rsid w:val="70A95B78"/>
    <w:rsid w:val="70AF4C94"/>
    <w:rsid w:val="70B17E83"/>
    <w:rsid w:val="70D54F38"/>
    <w:rsid w:val="70E13134"/>
    <w:rsid w:val="71092E34"/>
    <w:rsid w:val="711D469D"/>
    <w:rsid w:val="715678A4"/>
    <w:rsid w:val="715D4202"/>
    <w:rsid w:val="71824347"/>
    <w:rsid w:val="71845827"/>
    <w:rsid w:val="71943DAE"/>
    <w:rsid w:val="71A0458B"/>
    <w:rsid w:val="71AE4327"/>
    <w:rsid w:val="71BB6181"/>
    <w:rsid w:val="71C9533A"/>
    <w:rsid w:val="71F44748"/>
    <w:rsid w:val="71FC7FE4"/>
    <w:rsid w:val="72030E8A"/>
    <w:rsid w:val="720872E1"/>
    <w:rsid w:val="72172ED6"/>
    <w:rsid w:val="721B4644"/>
    <w:rsid w:val="72236EA4"/>
    <w:rsid w:val="722E56BA"/>
    <w:rsid w:val="7237604E"/>
    <w:rsid w:val="723D5785"/>
    <w:rsid w:val="724063E2"/>
    <w:rsid w:val="7259085C"/>
    <w:rsid w:val="725B2032"/>
    <w:rsid w:val="727B6E09"/>
    <w:rsid w:val="728316BE"/>
    <w:rsid w:val="72853F6E"/>
    <w:rsid w:val="729D386D"/>
    <w:rsid w:val="72A81C9E"/>
    <w:rsid w:val="72B269DE"/>
    <w:rsid w:val="72CE6458"/>
    <w:rsid w:val="72D277B6"/>
    <w:rsid w:val="72DB2FE0"/>
    <w:rsid w:val="72E360EF"/>
    <w:rsid w:val="72E66E31"/>
    <w:rsid w:val="72E871A5"/>
    <w:rsid w:val="72E92DC4"/>
    <w:rsid w:val="7318446F"/>
    <w:rsid w:val="731A5925"/>
    <w:rsid w:val="731F143E"/>
    <w:rsid w:val="73294812"/>
    <w:rsid w:val="73376222"/>
    <w:rsid w:val="73460AF8"/>
    <w:rsid w:val="7359137B"/>
    <w:rsid w:val="736B7A30"/>
    <w:rsid w:val="7374015E"/>
    <w:rsid w:val="73830C7C"/>
    <w:rsid w:val="73935056"/>
    <w:rsid w:val="73A02BC1"/>
    <w:rsid w:val="73A96EE9"/>
    <w:rsid w:val="73AA51C3"/>
    <w:rsid w:val="73B70F2B"/>
    <w:rsid w:val="73BF77DA"/>
    <w:rsid w:val="73C625D5"/>
    <w:rsid w:val="73DA6FB5"/>
    <w:rsid w:val="73DC16C0"/>
    <w:rsid w:val="73E12884"/>
    <w:rsid w:val="73F01C93"/>
    <w:rsid w:val="73F77F6A"/>
    <w:rsid w:val="7404164F"/>
    <w:rsid w:val="74047ED5"/>
    <w:rsid w:val="740F35A0"/>
    <w:rsid w:val="74186235"/>
    <w:rsid w:val="74465522"/>
    <w:rsid w:val="744E1B8D"/>
    <w:rsid w:val="745D3EBF"/>
    <w:rsid w:val="74602D6B"/>
    <w:rsid w:val="746C06B9"/>
    <w:rsid w:val="746C346A"/>
    <w:rsid w:val="7474340C"/>
    <w:rsid w:val="74847086"/>
    <w:rsid w:val="74AD7390"/>
    <w:rsid w:val="74B84D76"/>
    <w:rsid w:val="74CB28DA"/>
    <w:rsid w:val="74D3187F"/>
    <w:rsid w:val="74FB36A0"/>
    <w:rsid w:val="74FD6067"/>
    <w:rsid w:val="751F6B3F"/>
    <w:rsid w:val="75375B66"/>
    <w:rsid w:val="754371E6"/>
    <w:rsid w:val="757E5781"/>
    <w:rsid w:val="75834F63"/>
    <w:rsid w:val="759237A0"/>
    <w:rsid w:val="759605BF"/>
    <w:rsid w:val="75A104B8"/>
    <w:rsid w:val="75A702B1"/>
    <w:rsid w:val="75B601EE"/>
    <w:rsid w:val="75C42F38"/>
    <w:rsid w:val="75D7705D"/>
    <w:rsid w:val="75E90518"/>
    <w:rsid w:val="760C6791"/>
    <w:rsid w:val="760F4A68"/>
    <w:rsid w:val="763B35E5"/>
    <w:rsid w:val="763E6241"/>
    <w:rsid w:val="764C1426"/>
    <w:rsid w:val="766324D2"/>
    <w:rsid w:val="76657A64"/>
    <w:rsid w:val="767364F9"/>
    <w:rsid w:val="769B5A89"/>
    <w:rsid w:val="76E77774"/>
    <w:rsid w:val="772C15A5"/>
    <w:rsid w:val="77302181"/>
    <w:rsid w:val="77482CBC"/>
    <w:rsid w:val="77496ACB"/>
    <w:rsid w:val="77540F38"/>
    <w:rsid w:val="775F7826"/>
    <w:rsid w:val="77600FBC"/>
    <w:rsid w:val="776604EF"/>
    <w:rsid w:val="7773312E"/>
    <w:rsid w:val="7775715F"/>
    <w:rsid w:val="77804233"/>
    <w:rsid w:val="7781054B"/>
    <w:rsid w:val="778F4BF8"/>
    <w:rsid w:val="77B92B54"/>
    <w:rsid w:val="77D609F3"/>
    <w:rsid w:val="77D61E95"/>
    <w:rsid w:val="77E060F7"/>
    <w:rsid w:val="77F959B0"/>
    <w:rsid w:val="77FA406A"/>
    <w:rsid w:val="78096F4F"/>
    <w:rsid w:val="780C4735"/>
    <w:rsid w:val="78267E28"/>
    <w:rsid w:val="78314A29"/>
    <w:rsid w:val="783620B8"/>
    <w:rsid w:val="78385DAF"/>
    <w:rsid w:val="783C458E"/>
    <w:rsid w:val="784764CB"/>
    <w:rsid w:val="78866B18"/>
    <w:rsid w:val="78A50752"/>
    <w:rsid w:val="78A771BA"/>
    <w:rsid w:val="78A842F9"/>
    <w:rsid w:val="78CE6756"/>
    <w:rsid w:val="78DB5E0F"/>
    <w:rsid w:val="78FF267E"/>
    <w:rsid w:val="791B1578"/>
    <w:rsid w:val="791F30EE"/>
    <w:rsid w:val="792167E4"/>
    <w:rsid w:val="79243797"/>
    <w:rsid w:val="792B58ED"/>
    <w:rsid w:val="794C1376"/>
    <w:rsid w:val="794C6892"/>
    <w:rsid w:val="794E6409"/>
    <w:rsid w:val="7950766C"/>
    <w:rsid w:val="79516AEC"/>
    <w:rsid w:val="79576B2A"/>
    <w:rsid w:val="795F1A38"/>
    <w:rsid w:val="79630FCB"/>
    <w:rsid w:val="797B643D"/>
    <w:rsid w:val="79820E66"/>
    <w:rsid w:val="798742ED"/>
    <w:rsid w:val="799E7A0F"/>
    <w:rsid w:val="79B434F3"/>
    <w:rsid w:val="79BB5BF4"/>
    <w:rsid w:val="79C9665E"/>
    <w:rsid w:val="79D9015B"/>
    <w:rsid w:val="79DA2EAA"/>
    <w:rsid w:val="79E20C0F"/>
    <w:rsid w:val="79E26F7E"/>
    <w:rsid w:val="79E65288"/>
    <w:rsid w:val="7A0578F6"/>
    <w:rsid w:val="7A133549"/>
    <w:rsid w:val="7A24637C"/>
    <w:rsid w:val="7A272B71"/>
    <w:rsid w:val="7A3B7C26"/>
    <w:rsid w:val="7A4B626B"/>
    <w:rsid w:val="7A52118C"/>
    <w:rsid w:val="7A545425"/>
    <w:rsid w:val="7A5B48C9"/>
    <w:rsid w:val="7A605349"/>
    <w:rsid w:val="7A61093C"/>
    <w:rsid w:val="7A6C601E"/>
    <w:rsid w:val="7A88186F"/>
    <w:rsid w:val="7A976F3F"/>
    <w:rsid w:val="7A9A7756"/>
    <w:rsid w:val="7A9E21D4"/>
    <w:rsid w:val="7AA86FBC"/>
    <w:rsid w:val="7AAF67FA"/>
    <w:rsid w:val="7AB80D14"/>
    <w:rsid w:val="7AB85350"/>
    <w:rsid w:val="7ADA6C95"/>
    <w:rsid w:val="7ADE168F"/>
    <w:rsid w:val="7B1F7B91"/>
    <w:rsid w:val="7B246244"/>
    <w:rsid w:val="7BA53D07"/>
    <w:rsid w:val="7BA87584"/>
    <w:rsid w:val="7BA91A06"/>
    <w:rsid w:val="7BB777CC"/>
    <w:rsid w:val="7BBE7F19"/>
    <w:rsid w:val="7BC201A3"/>
    <w:rsid w:val="7BC2514D"/>
    <w:rsid w:val="7BC66528"/>
    <w:rsid w:val="7BC70FF7"/>
    <w:rsid w:val="7BCB0C2B"/>
    <w:rsid w:val="7BCD000C"/>
    <w:rsid w:val="7BCF4F91"/>
    <w:rsid w:val="7BD811FA"/>
    <w:rsid w:val="7BDC3515"/>
    <w:rsid w:val="7BE85B1A"/>
    <w:rsid w:val="7BEE3352"/>
    <w:rsid w:val="7C1134B5"/>
    <w:rsid w:val="7C1D2347"/>
    <w:rsid w:val="7C23086B"/>
    <w:rsid w:val="7C3E1BE4"/>
    <w:rsid w:val="7C482080"/>
    <w:rsid w:val="7C577D67"/>
    <w:rsid w:val="7C734F7C"/>
    <w:rsid w:val="7C803713"/>
    <w:rsid w:val="7C934BAC"/>
    <w:rsid w:val="7C9849D8"/>
    <w:rsid w:val="7C996A22"/>
    <w:rsid w:val="7CC521A6"/>
    <w:rsid w:val="7CCD740C"/>
    <w:rsid w:val="7CD2410F"/>
    <w:rsid w:val="7CE56503"/>
    <w:rsid w:val="7D052701"/>
    <w:rsid w:val="7D211FBF"/>
    <w:rsid w:val="7D264C5A"/>
    <w:rsid w:val="7D303787"/>
    <w:rsid w:val="7D312CCB"/>
    <w:rsid w:val="7D3D633F"/>
    <w:rsid w:val="7D3F6964"/>
    <w:rsid w:val="7D5B1B45"/>
    <w:rsid w:val="7D766EC1"/>
    <w:rsid w:val="7D7C4622"/>
    <w:rsid w:val="7D7D6D4E"/>
    <w:rsid w:val="7D8620AB"/>
    <w:rsid w:val="7D987318"/>
    <w:rsid w:val="7D9E0942"/>
    <w:rsid w:val="7DA83881"/>
    <w:rsid w:val="7DAA033E"/>
    <w:rsid w:val="7DBE1CEB"/>
    <w:rsid w:val="7DC70BD3"/>
    <w:rsid w:val="7DC81A4A"/>
    <w:rsid w:val="7DCC0B56"/>
    <w:rsid w:val="7DD02D0F"/>
    <w:rsid w:val="7DDB3421"/>
    <w:rsid w:val="7DE40696"/>
    <w:rsid w:val="7E0D7873"/>
    <w:rsid w:val="7E40510E"/>
    <w:rsid w:val="7E4A06DF"/>
    <w:rsid w:val="7E577B05"/>
    <w:rsid w:val="7E614F12"/>
    <w:rsid w:val="7E642CED"/>
    <w:rsid w:val="7E6A6B26"/>
    <w:rsid w:val="7E6C320D"/>
    <w:rsid w:val="7E6F16E3"/>
    <w:rsid w:val="7E7F4735"/>
    <w:rsid w:val="7E802E48"/>
    <w:rsid w:val="7E8A71E3"/>
    <w:rsid w:val="7E975504"/>
    <w:rsid w:val="7EA4100B"/>
    <w:rsid w:val="7EB04AEF"/>
    <w:rsid w:val="7EB738EB"/>
    <w:rsid w:val="7ED22AB7"/>
    <w:rsid w:val="7F0A5892"/>
    <w:rsid w:val="7F2B23C5"/>
    <w:rsid w:val="7F2C48DF"/>
    <w:rsid w:val="7F2D0D08"/>
    <w:rsid w:val="7F3C0BFC"/>
    <w:rsid w:val="7F450EB3"/>
    <w:rsid w:val="7F4B44EA"/>
    <w:rsid w:val="7F5F0713"/>
    <w:rsid w:val="7F663C6B"/>
    <w:rsid w:val="7F8F24C1"/>
    <w:rsid w:val="7FAE5ED7"/>
    <w:rsid w:val="7FD30749"/>
    <w:rsid w:val="7FEC699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autoRedefine/>
    <w:qFormat/>
    <w:uiPriority w:val="0"/>
    <w:pPr>
      <w:keepNext/>
      <w:keepLines/>
      <w:spacing w:before="340" w:after="330" w:line="576" w:lineRule="auto"/>
      <w:outlineLvl w:val="0"/>
    </w:pPr>
    <w:rPr>
      <w:b/>
      <w:kern w:val="44"/>
      <w:sz w:val="44"/>
    </w:rPr>
  </w:style>
  <w:style w:type="paragraph" w:styleId="3">
    <w:name w:val="heading 2"/>
    <w:basedOn w:val="1"/>
    <w:next w:val="1"/>
    <w:autoRedefine/>
    <w:unhideWhenUsed/>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unhideWhenUsed/>
    <w:qFormat/>
    <w:uiPriority w:val="0"/>
    <w:pPr>
      <w:keepNext/>
      <w:keepLines/>
      <w:spacing w:before="260" w:after="260" w:line="413" w:lineRule="auto"/>
      <w:outlineLvl w:val="2"/>
    </w:pPr>
    <w:rPr>
      <w:b/>
      <w:sz w:val="32"/>
    </w:rPr>
  </w:style>
  <w:style w:type="character" w:default="1" w:styleId="15">
    <w:name w:val="Default Paragraph Font"/>
    <w:autoRedefine/>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styleId="5">
    <w:name w:val="annotation text"/>
    <w:basedOn w:val="1"/>
    <w:autoRedefine/>
    <w:qFormat/>
    <w:uiPriority w:val="0"/>
  </w:style>
  <w:style w:type="paragraph" w:styleId="6">
    <w:name w:val="Date"/>
    <w:basedOn w:val="1"/>
    <w:next w:val="1"/>
    <w:autoRedefine/>
    <w:qFormat/>
    <w:uiPriority w:val="0"/>
    <w:pPr>
      <w:ind w:left="100" w:leftChars="2500"/>
    </w:pPr>
  </w:style>
  <w:style w:type="paragraph" w:styleId="7">
    <w:name w:val="Body Text Indent 2"/>
    <w:basedOn w:val="1"/>
    <w:autoRedefine/>
    <w:qFormat/>
    <w:uiPriority w:val="0"/>
    <w:pPr>
      <w:spacing w:after="120" w:line="480" w:lineRule="auto"/>
      <w:ind w:left="420" w:leftChars="200"/>
    </w:pPr>
  </w:style>
  <w:style w:type="paragraph" w:styleId="8">
    <w:name w:val="Balloon Text"/>
    <w:basedOn w:val="1"/>
    <w:link w:val="31"/>
    <w:autoRedefine/>
    <w:qFormat/>
    <w:uiPriority w:val="0"/>
    <w:rPr>
      <w:sz w:val="18"/>
      <w:szCs w:val="18"/>
    </w:rPr>
  </w:style>
  <w:style w:type="paragraph" w:styleId="9">
    <w:name w:val="footer"/>
    <w:basedOn w:val="1"/>
    <w:autoRedefine/>
    <w:qFormat/>
    <w:uiPriority w:val="0"/>
    <w:pPr>
      <w:tabs>
        <w:tab w:val="center" w:pos="4153"/>
        <w:tab w:val="right" w:pos="8306"/>
      </w:tabs>
      <w:snapToGrid w:val="0"/>
      <w:ind w:right="100" w:rightChars="100"/>
      <w:jc w:val="right"/>
    </w:pPr>
    <w:rPr>
      <w:sz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rPr>
  </w:style>
  <w:style w:type="paragraph" w:styleId="11">
    <w:name w:val="toc 1"/>
    <w:next w:val="1"/>
    <w:autoRedefine/>
    <w:qFormat/>
    <w:uiPriority w:val="0"/>
    <w:pPr>
      <w:jc w:val="both"/>
    </w:pPr>
    <w:rPr>
      <w:rFonts w:ascii="宋体" w:hAnsiTheme="minorHAnsi" w:eastAsiaTheme="minorEastAsia" w:cstheme="minorBidi"/>
      <w:sz w:val="21"/>
      <w:szCs w:val="22"/>
      <w:lang w:val="en-US" w:eastAsia="zh-CN" w:bidi="ar-SA"/>
    </w:rPr>
  </w:style>
  <w:style w:type="paragraph" w:styleId="12">
    <w:name w:val="Normal (Web)"/>
    <w:basedOn w:val="1"/>
    <w:autoRedefine/>
    <w:qFormat/>
    <w:uiPriority w:val="0"/>
    <w:pPr>
      <w:spacing w:beforeAutospacing="1" w:afterAutospacing="1"/>
      <w:jc w:val="left"/>
    </w:pPr>
    <w:rPr>
      <w:rFonts w:cs="Times New Roman"/>
      <w:kern w:val="0"/>
      <w:sz w:val="24"/>
    </w:rPr>
  </w:style>
  <w:style w:type="table" w:styleId="14">
    <w:name w:val="Table Grid"/>
    <w:basedOn w:val="13"/>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autoRedefine/>
    <w:qFormat/>
    <w:uiPriority w:val="0"/>
    <w:rPr>
      <w:rFonts w:ascii="Times New Roman" w:hAnsi="Times New Roman" w:eastAsia="宋体"/>
      <w:sz w:val="18"/>
    </w:rPr>
  </w:style>
  <w:style w:type="character" w:styleId="17">
    <w:name w:val="annotation reference"/>
    <w:autoRedefine/>
    <w:qFormat/>
    <w:uiPriority w:val="0"/>
    <w:rPr>
      <w:sz w:val="21"/>
    </w:rPr>
  </w:style>
  <w:style w:type="paragraph" w:customStyle="1" w:styleId="18">
    <w:name w:val="ZW(00)"/>
    <w:basedOn w:val="19"/>
    <w:autoRedefine/>
    <w:qFormat/>
    <w:uiPriority w:val="0"/>
    <w:pPr>
      <w:ind w:firstLine="0" w:firstLineChars="0"/>
    </w:pPr>
  </w:style>
  <w:style w:type="paragraph" w:customStyle="1" w:styleId="19">
    <w:name w:val="ZW"/>
    <w:basedOn w:val="1"/>
    <w:autoRedefine/>
    <w:qFormat/>
    <w:uiPriority w:val="0"/>
    <w:pPr>
      <w:spacing w:line="500" w:lineRule="exact"/>
      <w:ind w:firstLine="200" w:firstLineChars="200"/>
    </w:pPr>
    <w:rPr>
      <w:color w:val="000000"/>
      <w:sz w:val="28"/>
    </w:rPr>
  </w:style>
  <w:style w:type="paragraph" w:customStyle="1" w:styleId="20">
    <w:name w:val="目次、标准名称标题"/>
    <w:basedOn w:val="21"/>
    <w:next w:val="22"/>
    <w:autoRedefine/>
    <w:qFormat/>
    <w:uiPriority w:val="0"/>
    <w:pPr>
      <w:numPr>
        <w:numId w:val="0"/>
      </w:numPr>
      <w:spacing w:line="460" w:lineRule="exact"/>
    </w:pPr>
  </w:style>
  <w:style w:type="paragraph" w:customStyle="1" w:styleId="21">
    <w:name w:val="前言、引言标题"/>
    <w:next w:val="1"/>
    <w:autoRedefine/>
    <w:qFormat/>
    <w:uiPriority w:val="0"/>
    <w:pPr>
      <w:numPr>
        <w:ilvl w:val="0"/>
        <w:numId w:val="1"/>
      </w:numPr>
      <w:shd w:val="clear" w:color="FFFFFF" w:fill="FFFFFF"/>
      <w:spacing w:before="640" w:after="560"/>
      <w:jc w:val="center"/>
      <w:outlineLvl w:val="0"/>
    </w:pPr>
    <w:rPr>
      <w:rFonts w:ascii="黑体" w:eastAsia="黑体" w:hAnsiTheme="minorHAnsi" w:cstheme="minorBidi"/>
      <w:sz w:val="32"/>
      <w:szCs w:val="22"/>
      <w:lang w:val="en-US" w:eastAsia="zh-CN" w:bidi="ar-SA"/>
    </w:rPr>
  </w:style>
  <w:style w:type="paragraph" w:customStyle="1" w:styleId="22">
    <w:name w:val="段"/>
    <w:autoRedefine/>
    <w:qFormat/>
    <w:uiPriority w:val="0"/>
    <w:pPr>
      <w:autoSpaceDE w:val="0"/>
      <w:autoSpaceDN w:val="0"/>
      <w:ind w:firstLine="200" w:firstLineChars="200"/>
      <w:jc w:val="both"/>
    </w:pPr>
    <w:rPr>
      <w:rFonts w:ascii="宋体" w:hAnsiTheme="minorHAnsi" w:eastAsiaTheme="minorEastAsia" w:cstheme="minorBidi"/>
      <w:sz w:val="21"/>
      <w:szCs w:val="22"/>
      <w:lang w:val="en-US" w:eastAsia="zh-CN" w:bidi="ar-SA"/>
    </w:rPr>
  </w:style>
  <w:style w:type="paragraph" w:customStyle="1" w:styleId="23">
    <w:name w:val="标准书眉_奇数页"/>
    <w:next w:val="1"/>
    <w:autoRedefine/>
    <w:qFormat/>
    <w:uiPriority w:val="0"/>
    <w:pPr>
      <w:tabs>
        <w:tab w:val="center" w:pos="4154"/>
        <w:tab w:val="right" w:pos="8306"/>
      </w:tabs>
      <w:spacing w:after="120"/>
      <w:jc w:val="right"/>
    </w:pPr>
    <w:rPr>
      <w:rFonts w:asciiTheme="minorHAnsi" w:hAnsiTheme="minorHAnsi" w:eastAsiaTheme="minorEastAsia" w:cstheme="minorBidi"/>
      <w:sz w:val="21"/>
      <w:szCs w:val="22"/>
      <w:lang w:val="en-US" w:eastAsia="zh-CN" w:bidi="ar-SA"/>
    </w:rPr>
  </w:style>
  <w:style w:type="paragraph" w:customStyle="1" w:styleId="24">
    <w:name w:val="标准书眉_偶数页"/>
    <w:basedOn w:val="23"/>
    <w:next w:val="1"/>
    <w:autoRedefine/>
    <w:qFormat/>
    <w:uiPriority w:val="0"/>
    <w:pPr>
      <w:jc w:val="left"/>
    </w:pPr>
  </w:style>
  <w:style w:type="paragraph" w:customStyle="1" w:styleId="25">
    <w:name w:val="标准书脚_奇数页"/>
    <w:autoRedefine/>
    <w:qFormat/>
    <w:uiPriority w:val="0"/>
    <w:pPr>
      <w:spacing w:before="120"/>
      <w:jc w:val="right"/>
    </w:pPr>
    <w:rPr>
      <w:rFonts w:asciiTheme="minorHAnsi" w:hAnsiTheme="minorHAnsi" w:eastAsiaTheme="minorEastAsia" w:cstheme="minorBidi"/>
      <w:sz w:val="18"/>
      <w:szCs w:val="22"/>
      <w:lang w:val="en-US" w:eastAsia="zh-CN" w:bidi="ar-SA"/>
    </w:rPr>
  </w:style>
  <w:style w:type="paragraph" w:customStyle="1" w:styleId="26">
    <w:name w:val="标准书脚_偶数页"/>
    <w:autoRedefine/>
    <w:qFormat/>
    <w:uiPriority w:val="0"/>
    <w:pPr>
      <w:spacing w:before="120"/>
    </w:pPr>
    <w:rPr>
      <w:rFonts w:asciiTheme="minorHAnsi" w:hAnsiTheme="minorHAnsi" w:eastAsiaTheme="minorEastAsia" w:cstheme="minorBidi"/>
      <w:sz w:val="18"/>
      <w:szCs w:val="22"/>
      <w:lang w:val="en-US" w:eastAsia="zh-CN" w:bidi="ar-SA"/>
    </w:rPr>
  </w:style>
  <w:style w:type="character" w:customStyle="1" w:styleId="27">
    <w:name w:val="标题 1 Char"/>
    <w:link w:val="2"/>
    <w:autoRedefine/>
    <w:qFormat/>
    <w:uiPriority w:val="0"/>
    <w:rPr>
      <w:b/>
      <w:kern w:val="44"/>
      <w:sz w:val="44"/>
    </w:rPr>
  </w:style>
  <w:style w:type="paragraph" w:customStyle="1" w:styleId="28">
    <w:name w:val="C"/>
    <w:basedOn w:val="29"/>
    <w:autoRedefine/>
    <w:qFormat/>
    <w:uiPriority w:val="0"/>
    <w:pPr>
      <w:ind w:left="306" w:hanging="306" w:hangingChars="306"/>
    </w:pPr>
  </w:style>
  <w:style w:type="paragraph" w:customStyle="1" w:styleId="29">
    <w:name w:val="B"/>
    <w:basedOn w:val="18"/>
    <w:autoRedefine/>
    <w:qFormat/>
    <w:uiPriority w:val="0"/>
    <w:pPr>
      <w:ind w:left="231" w:hanging="231" w:hangingChars="231"/>
      <w:jc w:val="left"/>
    </w:pPr>
    <w:rPr>
      <w:rFonts w:eastAsia="宋体"/>
    </w:rPr>
  </w:style>
  <w:style w:type="paragraph" w:customStyle="1" w:styleId="30">
    <w:name w:val="列出段落1"/>
    <w:basedOn w:val="1"/>
    <w:autoRedefine/>
    <w:qFormat/>
    <w:uiPriority w:val="34"/>
    <w:pPr>
      <w:ind w:firstLine="420" w:firstLineChars="200"/>
    </w:pPr>
  </w:style>
  <w:style w:type="character" w:customStyle="1" w:styleId="31">
    <w:name w:val="批注框文本 Char"/>
    <w:basedOn w:val="15"/>
    <w:link w:val="8"/>
    <w:autoRedefine/>
    <w:qFormat/>
    <w:uiPriority w:val="0"/>
    <w:rPr>
      <w:kern w:val="2"/>
      <w:sz w:val="18"/>
      <w:szCs w:val="18"/>
    </w:rPr>
  </w:style>
  <w:style w:type="paragraph" w:customStyle="1" w:styleId="32">
    <w:name w:val="Default"/>
    <w:autoRedefine/>
    <w:qFormat/>
    <w:uiPriority w:val="0"/>
    <w:pPr>
      <w:widowControl w:val="0"/>
      <w:autoSpaceDE w:val="0"/>
      <w:autoSpaceDN w:val="0"/>
      <w:adjustRightInd w:val="0"/>
    </w:pPr>
    <w:rPr>
      <w:rFonts w:ascii="宋体" w:cs="宋体" w:hAnsiTheme="minorHAnsi" w:eastAsiaTheme="minorEastAsia"/>
      <w:color w:val="000000"/>
      <w:sz w:val="24"/>
      <w:szCs w:val="24"/>
      <w:lang w:val="en-US" w:eastAsia="zh-CN" w:bidi="ar-SA"/>
    </w:rPr>
  </w:style>
  <w:style w:type="paragraph" w:customStyle="1" w:styleId="33">
    <w:name w:val="p0"/>
    <w:basedOn w:val="1"/>
    <w:autoRedefine/>
    <w:qFormat/>
    <w:uiPriority w:val="0"/>
    <w:pPr>
      <w:widowControl/>
      <w:snapToGrid w:val="0"/>
      <w:spacing w:line="360" w:lineRule="auto"/>
      <w:jc w:val="left"/>
    </w:pPr>
    <w:rPr>
      <w:kern w:val="0"/>
      <w:szCs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theme" Target="theme/theme1.xml"/><Relationship Id="rId17" Type="http://schemas.openxmlformats.org/officeDocument/2006/relationships/footer" Target="footer9.xml"/><Relationship Id="rId16" Type="http://schemas.openxmlformats.org/officeDocument/2006/relationships/footer" Target="footer8.xml"/><Relationship Id="rId15" Type="http://schemas.openxmlformats.org/officeDocument/2006/relationships/footer" Target="footer7.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2050"/>
    <customShpInfo spid="_x0000_s1032"/>
    <customShpInfo spid="_x0000_s1033"/>
    <customShpInfo spid="_x0000_s1035"/>
    <customShpInfo spid="_x0000_s1034"/>
    <customShpInfo spid="_x0000_s1036"/>
    <customShpInfo spid="_x0000_s1050"/>
    <customShpInfo spid="_x0000_s1053"/>
    <customShpInfo spid="_x0000_s1061"/>
    <customShpInfo spid="_x0000_s1059"/>
    <customShpInfo spid="_x0000_s1046"/>
    <customShpInfo spid="_x0000_s1051"/>
    <customShpInfo spid="_x0000_s1052"/>
    <customShpInfo spid="_x0000_s1060"/>
    <customShpInfo spid="_x0000_s1044"/>
    <customShpInfo spid="_x0000_s1041"/>
    <customShpInfo spid="_x0000_s1045"/>
    <customShpInfo spid="_x0000_s1030"/>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63</Pages>
  <Words>30111</Words>
  <Characters>32390</Characters>
  <Lines>303</Lines>
  <Paragraphs>85</Paragraphs>
  <TotalTime>0</TotalTime>
  <ScaleCrop>false</ScaleCrop>
  <LinksUpToDate>false</LinksUpToDate>
  <CharactersWithSpaces>33765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2017-01-14T12:14:00Z</dcterms:created>
  <dc:creator>lhy68</dc:creator>
  <cp:lastModifiedBy>心有猛虎细嗅蔷薇</cp:lastModifiedBy>
  <cp:lastPrinted>2019-06-16T03:20:00Z</cp:lastPrinted>
  <dcterms:modified xsi:type="dcterms:W3CDTF">2025-08-27T06:24:25Z</dcterms:modified>
  <cp:revision>155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DF8C1DF397A143669551444D9BE3E81B</vt:lpwstr>
  </property>
  <property fmtid="{D5CDD505-2E9C-101B-9397-08002B2CF9AE}" pid="4" name="KSOTemplateDocerSaveRecord">
    <vt:lpwstr>eyJoZGlkIjoiYWUwM2FhOWJmOWIyZTA3OTZmMmRhOTVlOTA2MDA4MjMiLCJ1c2VySWQiOiIyOTIxMTMxNDQifQ==</vt:lpwstr>
  </property>
</Properties>
</file>