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11169-2024-Q-Q_20741</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福建云联中汇环保科技有限公司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福建省闽侯县上街镇高新大道105号巨泽中心3号楼1层102</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福建省闽侯县上街镇高新大道105号巨泽中心3号楼1层102</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E:二阶段;O:二阶段;Q:监查1</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E:低压成套开关设备的生产；配电开关控制设备销售;智能输配电及控制设备销售;工业控制计算机及系统销售所涉及场所的相关环境管理活动</w:t>
            </w:r>
          </w:p>
          <w:p w:rsidRPr="000B53C3">
            <w:pPr>
              <w:rPr>
                <w:rFonts w:hint="eastAsia"/>
                <w:szCs w:val="21"/>
              </w:rPr>
            </w:pPr>
            <w:r w:rsidRPr="000B53C3">
              <w:rPr>
                <w:rFonts w:hint="eastAsia"/>
                <w:szCs w:val="21"/>
              </w:rPr>
              <w:t>O:低压成套开关设备的生产；配电开关控制设备销售;智能输配电及控制设备销售;工业控制计算机及系统销售所涉及场所的相关职业健康安全管理活动</w:t>
            </w:r>
          </w:p>
          <w:p w:rsidRPr="000B53C3">
            <w:pPr>
              <w:rPr>
                <w:rFonts w:hint="eastAsia"/>
                <w:szCs w:val="21"/>
              </w:rPr>
            </w:pPr>
            <w:r w:rsidRPr="000B53C3">
              <w:rPr>
                <w:rFonts w:hint="eastAsia"/>
                <w:szCs w:val="21"/>
              </w:rPr>
              <w:t>Q:低压成套开关设备（动力配电柜）的生产(资质范围内)；配电开关控制设备、智能输配电及控制设备、工业控制计算机及系统的销售</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肖新龙、李 健</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2025-11-14</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61458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263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