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11245-2024-QEO-Q_20434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昇辉科技有限公司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广东省佛山市顺德区陈村镇赤花居民委员会环镇路17号5楼501-1室(住所申报，仅作办工用途)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广东省佛山市顺德区陈村镇赤花居民委员会环镇路17号5楼501-1室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Q:低压开关成套设备的设计、组装（涉及强制性产品限有效自我声明范围内 ）和LED灯具的销售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E:低压开关成套设备的设计、组装（涉及强制性产品限有效自我声明范围内 ）和LED灯具的销售所涉及场所的相关环境管理活动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O:低压开关成套设备的设计、组装（涉及强制性产品限有效自我声明范围内 ）和LED灯具的销售所涉及场所的相关职业健康安全管理活动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65156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137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