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20468-2024-QEO-Q_19111</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江苏德博利恩能源技术有限公司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徐州市高新技术产业开发区国家安全科技产业园A15-405</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徐州市高新技术产业开发区国家安全科技产业园A15-402</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E:监查1;O:监查1;Q:监查1</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E:散料工厂采制检一体化系统及装备的研发和制造所涉及场所的相关环境管理活动</w:t>
            </w:r>
          </w:p>
          <w:p w:rsidRPr="000B53C3">
            <w:pPr>
              <w:rPr>
                <w:rFonts w:hint="eastAsia"/>
                <w:szCs w:val="21"/>
              </w:rPr>
            </w:pPr>
            <w:r w:rsidRPr="000B53C3">
              <w:rPr>
                <w:rFonts w:hint="eastAsia"/>
                <w:szCs w:val="21"/>
              </w:rPr>
              <w:t>O:散料工厂采制检一体化系统及装备的研发和制造所涉及场所的相关职业健康安全管理活动</w:t>
            </w:r>
          </w:p>
          <w:p w:rsidRPr="000B53C3">
            <w:pPr>
              <w:rPr>
                <w:rFonts w:hint="eastAsia"/>
                <w:szCs w:val="21"/>
              </w:rPr>
            </w:pPr>
            <w:r w:rsidRPr="000B53C3">
              <w:rPr>
                <w:rFonts w:hint="eastAsia"/>
                <w:szCs w:val="21"/>
              </w:rPr>
              <w:t>Q:散料工厂采制检一体化系统及装备的研发和制造</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闫宇侠、伍光华</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2025-07-31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0872"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04983"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