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0467-2022-MMS_11597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克拉玛依胜利高原机械有限公司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新疆克拉玛依市白碱滩区平南一路806号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新疆克拉玛依市白碱滩区平南一路806号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采油机械产品加工制造；钻采设备配件及试采工具的生产；常压容器生产；检维修(工业泵维修改造；抽油泵检修、零配部件加工、抽油杆管防腐、修复;井下工具维修服务等石油专用设备的维修维护、钻采设备配件及试采工具维修);采油技术服务(注蒸汽采油技术服务、井下管柱工艺技术服务、井口工具技术服务、井下工具技术服务);分离器托管运行技术服务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2025-06-24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43099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828925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