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0264-2021-MMS_8778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西尼尔（南京）过程控制有限公司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南京市江宁区谷里街道谷里科技产业园兴谷路6号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南京市江宁区谷里街道谷里科技产业园兴谷路6号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MMS:监督4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MMS:电磁流量计、涡街流量计、电磁式水表、电磁式热量表、差压流量计、金属管浮子流量计、质量流量计、智能压力变送器的生产和销售。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吴素平、吴素平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2025-05-03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55435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73741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