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10024-2024-S_16734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四川科度科技有限公司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四川省成都市武侯区郭家桥北街2号1幢3，4号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成都市武侯区武侯大道双楠段112号A9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S:二阶段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测绘服务[地理信息系统工程（含地理信息数据采集及处理）、工程测量、不动产测绘(地籍测绘、房产测绘)]、土地整理、土地调查、自然资源调查、土地综合整治、数据处理和存储支持服务的售后服务（五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9658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221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