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10854-2023-QEO-Q_16673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山西鑫广源机械设备有限公司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山西省晋中市山西综改示范区晋中开发区大学城产业园区龙田路909号创新创业孵化转化中心D32号楼9层909室(一照多址)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山西省晋中市山西综改示范区晋中开发区汇通产业园区经西大道5160号智能制造产业园综合楼B楼3层北侧、3#厂房北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Q:掘进机、采煤机的维修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E:掘进机、采煤机的维修所涉及场所的相关环境管理活动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O:掘进机、采煤机的维修所涉及场所的相关职业健康安全管理活动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50179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2274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