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0116-2022-Q-Q_13339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河北戈斯顿新能源科技有限公司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正定县科技工业园旺泉北街7号（河北大旗光电科技有限公司院内）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正定县科技工业园旺泉北街7号（河北大旗光电科技有限公司院内）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Q:补充;E:补充;O:补充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9282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4181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